
<file path=[Content_Types].xml><?xml version="1.0" encoding="utf-8"?>
<Types xmlns="http://schemas.openxmlformats.org/package/2006/content-types">
  <Default Extension="xml" ContentType="application/xml"/>
  <Default Extension="xlsx" ContentType="application/vnd.openxmlformats-officedocument.spreadsheetml.sheet"/>
  <Default Extension="gif" ContentType="image/gi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media/image293.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1E452C">
      <w:r>
        <w:rPr>
          <w:rFonts w:hint="eastAsia"/>
        </w:rPr>
        <w:drawing>
          <wp:inline distT="0" distB="0" distL="114300" distR="114300">
            <wp:extent cx="3860800" cy="502920"/>
            <wp:effectExtent l="0" t="0" r="0" b="0"/>
            <wp:docPr id="1" name="图片 1" descr="QQ图片20240707120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240707120736"/>
                    <pic:cNvPicPr>
                      <a:picLocks noChangeAspect="1"/>
                    </pic:cNvPicPr>
                  </pic:nvPicPr>
                  <pic:blipFill>
                    <a:blip r:embed="rId63"/>
                    <a:srcRect l="4523" b="7151"/>
                    <a:stretch>
                      <a:fillRect/>
                    </a:stretch>
                  </pic:blipFill>
                  <pic:spPr>
                    <a:xfrm>
                      <a:off x="0" y="0"/>
                      <a:ext cx="3860800" cy="502920"/>
                    </a:xfrm>
                    <a:prstGeom prst="rect">
                      <a:avLst/>
                    </a:prstGeom>
                  </pic:spPr>
                </pic:pic>
              </a:graphicData>
            </a:graphic>
          </wp:inline>
        </w:drawing>
      </w:r>
    </w:p>
    <w:p w14:paraId="355BC797"/>
    <w:p w14:paraId="611434C6"/>
    <w:p w14:paraId="2D92E7C2">
      <w:pPr>
        <w:jc w:val="center"/>
        <w:rPr>
          <w:rFonts w:ascii="微软雅黑" w:hAnsi="微软雅黑" w:eastAsia="微软雅黑" w:cs="微软雅黑"/>
          <w:sz w:val="72"/>
          <w:szCs w:val="72"/>
        </w:rPr>
      </w:pPr>
    </w:p>
    <w:p w14:paraId="39737745">
      <w:pPr>
        <w:jc w:val="center"/>
        <w:rPr>
          <w:rFonts w:ascii="微软雅黑" w:hAnsi="微软雅黑" w:eastAsia="微软雅黑" w:cs="微软雅黑"/>
          <w:sz w:val="72"/>
          <w:szCs w:val="72"/>
        </w:rPr>
      </w:pPr>
      <w:r>
        <w:rPr>
          <w:rFonts w:hint="eastAsia" w:ascii="微软雅黑" w:hAnsi="微软雅黑" w:eastAsia="微软雅黑" w:cs="微软雅黑"/>
          <w:sz w:val="72"/>
          <w:szCs w:val="72"/>
        </w:rPr>
        <w:t>服装大数据产业学院</w:t>
      </w:r>
    </w:p>
    <w:p w14:paraId="31E31087">
      <w:pPr>
        <w:jc w:val="center"/>
        <w:rPr>
          <w:rFonts w:ascii="微软雅黑" w:hAnsi="微软雅黑" w:eastAsia="微软雅黑" w:cs="微软雅黑"/>
          <w:sz w:val="72"/>
          <w:szCs w:val="72"/>
        </w:rPr>
      </w:pPr>
      <w:r>
        <w:rPr>
          <w:rFonts w:hint="eastAsia" w:ascii="微软雅黑" w:hAnsi="微软雅黑" w:eastAsia="微软雅黑" w:cs="微软雅黑"/>
          <w:sz w:val="72"/>
          <w:szCs w:val="72"/>
        </w:rPr>
        <w:t>优秀项目作品集</w:t>
      </w:r>
    </w:p>
    <w:p w14:paraId="5D544AAC">
      <w:pPr>
        <w:spacing w:line="400" w:lineRule="exact"/>
        <w:jc w:val="center"/>
        <w:rPr>
          <w:rFonts w:ascii="微软雅黑" w:hAnsi="微软雅黑" w:eastAsia="微软雅黑" w:cs="微软雅黑"/>
          <w:sz w:val="72"/>
          <w:szCs w:val="72"/>
        </w:rPr>
      </w:pPr>
    </w:p>
    <w:p w14:paraId="27E792BE">
      <w:pPr>
        <w:jc w:val="center"/>
        <w:rPr>
          <w:rFonts w:ascii="微软雅黑" w:hAnsi="微软雅黑" w:eastAsia="微软雅黑" w:cs="微软雅黑"/>
          <w:sz w:val="48"/>
          <w:szCs w:val="48"/>
        </w:rPr>
      </w:pPr>
      <w:r>
        <w:rPr>
          <w:rFonts w:hint="eastAsia" w:ascii="微软雅黑" w:hAnsi="微软雅黑" w:eastAsia="微软雅黑" w:cs="微软雅黑"/>
          <w:sz w:val="48"/>
          <w:szCs w:val="48"/>
        </w:rPr>
        <w:t>（2025-2026学年第一学期）</w:t>
      </w:r>
    </w:p>
    <w:p w14:paraId="3EF05121">
      <w:pPr>
        <w:jc w:val="center"/>
        <w:rPr>
          <w:rFonts w:ascii="微软雅黑" w:hAnsi="微软雅黑" w:eastAsia="微软雅黑" w:cs="微软雅黑"/>
          <w:sz w:val="48"/>
          <w:szCs w:val="48"/>
        </w:rPr>
      </w:pPr>
    </w:p>
    <w:p w14:paraId="45DED267">
      <w:pPr>
        <w:jc w:val="center"/>
        <w:rPr>
          <w:rFonts w:ascii="微软雅黑" w:hAnsi="微软雅黑" w:eastAsia="微软雅黑" w:cs="微软雅黑"/>
          <w:sz w:val="48"/>
          <w:szCs w:val="48"/>
        </w:rPr>
      </w:pPr>
    </w:p>
    <w:p w14:paraId="3C8B5353">
      <w:pPr>
        <w:jc w:val="center"/>
        <w:rPr>
          <w:rFonts w:ascii="微软雅黑" w:hAnsi="微软雅黑" w:eastAsia="微软雅黑" w:cs="微软雅黑"/>
          <w:sz w:val="48"/>
          <w:szCs w:val="48"/>
        </w:rPr>
      </w:pPr>
    </w:p>
    <w:p w14:paraId="1CBB8238">
      <w:pPr>
        <w:jc w:val="center"/>
        <w:rPr>
          <w:rFonts w:ascii="微软雅黑" w:hAnsi="微软雅黑" w:eastAsia="微软雅黑" w:cs="微软雅黑"/>
          <w:sz w:val="48"/>
          <w:szCs w:val="48"/>
        </w:rPr>
      </w:pPr>
      <w:r>
        <w:drawing>
          <wp:anchor distT="0" distB="0" distL="114300" distR="114300" simplePos="0" relativeHeight="251675648" behindDoc="1" locked="0" layoutInCell="1" allowOverlap="1">
            <wp:simplePos x="0" y="0"/>
            <wp:positionH relativeFrom="page">
              <wp:posOffset>-18415</wp:posOffset>
            </wp:positionH>
            <wp:positionV relativeFrom="page">
              <wp:posOffset>8685530</wp:posOffset>
            </wp:positionV>
            <wp:extent cx="7561580" cy="1953260"/>
            <wp:effectExtent l="0" t="0" r="1270" b="8890"/>
            <wp:wrapNone/>
            <wp:docPr id="2" name="_x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1"/>
                    <pic:cNvPicPr>
                      <a:picLocks noChangeAspect="1"/>
                    </pic:cNvPicPr>
                  </pic:nvPicPr>
                  <pic:blipFill>
                    <a:blip r:embed="rId64"/>
                    <a:stretch>
                      <a:fillRect/>
                    </a:stretch>
                  </pic:blipFill>
                  <pic:spPr>
                    <a:xfrm>
                      <a:off x="0" y="0"/>
                      <a:ext cx="7561580" cy="1953260"/>
                    </a:xfrm>
                    <a:prstGeom prst="rect">
                      <a:avLst/>
                    </a:prstGeom>
                    <a:noFill/>
                    <a:ln>
                      <a:noFill/>
                    </a:ln>
                  </pic:spPr>
                </pic:pic>
              </a:graphicData>
            </a:graphic>
          </wp:anchor>
        </w:drawing>
      </w:r>
    </w:p>
    <w:p w14:paraId="6DCA496F">
      <w:pPr>
        <w:jc w:val="center"/>
        <w:rPr>
          <w:rFonts w:ascii="微软雅黑" w:hAnsi="微软雅黑" w:eastAsia="微软雅黑" w:cs="微软雅黑"/>
          <w:sz w:val="48"/>
          <w:szCs w:val="48"/>
        </w:rPr>
      </w:pPr>
    </w:p>
    <w:p w14:paraId="127D523F">
      <w:pPr>
        <w:pStyle w:val="10"/>
        <w:rPr>
          <w:rFonts w:ascii="微软雅黑" w:hAnsi="微软雅黑" w:eastAsia="微软雅黑" w:cs="微软雅黑"/>
          <w:sz w:val="48"/>
          <w:szCs w:val="48"/>
        </w:rPr>
      </w:pPr>
    </w:p>
    <w:p w14:paraId="64D6D950">
      <w:pPr>
        <w:rPr>
          <w:rFonts w:ascii="微软雅黑" w:hAnsi="微软雅黑" w:eastAsia="微软雅黑" w:cs="微软雅黑"/>
          <w:sz w:val="48"/>
          <w:szCs w:val="48"/>
        </w:rPr>
      </w:pPr>
    </w:p>
    <w:p w14:paraId="3B72FBBD"/>
    <w:p w14:paraId="13BA622A">
      <w:pPr>
        <w:pStyle w:val="56"/>
        <w:jc w:val="center"/>
        <w:rPr>
          <w:rFonts w:ascii="微软雅黑" w:hAnsi="微软雅黑" w:eastAsia="微软雅黑" w:cs="微软雅黑"/>
          <w:sz w:val="36"/>
          <w:szCs w:val="36"/>
        </w:rPr>
      </w:pPr>
      <w:r>
        <w:rPr>
          <w:rFonts w:hint="eastAsia" w:ascii="微软雅黑" w:hAnsi="微软雅黑" w:eastAsia="微软雅黑" w:cs="微软雅黑"/>
          <w:sz w:val="36"/>
          <w:szCs w:val="36"/>
        </w:rPr>
        <w:t>目  录</w:t>
      </w:r>
    </w:p>
    <w:p w14:paraId="64BE7047">
      <w:pPr>
        <w:pStyle w:val="24"/>
        <w:tabs>
          <w:tab w:val="right" w:leader="dot" w:pos="8306"/>
          <w:tab w:val="clear" w:pos="8296"/>
        </w:tabs>
        <w:rPr>
          <w:rFonts w:hint="eastAsia" w:ascii="微软雅黑" w:hAnsi="微软雅黑" w:eastAsia="微软雅黑" w:cs="微软雅黑"/>
          <w:sz w:val="24"/>
          <w:szCs w:val="24"/>
        </w:rPr>
      </w:pPr>
      <w:r>
        <w:rPr>
          <w:rFonts w:hint="eastAsia" w:ascii="微软雅黑" w:hAnsi="微软雅黑" w:eastAsia="微软雅黑" w:cs="微软雅黑"/>
          <w:sz w:val="28"/>
          <w:szCs w:val="28"/>
        </w:rPr>
        <w:fldChar w:fldCharType="begin"/>
      </w:r>
      <w:r>
        <w:rPr>
          <w:rFonts w:hint="eastAsia" w:ascii="微软雅黑" w:hAnsi="微软雅黑" w:eastAsia="微软雅黑" w:cs="微软雅黑"/>
          <w:sz w:val="28"/>
          <w:szCs w:val="28"/>
        </w:rPr>
        <w:instrText xml:space="preserve">TOC \o "1-2" \h \u </w:instrText>
      </w:r>
      <w:r>
        <w:rPr>
          <w:rFonts w:hint="eastAsia" w:ascii="微软雅黑" w:hAnsi="微软雅黑" w:eastAsia="微软雅黑" w:cs="微软雅黑"/>
          <w:sz w:val="28"/>
          <w:szCs w:val="28"/>
        </w:rPr>
        <w:fldChar w:fldCharType="separate"/>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_Toc25213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bCs/>
          <w:sz w:val="24"/>
          <w:szCs w:val="24"/>
        </w:rPr>
        <w:t>一、 服装智能软件开发产业学院</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_Toc25213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DD9C33E">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_Toc15633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w:t>
      </w:r>
      <w:r>
        <w:rPr>
          <w:rFonts w:hint="eastAsia" w:ascii="微软雅黑" w:hAnsi="微软雅黑" w:eastAsia="微软雅黑" w:cs="微软雅黑"/>
          <w:sz w:val="24"/>
          <w:szCs w:val="24"/>
        </w:rPr>
        <w:t>洁链云-服装干洗连锁平台的设计与实现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_Toc15633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3BFC7FBF">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_Toc12328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2.</w:t>
      </w:r>
      <w:r>
        <w:rPr>
          <w:rFonts w:hint="eastAsia" w:ascii="微软雅黑" w:hAnsi="微软雅黑" w:eastAsia="微软雅黑" w:cs="微软雅黑"/>
          <w:sz w:val="24"/>
          <w:szCs w:val="24"/>
        </w:rPr>
        <w:t>基于springboot的运动服装商城管理系统</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_Toc12328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26</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1B490115">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_Toc16230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3.</w:t>
      </w:r>
      <w:r>
        <w:rPr>
          <w:rFonts w:hint="eastAsia" w:ascii="微软雅黑" w:hAnsi="微软雅黑" w:eastAsia="微软雅黑" w:cs="微软雅黑"/>
          <w:sz w:val="24"/>
          <w:szCs w:val="24"/>
        </w:rPr>
        <w:t>基于Spring Boot+Vue.js的医享智联平台的设计与实现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_Toc16230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11F8897D">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_Toc20782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4.</w:t>
      </w:r>
      <w:r>
        <w:rPr>
          <w:rFonts w:hint="eastAsia" w:ascii="微软雅黑" w:hAnsi="微软雅黑" w:eastAsia="微软雅黑" w:cs="微软雅黑"/>
          <w:sz w:val="24"/>
          <w:szCs w:val="24"/>
        </w:rPr>
        <w:t>基于若依框架的二手车全链路管理系统的设计与实现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_Toc20782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79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196DF4B5">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_Toc2031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5.</w:t>
      </w:r>
      <w:r>
        <w:rPr>
          <w:rFonts w:hint="eastAsia" w:ascii="微软雅黑" w:hAnsi="微软雅黑" w:eastAsia="微软雅黑" w:cs="微软雅黑"/>
          <w:sz w:val="24"/>
          <w:szCs w:val="24"/>
        </w:rPr>
        <w:t>基于SpringBoot的汉服约拍系统的设计与实现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_Toc2031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111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7A8AC8FD">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_Toc23776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6.</w:t>
      </w:r>
      <w:r>
        <w:rPr>
          <w:rFonts w:hint="eastAsia" w:ascii="微软雅黑" w:hAnsi="微软雅黑" w:eastAsia="微软雅黑" w:cs="微软雅黑"/>
          <w:sz w:val="24"/>
          <w:szCs w:val="24"/>
        </w:rPr>
        <w:t>基于SpringBoot的服装库存管理系统的设计与实现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_Toc23776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137</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F27C74B">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_Toc23056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7.</w:t>
      </w:r>
      <w:r>
        <w:rPr>
          <w:rFonts w:hint="eastAsia" w:ascii="微软雅黑" w:hAnsi="微软雅黑" w:eastAsia="微软雅黑" w:cs="微软雅黑"/>
          <w:sz w:val="24"/>
          <w:szCs w:val="24"/>
        </w:rPr>
        <w:t>基于SpringBoot+Vue赣绣传承管理系统的设计与实现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_Toc23056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162</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2157D977">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_Toc23013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8.</w:t>
      </w:r>
      <w:r>
        <w:rPr>
          <w:rFonts w:hint="eastAsia" w:ascii="微软雅黑" w:hAnsi="微软雅黑" w:eastAsia="微软雅黑" w:cs="微软雅黑"/>
          <w:sz w:val="24"/>
          <w:szCs w:val="24"/>
        </w:rPr>
        <w:t>基于Vue+SpringBoot的社团管理系统的设计与实现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_Toc23013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229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70457F0B">
      <w:pPr>
        <w:pStyle w:val="24"/>
        <w:tabs>
          <w:tab w:val="right" w:leader="dot" w:pos="8306"/>
          <w:tab w:val="clear" w:pos="829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_Toc10815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bCs/>
          <w:kern w:val="2"/>
          <w:sz w:val="24"/>
          <w:szCs w:val="24"/>
          <w:lang w:val="en-US" w:eastAsia="zh-CN" w:bidi="ar-SA"/>
        </w:rPr>
        <w:t>二、 云科数据科学新产业学院</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_Toc10815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261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4F6B4722">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_Toc27466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1.基于区块链技术的众心筹平台设计与实现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_Toc27466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261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01A4F672">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_Toc29900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2.</w:t>
      </w:r>
      <w:r>
        <w:rPr>
          <w:rFonts w:hint="eastAsia" w:ascii="微软雅黑" w:hAnsi="微软雅黑" w:eastAsia="微软雅黑" w:cs="微软雅黑"/>
          <w:sz w:val="24"/>
          <w:szCs w:val="24"/>
        </w:rPr>
        <w:t>基于区块链+MetaMask的霓裳阁穿搭成长记录DApp设计与实现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_Toc29900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291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1AB5F186">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_Toc10439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3.衣链溯源平台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_Toc10439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319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3E84364D">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_Toc17140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4.乐投平台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_Toc17140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351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6DCE8A4">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_Toc16375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5.</w:t>
      </w:r>
      <w:r>
        <w:rPr>
          <w:rFonts w:hint="eastAsia" w:ascii="微软雅黑" w:hAnsi="微软雅黑" w:eastAsia="微软雅黑" w:cs="微软雅黑"/>
          <w:sz w:val="24"/>
          <w:szCs w:val="24"/>
        </w:rPr>
        <w:t>基于</w:t>
      </w:r>
      <w:r>
        <w:rPr>
          <w:rFonts w:hint="eastAsia" w:ascii="微软雅黑" w:hAnsi="微软雅黑" w:eastAsia="微软雅黑" w:cs="微软雅黑"/>
          <w:sz w:val="24"/>
          <w:szCs w:val="24"/>
          <w:lang w:val="en-US" w:eastAsia="zh-CN"/>
        </w:rPr>
        <w:t>区块链的服装投票</w:t>
      </w:r>
      <w:r>
        <w:rPr>
          <w:rFonts w:hint="eastAsia" w:ascii="微软雅黑" w:hAnsi="微软雅黑" w:eastAsia="微软雅黑" w:cs="微软雅黑"/>
          <w:sz w:val="24"/>
          <w:szCs w:val="24"/>
        </w:rPr>
        <w:t>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_Toc16375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369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7C203CE">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_Toc7784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6.</w:t>
      </w:r>
      <w:r>
        <w:rPr>
          <w:rFonts w:hint="eastAsia" w:ascii="微软雅黑" w:hAnsi="微软雅黑" w:eastAsia="微软雅黑" w:cs="微软雅黑"/>
          <w:sz w:val="24"/>
          <w:szCs w:val="24"/>
        </w:rPr>
        <w:t>基于</w:t>
      </w:r>
      <w:r>
        <w:rPr>
          <w:rFonts w:hint="eastAsia" w:ascii="微软雅黑" w:hAnsi="微软雅黑" w:eastAsia="微软雅黑" w:cs="微软雅黑"/>
          <w:sz w:val="24"/>
          <w:szCs w:val="24"/>
          <w:lang w:val="en-US" w:eastAsia="zh-CN"/>
        </w:rPr>
        <w:t>文昌链技术的NFT服装数字藏品平台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_Toc7784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389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43D07073">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_Toc29983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7.基于Hyperledger Fabric+NFT的奢侈品拍卖平台的设计与实现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_Toc29983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425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0A9C8A0B">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_Toc28868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8.互拍平台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_Toc28868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454</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031072D2">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_Toc6899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9.新能源汽车销量分析的设计与实现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_Toc6899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470</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43B14438">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_Toc26396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10.新能源汽车销量分析的设计与实现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_Toc26396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490</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5A27299">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_Toc2371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11.基于影视平台的影视多维数据分析</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_Toc2371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505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00FAEE22">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_Toc30682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12.</w:t>
      </w:r>
      <w:r>
        <w:rPr>
          <w:rFonts w:hint="eastAsia" w:ascii="微软雅黑" w:hAnsi="微软雅黑" w:eastAsia="微软雅黑" w:cs="微软雅黑"/>
          <w:sz w:val="24"/>
          <w:szCs w:val="24"/>
        </w:rPr>
        <w:t>基于某视频(b站)网站的视频与用户多维度数据分析</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_Toc30682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517</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3E1249DC">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_Toc18102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13.</w:t>
      </w:r>
      <w:r>
        <w:rPr>
          <w:rFonts w:hint="eastAsia" w:ascii="微软雅黑" w:hAnsi="微软雅黑" w:eastAsia="微软雅黑" w:cs="微软雅黑"/>
          <w:sz w:val="24"/>
          <w:szCs w:val="24"/>
        </w:rPr>
        <w:t>基于大数据的电动汽车价格与核心特征关联性分析</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_Toc18102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528</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2F48617A">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_Toc24266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14.</w:t>
      </w:r>
      <w:r>
        <w:rPr>
          <w:rFonts w:hint="eastAsia" w:ascii="微软雅黑" w:hAnsi="微软雅黑" w:eastAsia="微软雅黑" w:cs="微软雅黑"/>
          <w:sz w:val="24"/>
          <w:szCs w:val="24"/>
        </w:rPr>
        <w:t>霓裳数韵——数智技术驱动的民族服饰全流程数据挖掘与可视化的设计与实现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_Toc24266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542</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1F7874F9">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_Toc7211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15.</w:t>
      </w:r>
      <w:r>
        <w:rPr>
          <w:rFonts w:hint="eastAsia" w:ascii="微软雅黑" w:hAnsi="微软雅黑" w:eastAsia="微软雅黑" w:cs="微软雅黑"/>
          <w:sz w:val="24"/>
          <w:szCs w:val="24"/>
        </w:rPr>
        <w:t>数析就业的设计与实现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_Toc7211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555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3896F240">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_Toc12686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16.环江西省携程旅游数据分析</w:t>
      </w:r>
      <w:r>
        <w:rPr>
          <w:rFonts w:hint="eastAsia" w:ascii="微软雅黑" w:hAnsi="微软雅黑" w:eastAsia="微软雅黑" w:cs="微软雅黑"/>
          <w:sz w:val="24"/>
          <w:szCs w:val="24"/>
        </w:rPr>
        <w:t>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_Toc12686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564</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B79A427">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_Toc8110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17.</w:t>
      </w:r>
      <w:r>
        <w:rPr>
          <w:rFonts w:hint="eastAsia" w:ascii="微软雅黑" w:hAnsi="微软雅黑" w:eastAsia="微软雅黑" w:cs="微软雅黑"/>
          <w:sz w:val="24"/>
          <w:szCs w:val="24"/>
        </w:rPr>
        <w:t>2024年各地区新能源汽车前300名销售情况的设计与实现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_Toc8110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574</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069B57B1">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_Toc32156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18.</w:t>
      </w:r>
      <w:r>
        <w:rPr>
          <w:rFonts w:hint="eastAsia" w:ascii="微软雅黑" w:hAnsi="微软雅黑" w:eastAsia="微软雅黑" w:cs="微软雅黑"/>
          <w:sz w:val="24"/>
          <w:szCs w:val="24"/>
        </w:rPr>
        <w:t>基于python的淘宝波司登羽绒服销售情况分析</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_Toc32156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589</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28D8E914">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_Toc27377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19.</w:t>
      </w:r>
      <w:r>
        <w:rPr>
          <w:rFonts w:hint="eastAsia" w:ascii="微软雅黑" w:hAnsi="微软雅黑" w:eastAsia="微软雅黑" w:cs="微软雅黑"/>
          <w:sz w:val="24"/>
          <w:szCs w:val="24"/>
        </w:rPr>
        <w:t>全域多平台消费数据洞察分析系统的设计与实现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_Toc27377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610</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572CF936">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_Toc5703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20.</w:t>
      </w:r>
      <w:r>
        <w:rPr>
          <w:rFonts w:hint="eastAsia" w:ascii="微软雅黑" w:hAnsi="微软雅黑" w:eastAsia="微软雅黑" w:cs="微软雅黑"/>
          <w:sz w:val="24"/>
          <w:szCs w:val="24"/>
        </w:rPr>
        <w:t>基于python的全国本科高校分布分析系统</w:t>
      </w:r>
      <w:r>
        <w:rPr>
          <w:rFonts w:hint="eastAsia" w:ascii="微软雅黑" w:hAnsi="微软雅黑" w:eastAsia="微软雅黑" w:cs="微软雅黑"/>
          <w:sz w:val="24"/>
          <w:szCs w:val="24"/>
        </w:rPr>
        <w:tab/>
      </w:r>
      <w:bookmarkStart w:id="1892" w:name="_GoBack"/>
      <w:bookmarkEnd w:id="1892"/>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_Toc5703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628</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D3CAD23">
      <w:pPr>
        <w:pStyle w:val="24"/>
        <w:tabs>
          <w:tab w:val="right" w:leader="dot" w:pos="8306"/>
          <w:tab w:val="clear" w:pos="829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_Toc12510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三、 智能物联产业学院</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_Toc12510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645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39FDC1C5">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_Toc2624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1.智能小车</w:t>
      </w:r>
      <w:r>
        <w:rPr>
          <w:rFonts w:hint="eastAsia" w:ascii="微软雅黑" w:hAnsi="微软雅黑" w:eastAsia="微软雅黑" w:cs="微软雅黑"/>
          <w:sz w:val="24"/>
          <w:szCs w:val="24"/>
        </w:rPr>
        <w:t>的PCB设计与制作</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_Toc2624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645</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7717EBBA">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_Toc7744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2.摇摆钟电路的PCB</w:t>
      </w:r>
      <w:r>
        <w:rPr>
          <w:rFonts w:hint="eastAsia" w:ascii="微软雅黑" w:hAnsi="微软雅黑" w:eastAsia="微软雅黑" w:cs="微软雅黑"/>
          <w:sz w:val="24"/>
          <w:szCs w:val="24"/>
        </w:rPr>
        <w:t>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_Toc7744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657</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6481FB9A">
      <w:pPr>
        <w:pStyle w:val="30"/>
        <w:tabs>
          <w:tab w:val="right" w:leader="dot" w:pos="8306"/>
        </w:tabs>
        <w:rPr>
          <w:rFonts w:hint="eastAsia" w:ascii="微软雅黑" w:hAnsi="微软雅黑" w:eastAsia="微软雅黑" w:cs="微软雅黑"/>
          <w:sz w:val="24"/>
          <w:szCs w:val="24"/>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_Toc16923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3.简易闪光电路的PCB设计与实现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_Toc16923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672</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7B17566B">
      <w:pPr>
        <w:pStyle w:val="30"/>
        <w:tabs>
          <w:tab w:val="right" w:leader="dot" w:pos="8306"/>
        </w:tabs>
        <w:rPr>
          <w:rFonts w:hint="eastAsia" w:ascii="微软雅黑" w:hAnsi="微软雅黑" w:eastAsia="微软雅黑" w:cs="微软雅黑"/>
          <w:sz w:val="28"/>
          <w:szCs w:val="28"/>
        </w:rPr>
      </w:pP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HYPERLINK \l _Toc15322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lang w:val="en-US" w:eastAsia="zh-CN"/>
        </w:rPr>
        <w:t>4. 数字钟的PCB</w:t>
      </w:r>
      <w:r>
        <w:rPr>
          <w:rFonts w:hint="eastAsia" w:ascii="微软雅黑" w:hAnsi="微软雅黑" w:eastAsia="微软雅黑" w:cs="微软雅黑"/>
          <w:sz w:val="24"/>
          <w:szCs w:val="24"/>
        </w:rPr>
        <w:t>设计与</w:t>
      </w:r>
      <w:r>
        <w:rPr>
          <w:rFonts w:hint="eastAsia" w:ascii="微软雅黑" w:hAnsi="微软雅黑" w:eastAsia="微软雅黑" w:cs="微软雅黑"/>
          <w:sz w:val="24"/>
          <w:szCs w:val="24"/>
          <w:lang w:val="en-US" w:eastAsia="zh-CN"/>
        </w:rPr>
        <w:t>实现</w:t>
      </w:r>
      <w:r>
        <w:rPr>
          <w:rFonts w:hint="eastAsia" w:ascii="微软雅黑" w:hAnsi="微软雅黑" w:eastAsia="微软雅黑" w:cs="微软雅黑"/>
          <w:sz w:val="24"/>
          <w:szCs w:val="24"/>
        </w:rPr>
        <w:tab/>
      </w:r>
      <w:r>
        <w:rPr>
          <w:rFonts w:hint="eastAsia" w:ascii="微软雅黑" w:hAnsi="微软雅黑" w:eastAsia="微软雅黑" w:cs="微软雅黑"/>
          <w:sz w:val="24"/>
          <w:szCs w:val="24"/>
        </w:rPr>
        <w:fldChar w:fldCharType="begin"/>
      </w:r>
      <w:r>
        <w:rPr>
          <w:rFonts w:hint="eastAsia" w:ascii="微软雅黑" w:hAnsi="微软雅黑" w:eastAsia="微软雅黑" w:cs="微软雅黑"/>
          <w:sz w:val="24"/>
          <w:szCs w:val="24"/>
        </w:rPr>
        <w:instrText xml:space="preserve"> PAGEREF _Toc15322 \h </w:instrText>
      </w:r>
      <w:r>
        <w:rPr>
          <w:rFonts w:hint="eastAsia" w:ascii="微软雅黑" w:hAnsi="微软雅黑" w:eastAsia="微软雅黑" w:cs="微软雅黑"/>
          <w:sz w:val="24"/>
          <w:szCs w:val="24"/>
        </w:rPr>
        <w:fldChar w:fldCharType="separate"/>
      </w:r>
      <w:r>
        <w:rPr>
          <w:rFonts w:hint="eastAsia" w:ascii="微软雅黑" w:hAnsi="微软雅黑" w:eastAsia="微软雅黑" w:cs="微软雅黑"/>
          <w:sz w:val="24"/>
          <w:szCs w:val="24"/>
        </w:rPr>
        <w:t>691</w:t>
      </w:r>
      <w:r>
        <w:rPr>
          <w:rFonts w:hint="eastAsia" w:ascii="微软雅黑" w:hAnsi="微软雅黑" w:eastAsia="微软雅黑" w:cs="微软雅黑"/>
          <w:sz w:val="24"/>
          <w:szCs w:val="24"/>
        </w:rPr>
        <w:fldChar w:fldCharType="end"/>
      </w:r>
      <w:r>
        <w:rPr>
          <w:rFonts w:hint="eastAsia" w:ascii="微软雅黑" w:hAnsi="微软雅黑" w:eastAsia="微软雅黑" w:cs="微软雅黑"/>
          <w:sz w:val="24"/>
          <w:szCs w:val="24"/>
        </w:rPr>
        <w:fldChar w:fldCharType="end"/>
      </w:r>
    </w:p>
    <w:p w14:paraId="20EC7F80">
      <w:pPr>
        <w:rPr>
          <w:rFonts w:hint="eastAsia" w:ascii="微软雅黑" w:hAnsi="微软雅黑" w:eastAsia="微软雅黑" w:cs="微软雅黑"/>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微软雅黑" w:hAnsi="微软雅黑" w:eastAsia="微软雅黑" w:cs="微软雅黑"/>
          <w:sz w:val="28"/>
          <w:szCs w:val="28"/>
        </w:rPr>
        <w:fldChar w:fldCharType="end"/>
      </w:r>
    </w:p>
    <w:p w14:paraId="226211C0">
      <w:pPr>
        <w:pStyle w:val="2"/>
        <w:numPr>
          <w:ilvl w:val="0"/>
          <w:numId w:val="0"/>
        </w:numPr>
        <w:tabs>
          <w:tab w:val="left" w:pos="1584"/>
        </w:tabs>
        <w:spacing w:before="40" w:after="20"/>
        <w:ind w:leftChars="0"/>
        <w:jc w:val="center"/>
        <w:outlineLvl w:val="0"/>
        <w:rPr>
          <w:rFonts w:hint="eastAsia" w:ascii="微软雅黑" w:hAnsi="微软雅黑" w:eastAsia="微软雅黑" w:cs="微软雅黑"/>
          <w:b/>
          <w:bCs/>
          <w:sz w:val="28"/>
          <w:szCs w:val="28"/>
        </w:rPr>
      </w:pPr>
      <w:bookmarkStart w:id="0" w:name="_Toc24004"/>
      <w:bookmarkStart w:id="1" w:name="_Toc25213"/>
      <w:r>
        <w:rPr>
          <w:rFonts w:hint="eastAsia" w:ascii="微软雅黑" w:hAnsi="微软雅黑" w:eastAsia="微软雅黑" w:cs="微软雅黑"/>
          <w:b/>
          <w:bCs/>
          <w:sz w:val="28"/>
          <w:szCs w:val="28"/>
          <w:lang w:val="en-US" w:eastAsia="zh-CN"/>
        </w:rPr>
        <w:t>一、</w:t>
      </w:r>
      <w:r>
        <w:rPr>
          <w:rFonts w:hint="eastAsia" w:ascii="微软雅黑" w:hAnsi="微软雅黑" w:eastAsia="微软雅黑" w:cs="微软雅黑"/>
          <w:b/>
          <w:bCs/>
          <w:sz w:val="28"/>
          <w:szCs w:val="28"/>
        </w:rPr>
        <w:t>服装智能软件开发产业学院</w:t>
      </w:r>
      <w:bookmarkEnd w:id="0"/>
      <w:bookmarkEnd w:id="1"/>
    </w:p>
    <w:p w14:paraId="71F349DB">
      <w:pPr>
        <w:rPr>
          <w:rFonts w:hint="eastAsia"/>
        </w:rPr>
      </w:pPr>
    </w:p>
    <w:p w14:paraId="7A39083E">
      <w:pPr>
        <w:pStyle w:val="3"/>
        <w:bidi w:val="0"/>
      </w:pPr>
      <w:bookmarkStart w:id="2" w:name="_Toc10899"/>
      <w:bookmarkStart w:id="3" w:name="_Toc15633"/>
      <w:r>
        <w:rPr>
          <w:rFonts w:hint="eastAsia"/>
          <w:lang w:val="en-US" w:eastAsia="zh-CN"/>
        </w:rPr>
        <w:t>1.</w:t>
      </w:r>
      <w:r>
        <w:rPr>
          <w:rFonts w:hint="eastAsia"/>
        </w:rPr>
        <w:t>洁链云-服装干洗连锁平台的设计与实现</w:t>
      </w:r>
      <w:bookmarkEnd w:id="2"/>
      <w:bookmarkEnd w:id="3"/>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54602E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AACBAC6">
            <w:pPr>
              <w:jc w:val="left"/>
              <w:outlineLvl w:val="9"/>
              <w:rPr>
                <w:rFonts w:hint="default" w:ascii="Calibri" w:hAnsi="Calibri" w:eastAsia="黑体"/>
                <w:szCs w:val="21"/>
                <w:lang w:val="en-US" w:eastAsia="zh-CN"/>
              </w:rPr>
            </w:pPr>
            <w:bookmarkStart w:id="4" w:name="_Toc23986"/>
            <w:r>
              <w:rPr>
                <w:rFonts w:hint="eastAsia" w:ascii="Calibri" w:hAnsi="Calibri" w:eastAsia="黑体"/>
                <w:sz w:val="24"/>
              </w:rPr>
              <w:t>项目主题：洁链云-服装干洗连锁平台的设计与实现</w:t>
            </w:r>
            <w:bookmarkEnd w:id="4"/>
            <w:r>
              <w:rPr>
                <w:rFonts w:hint="eastAsia" w:ascii="Calibri" w:hAnsi="Calibri" w:eastAsia="黑体"/>
                <w:sz w:val="24"/>
                <w:lang w:val="en-US" w:eastAsia="zh-CN"/>
              </w:rPr>
              <w:t xml:space="preserve">   </w:t>
            </w:r>
          </w:p>
        </w:tc>
      </w:tr>
      <w:tr w14:paraId="1090C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CD9DC94">
            <w:pPr>
              <w:jc w:val="left"/>
              <w:outlineLvl w:val="9"/>
              <w:rPr>
                <w:rFonts w:ascii="Calibri" w:hAnsi="Calibri" w:eastAsia="黑体"/>
                <w:sz w:val="24"/>
              </w:rPr>
            </w:pPr>
            <w:r>
              <w:rPr>
                <w:rFonts w:hint="eastAsia" w:ascii="Calibri" w:hAnsi="Calibri" w:eastAsia="黑体"/>
                <w:sz w:val="24"/>
              </w:rPr>
              <w:t>班    级：23软件工程本科1班</w:t>
            </w:r>
          </w:p>
        </w:tc>
      </w:tr>
      <w:tr w14:paraId="7C8C1B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4C05DAB">
            <w:pPr>
              <w:jc w:val="left"/>
              <w:outlineLvl w:val="9"/>
              <w:rPr>
                <w:rFonts w:ascii="Calibri" w:hAnsi="Calibri" w:eastAsia="黑体"/>
                <w:szCs w:val="21"/>
              </w:rPr>
            </w:pPr>
            <w:r>
              <w:rPr>
                <w:rFonts w:hint="eastAsia" w:ascii="Calibri" w:hAnsi="Calibri" w:eastAsia="黑体"/>
                <w:sz w:val="24"/>
              </w:rPr>
              <w:t>学生姓名：李俊洁、朱逊、刘匡平、王晟沣    指导教师：钟治忠 罗远辉</w:t>
            </w:r>
          </w:p>
        </w:tc>
      </w:tr>
    </w:tbl>
    <w:p w14:paraId="3E28CB02">
      <w:pPr>
        <w:spacing w:line="440" w:lineRule="exact"/>
        <w:outlineLvl w:val="9"/>
        <w:rPr>
          <w:b/>
          <w:bCs/>
          <w:sz w:val="28"/>
          <w:szCs w:val="28"/>
        </w:rPr>
      </w:pPr>
      <w:r>
        <w:rPr>
          <w:b/>
          <w:bCs/>
          <w:sz w:val="28"/>
          <w:szCs w:val="28"/>
        </w:rPr>
        <w:t>1. 项目概述</w:t>
      </w:r>
    </w:p>
    <w:p w14:paraId="7E53A975">
      <w:pPr>
        <w:pStyle w:val="139"/>
        <w:outlineLvl w:val="9"/>
      </w:pPr>
      <w:bookmarkStart w:id="5" w:name="_Toc14819"/>
      <w:r>
        <w:rPr>
          <w:rFonts w:hint="eastAsia"/>
        </w:rPr>
        <w:t>1</w:t>
      </w:r>
      <w:r>
        <w:t xml:space="preserve">.1 </w:t>
      </w:r>
      <w:r>
        <w:rPr>
          <w:rFonts w:hint="eastAsia"/>
        </w:rPr>
        <w:t>项目介绍</w:t>
      </w:r>
      <w:bookmarkEnd w:id="5"/>
      <w:r>
        <w:rPr>
          <w:rFonts w:hint="eastAsia"/>
        </w:rPr>
        <w:t xml:space="preserve">                                                                                                          </w:t>
      </w:r>
    </w:p>
    <w:p w14:paraId="13E7166C">
      <w:pPr>
        <w:pStyle w:val="140"/>
        <w:ind w:firstLine="480"/>
        <w:outlineLvl w:val="9"/>
      </w:pPr>
      <w:r>
        <w:rPr>
          <w:rFonts w:hint="eastAsia"/>
        </w:rPr>
        <w:t>随着城镇化进程不断推进与居民生活节奏持续加快，连锁干洗门店数量迅速增长，行业规模不断扩大。然而，在门店高速扩张的同时，售后服务体系却普遍滞后，仍大量依赖电话沟通或微信群对接，缺乏统一、高效的数字化管理手段。这种传统模式不仅沟通成本高、效率低下，还直接导致用户投诉响应缓慢、门店之间相互推诿扯皮、总部难以实现统一监管与数据沉淀等突出问题，进而推高了企业的人力投入与运营成本，严重制约了连锁干洗品牌的规模化与精细化发展。</w:t>
      </w:r>
    </w:p>
    <w:p w14:paraId="509B7BEF">
      <w:pPr>
        <w:pStyle w:val="140"/>
        <w:ind w:firstLine="480"/>
        <w:outlineLvl w:val="9"/>
      </w:pPr>
      <w:r>
        <w:rPr>
          <w:rFonts w:hint="eastAsia"/>
        </w:rPr>
        <w:t>洁链云正是在这一行业背景下应运而生。它是一款专为连锁干洗行业打造的一站式智能售后与运营管理平台，围绕“售后标准化、流程数字化、管理智能化”三大核心目标，致力于通过技术赋能，系统性解决连锁门店售后管理分散、依赖人工、成本居高不下的问题。平台通过统一工单、智能分派与自动化处理机制，大幅减少人工沟通与重复协调环节，有效降低门店与总部在售后环节的人力成本投入，同时显著提升处理效率与服务一致性。</w:t>
      </w:r>
    </w:p>
    <w:p w14:paraId="2FD8D614">
      <w:pPr>
        <w:pStyle w:val="140"/>
        <w:ind w:firstLine="480"/>
        <w:outlineLvl w:val="9"/>
      </w:pPr>
      <w:r>
        <w:rPr>
          <w:rFonts w:hint="eastAsia"/>
        </w:rPr>
        <w:t>洁链云深度融合谷歌大模型（AI）能力，以前沿人工智能技术重塑衣物清洗全流程。平台将原本依赖人工经验与人工判断的洗护与售后决策，转变为由系统自动分析与推荐的智能流程，不仅减少对高经验技师的过度依赖，也显著降低新人培训成本。通过数据驱动与流程自动化，帮助连锁品牌实现“少人化运营、标准化服务与精细化管理”，在提升服务质量的同时实现人力成本的持续压缩，助力品牌实现长期可持续增长。</w:t>
      </w:r>
    </w:p>
    <w:p w14:paraId="0A25A577">
      <w:pPr>
        <w:pStyle w:val="140"/>
        <w:ind w:firstLine="480"/>
        <w:outlineLvl w:val="9"/>
      </w:pPr>
      <w:r>
        <w:rPr>
          <w:rFonts w:hint="eastAsia"/>
        </w:rPr>
        <w:t>在核心功能层面，洁链云搭载领先的谷歌大模型，具备强大的图像识别与材料分析能力。顾客仅需上传衣物照片，系统即可自动完成多维度智能分析：</w:t>
      </w:r>
    </w:p>
    <w:p w14:paraId="3B8D536F">
      <w:pPr>
        <w:pStyle w:val="140"/>
        <w:ind w:firstLine="480"/>
        <w:outlineLvl w:val="9"/>
      </w:pPr>
      <w:r>
        <w:rPr>
          <w:rFonts w:hint="eastAsia"/>
        </w:rPr>
        <w:t>智能面料识别：精准判断羊毛、丝绸、棉麻、合成纤维等不同材质，减少人工鉴别压力，规避因经验不足导致的洗护风险。污渍类型分析：自动识别油渍、红酒、墨水等常见污渍类型，并匹配最优预处理方案，降低技师反复判断与试错的人力消耗。一键生成洗护建议：综合衣物材质、款式结构与污渍程度，自动推荐清洗模式、水温设置及烘干强度，将复杂决策流程标准化、系统化，显著提升单人作业效率。</w:t>
      </w:r>
    </w:p>
    <w:p w14:paraId="2F0637EF">
      <w:pPr>
        <w:pStyle w:val="140"/>
        <w:ind w:firstLine="480"/>
        <w:outlineLvl w:val="9"/>
      </w:pPr>
      <w:r>
        <w:rPr>
          <w:rFonts w:hint="eastAsia"/>
        </w:rPr>
        <w:t>通过AI驱动的智能决策与自动化流程，洁链云有效替代了大量重复性、经验依赖型人工操作，使门店在不增加人员配置的情况下承接更多订单，实现降本增效与服务升级的双重目标，为连锁干洗品牌打造真正可规模化复制的智能洗护与售后管理解决方案。</w:t>
      </w:r>
    </w:p>
    <w:p w14:paraId="26B8B5EC">
      <w:pPr>
        <w:pStyle w:val="139"/>
        <w:outlineLvl w:val="9"/>
      </w:pPr>
      <w:bookmarkStart w:id="6" w:name="_Toc15889"/>
      <w:r>
        <w:rPr>
          <w:rFonts w:hint="eastAsia"/>
        </w:rPr>
        <w:t>1.2 项目开发环境</w:t>
      </w:r>
      <w:bookmarkEnd w:id="6"/>
    </w:p>
    <w:p w14:paraId="2F1FA6DE">
      <w:pPr>
        <w:pStyle w:val="140"/>
        <w:ind w:firstLine="480"/>
        <w:outlineLvl w:val="9"/>
      </w:pPr>
      <w:r>
        <w:rPr>
          <w:rFonts w:hint="eastAsia"/>
        </w:rPr>
        <w:t>项目开发环境的服务器端环境如下表1</w:t>
      </w:r>
      <w:r>
        <w:t>-1</w:t>
      </w:r>
      <w:r>
        <w:rPr>
          <w:rFonts w:hint="eastAsia"/>
        </w:rPr>
        <w:t>和1-</w:t>
      </w:r>
      <w:r>
        <w:t>2</w:t>
      </w:r>
      <w:r>
        <w:rPr>
          <w:rFonts w:hint="eastAsia"/>
        </w:rPr>
        <w:t>所示。</w:t>
      </w:r>
    </w:p>
    <w:p w14:paraId="6386DB1F">
      <w:pPr>
        <w:pStyle w:val="137"/>
      </w:pPr>
      <w:r>
        <w:t>表</w:t>
      </w:r>
      <w:r>
        <w:rPr>
          <w:rFonts w:hint="eastAsia"/>
        </w:rPr>
        <w:t>1-</w:t>
      </w:r>
      <w:r>
        <w:t xml:space="preserve">1 </w:t>
      </w:r>
      <w:r>
        <w:rPr>
          <w:rFonts w:hint="eastAsia"/>
        </w:rPr>
        <w:t>服务器端硬件</w:t>
      </w:r>
    </w:p>
    <w:tbl>
      <w:tblPr>
        <w:tblStyle w:val="35"/>
        <w:tblW w:w="0" w:type="auto"/>
        <w:tblInd w:w="0" w:type="dxa"/>
        <w:tblLayout w:type="autofit"/>
        <w:tblCellMar>
          <w:top w:w="0" w:type="dxa"/>
          <w:left w:w="108" w:type="dxa"/>
          <w:bottom w:w="0" w:type="dxa"/>
          <w:right w:w="108" w:type="dxa"/>
        </w:tblCellMar>
      </w:tblPr>
      <w:tblGrid>
        <w:gridCol w:w="4148"/>
        <w:gridCol w:w="4148"/>
      </w:tblGrid>
      <w:tr w14:paraId="157D391B">
        <w:tblPrEx>
          <w:tblCellMar>
            <w:top w:w="0" w:type="dxa"/>
            <w:left w:w="108" w:type="dxa"/>
            <w:bottom w:w="0" w:type="dxa"/>
            <w:right w:w="108" w:type="dxa"/>
          </w:tblCellMar>
        </w:tblPrEx>
        <w:tc>
          <w:tcPr>
            <w:tcW w:w="4148" w:type="dxa"/>
          </w:tcPr>
          <w:p w14:paraId="7296C203">
            <w:pPr>
              <w:pStyle w:val="140"/>
              <w:ind w:firstLine="0" w:firstLineChars="0"/>
              <w:jc w:val="center"/>
              <w:rPr>
                <w:sz w:val="21"/>
                <w:szCs w:val="21"/>
              </w:rPr>
            </w:pPr>
            <w:r>
              <w:rPr>
                <w:rFonts w:hint="eastAsia"/>
                <w:sz w:val="21"/>
                <w:szCs w:val="21"/>
              </w:rPr>
              <w:t>硬件</w:t>
            </w:r>
          </w:p>
        </w:tc>
        <w:tc>
          <w:tcPr>
            <w:tcW w:w="4148" w:type="dxa"/>
          </w:tcPr>
          <w:p w14:paraId="084FD553">
            <w:pPr>
              <w:pStyle w:val="140"/>
              <w:ind w:firstLine="0" w:firstLineChars="0"/>
              <w:jc w:val="center"/>
              <w:rPr>
                <w:sz w:val="21"/>
                <w:szCs w:val="21"/>
              </w:rPr>
            </w:pPr>
            <w:r>
              <w:rPr>
                <w:rFonts w:hint="eastAsia"/>
                <w:sz w:val="21"/>
                <w:szCs w:val="21"/>
              </w:rPr>
              <w:t>配置</w:t>
            </w:r>
          </w:p>
        </w:tc>
      </w:tr>
      <w:tr w14:paraId="2F71180D">
        <w:tblPrEx>
          <w:tblCellMar>
            <w:top w:w="0" w:type="dxa"/>
            <w:left w:w="108" w:type="dxa"/>
            <w:bottom w:w="0" w:type="dxa"/>
            <w:right w:w="108" w:type="dxa"/>
          </w:tblCellMar>
        </w:tblPrEx>
        <w:tc>
          <w:tcPr>
            <w:tcW w:w="4148" w:type="dxa"/>
          </w:tcPr>
          <w:p w14:paraId="7ABCB048">
            <w:pPr>
              <w:pStyle w:val="140"/>
              <w:ind w:firstLine="0" w:firstLineChars="0"/>
              <w:jc w:val="center"/>
              <w:rPr>
                <w:sz w:val="21"/>
                <w:szCs w:val="21"/>
              </w:rPr>
            </w:pPr>
            <w:r>
              <w:rPr>
                <w:rFonts w:hint="eastAsia"/>
                <w:sz w:val="21"/>
                <w:szCs w:val="21"/>
              </w:rPr>
              <w:t>CPU</w:t>
            </w:r>
          </w:p>
        </w:tc>
        <w:tc>
          <w:tcPr>
            <w:tcW w:w="4148" w:type="dxa"/>
          </w:tcPr>
          <w:p w14:paraId="67444256">
            <w:pPr>
              <w:pStyle w:val="140"/>
              <w:ind w:firstLine="0" w:firstLineChars="0"/>
              <w:jc w:val="center"/>
              <w:rPr>
                <w:sz w:val="21"/>
                <w:szCs w:val="21"/>
              </w:rPr>
            </w:pPr>
            <w:r>
              <w:rPr>
                <w:sz w:val="21"/>
                <w:szCs w:val="21"/>
              </w:rPr>
              <w:t>12th Gen Intel(R) Core(TM) i7-12650H (2.30 GHz)</w:t>
            </w:r>
          </w:p>
        </w:tc>
      </w:tr>
      <w:tr w14:paraId="1BDB1899">
        <w:tblPrEx>
          <w:tblCellMar>
            <w:top w:w="0" w:type="dxa"/>
            <w:left w:w="108" w:type="dxa"/>
            <w:bottom w:w="0" w:type="dxa"/>
            <w:right w:w="108" w:type="dxa"/>
          </w:tblCellMar>
        </w:tblPrEx>
        <w:tc>
          <w:tcPr>
            <w:tcW w:w="4148" w:type="dxa"/>
          </w:tcPr>
          <w:p w14:paraId="2D6B2D02">
            <w:pPr>
              <w:pStyle w:val="140"/>
              <w:ind w:firstLine="0" w:firstLineChars="0"/>
              <w:jc w:val="center"/>
              <w:rPr>
                <w:sz w:val="21"/>
                <w:szCs w:val="21"/>
              </w:rPr>
            </w:pPr>
            <w:r>
              <w:rPr>
                <w:rFonts w:hint="eastAsia"/>
                <w:sz w:val="21"/>
                <w:szCs w:val="21"/>
              </w:rPr>
              <w:t>显卡</w:t>
            </w:r>
          </w:p>
        </w:tc>
        <w:tc>
          <w:tcPr>
            <w:tcW w:w="4148" w:type="dxa"/>
          </w:tcPr>
          <w:p w14:paraId="78E9AE36">
            <w:pPr>
              <w:pStyle w:val="140"/>
              <w:ind w:firstLine="0" w:firstLineChars="0"/>
              <w:jc w:val="center"/>
              <w:rPr>
                <w:sz w:val="21"/>
                <w:szCs w:val="21"/>
              </w:rPr>
            </w:pPr>
            <w:r>
              <w:rPr>
                <w:rFonts w:hint="eastAsia"/>
                <w:sz w:val="21"/>
                <w:szCs w:val="21"/>
              </w:rPr>
              <w:t>NVIDIA GeForce RTX4060 Laptop GPU</w:t>
            </w:r>
          </w:p>
        </w:tc>
      </w:tr>
      <w:tr w14:paraId="4E816A85">
        <w:tblPrEx>
          <w:tblCellMar>
            <w:top w:w="0" w:type="dxa"/>
            <w:left w:w="108" w:type="dxa"/>
            <w:bottom w:w="0" w:type="dxa"/>
            <w:right w:w="108" w:type="dxa"/>
          </w:tblCellMar>
        </w:tblPrEx>
        <w:tc>
          <w:tcPr>
            <w:tcW w:w="4148" w:type="dxa"/>
          </w:tcPr>
          <w:p w14:paraId="61798FAB">
            <w:pPr>
              <w:pStyle w:val="140"/>
              <w:ind w:firstLine="0" w:firstLineChars="0"/>
              <w:jc w:val="center"/>
              <w:rPr>
                <w:sz w:val="21"/>
                <w:szCs w:val="21"/>
              </w:rPr>
            </w:pPr>
            <w:r>
              <w:rPr>
                <w:rFonts w:hint="eastAsia"/>
                <w:sz w:val="21"/>
                <w:szCs w:val="21"/>
              </w:rPr>
              <w:t>内存</w:t>
            </w:r>
          </w:p>
        </w:tc>
        <w:tc>
          <w:tcPr>
            <w:tcW w:w="4148" w:type="dxa"/>
          </w:tcPr>
          <w:p w14:paraId="076D5D1E">
            <w:pPr>
              <w:pStyle w:val="140"/>
              <w:ind w:firstLine="0" w:firstLineChars="0"/>
              <w:jc w:val="center"/>
              <w:rPr>
                <w:sz w:val="21"/>
                <w:szCs w:val="21"/>
              </w:rPr>
            </w:pPr>
            <w:r>
              <w:rPr>
                <w:rFonts w:hint="eastAsia"/>
                <w:sz w:val="21"/>
                <w:szCs w:val="21"/>
              </w:rPr>
              <w:t>16GB</w:t>
            </w:r>
          </w:p>
        </w:tc>
      </w:tr>
      <w:tr w14:paraId="78A45C2D">
        <w:tblPrEx>
          <w:tblCellMar>
            <w:top w:w="0" w:type="dxa"/>
            <w:left w:w="108" w:type="dxa"/>
            <w:bottom w:w="0" w:type="dxa"/>
            <w:right w:w="108" w:type="dxa"/>
          </w:tblCellMar>
        </w:tblPrEx>
        <w:tc>
          <w:tcPr>
            <w:tcW w:w="4148" w:type="dxa"/>
          </w:tcPr>
          <w:p w14:paraId="52A33AD4">
            <w:pPr>
              <w:pStyle w:val="140"/>
              <w:ind w:firstLine="0" w:firstLineChars="0"/>
              <w:jc w:val="center"/>
              <w:rPr>
                <w:sz w:val="21"/>
                <w:szCs w:val="21"/>
              </w:rPr>
            </w:pPr>
            <w:r>
              <w:rPr>
                <w:rFonts w:hint="eastAsia"/>
                <w:sz w:val="21"/>
                <w:szCs w:val="21"/>
              </w:rPr>
              <w:t>硬盘</w:t>
            </w:r>
          </w:p>
        </w:tc>
        <w:tc>
          <w:tcPr>
            <w:tcW w:w="4148" w:type="dxa"/>
          </w:tcPr>
          <w:p w14:paraId="3A561862">
            <w:pPr>
              <w:pStyle w:val="140"/>
              <w:ind w:firstLine="0" w:firstLineChars="0"/>
              <w:jc w:val="center"/>
              <w:rPr>
                <w:sz w:val="21"/>
                <w:szCs w:val="21"/>
              </w:rPr>
            </w:pPr>
            <w:r>
              <w:rPr>
                <w:rFonts w:hint="eastAsia"/>
                <w:sz w:val="21"/>
                <w:szCs w:val="21"/>
              </w:rPr>
              <w:t>512GB</w:t>
            </w:r>
          </w:p>
        </w:tc>
      </w:tr>
    </w:tbl>
    <w:p w14:paraId="21352495">
      <w:pPr>
        <w:pStyle w:val="137"/>
      </w:pPr>
      <w:r>
        <w:t>表</w:t>
      </w:r>
      <w:r>
        <w:rPr>
          <w:rFonts w:hint="eastAsia"/>
        </w:rPr>
        <w:t>1-</w:t>
      </w:r>
      <w:r>
        <w:t xml:space="preserve">2 </w:t>
      </w:r>
      <w:r>
        <w:rPr>
          <w:rFonts w:hint="eastAsia"/>
        </w:rPr>
        <w:t>服务器端软件</w:t>
      </w:r>
    </w:p>
    <w:tbl>
      <w:tblPr>
        <w:tblStyle w:val="35"/>
        <w:tblW w:w="0" w:type="auto"/>
        <w:tblInd w:w="0" w:type="dxa"/>
        <w:tblLayout w:type="autofit"/>
        <w:tblCellMar>
          <w:top w:w="0" w:type="dxa"/>
          <w:left w:w="108" w:type="dxa"/>
          <w:bottom w:w="0" w:type="dxa"/>
          <w:right w:w="108" w:type="dxa"/>
        </w:tblCellMar>
      </w:tblPr>
      <w:tblGrid>
        <w:gridCol w:w="4148"/>
        <w:gridCol w:w="4148"/>
      </w:tblGrid>
      <w:tr w14:paraId="4157EB55">
        <w:tblPrEx>
          <w:tblCellMar>
            <w:top w:w="0" w:type="dxa"/>
            <w:left w:w="108" w:type="dxa"/>
            <w:bottom w:w="0" w:type="dxa"/>
            <w:right w:w="108" w:type="dxa"/>
          </w:tblCellMar>
        </w:tblPrEx>
        <w:tc>
          <w:tcPr>
            <w:tcW w:w="4148" w:type="dxa"/>
          </w:tcPr>
          <w:p w14:paraId="32FF8A23">
            <w:pPr>
              <w:pStyle w:val="140"/>
              <w:ind w:firstLine="0" w:firstLineChars="0"/>
              <w:jc w:val="center"/>
              <w:rPr>
                <w:sz w:val="21"/>
                <w:szCs w:val="21"/>
              </w:rPr>
            </w:pPr>
            <w:r>
              <w:rPr>
                <w:rFonts w:hint="eastAsia"/>
                <w:sz w:val="21"/>
                <w:szCs w:val="21"/>
              </w:rPr>
              <w:t>软件</w:t>
            </w:r>
          </w:p>
        </w:tc>
        <w:tc>
          <w:tcPr>
            <w:tcW w:w="4148" w:type="dxa"/>
          </w:tcPr>
          <w:p w14:paraId="0E796C9D">
            <w:pPr>
              <w:pStyle w:val="140"/>
              <w:ind w:firstLine="0" w:firstLineChars="0"/>
              <w:jc w:val="center"/>
              <w:rPr>
                <w:sz w:val="21"/>
                <w:szCs w:val="21"/>
              </w:rPr>
            </w:pPr>
            <w:r>
              <w:rPr>
                <w:rFonts w:hint="eastAsia"/>
                <w:sz w:val="21"/>
                <w:szCs w:val="21"/>
              </w:rPr>
              <w:t>版本</w:t>
            </w:r>
          </w:p>
        </w:tc>
      </w:tr>
      <w:tr w14:paraId="5CD86B24">
        <w:tblPrEx>
          <w:tblCellMar>
            <w:top w:w="0" w:type="dxa"/>
            <w:left w:w="108" w:type="dxa"/>
            <w:bottom w:w="0" w:type="dxa"/>
            <w:right w:w="108" w:type="dxa"/>
          </w:tblCellMar>
        </w:tblPrEx>
        <w:tc>
          <w:tcPr>
            <w:tcW w:w="4148" w:type="dxa"/>
          </w:tcPr>
          <w:p w14:paraId="74447E8A">
            <w:pPr>
              <w:pStyle w:val="140"/>
              <w:ind w:firstLine="0" w:firstLineChars="0"/>
              <w:jc w:val="center"/>
              <w:rPr>
                <w:sz w:val="21"/>
                <w:szCs w:val="21"/>
              </w:rPr>
            </w:pPr>
            <w:r>
              <w:rPr>
                <w:rFonts w:hint="eastAsia"/>
                <w:sz w:val="21"/>
                <w:szCs w:val="21"/>
              </w:rPr>
              <w:t>MySQL</w:t>
            </w:r>
          </w:p>
        </w:tc>
        <w:tc>
          <w:tcPr>
            <w:tcW w:w="4148" w:type="dxa"/>
          </w:tcPr>
          <w:p w14:paraId="4B28EA84">
            <w:pPr>
              <w:pStyle w:val="140"/>
              <w:ind w:firstLine="0" w:firstLineChars="0"/>
              <w:jc w:val="center"/>
              <w:rPr>
                <w:sz w:val="21"/>
                <w:szCs w:val="21"/>
              </w:rPr>
            </w:pPr>
            <w:r>
              <w:rPr>
                <w:rFonts w:hint="eastAsia"/>
                <w:sz w:val="21"/>
                <w:szCs w:val="21"/>
              </w:rPr>
              <w:t>V8.0.12</w:t>
            </w:r>
          </w:p>
        </w:tc>
      </w:tr>
      <w:tr w14:paraId="6588A488">
        <w:tblPrEx>
          <w:tblCellMar>
            <w:top w:w="0" w:type="dxa"/>
            <w:left w:w="108" w:type="dxa"/>
            <w:bottom w:w="0" w:type="dxa"/>
            <w:right w:w="108" w:type="dxa"/>
          </w:tblCellMar>
        </w:tblPrEx>
        <w:tc>
          <w:tcPr>
            <w:tcW w:w="4148" w:type="dxa"/>
          </w:tcPr>
          <w:p w14:paraId="55CABC78">
            <w:pPr>
              <w:pStyle w:val="140"/>
              <w:ind w:firstLine="0" w:firstLineChars="0"/>
              <w:jc w:val="center"/>
              <w:rPr>
                <w:sz w:val="21"/>
                <w:szCs w:val="21"/>
              </w:rPr>
            </w:pPr>
            <w:r>
              <w:rPr>
                <w:rFonts w:hint="eastAsia"/>
                <w:sz w:val="21"/>
                <w:szCs w:val="21"/>
              </w:rPr>
              <w:t>R</w:t>
            </w:r>
            <w:r>
              <w:rPr>
                <w:sz w:val="21"/>
                <w:szCs w:val="21"/>
              </w:rPr>
              <w:t>edis</w:t>
            </w:r>
          </w:p>
        </w:tc>
        <w:tc>
          <w:tcPr>
            <w:tcW w:w="4148" w:type="dxa"/>
          </w:tcPr>
          <w:p w14:paraId="3EDFA52A">
            <w:pPr>
              <w:pStyle w:val="140"/>
              <w:ind w:firstLine="0" w:firstLineChars="0"/>
              <w:jc w:val="center"/>
              <w:rPr>
                <w:sz w:val="21"/>
                <w:szCs w:val="21"/>
              </w:rPr>
            </w:pPr>
            <w:r>
              <w:rPr>
                <w:rFonts w:hint="eastAsia"/>
                <w:sz w:val="21"/>
                <w:szCs w:val="21"/>
              </w:rPr>
              <w:t>V3.0.504</w:t>
            </w:r>
          </w:p>
        </w:tc>
      </w:tr>
      <w:tr w14:paraId="51E944B2">
        <w:tblPrEx>
          <w:tblCellMar>
            <w:top w:w="0" w:type="dxa"/>
            <w:left w:w="108" w:type="dxa"/>
            <w:bottom w:w="0" w:type="dxa"/>
            <w:right w:w="108" w:type="dxa"/>
          </w:tblCellMar>
        </w:tblPrEx>
        <w:tc>
          <w:tcPr>
            <w:tcW w:w="4148" w:type="dxa"/>
          </w:tcPr>
          <w:p w14:paraId="69B9054E">
            <w:pPr>
              <w:pStyle w:val="140"/>
              <w:ind w:firstLine="0" w:firstLineChars="0"/>
              <w:jc w:val="center"/>
              <w:rPr>
                <w:sz w:val="21"/>
                <w:szCs w:val="21"/>
              </w:rPr>
            </w:pPr>
            <w:r>
              <w:rPr>
                <w:sz w:val="21"/>
                <w:szCs w:val="21"/>
              </w:rPr>
              <w:t>IntelliJ IDEA</w:t>
            </w:r>
          </w:p>
        </w:tc>
        <w:tc>
          <w:tcPr>
            <w:tcW w:w="4148" w:type="dxa"/>
          </w:tcPr>
          <w:p w14:paraId="0E632A8C">
            <w:pPr>
              <w:pStyle w:val="140"/>
              <w:ind w:firstLine="0" w:firstLineChars="0"/>
              <w:jc w:val="center"/>
              <w:rPr>
                <w:sz w:val="21"/>
                <w:szCs w:val="21"/>
              </w:rPr>
            </w:pPr>
            <w:r>
              <w:rPr>
                <w:rFonts w:hint="eastAsia"/>
                <w:sz w:val="21"/>
                <w:szCs w:val="21"/>
              </w:rPr>
              <w:t>V2025.2.1</w:t>
            </w:r>
          </w:p>
        </w:tc>
      </w:tr>
    </w:tbl>
    <w:p w14:paraId="4D122264">
      <w:pPr>
        <w:pStyle w:val="140"/>
        <w:ind w:firstLine="0" w:firstLineChars="0"/>
      </w:pPr>
    </w:p>
    <w:p w14:paraId="7F98301B">
      <w:pPr>
        <w:pStyle w:val="139"/>
        <w:outlineLvl w:val="9"/>
      </w:pPr>
      <w:bookmarkStart w:id="7" w:name="_Toc15091"/>
      <w:r>
        <w:rPr>
          <w:rFonts w:hint="eastAsia"/>
        </w:rPr>
        <w:t>1.3 小组</w:t>
      </w:r>
      <w:r>
        <w:t>人员及分工</w:t>
      </w:r>
      <w:bookmarkEnd w:id="7"/>
    </w:p>
    <w:p w14:paraId="33DE7119">
      <w:pPr>
        <w:pStyle w:val="140"/>
        <w:ind w:firstLine="480"/>
      </w:pPr>
      <w:r>
        <w:rPr>
          <w:rFonts w:hint="eastAsia"/>
        </w:rPr>
        <w:t>小组人员分工如表1-3所示</w:t>
      </w:r>
    </w:p>
    <w:p w14:paraId="5A334C2E">
      <w:pPr>
        <w:pStyle w:val="137"/>
      </w:pPr>
      <w:bookmarkStart w:id="8" w:name="_Hlk217228956"/>
      <w:r>
        <w:t>表</w:t>
      </w:r>
      <w:r>
        <w:rPr>
          <w:rFonts w:hint="eastAsia"/>
        </w:rPr>
        <w:t>1-3</w:t>
      </w:r>
      <w:r>
        <w:t xml:space="preserve"> </w:t>
      </w:r>
      <w:r>
        <w:rPr>
          <w:rFonts w:hint="eastAsia"/>
        </w:rPr>
        <w:t>小组人员及分工表</w:t>
      </w:r>
      <w:bookmarkEnd w:id="8"/>
    </w:p>
    <w:tbl>
      <w:tblPr>
        <w:tblStyle w:val="35"/>
        <w:tblW w:w="0" w:type="auto"/>
        <w:tblInd w:w="0" w:type="dxa"/>
        <w:tblLayout w:type="autofit"/>
        <w:tblCellMar>
          <w:top w:w="0" w:type="dxa"/>
          <w:left w:w="108" w:type="dxa"/>
          <w:bottom w:w="0" w:type="dxa"/>
          <w:right w:w="108" w:type="dxa"/>
        </w:tblCellMar>
      </w:tblPr>
      <w:tblGrid>
        <w:gridCol w:w="1838"/>
        <w:gridCol w:w="1701"/>
        <w:gridCol w:w="1701"/>
        <w:gridCol w:w="1559"/>
        <w:gridCol w:w="1497"/>
      </w:tblGrid>
      <w:tr w14:paraId="68CF0625">
        <w:tblPrEx>
          <w:tblCellMar>
            <w:top w:w="0" w:type="dxa"/>
            <w:left w:w="108" w:type="dxa"/>
            <w:bottom w:w="0" w:type="dxa"/>
            <w:right w:w="108" w:type="dxa"/>
          </w:tblCellMar>
        </w:tblPrEx>
        <w:trPr>
          <w:trHeight w:val="216" w:hRule="atLeast"/>
        </w:trPr>
        <w:tc>
          <w:tcPr>
            <w:tcW w:w="1838" w:type="dxa"/>
            <w:vMerge w:val="restart"/>
          </w:tcPr>
          <w:p w14:paraId="1EE4A56D">
            <w:pPr>
              <w:pStyle w:val="140"/>
              <w:ind w:firstLine="0" w:firstLineChars="0"/>
              <w:jc w:val="center"/>
              <w:rPr>
                <w:sz w:val="21"/>
                <w:szCs w:val="21"/>
              </w:rPr>
            </w:pPr>
          </w:p>
        </w:tc>
        <w:tc>
          <w:tcPr>
            <w:tcW w:w="1701" w:type="dxa"/>
          </w:tcPr>
          <w:p w14:paraId="510392C7">
            <w:pPr>
              <w:pStyle w:val="140"/>
              <w:ind w:firstLine="0" w:firstLineChars="0"/>
              <w:jc w:val="center"/>
              <w:rPr>
                <w:sz w:val="21"/>
                <w:szCs w:val="21"/>
              </w:rPr>
            </w:pPr>
            <w:r>
              <w:rPr>
                <w:rFonts w:hint="eastAsia"/>
                <w:sz w:val="21"/>
                <w:szCs w:val="21"/>
              </w:rPr>
              <w:t>组长</w:t>
            </w:r>
          </w:p>
        </w:tc>
        <w:tc>
          <w:tcPr>
            <w:tcW w:w="4757" w:type="dxa"/>
            <w:gridSpan w:val="3"/>
          </w:tcPr>
          <w:p w14:paraId="4B404100">
            <w:pPr>
              <w:pStyle w:val="140"/>
              <w:ind w:firstLine="0" w:firstLineChars="0"/>
              <w:jc w:val="center"/>
              <w:rPr>
                <w:sz w:val="21"/>
                <w:szCs w:val="21"/>
              </w:rPr>
            </w:pPr>
            <w:r>
              <w:rPr>
                <w:rFonts w:hint="eastAsia"/>
                <w:sz w:val="21"/>
                <w:szCs w:val="21"/>
              </w:rPr>
              <w:t>组员</w:t>
            </w:r>
          </w:p>
        </w:tc>
      </w:tr>
      <w:tr w14:paraId="3E914800">
        <w:tblPrEx>
          <w:tblCellMar>
            <w:top w:w="0" w:type="dxa"/>
            <w:left w:w="108" w:type="dxa"/>
            <w:bottom w:w="0" w:type="dxa"/>
            <w:right w:w="108" w:type="dxa"/>
          </w:tblCellMar>
        </w:tblPrEx>
        <w:trPr>
          <w:trHeight w:val="631" w:hRule="atLeast"/>
        </w:trPr>
        <w:tc>
          <w:tcPr>
            <w:tcW w:w="1838" w:type="dxa"/>
            <w:vMerge w:val="continue"/>
          </w:tcPr>
          <w:p w14:paraId="7557454C">
            <w:pPr>
              <w:pStyle w:val="140"/>
              <w:ind w:firstLine="0" w:firstLineChars="0"/>
              <w:jc w:val="center"/>
              <w:rPr>
                <w:sz w:val="21"/>
                <w:szCs w:val="21"/>
              </w:rPr>
            </w:pPr>
          </w:p>
        </w:tc>
        <w:tc>
          <w:tcPr>
            <w:tcW w:w="1701" w:type="dxa"/>
          </w:tcPr>
          <w:p w14:paraId="0194B6F0">
            <w:pPr>
              <w:pStyle w:val="140"/>
              <w:ind w:firstLine="0" w:firstLineChars="0"/>
              <w:jc w:val="center"/>
              <w:rPr>
                <w:sz w:val="21"/>
                <w:szCs w:val="21"/>
              </w:rPr>
            </w:pPr>
            <w:r>
              <w:rPr>
                <w:rFonts w:hint="eastAsia"/>
                <w:sz w:val="21"/>
                <w:szCs w:val="21"/>
              </w:rPr>
              <w:t>李俊洁</w:t>
            </w:r>
          </w:p>
        </w:tc>
        <w:tc>
          <w:tcPr>
            <w:tcW w:w="1701" w:type="dxa"/>
          </w:tcPr>
          <w:p w14:paraId="09A92373">
            <w:pPr>
              <w:pStyle w:val="140"/>
              <w:ind w:firstLine="0" w:firstLineChars="0"/>
              <w:jc w:val="center"/>
              <w:rPr>
                <w:sz w:val="21"/>
                <w:szCs w:val="21"/>
              </w:rPr>
            </w:pPr>
            <w:r>
              <w:rPr>
                <w:rFonts w:hint="eastAsia"/>
                <w:sz w:val="21"/>
                <w:szCs w:val="21"/>
              </w:rPr>
              <w:t>朱逊</w:t>
            </w:r>
          </w:p>
        </w:tc>
        <w:tc>
          <w:tcPr>
            <w:tcW w:w="1559" w:type="dxa"/>
          </w:tcPr>
          <w:p w14:paraId="4CFF9C6C">
            <w:pPr>
              <w:pStyle w:val="140"/>
              <w:ind w:firstLine="0" w:firstLineChars="0"/>
              <w:jc w:val="center"/>
              <w:rPr>
                <w:sz w:val="21"/>
                <w:szCs w:val="21"/>
              </w:rPr>
            </w:pPr>
            <w:r>
              <w:rPr>
                <w:rFonts w:hint="eastAsia"/>
                <w:sz w:val="21"/>
                <w:szCs w:val="21"/>
              </w:rPr>
              <w:t>刘匡平</w:t>
            </w:r>
          </w:p>
        </w:tc>
        <w:tc>
          <w:tcPr>
            <w:tcW w:w="1497" w:type="dxa"/>
          </w:tcPr>
          <w:p w14:paraId="27AB1DE1">
            <w:pPr>
              <w:pStyle w:val="140"/>
              <w:ind w:firstLine="0" w:firstLineChars="0"/>
              <w:jc w:val="center"/>
              <w:rPr>
                <w:sz w:val="21"/>
                <w:szCs w:val="21"/>
              </w:rPr>
            </w:pPr>
            <w:r>
              <w:rPr>
                <w:rFonts w:hint="eastAsia"/>
                <w:sz w:val="21"/>
                <w:szCs w:val="21"/>
              </w:rPr>
              <w:t>王晟沣</w:t>
            </w:r>
          </w:p>
        </w:tc>
      </w:tr>
      <w:tr w14:paraId="34AF8FE0">
        <w:tblPrEx>
          <w:tblCellMar>
            <w:top w:w="0" w:type="dxa"/>
            <w:left w:w="108" w:type="dxa"/>
            <w:bottom w:w="0" w:type="dxa"/>
            <w:right w:w="108" w:type="dxa"/>
          </w:tblCellMar>
        </w:tblPrEx>
        <w:trPr>
          <w:trHeight w:val="750" w:hRule="atLeast"/>
        </w:trPr>
        <w:tc>
          <w:tcPr>
            <w:tcW w:w="1838" w:type="dxa"/>
          </w:tcPr>
          <w:p w14:paraId="00BB675B">
            <w:pPr>
              <w:pStyle w:val="140"/>
              <w:ind w:firstLine="0" w:firstLineChars="0"/>
              <w:jc w:val="center"/>
              <w:rPr>
                <w:sz w:val="21"/>
                <w:szCs w:val="21"/>
              </w:rPr>
            </w:pPr>
            <w:r>
              <w:rPr>
                <w:rFonts w:hint="eastAsia"/>
                <w:sz w:val="21"/>
                <w:szCs w:val="21"/>
              </w:rPr>
              <w:t>负责工作</w:t>
            </w:r>
          </w:p>
        </w:tc>
        <w:tc>
          <w:tcPr>
            <w:tcW w:w="1701" w:type="dxa"/>
          </w:tcPr>
          <w:p w14:paraId="14EB48E0">
            <w:pPr>
              <w:pStyle w:val="140"/>
              <w:ind w:firstLine="0" w:firstLineChars="0"/>
              <w:jc w:val="center"/>
              <w:rPr>
                <w:sz w:val="21"/>
                <w:szCs w:val="21"/>
              </w:rPr>
            </w:pPr>
            <w:r>
              <w:rPr>
                <w:rFonts w:hint="eastAsia"/>
                <w:sz w:val="21"/>
                <w:szCs w:val="21"/>
              </w:rPr>
              <w:t>测试软件系统，总结文档</w:t>
            </w:r>
          </w:p>
        </w:tc>
        <w:tc>
          <w:tcPr>
            <w:tcW w:w="1701" w:type="dxa"/>
          </w:tcPr>
          <w:p w14:paraId="04B84888">
            <w:pPr>
              <w:pStyle w:val="140"/>
              <w:ind w:firstLine="0" w:firstLineChars="0"/>
              <w:jc w:val="center"/>
              <w:rPr>
                <w:sz w:val="21"/>
                <w:szCs w:val="21"/>
              </w:rPr>
            </w:pPr>
            <w:r>
              <w:rPr>
                <w:rFonts w:hint="eastAsia"/>
                <w:sz w:val="21"/>
                <w:szCs w:val="21"/>
              </w:rPr>
              <w:t>编程后端管理部分</w:t>
            </w:r>
          </w:p>
        </w:tc>
        <w:tc>
          <w:tcPr>
            <w:tcW w:w="1559" w:type="dxa"/>
          </w:tcPr>
          <w:p w14:paraId="4F07AF1A">
            <w:pPr>
              <w:pStyle w:val="140"/>
              <w:ind w:firstLine="0" w:firstLineChars="0"/>
              <w:jc w:val="center"/>
              <w:rPr>
                <w:sz w:val="21"/>
                <w:szCs w:val="21"/>
              </w:rPr>
            </w:pPr>
            <w:r>
              <w:rPr>
                <w:rFonts w:hint="eastAsia"/>
                <w:sz w:val="21"/>
                <w:szCs w:val="21"/>
              </w:rPr>
              <w:t>市场调研，设计前端网页</w:t>
            </w:r>
          </w:p>
        </w:tc>
        <w:tc>
          <w:tcPr>
            <w:tcW w:w="1497" w:type="dxa"/>
          </w:tcPr>
          <w:p w14:paraId="2796029C">
            <w:pPr>
              <w:pStyle w:val="140"/>
              <w:ind w:firstLine="0" w:firstLineChars="0"/>
              <w:jc w:val="center"/>
              <w:rPr>
                <w:sz w:val="21"/>
                <w:szCs w:val="21"/>
              </w:rPr>
            </w:pPr>
            <w:r>
              <w:rPr>
                <w:rFonts w:hint="eastAsia"/>
                <w:sz w:val="21"/>
                <w:szCs w:val="21"/>
              </w:rPr>
              <w:t>设计报告撰写，测试系统</w:t>
            </w:r>
          </w:p>
        </w:tc>
      </w:tr>
    </w:tbl>
    <w:p w14:paraId="4096FF7C">
      <w:pPr>
        <w:spacing w:line="440" w:lineRule="exact"/>
        <w:rPr>
          <w:b/>
          <w:bCs/>
          <w:sz w:val="28"/>
          <w:szCs w:val="28"/>
        </w:rPr>
      </w:pPr>
      <w:r>
        <w:rPr>
          <w:rFonts w:hint="eastAsia"/>
          <w:b/>
          <w:bCs/>
          <w:sz w:val="28"/>
          <w:szCs w:val="28"/>
        </w:rPr>
        <w:t>2 需求分析</w:t>
      </w:r>
    </w:p>
    <w:p w14:paraId="4B3C7254">
      <w:pPr>
        <w:pStyle w:val="143"/>
        <w:outlineLvl w:val="9"/>
        <w:rPr>
          <w:rFonts w:ascii="Times New Roman" w:hAnsi="Times New Roman"/>
        </w:rPr>
      </w:pPr>
      <w:bookmarkStart w:id="9" w:name="_Toc27895"/>
      <w:r>
        <w:rPr>
          <w:rFonts w:hint="eastAsia" w:ascii="Times New Roman" w:hAnsi="Times New Roman"/>
        </w:rPr>
        <w:t>2.1系统需求分析</w:t>
      </w:r>
      <w:bookmarkEnd w:id="9"/>
    </w:p>
    <w:p w14:paraId="32E29768">
      <w:pPr>
        <w:pStyle w:val="139"/>
        <w:outlineLvl w:val="9"/>
        <w:rPr>
          <w:rFonts w:cs="Times New Roman"/>
        </w:rPr>
      </w:pPr>
      <w:bookmarkStart w:id="10" w:name="_Toc19996"/>
      <w:r>
        <w:rPr>
          <w:rFonts w:hint="eastAsia" w:cs="Times New Roman"/>
        </w:rPr>
        <w:t>洁链云作为连锁干洗行业的数字化赋能平台，致力于以数字化与智能化技术为驱动力，系统性破解行业长期存在的运营效率低下、服务质量参差不齐、规模化管理壁垒高筑以及客户体验波动不稳等核心痛点。平台紧扣"提升效率、统一标准、强化管控、优化体验"四大战略主轴，从业务需求、用户需求、功能性需求及非功能性需求等多维视角展开深度剖析与全景规划，精准锚定系统建设的关键要素与实施路径。</w:t>
      </w:r>
      <w:bookmarkEnd w:id="10"/>
    </w:p>
    <w:p w14:paraId="5CF970E2">
      <w:pPr>
        <w:pStyle w:val="139"/>
        <w:outlineLvl w:val="9"/>
        <w:rPr>
          <w:rFonts w:cs="Times New Roman"/>
        </w:rPr>
      </w:pPr>
      <w:bookmarkStart w:id="11" w:name="_Toc12685"/>
      <w:r>
        <w:rPr>
          <w:rFonts w:hint="eastAsia" w:cs="Times New Roman"/>
        </w:rPr>
        <w:t>具体而言，在业务层面，平台聚焦门店运营流程再造与供应链协同优化；在用户层面，深耕客户旅程重塑与服务触点升级；在功能层面，构建覆盖全流程的智能化工具矩阵；在非功能层面，确保系统的高可用性、扩展性与安全性。通过这样立体化、精细化的需求洞察与架构设计，洁链云不仅为技术实现提供了清晰蓝图，更为行业数字化转型树立了可落地的价值标杆。</w:t>
      </w:r>
      <w:bookmarkEnd w:id="11"/>
    </w:p>
    <w:p w14:paraId="0670B904">
      <w:pPr>
        <w:pStyle w:val="139"/>
        <w:outlineLvl w:val="9"/>
      </w:pPr>
      <w:bookmarkStart w:id="12" w:name="_Toc27980"/>
      <w:r>
        <w:rPr>
          <w:rFonts w:hint="eastAsia"/>
        </w:rPr>
        <w:t>2.1.1 业务需求分析</w:t>
      </w:r>
      <w:bookmarkEnd w:id="12"/>
    </w:p>
    <w:p w14:paraId="0E3A0E7C">
      <w:pPr>
        <w:pStyle w:val="140"/>
        <w:ind w:firstLine="480"/>
        <w:outlineLvl w:val="9"/>
      </w:pPr>
      <w:r>
        <w:rPr>
          <w:rFonts w:hint="eastAsia"/>
        </w:rPr>
        <w:t>从业务层面看，连锁干洗企业首先面临的是整体运营效率不足的问题。传统依赖人工记录与沟通的流程容易产生信息滞后和差错，导致前台、清洗工坊与物流之间协同不畅。洁链云通过全面数字化业务流程，减少人工操作与沟通成本，实现各环节高效协同，目标是将单均订单处理时间降低至少30%。</w:t>
      </w:r>
    </w:p>
    <w:p w14:paraId="6DA5851D">
      <w:pPr>
        <w:pStyle w:val="140"/>
        <w:ind w:firstLine="480"/>
        <w:outlineLvl w:val="9"/>
      </w:pPr>
      <w:r>
        <w:rPr>
          <w:rFonts w:hint="eastAsia"/>
        </w:rPr>
        <w:t>其次，服务标准化与品控统一是连锁模式能否成功复制的关键。平台通过引入AI技术，统一收衣判断与洗护决策标准，并将服务流程与操作规范固化到系统中，从制度和技术层面保障不同门店之间的服务质量与客户体验高度一致，降低因操作不当引发的客户投诉与赔偿风险。</w:t>
      </w:r>
    </w:p>
    <w:p w14:paraId="32AFAF9D">
      <w:pPr>
        <w:pStyle w:val="140"/>
        <w:ind w:firstLine="480"/>
        <w:outlineLvl w:val="9"/>
      </w:pPr>
      <w:r>
        <w:rPr>
          <w:rFonts w:hint="eastAsia"/>
        </w:rPr>
        <w:t>同时，洁链云面向总部构建集中化、数据驱动的连锁管控体系。系统提供实时、透明的多门店运营数据，使管理者能够从整体与细节两个层面洞察业务运行状况，为营销投放、库存管理、门店考核等关键决策提供数据支持。</w:t>
      </w:r>
    </w:p>
    <w:p w14:paraId="31BEBBCB">
      <w:pPr>
        <w:pStyle w:val="140"/>
        <w:ind w:firstLine="480"/>
        <w:outlineLvl w:val="9"/>
      </w:pPr>
      <w:r>
        <w:rPr>
          <w:rFonts w:hint="eastAsia"/>
        </w:rPr>
        <w:t>在客户经营层面，平台通过统一的会员数字档案管理，沉淀客户消费记录、洗护偏好与行为数据，支撑个性化服务与精准营销策略的实施，从而提升客户复购率、忠诚度与生命周期价值。最终，通过提供一套标准化、可配置、可复制的“开箱即用”系统方案，洁链云显著降低新门店上线与管理成本，支撑连锁品牌的快速扩张。</w:t>
      </w:r>
    </w:p>
    <w:p w14:paraId="2A26A35B">
      <w:pPr>
        <w:pStyle w:val="143"/>
        <w:outlineLvl w:val="9"/>
      </w:pPr>
      <w:r>
        <w:t>2.1.2 用户需求分析</w:t>
      </w:r>
    </w:p>
    <w:p w14:paraId="0005DE59">
      <w:pPr>
        <w:pStyle w:val="140"/>
        <w:ind w:firstLine="480"/>
        <w:outlineLvl w:val="9"/>
      </w:pPr>
      <w:r>
        <w:rPr>
          <w:rFonts w:hint="eastAsia"/>
        </w:rPr>
        <w:t>在用户层面，不同角色对系统的需求存在明显差异。对于顾客而言，核心诉求集中在便捷性、透明度与专业可信度上。顾客希望能够实现在线预约、订单状态实时跟踪、价格清晰透明以及洗护报告可查询，并在此基础上通过会员权益、积分兑换与个性化推荐获得更具性价比和针对性的服务体验。</w:t>
      </w:r>
    </w:p>
    <w:p w14:paraId="493E6490">
      <w:pPr>
        <w:pStyle w:val="140"/>
        <w:ind w:firstLine="480"/>
        <w:outlineLvl w:val="9"/>
      </w:pPr>
      <w:r>
        <w:rPr>
          <w:rFonts w:hint="eastAsia"/>
        </w:rPr>
        <w:t>对于前台店员，系统需要操作简单、响应快速，能够支持高效开单、智能辅助决策与自动计价，减少人工判断压力与操作错误。同时，清晰直观的流程展示与订单状态提醒，有助于店员快速处理待办事项并提升服务效率。</w:t>
      </w:r>
    </w:p>
    <w:p w14:paraId="12FAF76B">
      <w:pPr>
        <w:pStyle w:val="140"/>
        <w:ind w:firstLine="480"/>
        <w:outlineLvl w:val="9"/>
      </w:pPr>
      <w:r>
        <w:rPr>
          <w:rFonts w:hint="eastAsia"/>
        </w:rPr>
        <w:t>清洗工坊员工更关注任务明确性与操作安全性。通过电子工单形式清晰呈现洗护要求、特殊污渍提示及注意事项，并结合AI生成的预处理与洗护建议，可有效降低操作风险，减少返工率。</w:t>
      </w:r>
    </w:p>
    <w:p w14:paraId="7A7D3D03">
      <w:pPr>
        <w:pStyle w:val="140"/>
        <w:ind w:firstLine="480"/>
        <w:outlineLvl w:val="9"/>
      </w:pPr>
      <w:r>
        <w:rPr>
          <w:rFonts w:hint="eastAsia"/>
        </w:rPr>
        <w:t>对于店长及门店管理者而言，系统需提供实时可视的经营数据，包括营收、订单量与员工绩效等关键指标，同时支持会员、员工、库存及日常运营事务的高效管理，并对订单进度与服务质量进行持续监控。</w:t>
      </w:r>
    </w:p>
    <w:p w14:paraId="6467CD53">
      <w:pPr>
        <w:pStyle w:val="140"/>
        <w:ind w:firstLine="480"/>
        <w:outlineLvl w:val="9"/>
      </w:pPr>
      <w:r>
        <w:rPr>
          <w:rFonts w:hint="eastAsia"/>
        </w:rPr>
        <w:t>总部运营人员及高层管理者则需要从全局视角掌控连锁体系运行情况。系统应支持多门店数据的集中展示与对比分析，通过趋势分析、门店排名等方式支撑战略决策与资源配置，并确保价格策略、营销活动及服务标准能够在各门店统一落地执行。</w:t>
      </w:r>
    </w:p>
    <w:p w14:paraId="41B903F7">
      <w:pPr>
        <w:pStyle w:val="143"/>
        <w:outlineLvl w:val="9"/>
      </w:pPr>
      <w:r>
        <w:rPr>
          <w:rFonts w:hint="eastAsia"/>
        </w:rPr>
        <w:t>2.1.3 功能性需求分析</w:t>
      </w:r>
    </w:p>
    <w:p w14:paraId="07407801">
      <w:pPr>
        <w:pStyle w:val="140"/>
        <w:ind w:firstLine="480"/>
        <w:outlineLvl w:val="9"/>
      </w:pPr>
      <w:r>
        <w:rPr>
          <w:rFonts w:hint="eastAsia"/>
        </w:rPr>
        <w:t>基于上述业务与用户需求，系统需实现一系列核心功能模块。平台首先应提供运营概览模块，通过多维度、可下钻的数据可视化仪表盘，支持自定义报表与数据导出，帮助管理者快速掌握经营状况。AI智能收衣模块是系统的关键创新点，通过集成视觉AI技术，实现衣物图像的自动分析，识别面料与污渍类型，并生成结构化的洗护方案与报价建议。</w:t>
      </w:r>
    </w:p>
    <w:p w14:paraId="3E04F340">
      <w:pPr>
        <w:pStyle w:val="140"/>
        <w:ind w:firstLine="480"/>
        <w:outlineLvl w:val="9"/>
      </w:pPr>
      <w:r>
        <w:rPr>
          <w:rFonts w:hint="eastAsia"/>
        </w:rPr>
        <w:t>在订单管理方面，系统需覆盖订单从创建、状态流转到核销的全生命周期管理，支持标签化与批量操作，以提高处理效率。物流与支付模块用于统一管理取送地址与配送状态，并集成多种线上与线下支付方式，实现自动对账。会员档案模块集中管理会员信息、账户余额、积分、消费记录及洗护偏好，为精准服务与营销提供数据基础。此外，连锁店管理模块与系统设置模块则分别承担门店集中管控以及业务规则、权限与参数配置等支撑性功能。</w:t>
      </w:r>
    </w:p>
    <w:p w14:paraId="3F7E8131">
      <w:pPr>
        <w:pStyle w:val="143"/>
        <w:outlineLvl w:val="9"/>
      </w:pPr>
      <w:r>
        <w:rPr>
          <w:rFonts w:hint="eastAsia"/>
        </w:rPr>
        <w:t>2.1.4 非功能性需求分析</w:t>
      </w:r>
    </w:p>
    <w:p w14:paraId="2C89BB16">
      <w:pPr>
        <w:pStyle w:val="140"/>
        <w:ind w:firstLine="480"/>
        <w:outlineLvl w:val="9"/>
      </w:pPr>
      <w:r>
        <w:rPr>
          <w:rFonts w:hint="eastAsia"/>
        </w:rPr>
        <w:t>在非功能性需求方面，系统需满足性能、安全性、可靠性及可维护性等要求。性能上，系统页面平均响应时间应控制在2秒以内，关键业务接口95%的请求响应时间不超过3秒，并支持至少100家门店同时在线、500人以上高峰并发操作。</w:t>
      </w:r>
    </w:p>
    <w:p w14:paraId="18B6A6AF">
      <w:pPr>
        <w:pStyle w:val="140"/>
        <w:ind w:firstLine="480"/>
        <w:outlineLvl w:val="9"/>
      </w:pPr>
      <w:r>
        <w:rPr>
          <w:rFonts w:hint="eastAsia"/>
        </w:rPr>
        <w:t>安全性方面，系统需采用HTTPS传输协议，对密码和支付等敏感信息进行加密存储，并基于角色的访问控制机制防止越权操作，同时对登录与关键操作进行日志记录与审计。可靠性方面，核心服务可用性需达到99.5%以上，具备完善的数据备份、恢复与故障切换能力。在易用性与可维护性方面，系统界面应贴合业务流程、易于上手，降低新员工培训成本，并采用模块化、前后端分离架构，支持功能扩展与独立升级，同时提供完整的日志与监控告警机制。</w:t>
      </w:r>
    </w:p>
    <w:p w14:paraId="1CAB3B94">
      <w:pPr>
        <w:pStyle w:val="139"/>
        <w:ind w:firstLineChars="0"/>
        <w:outlineLvl w:val="9"/>
        <w:rPr>
          <w:rFonts w:ascii="宋体" w:hAnsi="宋体"/>
        </w:rPr>
      </w:pPr>
      <w:bookmarkStart w:id="13" w:name="_Toc22471"/>
      <w:r>
        <w:rPr>
          <w:rFonts w:hint="eastAsia" w:ascii="宋体" w:hAnsi="宋体"/>
        </w:rPr>
        <w:t>2.2 可行性分析</w:t>
      </w:r>
      <w:bookmarkEnd w:id="13"/>
    </w:p>
    <w:p w14:paraId="091F89F5">
      <w:pPr>
        <w:pStyle w:val="140"/>
        <w:ind w:firstLine="480"/>
        <w:outlineLvl w:val="9"/>
      </w:pPr>
      <w:r>
        <w:rPr>
          <w:rFonts w:hint="eastAsia"/>
        </w:rPr>
        <w:t>从技术角度看，洁链云所采用的关键技术均为当前成熟且广泛应用的解决方案。前端采用React与TypeScript，能够稳定支撑复杂交互场景；后端基于Spring Boot框架，生态完善，适合构建高并发的微服务系统；AI能力依托Google Gemini等成熟大模型的视觉识别API，集成路径清晰，无需从零研发；数据库与部署层面选用MySQL、Redis及Docker容器化技术，行业经验丰富，实施风险可控。整体架构具备良好的扩展性，可随着业务规模增长进行平滑扩展，技术可行性高。</w:t>
      </w:r>
    </w:p>
    <w:p w14:paraId="73B4631E">
      <w:pPr>
        <w:pStyle w:val="140"/>
        <w:ind w:firstLine="480"/>
        <w:outlineLvl w:val="9"/>
      </w:pPr>
      <w:r>
        <w:rPr>
          <w:rFonts w:hint="eastAsia"/>
        </w:rPr>
        <w:t>在经济层面，系统的主要投入集中在研发团队的人力成本上。由于功能边界清晰、技术方案成熟，开发周期与成本相对可控。运营成本主要包括云服务器资源、AI接口调用、支付通道手续费及日常维护费用。收益方面，平台可通过向加盟或直营门店收取SaaS服务费及交易佣金获得直接收入；同时，对连锁品牌而言，系统可通过提升效率、降低人工与赔偿风险、促进复购与客单价增长以及提升品牌溢价等方式带来显著的间接收益。综合测算，系统投入成本有望在1—2年内被运营效率提升和规模扩张所带来的收益覆盖，经济可行性较高。</w:t>
      </w:r>
    </w:p>
    <w:p w14:paraId="0D469D5F">
      <w:pPr>
        <w:pStyle w:val="140"/>
        <w:ind w:firstLine="480"/>
        <w:outlineLvl w:val="9"/>
      </w:pPr>
      <w:r>
        <w:rPr>
          <w:rFonts w:hint="eastAsia"/>
        </w:rPr>
        <w:t>在运营层面，系统设计紧密贴合干洗行业“收衣—清洗—交付”的业务流程，并针对不同角色提供差异化视图，降低组织变革阻力。通过分角色培训材料与在线帮助支持，各门店能够快速上手。当前干洗行业数字化程度整体偏低，而连锁化进程加快、管理痛点突出，市场对深度融合AI、专注连锁场景的解决方案需求明确，付费意愿逐步增强。结合总部支持团队的持续运维与迭代机制，洁链云在实际落地与长期运营方面具备良好的可行性。</w:t>
      </w:r>
    </w:p>
    <w:p w14:paraId="6DD9E732">
      <w:pPr>
        <w:spacing w:line="440" w:lineRule="exact"/>
        <w:outlineLvl w:val="9"/>
        <w:rPr>
          <w:b/>
          <w:bCs/>
          <w:sz w:val="28"/>
          <w:szCs w:val="28"/>
        </w:rPr>
      </w:pPr>
      <w:r>
        <w:rPr>
          <w:rFonts w:hint="eastAsia"/>
          <w:b/>
          <w:bCs/>
          <w:sz w:val="28"/>
          <w:szCs w:val="28"/>
        </w:rPr>
        <w:t>3系统设计</w:t>
      </w:r>
    </w:p>
    <w:p w14:paraId="28AE5AFD">
      <w:pPr>
        <w:pStyle w:val="139"/>
        <w:ind w:firstLineChars="0"/>
        <w:outlineLvl w:val="9"/>
        <w:rPr>
          <w:rFonts w:ascii="宋体" w:hAnsi="宋体"/>
        </w:rPr>
      </w:pPr>
      <w:bookmarkStart w:id="14" w:name="_Toc3939"/>
      <w:r>
        <w:rPr>
          <w:rFonts w:hint="eastAsia" w:ascii="宋体" w:hAnsi="宋体"/>
        </w:rPr>
        <w:t>3.1 系统结构设计</w:t>
      </w:r>
      <w:bookmarkEnd w:id="14"/>
    </w:p>
    <w:p w14:paraId="67049644">
      <w:pPr>
        <w:pStyle w:val="140"/>
        <w:ind w:firstLine="480"/>
        <w:outlineLvl w:val="9"/>
      </w:pPr>
      <w:r>
        <w:rPr>
          <w:rFonts w:hint="eastAsia"/>
        </w:rPr>
        <w:t>洁链云整体采用前后端分离、模块化、微服务友好的现代云架构，以适应连锁干洗业务门店数量增长快、业务场景复杂、并发波动明显等特点。系统在设计之初即充分考虑可扩展性、高可用性与易维护性，通过清晰的分层与模块边界，为后续功能扩展和架构演进提供稳定支撑，能够有效满足连锁业务持续扩张的需求。</w:t>
      </w:r>
    </w:p>
    <w:p w14:paraId="2B03883D">
      <w:pPr>
        <w:pStyle w:val="140"/>
        <w:ind w:firstLine="480"/>
        <w:outlineLvl w:val="9"/>
      </w:pPr>
      <w:r>
        <w:rPr>
          <w:rFonts w:hint="eastAsia"/>
        </w:rPr>
        <w:t>整体技术架构</w:t>
      </w:r>
    </w:p>
    <w:p w14:paraId="77050E64">
      <w:pPr>
        <w:pStyle w:val="140"/>
        <w:ind w:firstLine="480"/>
        <w:outlineLvl w:val="9"/>
      </w:pPr>
      <w:r>
        <w:rPr>
          <w:rFonts w:hint="eastAsia"/>
        </w:rPr>
        <w:t>在前端展示层，系统采用 React 18 与 TypeScript 作为核心技术栈，构建高交互性、高可维护性的单页面应用（SPA）。前端通过组件化设计与状态管理机制，实现复杂业务流程的流畅交互与快速响应。同时，系统在界面设计上充分考虑多终端使用场景，全面适配 PC、平板及移动端浏览器，确保前台店员、管理人员及总部运营人员在不同设备上的一致操作体验。</w:t>
      </w:r>
    </w:p>
    <w:p w14:paraId="638CB9BA">
      <w:pPr>
        <w:pStyle w:val="140"/>
        <w:ind w:firstLine="480"/>
        <w:outlineLvl w:val="9"/>
      </w:pPr>
      <w:r>
        <w:rPr>
          <w:rFonts w:hint="eastAsia"/>
        </w:rPr>
        <w:t>后端服务层以 Spring Boot + RuoYi 框架为核心，构建稳定、高效的业务服务体系，对外统一提供标准化的 RESTful API 接口。后端采用模块化设计思想，将订单管理、会员管理、门店管理、支付结算等核心业务解耦为相对独立的功能模块，在保证当前单体架构稳定运行的同时，为未来向微服务架构平滑演进预留空间，各业务模块可根据业务增长情况独立部署与扩展。</w:t>
      </w:r>
    </w:p>
    <w:p w14:paraId="4ECA8F2E">
      <w:pPr>
        <w:pStyle w:val="140"/>
        <w:ind w:firstLine="480"/>
        <w:outlineLvl w:val="9"/>
      </w:pPr>
      <w:r>
        <w:rPr>
          <w:rFonts w:hint="eastAsia"/>
        </w:rPr>
        <w:t>在数据层设计上，系统选用 MySQL 8.0 作为主数据库，用于存储订单、会员、门店等核心业务的关系型数据，确保数据一致性与事务安全。针对高频访问场景，引入 Redis 等缓存中间件以提升系统整体响应速度和并发处理能力。同时，系统通过对象存储服务（如 OSS）集中管理用户上传的衣物图片、AI检测结果及相关报告文件，降低数据库存储压力，提高文件访问效率。</w:t>
      </w:r>
    </w:p>
    <w:p w14:paraId="6BEBC5AD">
      <w:pPr>
        <w:pStyle w:val="140"/>
        <w:ind w:firstLine="480"/>
        <w:outlineLvl w:val="9"/>
      </w:pPr>
      <w:r>
        <w:rPr>
          <w:rFonts w:hint="eastAsia"/>
        </w:rPr>
        <w:t>AI 能力层作为系统的重要支撑，通过 API 网关以安全、可控的方式接入 Google Gemini 视觉大模型服务。衣物图像识别与分析等计算密集型任务采用异步队列方式处理，避免阻塞核心业务流程，在保证前端响应速度的同时提升系统整体稳定性与吞吐能力。</w:t>
      </w:r>
    </w:p>
    <w:p w14:paraId="3C4B86A1">
      <w:pPr>
        <w:pStyle w:val="140"/>
        <w:ind w:firstLine="480"/>
        <w:outlineLvl w:val="9"/>
      </w:pPr>
      <w:r>
        <w:rPr>
          <w:rFonts w:hint="eastAsia"/>
        </w:rPr>
        <w:t>逻辑分层结构设计</w:t>
      </w:r>
    </w:p>
    <w:p w14:paraId="125C2AC9">
      <w:pPr>
        <w:pStyle w:val="140"/>
        <w:ind w:firstLine="480"/>
        <w:outlineLvl w:val="9"/>
      </w:pPr>
      <w:r>
        <w:rPr>
          <w:rFonts w:hint="eastAsia"/>
        </w:rPr>
        <w:t>在逻辑结构上，洁链云采用清晰的分层设计，以提升系统的可维护性与扩展性。用户交互层为系统提供统一的操作入口和导航界面，根据不同用户角色与权限动态渲染可用功能模块，保障操作安全与使用便捷。应用服务层负责封装系统的核心业务逻辑，包括订单全生命周期管理、AI 洗护报告生成、会员积分与权益计算等关键功能。数据访问层统一管理对数据库、缓存系统及外部服务（如支付网关、物流接口等）的访问，屏蔽底层实现细节。基础设施层则提供日志、监控、消息队列等通用技术支撑服务，为系统的稳定运行与问题定位提供保障。</w:t>
      </w:r>
    </w:p>
    <w:p w14:paraId="3815F555">
      <w:pPr>
        <w:pStyle w:val="140"/>
        <w:ind w:firstLine="480"/>
        <w:outlineLvl w:val="9"/>
      </w:pPr>
      <w:r>
        <w:rPr>
          <w:rFonts w:hint="eastAsia"/>
        </w:rPr>
        <w:t>通过上述分层与架构设计，洁链云在保证当前业务稳定运行的同时，具备良好的扩展能力与演进空间，为连锁干洗行业的数字化、智能化升级提供坚实的技术基础。</w:t>
      </w:r>
    </w:p>
    <w:p w14:paraId="6DE46D4B">
      <w:pPr>
        <w:pStyle w:val="139"/>
        <w:ind w:firstLineChars="0"/>
        <w:outlineLvl w:val="9"/>
        <w:rPr>
          <w:rFonts w:ascii="宋体" w:hAnsi="宋体"/>
        </w:rPr>
      </w:pPr>
      <w:bookmarkStart w:id="15" w:name="_Toc21206"/>
      <w:r>
        <w:rPr>
          <w:rFonts w:hint="eastAsia" w:ascii="宋体" w:hAnsi="宋体"/>
        </w:rPr>
        <w:t>3.2 系统功能模块设计</w:t>
      </w:r>
      <w:bookmarkEnd w:id="15"/>
    </w:p>
    <w:p w14:paraId="0D523EBF">
      <w:pPr>
        <w:pStyle w:val="140"/>
        <w:ind w:firstLine="480"/>
        <w:outlineLvl w:val="9"/>
      </w:pPr>
      <w:r>
        <w:rPr>
          <w:rFonts w:hint="eastAsia"/>
        </w:rPr>
        <w:t>洁链云平台围绕干洗核心业务流程，设计七大功能模块，共同构成完整的数字化管理闭环。</w:t>
      </w:r>
    </w:p>
    <w:p w14:paraId="21872EC7">
      <w:pPr>
        <w:pStyle w:val="140"/>
        <w:ind w:firstLine="480"/>
        <w:outlineLvl w:val="9"/>
      </w:pPr>
      <w:r>
        <w:rPr>
          <w:rFonts w:hint="eastAsia"/>
        </w:rPr>
        <w:t>运营概览</w:t>
      </w:r>
    </w:p>
    <w:p w14:paraId="7993AAF8">
      <w:pPr>
        <w:pStyle w:val="140"/>
        <w:ind w:firstLine="480"/>
        <w:outlineLvl w:val="9"/>
      </w:pPr>
      <w:r>
        <w:rPr>
          <w:rFonts w:hint="eastAsia"/>
        </w:rPr>
        <w:t>管理者的“数字驾驶舱”。数据仪表盘：实时聚合并可视化关键绩效指标（KPI），如总营收、订单量、客单价、门店排名、客户增长率。提供日、周、月等多维度营收与订单趋势图表。直观展示各连锁门店的核心运营数据对比。助力管理者全局把控、快速决策，实现数据驱动的精细化运营。</w:t>
      </w:r>
    </w:p>
    <w:p w14:paraId="11378BEE">
      <w:pPr>
        <w:pStyle w:val="140"/>
        <w:ind w:firstLine="480"/>
        <w:outlineLvl w:val="9"/>
      </w:pPr>
      <w:r>
        <w:rPr>
          <w:rFonts w:hint="eastAsia"/>
        </w:rPr>
        <w:t>AI智能收衣</w:t>
      </w:r>
    </w:p>
    <w:p w14:paraId="0B1A9D6A">
      <w:pPr>
        <w:pStyle w:val="140"/>
        <w:ind w:firstLine="480"/>
        <w:outlineLvl w:val="9"/>
      </w:pPr>
      <w:r>
        <w:rPr>
          <w:rFonts w:hint="eastAsia"/>
        </w:rPr>
        <w:t>服务专业化的“智能起点”。支持高清衣物照片上传。调用AI模型，自动识别面料成分与污渍类型。基于识别结果，智能推荐洗护工艺，并自动计算服务费用（含附加费提示）。一键生成并打印包含唯一编码和洗护建议的实物标签。提升服务专业性、透明度和效率，从源头降低误判风险。</w:t>
      </w:r>
    </w:p>
    <w:p w14:paraId="5789E563">
      <w:pPr>
        <w:pStyle w:val="140"/>
        <w:ind w:firstLine="480"/>
        <w:outlineLvl w:val="9"/>
      </w:pPr>
      <w:r>
        <w:rPr>
          <w:rFonts w:hint="eastAsia"/>
        </w:rPr>
        <w:t>清洗订单</w:t>
      </w:r>
    </w:p>
    <w:p w14:paraId="58B60C8E">
      <w:pPr>
        <w:pStyle w:val="140"/>
        <w:ind w:firstLine="480"/>
        <w:outlineLvl w:val="9"/>
      </w:pPr>
      <w:r>
        <w:rPr>
          <w:rFonts w:hint="eastAsia"/>
        </w:rPr>
        <w:t>业务流转的“核心中枢”。关联会员自动填充信息，支持多件衣物明细添加与灵活定价。可视化订单状态（已收件、清洗中、质检中、已交付），并支持状态手动更新。支持按订单号、客户姓名、手机号、状态等多条件快速检索。支持为订单添加“急件”、“重污渍”等自定义标签。实现订单全生命周期的数字化、透明化管理，大幅提升内部协同效率。</w:t>
      </w:r>
    </w:p>
    <w:p w14:paraId="64F87FAB">
      <w:pPr>
        <w:pStyle w:val="140"/>
        <w:ind w:firstLine="480"/>
        <w:outlineLvl w:val="9"/>
      </w:pPr>
      <w:r>
        <w:rPr>
          <w:rFonts w:hint="eastAsia"/>
        </w:rPr>
        <w:t>物流与支付</w:t>
      </w:r>
    </w:p>
    <w:p w14:paraId="3A967DAB">
      <w:pPr>
        <w:pStyle w:val="140"/>
        <w:ind w:firstLine="480"/>
        <w:outlineLvl w:val="9"/>
      </w:pPr>
      <w:r>
        <w:rPr>
          <w:rFonts w:hint="eastAsia"/>
        </w:rPr>
        <w:t>服务闭环的“连接器与结算器”。记录上门取件/送件地址、联系人及预约时间。对接或集成第三方物流API，实现配送状态可视化。支持多种支付方式（线上支付、会员余额、门店现金/刷卡），并自动关联订单结算。生成清晰的支付流水与财务对账报表。优化客户取送体验，确保资金流清晰、安全、高效。</w:t>
      </w:r>
    </w:p>
    <w:p w14:paraId="7F6E86E6">
      <w:pPr>
        <w:pStyle w:val="140"/>
        <w:ind w:firstLine="480"/>
        <w:outlineLvl w:val="9"/>
      </w:pPr>
      <w:r>
        <w:rPr>
          <w:rFonts w:hint="eastAsia"/>
        </w:rPr>
        <w:t>会员档案</w:t>
      </w:r>
    </w:p>
    <w:p w14:paraId="40D4C6FA">
      <w:pPr>
        <w:pStyle w:val="140"/>
        <w:ind w:firstLine="480"/>
        <w:outlineLvl w:val="9"/>
      </w:pPr>
      <w:r>
        <w:rPr>
          <w:rFonts w:hint="eastAsia"/>
        </w:rPr>
        <w:t>客户资产的“数据中心”。集中维护会员基本信息、联系方式及洗护偏好。管理会员等级（普通、银卡、金卡、钻石）及对应折扣、积分倍数等权益。管理会员储值余额、消费明细、积分累积与兑换记录。支持多维度快速搜索会员。深化客户关系，为会员营销、个性化服务与忠诚度计划提供数据基础。</w:t>
      </w:r>
    </w:p>
    <w:p w14:paraId="37404C78">
      <w:pPr>
        <w:pStyle w:val="140"/>
        <w:ind w:firstLine="480"/>
        <w:outlineLvl w:val="9"/>
      </w:pPr>
      <w:r>
        <w:rPr>
          <w:rFonts w:hint="eastAsia"/>
        </w:rPr>
        <w:t>连锁店管理</w:t>
      </w:r>
    </w:p>
    <w:p w14:paraId="126F4AF2">
      <w:pPr>
        <w:pStyle w:val="140"/>
        <w:ind w:firstLine="480"/>
        <w:outlineLvl w:val="9"/>
      </w:pPr>
      <w:r>
        <w:rPr>
          <w:rFonts w:hint="eastAsia"/>
        </w:rPr>
        <w:t>规模化运营的“管控平台”。统一维护各门店基本信息、店长、联系方式和营业状态。运营数据监控：查看各门店的实时订单、营收等核心数据。资源与权限配置：为不同门店配置账号与操作权限。实现连锁网络的标准化、集中化管控，支撑品牌的快速复制与稳健扩张。</w:t>
      </w:r>
    </w:p>
    <w:p w14:paraId="51CC15DB">
      <w:pPr>
        <w:pStyle w:val="140"/>
        <w:ind w:firstLine="480"/>
        <w:outlineLvl w:val="9"/>
      </w:pPr>
      <w:r>
        <w:rPr>
          <w:rFonts w:hint="eastAsia"/>
        </w:rPr>
        <w:t>系统设置</w:t>
      </w:r>
    </w:p>
    <w:p w14:paraId="56C38CB3">
      <w:pPr>
        <w:pStyle w:val="140"/>
        <w:ind w:firstLine="480"/>
        <w:outlineLvl w:val="9"/>
      </w:pPr>
      <w:r>
        <w:rPr>
          <w:rFonts w:hint="eastAsia"/>
        </w:rPr>
        <w:t>平台灵活性的“配置中心”。配置业务规则，如服务项目价格、积分兑换规则、营业时间等。如启用/关闭页面动画效果（气泡效果）、设置数据自动刷新频率。定义不同角色（管理员、店长、操作员）的菜单与数据访问权限。展示系统版本、技术栈信息，提供基础维护功能。使平台能够高度适配不同连锁品牌的具体管理需求与工作习惯，保障系统长期适用性。</w:t>
      </w:r>
    </w:p>
    <w:p w14:paraId="3783EBCE">
      <w:pPr>
        <w:pStyle w:val="139"/>
        <w:ind w:firstLineChars="0"/>
        <w:outlineLvl w:val="9"/>
        <w:rPr>
          <w:rFonts w:ascii="宋体" w:hAnsi="宋体"/>
        </w:rPr>
      </w:pPr>
      <w:bookmarkStart w:id="16" w:name="_Toc6997"/>
      <w:r>
        <w:rPr>
          <w:rFonts w:hint="eastAsia" w:ascii="宋体" w:hAnsi="宋体"/>
        </w:rPr>
        <w:t>3.3功能模块说明</w:t>
      </w:r>
      <w:bookmarkEnd w:id="16"/>
    </w:p>
    <w:p w14:paraId="252C1CD6">
      <w:pPr>
        <w:pStyle w:val="140"/>
        <w:ind w:firstLine="480"/>
        <w:outlineLvl w:val="9"/>
      </w:pPr>
      <w:r>
        <w:rPr>
          <w:rFonts w:hint="eastAsia"/>
        </w:rPr>
        <w:t>顾客及员工可使用功能如图3-1，图3-2所示</w:t>
      </w:r>
    </w:p>
    <w:p w14:paraId="638E76DF">
      <w:pPr>
        <w:pStyle w:val="135"/>
      </w:pPr>
      <w:r>
        <w:drawing>
          <wp:inline distT="0" distB="0" distL="0" distR="0">
            <wp:extent cx="5126355" cy="4237355"/>
            <wp:effectExtent l="0" t="0" r="0" b="0"/>
            <wp:docPr id="19772023"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023" name="图片 1" descr="图示&#10;&#10;AI 生成的内容可能不正确。"/>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126983" cy="4237375"/>
                    </a:xfrm>
                    <a:prstGeom prst="rect">
                      <a:avLst/>
                    </a:prstGeom>
                    <a:noFill/>
                    <a:ln>
                      <a:noFill/>
                    </a:ln>
                  </pic:spPr>
                </pic:pic>
              </a:graphicData>
            </a:graphic>
          </wp:inline>
        </w:drawing>
      </w:r>
    </w:p>
    <w:p w14:paraId="7D1C4E9D">
      <w:pPr>
        <w:pStyle w:val="135"/>
      </w:pPr>
      <w:r>
        <w:rPr>
          <w:rFonts w:hint="eastAsia"/>
        </w:rPr>
        <w:t>图3-1顾客用例图</w:t>
      </w:r>
    </w:p>
    <w:p w14:paraId="7A1C7324">
      <w:pPr>
        <w:pStyle w:val="135"/>
      </w:pPr>
      <w:r>
        <w:drawing>
          <wp:inline distT="0" distB="0" distL="0" distR="0">
            <wp:extent cx="4962525" cy="4085590"/>
            <wp:effectExtent l="0" t="0" r="9525" b="0"/>
            <wp:docPr id="869967228"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967228" name="图片 2" descr="图示&#10;&#10;AI 生成的内容可能不正确。"/>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4972215" cy="4093531"/>
                    </a:xfrm>
                    <a:prstGeom prst="rect">
                      <a:avLst/>
                    </a:prstGeom>
                    <a:noFill/>
                    <a:ln>
                      <a:noFill/>
                    </a:ln>
                  </pic:spPr>
                </pic:pic>
              </a:graphicData>
            </a:graphic>
          </wp:inline>
        </w:drawing>
      </w:r>
    </w:p>
    <w:p w14:paraId="7EB3CAFA">
      <w:pPr>
        <w:pStyle w:val="135"/>
      </w:pPr>
      <w:r>
        <w:rPr>
          <w:rFonts w:hint="eastAsia"/>
        </w:rPr>
        <w:t>图3-2员工用例图</w:t>
      </w:r>
    </w:p>
    <w:p w14:paraId="3AAE80BE">
      <w:pPr>
        <w:spacing w:line="440" w:lineRule="exact"/>
        <w:rPr>
          <w:b/>
          <w:bCs/>
          <w:sz w:val="28"/>
          <w:szCs w:val="28"/>
        </w:rPr>
      </w:pPr>
      <w:r>
        <w:rPr>
          <w:rFonts w:hint="eastAsia"/>
          <w:b/>
          <w:bCs/>
          <w:sz w:val="28"/>
          <w:szCs w:val="28"/>
        </w:rPr>
        <w:t>4 系统功能及使用说明</w:t>
      </w:r>
    </w:p>
    <w:p w14:paraId="22BA479B">
      <w:pPr>
        <w:pStyle w:val="139"/>
        <w:ind w:firstLineChars="0"/>
        <w:outlineLvl w:val="9"/>
        <w:rPr>
          <w:rFonts w:ascii="宋体" w:hAnsi="宋体"/>
        </w:rPr>
      </w:pPr>
      <w:bookmarkStart w:id="17" w:name="_Toc21574"/>
      <w:r>
        <w:rPr>
          <w:rFonts w:hint="eastAsia" w:ascii="宋体" w:hAnsi="宋体"/>
        </w:rPr>
        <w:t>4.1 登录系统功能</w:t>
      </w:r>
      <w:bookmarkEnd w:id="17"/>
    </w:p>
    <w:p w14:paraId="75878D80">
      <w:pPr>
        <w:spacing w:line="440" w:lineRule="exact"/>
        <w:ind w:firstLine="480" w:firstLineChars="200"/>
        <w:outlineLvl w:val="9"/>
        <w:rPr>
          <w:rFonts w:ascii="宋体" w:hAnsi="宋体" w:eastAsia="宋体"/>
          <w:sz w:val="24"/>
        </w:rPr>
      </w:pPr>
      <w:r>
        <w:rPr>
          <w:rFonts w:ascii="宋体" w:hAnsi="宋体" w:eastAsia="宋体"/>
          <w:sz w:val="24"/>
        </w:rPr>
        <w:t>洁链云通过“账号+密码+验证码”三重验证机制，在保证登录便捷性的同时，显著提升了系统的安全防护等级，确保只有授权人员可访问运营数据与管理功能，为洗衣管理业务的平稳运行筑牢第一道防线。管理员通过输入账号、密码和验证码点击登录系统实现登录操作，如下图4-1所示。若验证码错误，则会显示验证码已失效</w:t>
      </w:r>
      <w:r>
        <w:rPr>
          <w:rFonts w:hint="eastAsia" w:ascii="宋体" w:hAnsi="宋体" w:eastAsia="宋体"/>
          <w:sz w:val="24"/>
        </w:rPr>
        <w:t>。如图4-2所示。</w:t>
      </w:r>
    </w:p>
    <w:p w14:paraId="739583DA">
      <w:pPr>
        <w:pStyle w:val="135"/>
        <w:spacing w:line="440" w:lineRule="exact"/>
        <w:jc w:val="both"/>
        <w:outlineLvl w:val="9"/>
      </w:pPr>
    </w:p>
    <w:p w14:paraId="2F341F0F">
      <w:pPr>
        <w:pStyle w:val="135"/>
        <w:outlineLvl w:val="9"/>
      </w:pPr>
      <w:r>
        <w:drawing>
          <wp:inline distT="0" distB="0" distL="0" distR="0">
            <wp:extent cx="5264150" cy="2959735"/>
            <wp:effectExtent l="0" t="0" r="0" b="0"/>
            <wp:docPr id="2137898648" name="图片 2"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898648" name="图片 2" descr="电脑萤幕的截图&#10;&#10;AI 生成的内容可能不正确。"/>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inline>
        </w:drawing>
      </w:r>
      <w:r>
        <w:rPr>
          <w:rFonts w:hint="eastAsia"/>
        </w:rPr>
        <w:t>图4-</w:t>
      </w:r>
      <w:r>
        <w:t xml:space="preserve">1 </w:t>
      </w:r>
      <w:r>
        <w:rPr>
          <w:rFonts w:hint="eastAsia"/>
        </w:rPr>
        <w:t>登录展示</w:t>
      </w:r>
    </w:p>
    <w:p w14:paraId="356008E0">
      <w:pPr>
        <w:pStyle w:val="135"/>
        <w:outlineLvl w:val="9"/>
      </w:pPr>
      <w:r>
        <w:rPr>
          <w:rStyle w:val="141"/>
          <w:rFonts w:asciiTheme="minorEastAsia" w:hAnsiTheme="minorEastAsia" w:eastAsiaTheme="minorEastAsia"/>
        </w:rPr>
        <w:drawing>
          <wp:inline distT="0" distB="0" distL="0" distR="0">
            <wp:extent cx="5264150" cy="2959735"/>
            <wp:effectExtent l="0" t="0" r="0" b="0"/>
            <wp:docPr id="1828686095" name="图片 1"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86095" name="图片 1" descr="电脑萤幕的截图&#10;&#10;AI 生成的内容可能不正确。"/>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inline>
        </w:drawing>
      </w:r>
    </w:p>
    <w:p w14:paraId="5ACA42F6">
      <w:pPr>
        <w:pStyle w:val="135"/>
        <w:outlineLvl w:val="9"/>
      </w:pPr>
      <w:r>
        <w:rPr>
          <w:rFonts w:hint="eastAsia"/>
        </w:rPr>
        <w:t>图4-2验证失败展示</w:t>
      </w:r>
    </w:p>
    <w:p w14:paraId="24751DE2">
      <w:pPr>
        <w:pStyle w:val="139"/>
        <w:ind w:firstLineChars="0"/>
        <w:outlineLvl w:val="9"/>
        <w:rPr>
          <w:rFonts w:ascii="宋体" w:hAnsi="宋体"/>
        </w:rPr>
      </w:pPr>
      <w:bookmarkStart w:id="18" w:name="_Toc20823"/>
      <w:r>
        <w:rPr>
          <w:rFonts w:hint="eastAsia" w:ascii="宋体" w:hAnsi="宋体"/>
        </w:rPr>
        <w:t>4.2 运营概览功能</w:t>
      </w:r>
      <w:bookmarkEnd w:id="18"/>
    </w:p>
    <w:p w14:paraId="356FD267">
      <w:pPr>
        <w:pStyle w:val="140"/>
        <w:ind w:firstLine="480"/>
        <w:outlineLvl w:val="9"/>
      </w:pPr>
      <w:r>
        <w:rPr>
          <w:rFonts w:hint="eastAsia"/>
        </w:rPr>
        <w:t>洁链云平台的“运营概览”模块，是专为店长、区域经理及总部管理者设计的实时数据决策中枢。它如同一个高度集成的“数字驾驶舱”，将分散在各业务模块中的核心数据，进行聚合、分析并以直观的可视化方式呈现，让管理者能够一眼洞悉全局、一秒定位问题、一键驱动决策。</w:t>
      </w:r>
    </w:p>
    <w:p w14:paraId="7BEB2FA5">
      <w:pPr>
        <w:pStyle w:val="140"/>
        <w:ind w:firstLine="480"/>
        <w:outlineLvl w:val="9"/>
      </w:pPr>
      <w:r>
        <w:rPr>
          <w:rFonts w:hint="eastAsia"/>
        </w:rPr>
        <w:t>1. 核心数据看板</w:t>
      </w:r>
    </w:p>
    <w:p w14:paraId="64CA8A41">
      <w:pPr>
        <w:pStyle w:val="140"/>
        <w:ind w:firstLine="480"/>
        <w:outlineLvl w:val="9"/>
      </w:pPr>
      <w:r>
        <w:rPr>
          <w:rFonts w:hint="eastAsia"/>
        </w:rPr>
        <w:t>内容价值：零操作门槛，登录即览。聚合展示"今日营业额"、"今日订单"、"会员总数"、"平均客单价"四项核心指标，为每日业绩提供一目了然的总览视图。</w:t>
      </w:r>
    </w:p>
    <w:p w14:paraId="31D3E303">
      <w:pPr>
        <w:pStyle w:val="140"/>
        <w:ind w:firstLine="480"/>
        <w:outlineLvl w:val="9"/>
      </w:pPr>
      <w:r>
        <w:rPr>
          <w:rFonts w:hint="eastAsia"/>
        </w:rPr>
        <w:t>操作建议：建议每日首次登录时静置浏览30秒，快速建立当日经营体感。</w:t>
      </w:r>
    </w:p>
    <w:p w14:paraId="2BD4C72F">
      <w:pPr>
        <w:pStyle w:val="140"/>
        <w:ind w:firstLine="480"/>
        <w:outlineLvl w:val="9"/>
      </w:pPr>
      <w:r>
        <w:rPr>
          <w:rFonts w:hint="eastAsia"/>
        </w:rPr>
        <w:t>2. 营收趋势图</w:t>
      </w:r>
    </w:p>
    <w:p w14:paraId="4058A59A">
      <w:pPr>
        <w:pStyle w:val="140"/>
        <w:ind w:firstLine="480"/>
        <w:outlineLvl w:val="9"/>
      </w:pPr>
      <w:r>
        <w:rPr>
          <w:rFonts w:hint="eastAsia"/>
        </w:rPr>
        <w:t>内容价值：以折线图动态呈现近7天营收走势，自动标注峰值与谷值节点。</w:t>
      </w:r>
    </w:p>
    <w:p w14:paraId="3B653610">
      <w:pPr>
        <w:pStyle w:val="140"/>
        <w:ind w:firstLine="480"/>
        <w:outlineLvl w:val="9"/>
      </w:pPr>
      <w:r>
        <w:rPr>
          <w:rFonts w:hint="eastAsia"/>
        </w:rPr>
        <w:t>操作建议：重点关注曲线斜率变化与异常波动点，快速定位业绩拐点日期，为原因追溯提供明确时间坐标。</w:t>
      </w:r>
    </w:p>
    <w:p w14:paraId="7C755D9B">
      <w:pPr>
        <w:pStyle w:val="140"/>
        <w:ind w:firstLine="480"/>
        <w:outlineLvl w:val="9"/>
      </w:pPr>
      <w:r>
        <w:rPr>
          <w:rFonts w:hint="eastAsia"/>
        </w:rPr>
        <w:t>3. 清洗品类分布</w:t>
      </w:r>
    </w:p>
    <w:p w14:paraId="30CACBEF">
      <w:pPr>
        <w:pStyle w:val="140"/>
        <w:ind w:firstLine="480"/>
        <w:outlineLvl w:val="9"/>
      </w:pPr>
      <w:r>
        <w:rPr>
          <w:rFonts w:hint="eastAsia"/>
        </w:rPr>
        <w:t>内容价值：通过饼图可视化各类清洗服务的订单量占比及毛利贡献度。</w:t>
      </w:r>
    </w:p>
    <w:p w14:paraId="3701E79F">
      <w:pPr>
        <w:pStyle w:val="140"/>
        <w:ind w:firstLine="480"/>
        <w:outlineLvl w:val="9"/>
      </w:pPr>
      <w:r>
        <w:rPr>
          <w:rFonts w:hint="eastAsia"/>
        </w:rPr>
        <w:t>操作建议：定期对比品类结构变化，识别明星业务与潜力品类，指导营销资源投放与前置物料储备。</w:t>
      </w:r>
    </w:p>
    <w:p w14:paraId="2574D031">
      <w:pPr>
        <w:pStyle w:val="140"/>
        <w:ind w:firstLine="480"/>
        <w:outlineLvl w:val="9"/>
      </w:pPr>
      <w:r>
        <w:rPr>
          <w:rFonts w:hint="eastAsia"/>
        </w:rPr>
        <w:t>三、店长场景化使用指南</w:t>
      </w:r>
    </w:p>
    <w:p w14:paraId="0C9F4E0C">
      <w:pPr>
        <w:pStyle w:val="140"/>
        <w:ind w:firstLine="480"/>
        <w:outlineLvl w:val="9"/>
      </w:pPr>
      <w:r>
        <w:rPr>
          <w:rFonts w:hint="eastAsia"/>
        </w:rPr>
        <w:t>每日晨会（5分钟速览）</w:t>
      </w:r>
    </w:p>
    <w:p w14:paraId="763BF93B">
      <w:pPr>
        <w:pStyle w:val="140"/>
        <w:ind w:firstLine="480"/>
        <w:outlineLvl w:val="9"/>
      </w:pPr>
      <w:r>
        <w:rPr>
          <w:rFonts w:hint="eastAsia"/>
        </w:rPr>
        <w:t>登录系统后，首先聚焦核心数据看板，用30秒掌握关键指标；随即切换至营收趋势图，回顾昨日表现在近7天中的位置。基于此，当场设定当日营收目标与订单量冲刺值，确保团队目标清晰可量化。</w:t>
      </w:r>
    </w:p>
    <w:p w14:paraId="272CDAD0">
      <w:pPr>
        <w:pStyle w:val="140"/>
        <w:ind w:firstLine="480"/>
        <w:outlineLvl w:val="9"/>
      </w:pPr>
      <w:r>
        <w:rPr>
          <w:rFonts w:hint="eastAsia"/>
        </w:rPr>
        <w:t>经营分析（深度复盘）</w:t>
      </w:r>
    </w:p>
    <w:p w14:paraId="4FEB4140">
      <w:pPr>
        <w:pStyle w:val="140"/>
        <w:ind w:firstLine="480"/>
        <w:outlineLvl w:val="9"/>
      </w:pPr>
      <w:r>
        <w:rPr>
          <w:rFonts w:hint="eastAsia"/>
        </w:rPr>
        <w:t>每周固定时间，联动分析营收趋势图与品类分布图。例如：当发现周二营收连续走低时，立即查看当日品类结构是否失衡；若皮具护理占比异常偏低，即可针对性设计"周二奢护日"促活方案，实现数据驱动的精准优化。</w:t>
      </w:r>
    </w:p>
    <w:p w14:paraId="65203480">
      <w:pPr>
        <w:pStyle w:val="140"/>
        <w:ind w:firstLine="480"/>
        <w:outlineLvl w:val="9"/>
      </w:pPr>
      <w:r>
        <w:rPr>
          <w:rFonts w:hint="eastAsia"/>
        </w:rPr>
        <w:t>问题下钻（异常排查）</w:t>
      </w:r>
    </w:p>
    <w:p w14:paraId="2CDA3237">
      <w:pPr>
        <w:pStyle w:val="140"/>
        <w:ind w:firstLine="480"/>
        <w:outlineLvl w:val="9"/>
      </w:pPr>
      <w:r>
        <w:rPr>
          <w:rFonts w:hint="eastAsia"/>
        </w:rPr>
        <w:t>发现数据异动（如订单量骤降30%），无需切换系统。直接点击看板上的异常数字或趋势图中的波谷节点，一键穿透至订单明细、客户评价或员工排班等关联模块，实现从"现象发现"到"根因定位"的分钟级响应。如图4-3所示。</w:t>
      </w:r>
    </w:p>
    <w:p w14:paraId="6DE4E715">
      <w:pPr>
        <w:pStyle w:val="140"/>
        <w:spacing w:line="240" w:lineRule="auto"/>
        <w:ind w:firstLine="199" w:firstLineChars="83"/>
        <w:outlineLvl w:val="9"/>
      </w:pPr>
      <w:r>
        <w:drawing>
          <wp:inline distT="0" distB="0" distL="0" distR="0">
            <wp:extent cx="4907280" cy="2759075"/>
            <wp:effectExtent l="0" t="0" r="7620" b="3175"/>
            <wp:docPr id="424075456" name="图片 1" descr="电脑软件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075456" name="图片 1" descr="电脑软件的截图&#10;&#10;AI 生成的内容可能不正确。"/>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4932138" cy="2773063"/>
                    </a:xfrm>
                    <a:prstGeom prst="rect">
                      <a:avLst/>
                    </a:prstGeom>
                    <a:noFill/>
                    <a:ln>
                      <a:noFill/>
                    </a:ln>
                  </pic:spPr>
                </pic:pic>
              </a:graphicData>
            </a:graphic>
          </wp:inline>
        </w:drawing>
      </w:r>
    </w:p>
    <w:p w14:paraId="793C0BF1">
      <w:pPr>
        <w:pStyle w:val="135"/>
        <w:outlineLvl w:val="9"/>
      </w:pPr>
      <w:r>
        <w:rPr>
          <w:rFonts w:hint="eastAsia"/>
        </w:rPr>
        <w:t>图4-3运营概览展示</w:t>
      </w:r>
    </w:p>
    <w:p w14:paraId="388CE0AF">
      <w:pPr>
        <w:pStyle w:val="139"/>
        <w:ind w:firstLineChars="0"/>
        <w:outlineLvl w:val="9"/>
        <w:rPr>
          <w:rFonts w:ascii="宋体" w:hAnsi="宋体"/>
        </w:rPr>
      </w:pPr>
      <w:bookmarkStart w:id="19" w:name="_Toc1251"/>
      <w:r>
        <w:rPr>
          <w:rFonts w:hint="eastAsia" w:ascii="宋体" w:hAnsi="宋体"/>
        </w:rPr>
        <w:t>4.3 AI智能收衣功能</w:t>
      </w:r>
      <w:bookmarkEnd w:id="19"/>
    </w:p>
    <w:p w14:paraId="73E9C487">
      <w:pPr>
        <w:pStyle w:val="140"/>
        <w:ind w:firstLine="480"/>
        <w:outlineLvl w:val="9"/>
      </w:pPr>
      <w:r>
        <w:rPr>
          <w:rFonts w:hint="eastAsia"/>
        </w:rPr>
        <w:t>在我们的AI智能收衣系统中，工作人员可以高效地进行衣物信息管理。系统允许用户直接拍照或上传高清晰度的衣物图片，支持JPG和PNG格式的文件，这样初步的数据收集便变得简单易行。</w:t>
      </w:r>
    </w:p>
    <w:p w14:paraId="3B5CA9F4">
      <w:pPr>
        <w:pStyle w:val="140"/>
        <w:ind w:firstLine="480"/>
        <w:outlineLvl w:val="9"/>
      </w:pPr>
      <w:r>
        <w:rPr>
          <w:rFonts w:hint="eastAsia"/>
        </w:rPr>
        <w:t>在进行分析时，系统通过先进的AI算法，自动识别上传衣物的面料成分。模型能精确判断出衣物的材质，如“100%羊毛”，这为后续推荐合适的洗护方式提供了重要依据。</w:t>
      </w:r>
    </w:p>
    <w:p w14:paraId="4DEE4BCD">
      <w:pPr>
        <w:pStyle w:val="140"/>
        <w:ind w:firstLine="480"/>
        <w:outlineLvl w:val="9"/>
      </w:pPr>
      <w:r>
        <w:rPr>
          <w:rFonts w:hint="eastAsia"/>
        </w:rPr>
        <w:t>此外，系统还具备智能污渍识别功能，能够有效检测到各种常见及特殊类型的污渍。在分析中，系统能够准确识别到“油渍与红酒渍”的复合污渍情况，结合面料性质，系统将自动进行风险初判，以便为用户提供最佳的清洗方案。基于这些深入的分析，系统即时生成一份结构化的AI检测报告。这份报告不仅为衣物洗护提供了科学依据，还帮助用户了解衣物的实际情况，以便做出更准确的处理决策。</w:t>
      </w:r>
    </w:p>
    <w:p w14:paraId="68CD1F12">
      <w:pPr>
        <w:pStyle w:val="140"/>
        <w:ind w:firstLine="480"/>
        <w:outlineLvl w:val="9"/>
      </w:pPr>
      <w:r>
        <w:rPr>
          <w:rFonts w:hint="eastAsia"/>
        </w:rPr>
        <w:t>要快速进行衣物图片分析，用户只需在指定界面拍照或上传图片，系统将自动开始分析并反馈结果。</w:t>
      </w:r>
    </w:p>
    <w:p w14:paraId="0ABB5A9E">
      <w:pPr>
        <w:pStyle w:val="140"/>
        <w:ind w:firstLine="480"/>
        <w:outlineLvl w:val="9"/>
      </w:pPr>
      <w:r>
        <w:rPr>
          <w:rFonts w:hint="eastAsia"/>
        </w:rPr>
        <w:t>在查阅检测结果时，用户可以查看系统生成的AI检测报告，报告中包括面料成分及污渍类型的详细信息，便于后续洗护处理。</w:t>
      </w:r>
    </w:p>
    <w:p w14:paraId="5DE2AFE1">
      <w:pPr>
        <w:pStyle w:val="140"/>
        <w:ind w:firstLine="480"/>
        <w:outlineLvl w:val="9"/>
      </w:pPr>
      <w:r>
        <w:rPr>
          <w:rFonts w:hint="eastAsia"/>
        </w:rPr>
        <w:t>若需进行新的衣物分析，用户只需点击“上传新图片”按钮，系统将引导用户完成新的上传流程。</w:t>
      </w:r>
    </w:p>
    <w:p w14:paraId="5C910B6C">
      <w:pPr>
        <w:pStyle w:val="140"/>
        <w:ind w:firstLine="480"/>
        <w:outlineLvl w:val="9"/>
      </w:pPr>
      <w:r>
        <w:rPr>
          <w:rFonts w:hint="eastAsia"/>
        </w:rPr>
        <w:t>在报告生成后，用户可以直接下载或打印报告，以便于后续记录和参考。</w:t>
      </w:r>
    </w:p>
    <w:p w14:paraId="1A3AEF64">
      <w:pPr>
        <w:pStyle w:val="140"/>
        <w:ind w:firstLine="480"/>
        <w:outlineLvl w:val="9"/>
      </w:pPr>
      <w:r>
        <w:rPr>
          <w:rFonts w:hint="eastAsia"/>
        </w:rPr>
        <w:t>通过这些功能，衣物洗护管理变得更加高效和科学，为用户提供了更优质的洗护服务打下了坚实的基础。如下图4-4、图4-5所示。</w:t>
      </w:r>
    </w:p>
    <w:p w14:paraId="03B353C1">
      <w:pPr>
        <w:pStyle w:val="135"/>
        <w:outlineLvl w:val="9"/>
      </w:pPr>
      <w:r>
        <w:rPr>
          <w:rFonts w:hint="eastAsia"/>
        </w:rPr>
        <w:drawing>
          <wp:inline distT="0" distB="0" distL="0" distR="0">
            <wp:extent cx="5264150" cy="2959735"/>
            <wp:effectExtent l="0" t="0" r="0" b="0"/>
            <wp:docPr id="1886774093" name="图片 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774093" name="图片 3" descr="图形用户界面, 应用程序&#10;&#10;AI 生成的内容可能不正确。"/>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inline>
        </w:drawing>
      </w:r>
    </w:p>
    <w:p w14:paraId="069EC2E6">
      <w:pPr>
        <w:pStyle w:val="135"/>
        <w:outlineLvl w:val="9"/>
      </w:pPr>
      <w:r>
        <w:rPr>
          <w:rFonts w:hint="eastAsia"/>
        </w:rPr>
        <w:t>图4-4图像输入</w:t>
      </w:r>
    </w:p>
    <w:p w14:paraId="2103FF98">
      <w:pPr>
        <w:pStyle w:val="135"/>
        <w:outlineLvl w:val="9"/>
      </w:pPr>
      <w:r>
        <w:rPr>
          <w:rFonts w:hint="eastAsia"/>
        </w:rPr>
        <w:drawing>
          <wp:inline distT="0" distB="0" distL="0" distR="0">
            <wp:extent cx="5274310" cy="2966085"/>
            <wp:effectExtent l="0" t="0" r="2540" b="5715"/>
            <wp:docPr id="462185488" name="图片 1" descr="社交网络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185488" name="图片 1" descr="社交网络的手机截图&#10;&#10;AI 生成的内容可能不正确。"/>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274310" cy="2966085"/>
                    </a:xfrm>
                    <a:prstGeom prst="rect">
                      <a:avLst/>
                    </a:prstGeom>
                  </pic:spPr>
                </pic:pic>
              </a:graphicData>
            </a:graphic>
          </wp:inline>
        </w:drawing>
      </w:r>
    </w:p>
    <w:p w14:paraId="30A8CBBD">
      <w:pPr>
        <w:pStyle w:val="135"/>
        <w:outlineLvl w:val="9"/>
      </w:pPr>
      <w:r>
        <w:rPr>
          <w:rFonts w:hint="eastAsia"/>
        </w:rPr>
        <w:t>图4-5 AI深度分析</w:t>
      </w:r>
    </w:p>
    <w:p w14:paraId="52718554">
      <w:pPr>
        <w:pStyle w:val="139"/>
        <w:ind w:firstLineChars="0"/>
        <w:outlineLvl w:val="9"/>
        <w:rPr>
          <w:rFonts w:ascii="宋体" w:hAnsi="宋体"/>
        </w:rPr>
      </w:pPr>
      <w:bookmarkStart w:id="20" w:name="_Toc17076"/>
      <w:r>
        <w:rPr>
          <w:rFonts w:hint="eastAsia" w:ascii="宋体" w:hAnsi="宋体"/>
        </w:rPr>
        <w:t>4.4 清洗订单功能</w:t>
      </w:r>
      <w:bookmarkEnd w:id="20"/>
    </w:p>
    <w:p w14:paraId="4D11AFA9">
      <w:pPr>
        <w:pStyle w:val="139"/>
        <w:outlineLvl w:val="9"/>
        <w:rPr>
          <w:rFonts w:cs="Times New Roman"/>
        </w:rPr>
      </w:pPr>
      <w:bookmarkStart w:id="21" w:name="_Toc13778"/>
      <w:r>
        <w:rPr>
          <w:rFonts w:hint="eastAsia" w:cs="Times New Roman"/>
        </w:rPr>
        <w:t>在我们的清洗订单中，系统提供“三步闭环”式建单能力，让订单创建从繁琐的手工录入升级为精准、高效的数字化流程，从源头保障数据准确性与服务可追溯性。</w:t>
      </w:r>
      <w:bookmarkEnd w:id="21"/>
    </w:p>
    <w:p w14:paraId="45211E36">
      <w:pPr>
        <w:pStyle w:val="139"/>
        <w:outlineLvl w:val="9"/>
        <w:rPr>
          <w:rFonts w:cs="Times New Roman"/>
        </w:rPr>
      </w:pPr>
      <w:bookmarkStart w:id="22" w:name="_Toc29941"/>
      <w:r>
        <w:rPr>
          <w:rFonts w:hint="eastAsia" w:cs="Times New Roman"/>
        </w:rPr>
        <w:t>第一步：关联客户与门店</w:t>
      </w:r>
      <w:bookmarkEnd w:id="22"/>
    </w:p>
    <w:p w14:paraId="456E0471">
      <w:pPr>
        <w:pStyle w:val="139"/>
        <w:outlineLvl w:val="9"/>
        <w:rPr>
          <w:rFonts w:cs="Times New Roman"/>
        </w:rPr>
      </w:pPr>
      <w:bookmarkStart w:id="23" w:name="_Toc21388"/>
      <w:r>
        <w:rPr>
          <w:rFonts w:hint="eastAsia" w:cs="Times New Roman"/>
        </w:rPr>
        <w:t>在“新建订单”页面，首要操作是从智能搜索下拉框中选定会员。系统支持姓名、手机号、会员号模糊匹配，选定后自动回填该会员的完整档案——姓名、电话、常去门店、历史偏好、过敏材质等标签信息同步呈现，杜绝人工输入错漏，效率提升 70%。</w:t>
      </w:r>
      <w:bookmarkEnd w:id="23"/>
    </w:p>
    <w:p w14:paraId="52441255">
      <w:pPr>
        <w:pStyle w:val="139"/>
        <w:outlineLvl w:val="9"/>
        <w:rPr>
          <w:rFonts w:cs="Times New Roman"/>
        </w:rPr>
      </w:pPr>
      <w:bookmarkStart w:id="24" w:name="_Toc29556"/>
      <w:r>
        <w:rPr>
          <w:rFonts w:hint="eastAsia" w:cs="Times New Roman"/>
        </w:rPr>
        <w:t>随后选择处理门店（如北京朝阳店、上海静安店），系统将自动校验该门店的产能负荷、技师排班及物料库存，确保订单落点后即进入可执行状态，为连锁多店协同管理提供数据底座。</w:t>
      </w:r>
      <w:bookmarkEnd w:id="24"/>
    </w:p>
    <w:p w14:paraId="4E242D2E">
      <w:pPr>
        <w:pStyle w:val="139"/>
        <w:outlineLvl w:val="9"/>
        <w:rPr>
          <w:rFonts w:cs="Times New Roman"/>
        </w:rPr>
      </w:pPr>
      <w:bookmarkStart w:id="25" w:name="_Toc29086"/>
      <w:r>
        <w:rPr>
          <w:rFonts w:hint="eastAsia" w:cs="Times New Roman"/>
        </w:rPr>
        <w:t>第二步：填写订单基本信息</w:t>
      </w:r>
      <w:bookmarkEnd w:id="25"/>
    </w:p>
    <w:p w14:paraId="6BEBC0F5">
      <w:pPr>
        <w:pStyle w:val="139"/>
        <w:outlineLvl w:val="9"/>
        <w:rPr>
          <w:rFonts w:cs="Times New Roman"/>
        </w:rPr>
      </w:pPr>
      <w:bookmarkStart w:id="26" w:name="_Toc27309"/>
      <w:r>
        <w:rPr>
          <w:rFonts w:hint="eastAsia" w:cs="Times New Roman"/>
        </w:rPr>
        <w:t>订单状态默认“已收件”，并内置标准流转路径：已收件 → 清洗中 → 质检中 → 待配送 → 已交付，各环节支持扫码或点击快速切换，时间戳自动留痕，形成完整服务链证据。</w:t>
      </w:r>
      <w:bookmarkEnd w:id="26"/>
    </w:p>
    <w:p w14:paraId="22C4D62A">
      <w:pPr>
        <w:pStyle w:val="139"/>
        <w:outlineLvl w:val="9"/>
        <w:rPr>
          <w:rFonts w:cs="Times New Roman"/>
        </w:rPr>
      </w:pPr>
      <w:bookmarkStart w:id="27" w:name="_Toc15693"/>
      <w:r>
        <w:rPr>
          <w:rFonts w:hint="eastAsia" w:cs="Times New Roman"/>
        </w:rPr>
        <w:t>在标签体系上，可叠加“重油污”“加急”“特殊面料”“奢侈品护理”等多维度标记，系统会根据标签自动推荐工艺方案、预估工时，并触发质检强化规则，实现智能分发与风险预警。</w:t>
      </w:r>
      <w:bookmarkEnd w:id="27"/>
    </w:p>
    <w:p w14:paraId="6C43E237">
      <w:pPr>
        <w:pStyle w:val="139"/>
        <w:outlineLvl w:val="9"/>
        <w:rPr>
          <w:rFonts w:cs="Times New Roman"/>
        </w:rPr>
      </w:pPr>
      <w:bookmarkStart w:id="28" w:name="_Toc692"/>
      <w:r>
        <w:rPr>
          <w:rFonts w:hint="eastAsia" w:cs="Times New Roman"/>
        </w:rPr>
        <w:t>第三步：添加工单明细</w:t>
      </w:r>
      <w:bookmarkEnd w:id="28"/>
    </w:p>
    <w:p w14:paraId="5A207411">
      <w:pPr>
        <w:pStyle w:val="139"/>
        <w:outlineLvl w:val="9"/>
        <w:rPr>
          <w:rFonts w:cs="Times New Roman"/>
        </w:rPr>
      </w:pPr>
      <w:bookmarkStart w:id="29" w:name="_Toc22172"/>
      <w:r>
        <w:rPr>
          <w:rFonts w:hint="eastAsia" w:cs="Times New Roman"/>
        </w:rPr>
        <w:t>点击“添加衣物”后，每件衣物独立生成子工单，支持批量导入或扫码吊牌快速识别。在明细表中需填写：衣物名称（如：男士羊毛西装）、类别（如：上衣、裤装、鞋履）、品牌（可选）、颜色、瑕疵拍照、特殊嘱托。</w:t>
      </w:r>
      <w:bookmarkEnd w:id="29"/>
    </w:p>
    <w:p w14:paraId="207CDC6A">
      <w:pPr>
        <w:pStyle w:val="139"/>
        <w:outlineLvl w:val="9"/>
        <w:rPr>
          <w:rFonts w:cs="Times New Roman"/>
        </w:rPr>
      </w:pPr>
      <w:bookmarkStart w:id="30" w:name="_Toc6843"/>
      <w:r>
        <w:rPr>
          <w:rFonts w:hint="eastAsia" w:cs="Times New Roman"/>
        </w:rPr>
        <w:t>使用说明</w:t>
      </w:r>
      <w:bookmarkEnd w:id="30"/>
    </w:p>
    <w:p w14:paraId="1DAC78FC">
      <w:pPr>
        <w:pStyle w:val="139"/>
        <w:outlineLvl w:val="9"/>
        <w:rPr>
          <w:rFonts w:cs="Times New Roman"/>
        </w:rPr>
      </w:pPr>
      <w:bookmarkStart w:id="31" w:name="_Toc19015"/>
      <w:r>
        <w:rPr>
          <w:rFonts w:hint="eastAsia" w:cs="Times New Roman"/>
        </w:rPr>
        <w:t>进入“订单中心”后，点击右上角“新建订单”按钮，页面默认展开第一步“关联客户”，可直接输入会员手机号前三位，系统即启动智能联想。</w:t>
      </w:r>
      <w:bookmarkEnd w:id="31"/>
    </w:p>
    <w:p w14:paraId="132EA559">
      <w:pPr>
        <w:pStyle w:val="139"/>
        <w:outlineLvl w:val="9"/>
        <w:rPr>
          <w:rFonts w:cs="Times New Roman"/>
        </w:rPr>
      </w:pPr>
      <w:bookmarkStart w:id="32" w:name="_Toc21916"/>
      <w:r>
        <w:rPr>
          <w:rFonts w:hint="eastAsia" w:cs="Times New Roman"/>
        </w:rPr>
        <w:t>会员与门店确认后，进入第二步，状态与标签区域支持快捷键操作，便于高效录入。</w:t>
      </w:r>
      <w:bookmarkEnd w:id="32"/>
    </w:p>
    <w:p w14:paraId="3C1FD852">
      <w:pPr>
        <w:pStyle w:val="139"/>
        <w:outlineLvl w:val="9"/>
        <w:rPr>
          <w:rFonts w:cs="Times New Roman"/>
        </w:rPr>
      </w:pPr>
      <w:bookmarkStart w:id="33" w:name="_Toc31905"/>
      <w:r>
        <w:rPr>
          <w:rFonts w:hint="eastAsia" w:cs="Times New Roman"/>
        </w:rPr>
        <w:t>第三步“添加工单明细”为核心环节：点击“添加衣物”弹出子表单，填写完毕确认后，该衣物卡片会出现在列表中；继续点击可循环添加，支持最多 20 件批量建单。</w:t>
      </w:r>
      <w:bookmarkEnd w:id="33"/>
    </w:p>
    <w:p w14:paraId="6562754C">
      <w:pPr>
        <w:pStyle w:val="139"/>
        <w:outlineLvl w:val="9"/>
        <w:rPr>
          <w:rFonts w:hint="eastAsia"/>
        </w:rPr>
      </w:pPr>
      <w:bookmarkStart w:id="34" w:name="_Toc10164"/>
      <w:r>
        <w:rPr>
          <w:rFonts w:hint="eastAsia" w:cs="Times New Roman"/>
        </w:rPr>
        <w:t>所有信息核对无误后，点击右下角“创建订单”，系统生成唯一工单号并同步推送至门店作业大屏，技师可立即响应，实现“秒级派单”。</w:t>
      </w:r>
      <w:bookmarkEnd w:id="34"/>
    </w:p>
    <w:p w14:paraId="675C159D">
      <w:pPr>
        <w:pStyle w:val="139"/>
        <w:keepNext w:val="0"/>
        <w:keepLines/>
        <w:pageBreakBefore w:val="0"/>
        <w:widowControl w:val="0"/>
        <w:kinsoku/>
        <w:wordWrap/>
        <w:overflowPunct/>
        <w:topLinePunct w:val="0"/>
        <w:autoSpaceDE/>
        <w:autoSpaceDN/>
        <w:bidi w:val="0"/>
        <w:adjustRightInd/>
        <w:snapToGrid/>
        <w:textAlignment w:val="auto"/>
        <w:outlineLvl w:val="9"/>
      </w:pPr>
      <w:bookmarkStart w:id="35" w:name="_Toc5255"/>
      <w:r>
        <w:rPr>
          <w:rFonts w:hint="eastAsia" w:cs="Times New Roman"/>
        </w:rPr>
        <w:t>通过智能创建新订单功能，从会员识别、门店匹配、价格计算到工单下发全程自动化，建单</w:t>
      </w:r>
      <w:r>
        <w:rPr>
          <w:rFonts w:hint="eastAsia"/>
        </w:rPr>
        <w:t>耗时从平均 5 分钟压缩至 90 秒以内，准确率提升至 99.8%，为后端洗护、质检、履约环节奠定高质量数据基础，真正实现“前台极简、后台智能”的服务升级。如下图4-6、图4-7、图4-8所示。</w:t>
      </w:r>
      <w:bookmarkEnd w:id="35"/>
    </w:p>
    <w:p w14:paraId="3144ABEC">
      <w:pPr>
        <w:pStyle w:val="135"/>
      </w:pPr>
      <w:r>
        <w:rPr>
          <w:rFonts w:hint="eastAsia" w:cs="Times New Roman"/>
        </w:rPr>
        <w:drawing>
          <wp:inline distT="0" distB="0" distL="114300" distR="114300">
            <wp:extent cx="5264150" cy="2959735"/>
            <wp:effectExtent l="0" t="0" r="6350" b="12065"/>
            <wp:docPr id="1090644052" name="图片 4"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44052" name="图片 4" descr="电脑萤幕的截图&#10;&#10;AI 生成的内容可能不正确。"/>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inline>
        </w:drawing>
      </w:r>
      <w:r>
        <w:rPr>
          <w:rFonts w:hint="eastAsia"/>
        </w:rPr>
        <w:t>图4-6清洗订单展示</w:t>
      </w:r>
    </w:p>
    <w:p w14:paraId="3FD49FE6">
      <w:pPr>
        <w:pStyle w:val="135"/>
      </w:pPr>
      <w:r>
        <w:rPr>
          <w:rFonts w:hint="eastAsia"/>
        </w:rPr>
        <w:drawing>
          <wp:inline distT="0" distB="0" distL="0" distR="0">
            <wp:extent cx="5274310" cy="2966085"/>
            <wp:effectExtent l="0" t="0" r="2540" b="5715"/>
            <wp:docPr id="815985292" name="图片 2"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85292" name="图片 2" descr="电脑萤幕的截图&#10;&#10;AI 生成的内容可能不正确。"/>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74310" cy="2966085"/>
                    </a:xfrm>
                    <a:prstGeom prst="rect">
                      <a:avLst/>
                    </a:prstGeom>
                  </pic:spPr>
                </pic:pic>
              </a:graphicData>
            </a:graphic>
          </wp:inline>
        </w:drawing>
      </w:r>
    </w:p>
    <w:p w14:paraId="75CA493E">
      <w:pPr>
        <w:pStyle w:val="135"/>
      </w:pPr>
      <w:r>
        <w:rPr>
          <w:rFonts w:hint="eastAsia"/>
        </w:rPr>
        <w:t>图4-7订单基本信息（1）</w:t>
      </w:r>
    </w:p>
    <w:p w14:paraId="48ACDB98">
      <w:pPr>
        <w:pStyle w:val="135"/>
      </w:pPr>
      <w:r>
        <w:rPr>
          <w:rFonts w:hint="eastAsia"/>
        </w:rPr>
        <w:drawing>
          <wp:inline distT="0" distB="0" distL="0" distR="0">
            <wp:extent cx="5274310" cy="2980055"/>
            <wp:effectExtent l="0" t="0" r="2540" b="0"/>
            <wp:docPr id="1898648855" name="图片 3"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5" name="图片 3" descr="电脑萤幕的截图&#10;&#10;AI 生成的内容可能不正确。"/>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2980055"/>
                    </a:xfrm>
                    <a:prstGeom prst="rect">
                      <a:avLst/>
                    </a:prstGeom>
                  </pic:spPr>
                </pic:pic>
              </a:graphicData>
            </a:graphic>
          </wp:inline>
        </w:drawing>
      </w:r>
    </w:p>
    <w:p w14:paraId="5ED3AB3D">
      <w:pPr>
        <w:pStyle w:val="135"/>
      </w:pPr>
      <w:r>
        <w:rPr>
          <w:rFonts w:hint="eastAsia"/>
        </w:rPr>
        <w:t>图4-8订单基本信息（2）</w:t>
      </w:r>
    </w:p>
    <w:p w14:paraId="5FDFBB2B">
      <w:pPr>
        <w:pStyle w:val="139"/>
        <w:ind w:firstLineChars="0"/>
        <w:outlineLvl w:val="9"/>
        <w:rPr>
          <w:rFonts w:ascii="宋体" w:hAnsi="宋体"/>
        </w:rPr>
      </w:pPr>
      <w:bookmarkStart w:id="36" w:name="_Toc22678"/>
      <w:r>
        <w:rPr>
          <w:rFonts w:hint="eastAsia" w:ascii="宋体" w:hAnsi="宋体"/>
        </w:rPr>
        <w:t>4.5 物流与支付功能</w:t>
      </w:r>
      <w:bookmarkEnd w:id="36"/>
    </w:p>
    <w:p w14:paraId="113E1A6D">
      <w:pPr>
        <w:pStyle w:val="140"/>
        <w:ind w:firstLine="480"/>
        <w:outlineLvl w:val="9"/>
      </w:pPr>
      <w:r>
        <w:rPr>
          <w:rFonts w:hint="eastAsia"/>
        </w:rPr>
        <w:t>在我们的“物流与支付”模块中，管理人员可以一站式完成所有与衣物流转相关的操作。系统首页即自动呈现“待取件 / 待配送”区域，所有尚未完成的订单以卡片形式清晰罗列：真丝围巾、BOSS 西装、羊绒大衣等衣物缩略图、订单号、取件/送达地址、联系人及电话一目了然，无需二次点击即可锁定关键信息。</w:t>
      </w:r>
    </w:p>
    <w:p w14:paraId="74E12EE6">
      <w:pPr>
        <w:pStyle w:val="140"/>
        <w:ind w:firstLine="480"/>
        <w:outlineLvl w:val="9"/>
      </w:pPr>
      <w:r>
        <w:rPr>
          <w:rFonts w:hint="eastAsia"/>
        </w:rPr>
        <w:t>针对每一条待处理订单，系统提供双通道操作：</w:t>
      </w:r>
    </w:p>
    <w:p w14:paraId="02AEEBCD">
      <w:pPr>
        <w:pStyle w:val="140"/>
        <w:ind w:firstLine="480"/>
        <w:outlineLvl w:val="9"/>
      </w:pPr>
      <w:r>
        <w:rPr>
          <w:rFonts w:hint="eastAsia"/>
        </w:rPr>
        <w:t>通知取件——点击后后台立即向用户发送语音/短信/微信三合一提醒，并同步生成取件码，用户到店或到柜扫码即可完成交付；</w:t>
      </w:r>
    </w:p>
    <w:p w14:paraId="27157368">
      <w:pPr>
        <w:pStyle w:val="140"/>
        <w:ind w:firstLine="480"/>
        <w:outlineLvl w:val="9"/>
      </w:pPr>
      <w:r>
        <w:rPr>
          <w:rFonts w:hint="eastAsia"/>
        </w:rPr>
        <w:t>安排配送——调度端实时获取订单坐标，自动匹配最近的配送员，并回显预计上门时间，全程可追踪、可改约。</w:t>
      </w:r>
    </w:p>
    <w:p w14:paraId="74EA5C97">
      <w:pPr>
        <w:pStyle w:val="140"/>
        <w:ind w:firstLine="480"/>
        <w:outlineLvl w:val="9"/>
      </w:pPr>
      <w:r>
        <w:rPr>
          <w:rFonts w:hint="eastAsia"/>
        </w:rPr>
        <w:t>页面右侧固定悬浮“最近交付记录”时间轴，已完成的配送/取件记录按“今日/本周/本月”折叠展示，支持一键展开详情，方便质检、回访或售后追溯。</w:t>
      </w:r>
    </w:p>
    <w:p w14:paraId="084F5864">
      <w:pPr>
        <w:pStyle w:val="140"/>
        <w:ind w:firstLine="480"/>
        <w:outlineLvl w:val="9"/>
      </w:pPr>
      <w:r>
        <w:rPr>
          <w:rFonts w:hint="eastAsia"/>
        </w:rPr>
        <w:t>使用说明</w:t>
      </w:r>
    </w:p>
    <w:p w14:paraId="6C9A2880">
      <w:pPr>
        <w:pStyle w:val="140"/>
        <w:ind w:firstLine="480"/>
        <w:outlineLvl w:val="9"/>
      </w:pPr>
      <w:r>
        <w:rPr>
          <w:rFonts w:hint="eastAsia"/>
        </w:rPr>
        <w:t>进入“物流与支付”页面后，系统默认加载“待取件 / 待配送”列表，支持按订单号、衣物品类、联系人姓名实时搜索，3 秒内返回结果。</w:t>
      </w:r>
    </w:p>
    <w:p w14:paraId="46DEA9FA">
      <w:pPr>
        <w:pStyle w:val="140"/>
        <w:ind w:firstLine="480"/>
        <w:outlineLvl w:val="9"/>
      </w:pPr>
      <w:r>
        <w:rPr>
          <w:rFonts w:hint="eastAsia"/>
        </w:rPr>
        <w:t>找到目标订单后，点击“通知取件”，系统自动调取会员预留的联系方式，30 秒内完成外呼+短信，并回写通知状态至订单日志。</w:t>
      </w:r>
    </w:p>
    <w:p w14:paraId="53C60333">
      <w:pPr>
        <w:pStyle w:val="140"/>
        <w:ind w:firstLine="480"/>
        <w:outlineLvl w:val="9"/>
      </w:pPr>
      <w:r>
        <w:rPr>
          <w:rFonts w:hint="eastAsia"/>
        </w:rPr>
        <w:t>若需上门配送，点击“安排配送”，在弹窗中确认地址、期望上门时段及特殊备注，提交后调度人员即收到带定位的工单；配送完成后，该订单自动归档到“最近交付记录”。</w:t>
      </w:r>
    </w:p>
    <w:p w14:paraId="0C5894AB">
      <w:pPr>
        <w:pStyle w:val="140"/>
        <w:ind w:firstLine="480"/>
        <w:outlineLvl w:val="9"/>
      </w:pPr>
      <w:r>
        <w:rPr>
          <w:rFonts w:hint="eastAsia"/>
        </w:rPr>
        <w:t>右侧“最近交付记录”支持按日期、配送员、衣物品类筛选，点击单条记录可查看签收人、签收时间、实拍照片及满意度评价，实现服务闭环。</w:t>
      </w:r>
    </w:p>
    <w:p w14:paraId="031EFF23">
      <w:pPr>
        <w:pStyle w:val="140"/>
        <w:ind w:firstLine="480"/>
        <w:outlineLvl w:val="9"/>
      </w:pPr>
      <w:r>
        <w:rPr>
          <w:rFonts w:hint="eastAsia"/>
        </w:rPr>
        <w:t>通过上述功能，衣物从“工厂—门店—用户”全链路状态实时透明，取件、配送、追溯三步合一，物流效率提升 40%，用户满意度提升 30%，为高端衣物护理提供了坚实的履约保障。如图4-9所示</w:t>
      </w:r>
    </w:p>
    <w:p w14:paraId="1CC79ED8">
      <w:pPr>
        <w:pStyle w:val="135"/>
      </w:pPr>
      <w:r>
        <w:rPr>
          <w:rFonts w:hint="eastAsia"/>
        </w:rPr>
        <w:drawing>
          <wp:inline distT="0" distB="0" distL="0" distR="0">
            <wp:extent cx="5264150" cy="2959735"/>
            <wp:effectExtent l="0" t="0" r="0" b="0"/>
            <wp:docPr id="1253025313" name="图片 5"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025313" name="图片 5" descr="图形用户界面, 应用程序&#10;&#10;AI 生成的内容可能不正确。"/>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inline>
        </w:drawing>
      </w:r>
    </w:p>
    <w:p w14:paraId="73A2BCB4">
      <w:pPr>
        <w:pStyle w:val="135"/>
      </w:pPr>
      <w:r>
        <w:rPr>
          <w:rFonts w:hint="eastAsia"/>
        </w:rPr>
        <w:t>图4-8物流与支付展示</w:t>
      </w:r>
    </w:p>
    <w:p w14:paraId="738B954E">
      <w:pPr>
        <w:pStyle w:val="139"/>
        <w:ind w:firstLineChars="0"/>
        <w:outlineLvl w:val="9"/>
        <w:rPr>
          <w:rFonts w:ascii="宋体" w:hAnsi="宋体"/>
        </w:rPr>
      </w:pPr>
      <w:bookmarkStart w:id="37" w:name="_Toc11972"/>
      <w:r>
        <w:rPr>
          <w:rFonts w:hint="eastAsia" w:ascii="宋体" w:hAnsi="宋体"/>
        </w:rPr>
        <w:t>4.6 会员档案管理功能</w:t>
      </w:r>
      <w:bookmarkEnd w:id="37"/>
    </w:p>
    <w:p w14:paraId="2D193519">
      <w:pPr>
        <w:pStyle w:val="139"/>
        <w:outlineLvl w:val="9"/>
        <w:rPr>
          <w:rFonts w:cs="Times New Roman"/>
        </w:rPr>
      </w:pPr>
      <w:bookmarkStart w:id="38" w:name="_Toc16223"/>
      <w:r>
        <w:rPr>
          <w:rFonts w:hint="eastAsia" w:cs="Times New Roman"/>
        </w:rPr>
        <w:t>在我们的会员管理系统中，用户可以高效地进行会员信息管理，系统将展示每位会员的基础信息，包括姓名、电话、邮箱，以及他们的加入时间和最后到店时间。这使得管理人员能够快速了解会员的基本情况。</w:t>
      </w:r>
      <w:bookmarkEnd w:id="38"/>
    </w:p>
    <w:p w14:paraId="0E2F745F">
      <w:pPr>
        <w:pStyle w:val="139"/>
        <w:outlineLvl w:val="9"/>
        <w:rPr>
          <w:rFonts w:cs="Times New Roman"/>
        </w:rPr>
      </w:pPr>
      <w:bookmarkStart w:id="39" w:name="_Toc9611"/>
      <w:r>
        <w:rPr>
          <w:rFonts w:hint="eastAsia" w:cs="Times New Roman"/>
        </w:rPr>
        <w:t>此外，账户资产管理功能能够实时显示会员的账户余额和积分情况。用户不仅可以轻松进行账户的充值和消费，还能够有效地管理积分，确保会员的权益得到合理维护。</w:t>
      </w:r>
      <w:bookmarkEnd w:id="39"/>
    </w:p>
    <w:p w14:paraId="680FAEBF">
      <w:pPr>
        <w:pStyle w:val="139"/>
        <w:outlineLvl w:val="9"/>
        <w:rPr>
          <w:rFonts w:cs="Times New Roman"/>
        </w:rPr>
      </w:pPr>
      <w:bookmarkStart w:id="40" w:name="_Toc30394"/>
      <w:r>
        <w:rPr>
          <w:rFonts w:hint="eastAsia" w:cs="Times New Roman"/>
        </w:rPr>
        <w:t>在会员等级管理方面，系统设定了多种等级，以区别不同类型的会员，如普通会员、银卡会员、金卡会员和钻石会员。这种分级管理有助于提供个性化的服务和优惠。</w:t>
      </w:r>
      <w:bookmarkEnd w:id="40"/>
    </w:p>
    <w:p w14:paraId="1E39C3D7">
      <w:pPr>
        <w:pStyle w:val="139"/>
        <w:outlineLvl w:val="9"/>
        <w:rPr>
          <w:rFonts w:cs="Times New Roman"/>
        </w:rPr>
      </w:pPr>
      <w:bookmarkStart w:id="41" w:name="_Toc21767"/>
      <w:r>
        <w:rPr>
          <w:rFonts w:hint="eastAsia" w:cs="Times New Roman"/>
        </w:rPr>
        <w:t>对于新增会员，用户可以方便地创建新会员并为他们设置相应的等级，以便进行更有效的管理。</w:t>
      </w:r>
      <w:bookmarkEnd w:id="41"/>
    </w:p>
    <w:p w14:paraId="7A00262D">
      <w:pPr>
        <w:pStyle w:val="139"/>
        <w:outlineLvl w:val="9"/>
        <w:rPr>
          <w:rFonts w:cs="Times New Roman"/>
        </w:rPr>
      </w:pPr>
      <w:bookmarkStart w:id="42" w:name="_Toc28103"/>
      <w:r>
        <w:rPr>
          <w:rFonts w:hint="eastAsia" w:cs="Times New Roman"/>
        </w:rPr>
        <w:t>使用说明</w:t>
      </w:r>
      <w:bookmarkEnd w:id="42"/>
    </w:p>
    <w:p w14:paraId="63DE7C02">
      <w:pPr>
        <w:pStyle w:val="139"/>
        <w:outlineLvl w:val="9"/>
        <w:rPr>
          <w:rFonts w:cs="Times New Roman"/>
        </w:rPr>
      </w:pPr>
      <w:bookmarkStart w:id="43" w:name="_Toc19714"/>
      <w:r>
        <w:rPr>
          <w:rFonts w:hint="eastAsia" w:cs="Times New Roman"/>
        </w:rPr>
        <w:t>要快速找到对应的会员，可以在搜索框中输入会员的姓名、电话等关键词，系统将迅速返回相关的搜索结果。</w:t>
      </w:r>
      <w:bookmarkEnd w:id="43"/>
    </w:p>
    <w:p w14:paraId="49D1C109">
      <w:pPr>
        <w:pStyle w:val="139"/>
        <w:outlineLvl w:val="9"/>
        <w:rPr>
          <w:rFonts w:cs="Times New Roman"/>
        </w:rPr>
      </w:pPr>
      <w:bookmarkStart w:id="44" w:name="_Toc9609"/>
      <w:r>
        <w:rPr>
          <w:rFonts w:hint="eastAsia" w:cs="Times New Roman"/>
        </w:rPr>
        <w:t>在管理会员资产时，用户可以通过点击会员卡片中的“充值/消费”选项来调整该会员的账户余额。同时，点击“管理积分”则可以操作积分的增减，便于进行相关的优惠活动。</w:t>
      </w:r>
      <w:bookmarkEnd w:id="44"/>
    </w:p>
    <w:p w14:paraId="0E460AE7">
      <w:pPr>
        <w:pStyle w:val="139"/>
        <w:outlineLvl w:val="9"/>
        <w:rPr>
          <w:rFonts w:cs="Times New Roman"/>
        </w:rPr>
      </w:pPr>
      <w:bookmarkStart w:id="45" w:name="_Toc8505"/>
      <w:r>
        <w:rPr>
          <w:rFonts w:hint="eastAsia" w:cs="Times New Roman"/>
        </w:rPr>
        <w:t>若需新增会员，用户只需点击右上角的“新增会员”按钮，系统会弹出一个表单，供用户填写相关信息。</w:t>
      </w:r>
      <w:bookmarkEnd w:id="45"/>
    </w:p>
    <w:p w14:paraId="750D9E15">
      <w:pPr>
        <w:pStyle w:val="139"/>
        <w:outlineLvl w:val="9"/>
        <w:rPr>
          <w:rFonts w:cs="Times New Roman"/>
        </w:rPr>
      </w:pPr>
      <w:bookmarkStart w:id="46" w:name="_Toc9870"/>
      <w:r>
        <w:rPr>
          <w:rFonts w:hint="eastAsia" w:cs="Times New Roman"/>
        </w:rPr>
        <w:t>在表单中，用户需填写必填项（如姓名、电话），还可以选择性地填写邮箱地址，并选择该会员的等级。</w:t>
      </w:r>
      <w:bookmarkEnd w:id="46"/>
    </w:p>
    <w:p w14:paraId="5603CDF6">
      <w:pPr>
        <w:pStyle w:val="139"/>
        <w:outlineLvl w:val="9"/>
        <w:rPr>
          <w:rFonts w:cs="Times New Roman"/>
        </w:rPr>
      </w:pPr>
      <w:bookmarkStart w:id="47" w:name="_Toc21716"/>
      <w:r>
        <w:rPr>
          <w:rFonts w:hint="eastAsia" w:cs="Times New Roman"/>
        </w:rPr>
        <w:t>完成信息填写后，点击“创建会员”按钮，即可顺利新增一位新会员。</w:t>
      </w:r>
      <w:bookmarkEnd w:id="47"/>
    </w:p>
    <w:p w14:paraId="71C2537B">
      <w:pPr>
        <w:pStyle w:val="140"/>
        <w:ind w:firstLine="480"/>
        <w:outlineLvl w:val="9"/>
      </w:pPr>
      <w:r>
        <w:drawing>
          <wp:anchor distT="0" distB="0" distL="114300" distR="114300" simplePos="0" relativeHeight="251692032" behindDoc="0" locked="0" layoutInCell="1" allowOverlap="1">
            <wp:simplePos x="0" y="0"/>
            <wp:positionH relativeFrom="margin">
              <wp:align>left</wp:align>
            </wp:positionH>
            <wp:positionV relativeFrom="paragraph">
              <wp:posOffset>647065</wp:posOffset>
            </wp:positionV>
            <wp:extent cx="5264150" cy="2959735"/>
            <wp:effectExtent l="0" t="0" r="0" b="0"/>
            <wp:wrapSquare wrapText="bothSides"/>
            <wp:docPr id="1751748331" name="图片 6"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748331" name="图片 6" descr="图形用户界面, 应用程序&#10;&#10;AI 生成的内容可能不正确。"/>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264150" cy="2959735"/>
                    </a:xfrm>
                    <a:prstGeom prst="rect">
                      <a:avLst/>
                    </a:prstGeom>
                    <a:noFill/>
                    <a:ln>
                      <a:noFill/>
                    </a:ln>
                  </pic:spPr>
                </pic:pic>
              </a:graphicData>
            </a:graphic>
          </wp:anchor>
        </w:drawing>
      </w:r>
      <w:r>
        <w:rPr>
          <w:rFonts w:hint="eastAsia"/>
        </w:rPr>
        <w:t>通过这些功能，会员管理变得更加简便和高效，为会员提供更优质的服务打下了坚实的基础。如图4-10、图4-11所示。</w:t>
      </w:r>
    </w:p>
    <w:p w14:paraId="131AE881">
      <w:pPr>
        <w:pStyle w:val="135"/>
        <w:outlineLvl w:val="9"/>
      </w:pPr>
      <w:r>
        <w:rPr>
          <w:rFonts w:hint="eastAsia"/>
        </w:rPr>
        <w:t>图4-10会员档案展示</w:t>
      </w:r>
    </w:p>
    <w:p w14:paraId="3FDF6FF5">
      <w:pPr>
        <w:pStyle w:val="135"/>
      </w:pPr>
      <w:r>
        <w:rPr>
          <w:rFonts w:hint="eastAsia"/>
        </w:rPr>
        <w:drawing>
          <wp:inline distT="0" distB="0" distL="0" distR="0">
            <wp:extent cx="5274310" cy="2966085"/>
            <wp:effectExtent l="0" t="0" r="2540" b="5715"/>
            <wp:docPr id="582474441" name="图片 4" descr="电脑软件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74441" name="图片 4" descr="电脑软件截图&#10;&#10;AI 生成的内容可能不正确。"/>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74310" cy="2966085"/>
                    </a:xfrm>
                    <a:prstGeom prst="rect">
                      <a:avLst/>
                    </a:prstGeom>
                  </pic:spPr>
                </pic:pic>
              </a:graphicData>
            </a:graphic>
          </wp:inline>
        </w:drawing>
      </w:r>
    </w:p>
    <w:p w14:paraId="06B49E89">
      <w:pPr>
        <w:pStyle w:val="135"/>
      </w:pPr>
      <w:r>
        <w:rPr>
          <w:rFonts w:hint="eastAsia"/>
        </w:rPr>
        <w:t>图4-11新增会员</w:t>
      </w:r>
    </w:p>
    <w:p w14:paraId="2D0FC839">
      <w:pPr>
        <w:pStyle w:val="139"/>
        <w:ind w:firstLineChars="0"/>
        <w:outlineLvl w:val="9"/>
        <w:rPr>
          <w:rFonts w:ascii="宋体" w:hAnsi="宋体"/>
        </w:rPr>
      </w:pPr>
      <w:bookmarkStart w:id="48" w:name="_Toc22751"/>
      <w:r>
        <w:rPr>
          <w:rFonts w:hint="eastAsia" w:ascii="宋体" w:hAnsi="宋体"/>
        </w:rPr>
        <w:t>4.7 连锁店管理功能</w:t>
      </w:r>
      <w:bookmarkEnd w:id="48"/>
    </w:p>
    <w:p w14:paraId="4BDBAFD7">
      <w:pPr>
        <w:pStyle w:val="140"/>
        <w:ind w:firstLine="480"/>
        <w:outlineLvl w:val="9"/>
      </w:pPr>
      <w:r>
        <w:rPr>
          <w:rFonts w:hint="eastAsia"/>
        </w:rPr>
        <w:t>在我们的连锁门店管理系统中，用户可以轻松获取核心运营数据，以便快速掌握整体运营状况。系统首先展示的包括总门店数量、当前营业中的门店数量、今日的总营收以及今日的总订单数量。通过这些关键指标，管理人员可以迅速了解连锁品牌的整体业绩表现。</w:t>
      </w:r>
    </w:p>
    <w:p w14:paraId="553336FA">
      <w:pPr>
        <w:pStyle w:val="140"/>
        <w:ind w:firstLine="480"/>
        <w:outlineLvl w:val="9"/>
      </w:pPr>
      <w:r>
        <w:rPr>
          <w:rFonts w:hint="eastAsia"/>
        </w:rPr>
        <w:t>对于每个门店的信息管理，系统提供了单独门店的详细资料。例如，用户可以查看如“北京朝阳店”、“上海浦东店”的具体信息，包括门店地址、店长姓名、联系方式，以及今日的营收和订单情况。这些信息汇聚在一起，便于门店管理者实时掌握各个门店的运营动态。</w:t>
      </w:r>
    </w:p>
    <w:p w14:paraId="002290A0">
      <w:pPr>
        <w:pStyle w:val="140"/>
        <w:ind w:firstLine="480"/>
        <w:outlineLvl w:val="9"/>
      </w:pPr>
      <w:r>
        <w:rPr>
          <w:rFonts w:hint="eastAsia"/>
        </w:rPr>
        <w:t>同时，门店状态管理功能也得到了增强，用户可以方便地标记每个门店的当前状态，如“营业中”、“装修中”、“休息中”等，确保所有相关人员都能及时获取最新信息。</w:t>
      </w:r>
    </w:p>
    <w:p w14:paraId="5EFE1BAD">
      <w:pPr>
        <w:pStyle w:val="140"/>
        <w:ind w:firstLine="480"/>
        <w:outlineLvl w:val="9"/>
      </w:pPr>
      <w:r>
        <w:rPr>
          <w:rFonts w:hint="eastAsia"/>
        </w:rPr>
        <w:t>在系统中添加新门店的过程也被设计得非常直观。用户只需点击“添加门店”按钮，系统会弹出“新增门店”表单，要求填写必要的信息：门店名称、店长、联系电话和地址等，同时也可以选择设置门店的当前状态。确认填写无误后，通过点击“创建门店”按钮，即可完成新门店的添加。</w:t>
      </w:r>
    </w:p>
    <w:p w14:paraId="779A5372">
      <w:pPr>
        <w:pStyle w:val="140"/>
        <w:ind w:firstLine="480"/>
        <w:outlineLvl w:val="9"/>
      </w:pPr>
      <w:r>
        <w:rPr>
          <w:rFonts w:hint="eastAsia"/>
        </w:rPr>
        <w:t>使用说明</w:t>
      </w:r>
    </w:p>
    <w:p w14:paraId="52B72A9A">
      <w:pPr>
        <w:pStyle w:val="140"/>
        <w:ind w:firstLine="480"/>
        <w:outlineLvl w:val="9"/>
      </w:pPr>
      <w:r>
        <w:rPr>
          <w:rFonts w:hint="eastAsia"/>
        </w:rPr>
        <w:t>要查看门店数据，用户可以进入“连锁店管理”页面，顶部展示的总数据以及下方的单门店详情，将使用户能够快速获取所需信息。</w:t>
      </w:r>
    </w:p>
    <w:p w14:paraId="7EE8A3DE">
      <w:pPr>
        <w:pStyle w:val="140"/>
        <w:ind w:firstLine="480"/>
        <w:outlineLvl w:val="9"/>
      </w:pPr>
      <w:r>
        <w:rPr>
          <w:rFonts w:hint="eastAsia"/>
        </w:rPr>
        <w:t>点击右上角的“添加门店”按钮，将弹出“新增门店”表单，供用户填写相关信息。</w:t>
      </w:r>
    </w:p>
    <w:p w14:paraId="0E8D1BB1">
      <w:pPr>
        <w:pStyle w:val="140"/>
        <w:ind w:firstLine="480"/>
        <w:outlineLvl w:val="9"/>
      </w:pPr>
      <w:r>
        <w:rPr>
          <w:rFonts w:hint="eastAsia"/>
        </w:rPr>
        <w:t>在填写表单时，用户需填写必填项（如门店名称、联系电话、地址），还可以选择性填写店长姓名，并选择门店状态。</w:t>
      </w:r>
    </w:p>
    <w:p w14:paraId="2721F9E5">
      <w:pPr>
        <w:pStyle w:val="140"/>
        <w:ind w:firstLine="480"/>
        <w:outlineLvl w:val="9"/>
      </w:pPr>
      <w:r>
        <w:rPr>
          <w:rFonts w:hint="eastAsia"/>
        </w:rPr>
        <w:t>完成信息填写后，确认无误，点击“创建门店”按钮，即可顺利新增门店。</w:t>
      </w:r>
    </w:p>
    <w:p w14:paraId="1179C253">
      <w:pPr>
        <w:pStyle w:val="140"/>
        <w:ind w:firstLine="480"/>
        <w:outlineLvl w:val="9"/>
      </w:pPr>
      <w:r>
        <w:drawing>
          <wp:anchor distT="0" distB="0" distL="114300" distR="114300" simplePos="0" relativeHeight="251693056" behindDoc="0" locked="0" layoutInCell="1" allowOverlap="1">
            <wp:simplePos x="0" y="0"/>
            <wp:positionH relativeFrom="margin">
              <wp:align>right</wp:align>
            </wp:positionH>
            <wp:positionV relativeFrom="paragraph">
              <wp:posOffset>624840</wp:posOffset>
            </wp:positionV>
            <wp:extent cx="5274945" cy="2970530"/>
            <wp:effectExtent l="0" t="0" r="1905" b="1270"/>
            <wp:wrapSquare wrapText="bothSides"/>
            <wp:docPr id="1509959356" name="图片 7"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59356" name="图片 7" descr="电脑萤幕的截图&#10;&#10;AI 生成的内容可能不正确。"/>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274945" cy="2970530"/>
                    </a:xfrm>
                    <a:prstGeom prst="rect">
                      <a:avLst/>
                    </a:prstGeom>
                    <a:noFill/>
                    <a:ln>
                      <a:noFill/>
                    </a:ln>
                  </pic:spPr>
                </pic:pic>
              </a:graphicData>
            </a:graphic>
          </wp:anchor>
        </w:drawing>
      </w:r>
      <w:r>
        <w:rPr>
          <w:rFonts w:hint="eastAsia"/>
        </w:rPr>
        <w:t>若需查看或编辑已存在的门店信息，用户只需点击对应门店的卡片，即可进入门店详细信息页面进行相应操作。如图4-12、图4-13所示。</w:t>
      </w:r>
    </w:p>
    <w:p w14:paraId="33A8067B">
      <w:pPr>
        <w:pStyle w:val="135"/>
      </w:pPr>
      <w:r>
        <w:rPr>
          <w:rFonts w:hint="eastAsia"/>
        </w:rPr>
        <w:t>图4-12连锁店管理展示</w:t>
      </w:r>
    </w:p>
    <w:p w14:paraId="7466743C">
      <w:pPr>
        <w:pStyle w:val="135"/>
      </w:pPr>
      <w:r>
        <w:rPr>
          <w:rFonts w:hint="eastAsia"/>
        </w:rPr>
        <w:drawing>
          <wp:inline distT="0" distB="0" distL="0" distR="0">
            <wp:extent cx="5274310" cy="2966085"/>
            <wp:effectExtent l="0" t="0" r="2540" b="5715"/>
            <wp:docPr id="216408981" name="图片 6" descr="电脑萤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08981" name="图片 6" descr="电脑萤幕的截图&#10;&#10;AI 生成的内容可能不正确。"/>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74310" cy="2966085"/>
                    </a:xfrm>
                    <a:prstGeom prst="rect">
                      <a:avLst/>
                    </a:prstGeom>
                  </pic:spPr>
                </pic:pic>
              </a:graphicData>
            </a:graphic>
          </wp:inline>
        </w:drawing>
      </w:r>
    </w:p>
    <w:p w14:paraId="35EFF4C1">
      <w:pPr>
        <w:pStyle w:val="135"/>
      </w:pPr>
      <w:r>
        <w:rPr>
          <w:rFonts w:hint="eastAsia"/>
        </w:rPr>
        <w:t>图4-13新增门店</w:t>
      </w:r>
    </w:p>
    <w:p w14:paraId="00E7B8E4">
      <w:pPr>
        <w:pStyle w:val="139"/>
        <w:ind w:firstLineChars="0"/>
        <w:outlineLvl w:val="9"/>
        <w:rPr>
          <w:rFonts w:ascii="宋体" w:hAnsi="宋体"/>
        </w:rPr>
      </w:pPr>
      <w:bookmarkStart w:id="49" w:name="_Toc794"/>
      <w:r>
        <w:rPr>
          <w:rFonts w:hint="eastAsia" w:ascii="宋体" w:hAnsi="宋体"/>
        </w:rPr>
        <w:t>4.8 系统设置功能</w:t>
      </w:r>
      <w:bookmarkEnd w:id="49"/>
    </w:p>
    <w:p w14:paraId="3150006F">
      <w:pPr>
        <w:pStyle w:val="140"/>
        <w:ind w:firstLine="480"/>
        <w:outlineLvl w:val="9"/>
      </w:pPr>
      <w:r>
        <w:rPr>
          <w:rFonts w:hint="eastAsia"/>
        </w:rPr>
        <w:t>在我们的系统中，用户可以灵活管理“气泡效果”，支持启用或关闭此功能，并能够根据需要调整气泡的数量。用户还可以方便地查看气泡效果的实时预览，确保其视觉效果符合预期。</w:t>
      </w:r>
    </w:p>
    <w:p w14:paraId="5C65BBA2">
      <w:pPr>
        <w:pStyle w:val="140"/>
        <w:ind w:firstLine="480"/>
        <w:outlineLvl w:val="9"/>
      </w:pPr>
      <w:r>
        <w:rPr>
          <w:rFonts w:hint="eastAsia"/>
        </w:rPr>
        <w:t>此外，系统还提供控制“自动刷新数据”等重要功能的开关，用户可以随时根据需要开启或关闭该功能，以管理页面的数据更新状态。同时，用户可以选择保存当前设置，或者在需要时一键恢复为默认设置，以便于快速回到初始配置。</w:t>
      </w:r>
    </w:p>
    <w:p w14:paraId="3F9CA6BA">
      <w:pPr>
        <w:pStyle w:val="140"/>
        <w:ind w:firstLine="480"/>
        <w:outlineLvl w:val="9"/>
      </w:pPr>
      <w:r>
        <w:rPr>
          <w:rFonts w:hint="eastAsia"/>
        </w:rPr>
        <w:drawing>
          <wp:anchor distT="0" distB="0" distL="114300" distR="114300" simplePos="0" relativeHeight="251694080" behindDoc="0" locked="0" layoutInCell="1" allowOverlap="1">
            <wp:simplePos x="0" y="0"/>
            <wp:positionH relativeFrom="margin">
              <wp:align>right</wp:align>
            </wp:positionH>
            <wp:positionV relativeFrom="paragraph">
              <wp:posOffset>876300</wp:posOffset>
            </wp:positionV>
            <wp:extent cx="5274945" cy="2970530"/>
            <wp:effectExtent l="0" t="0" r="1905" b="1270"/>
            <wp:wrapSquare wrapText="bothSides"/>
            <wp:docPr id="1807047834" name="图片 8"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047834" name="图片 8" descr="图形用户界面, 文本, 应用程序&#10;&#10;AI 生成的内容可能不正确。"/>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274945" cy="2970530"/>
                    </a:xfrm>
                    <a:prstGeom prst="rect">
                      <a:avLst/>
                    </a:prstGeom>
                    <a:noFill/>
                    <a:ln>
                      <a:noFill/>
                    </a:ln>
                  </pic:spPr>
                </pic:pic>
              </a:graphicData>
            </a:graphic>
          </wp:anchor>
        </w:drawing>
      </w:r>
      <w:r>
        <w:rPr>
          <w:rFonts w:hint="eastAsia"/>
        </w:rPr>
        <w:t>在系统信息查看方面，用户可以方便地获取有关系统的详细信息，包括系统版本、技术架构、数据库以及最后更新时间，这些信息对于技术支持和系统维护至关重要。如图4-14所示。</w:t>
      </w:r>
    </w:p>
    <w:p w14:paraId="293DD3D6">
      <w:pPr>
        <w:pStyle w:val="135"/>
      </w:pPr>
      <w:r>
        <w:rPr>
          <w:rFonts w:hint="eastAsia"/>
        </w:rPr>
        <w:t>图4-14系统设置</w:t>
      </w:r>
    </w:p>
    <w:p w14:paraId="400D415D">
      <w:pPr>
        <w:pStyle w:val="140"/>
        <w:ind w:firstLine="480"/>
      </w:pPr>
      <w:r>
        <w:rPr>
          <w:rFonts w:hint="eastAsia"/>
        </w:rPr>
        <w:t>使用说明</w:t>
      </w:r>
    </w:p>
    <w:p w14:paraId="014CCA26">
      <w:pPr>
        <w:pStyle w:val="140"/>
        <w:ind w:firstLine="480"/>
      </w:pPr>
      <w:r>
        <w:rPr>
          <w:rFonts w:hint="eastAsia"/>
        </w:rPr>
        <w:t>若要启用或关闭“气泡效果”，用户只需点击“启用气泡效果”的开关按钮，轻松控制页面的气泡显示。</w:t>
      </w:r>
    </w:p>
    <w:p w14:paraId="787944FE">
      <w:pPr>
        <w:pStyle w:val="140"/>
        <w:ind w:firstLine="480"/>
      </w:pPr>
      <w:r>
        <w:rPr>
          <w:rFonts w:hint="eastAsia"/>
        </w:rPr>
        <w:t>用户可以通过“气泡数量”旁边的“+/-”按钮来调整同一时间显示的气泡数量。调整后，务必点击“保存设置”以使更改生效。</w:t>
      </w:r>
    </w:p>
    <w:p w14:paraId="25110E00">
      <w:pPr>
        <w:pStyle w:val="140"/>
        <w:ind w:firstLine="480"/>
      </w:pPr>
      <w:r>
        <w:rPr>
          <w:rFonts w:hint="eastAsia"/>
        </w:rPr>
        <w:t>如果需要管理页面数据的更新频率，用户可以点击“自动刷新数据”的开关，轻松启用或关闭数据的定时刷新功能。</w:t>
      </w:r>
    </w:p>
    <w:p w14:paraId="69DCA343">
      <w:pPr>
        <w:pStyle w:val="140"/>
        <w:ind w:firstLine="480"/>
      </w:pPr>
      <w:r>
        <w:rPr>
          <w:rFonts w:hint="eastAsia"/>
        </w:rPr>
        <w:t>如果希望重置所有设置，只需点击“恢复默认设置”按钮，系统将立即恢复至初始配置状态。</w:t>
      </w:r>
    </w:p>
    <w:p w14:paraId="67C5AB53">
      <w:pPr>
        <w:pStyle w:val="140"/>
        <w:ind w:firstLine="480"/>
        <w:rPr>
          <w:sz w:val="21"/>
          <w:szCs w:val="21"/>
        </w:rPr>
      </w:pPr>
      <w:r>
        <w:rPr>
          <w:rFonts w:hint="eastAsia"/>
        </w:rPr>
        <w:t>要查看系统的基本信息，用户可以直接在右侧的“系统信息”区域获取系统版本、技术架构等相关细节，便于进行后续的技术支持和维护。</w:t>
      </w:r>
      <w:r>
        <w:t>通过这些灵活的功能，用户能够更好地定制系统体验，提升整体操作的便利性和效果。</w:t>
      </w:r>
    </w:p>
    <w:p w14:paraId="317899FD">
      <w:pPr>
        <w:spacing w:line="440" w:lineRule="exact"/>
        <w:rPr>
          <w:b/>
          <w:bCs/>
          <w:sz w:val="28"/>
          <w:szCs w:val="28"/>
        </w:rPr>
      </w:pPr>
      <w:r>
        <w:rPr>
          <w:rFonts w:hint="eastAsia"/>
          <w:b/>
          <w:bCs/>
          <w:sz w:val="28"/>
          <w:szCs w:val="28"/>
        </w:rPr>
        <w:t>5 系统测试</w:t>
      </w:r>
    </w:p>
    <w:p w14:paraId="66222301">
      <w:pPr>
        <w:pStyle w:val="140"/>
        <w:ind w:firstLine="480"/>
      </w:pPr>
      <w:r>
        <w:rPr>
          <w:rFonts w:hint="eastAsia"/>
        </w:rPr>
        <w:t>系统测试作为洁链云连锁干洗售后平台上线前的质量守门员，是构建平台生产级稳定性、企业级安全性与极致用户友好性的核心保障机制。通过搭建覆盖功能验证、性能压测、安全渗透、兼容性校验及用户体验评估的立体化测试体系，深度检验系统在高并发、多节点、复杂业务场景下的可靠性、响应能力、防护水平与易用程度。这一环节不仅是对技术架构健壮性的全面体检，更是对业务流程闭环与用户价值交付的最终确认，旨在系统性规避潜在风险、确保服务品质可控，为平台平稳上线、安全运营与长效口碑建设奠定坚若磐石的质量基座。</w:t>
      </w:r>
      <w:r>
        <w:t>测试主要包括以下几个方面：</w:t>
      </w:r>
    </w:p>
    <w:p w14:paraId="47D7A2D5">
      <w:pPr>
        <w:pStyle w:val="139"/>
        <w:ind w:firstLineChars="0"/>
        <w:outlineLvl w:val="9"/>
        <w:rPr>
          <w:rFonts w:ascii="宋体" w:hAnsi="宋体"/>
        </w:rPr>
      </w:pPr>
      <w:bookmarkStart w:id="50" w:name="_Toc30852"/>
      <w:r>
        <w:rPr>
          <w:rFonts w:ascii="宋体" w:hAnsi="宋体"/>
        </w:rPr>
        <w:t>5.1 测试类型</w:t>
      </w:r>
      <w:bookmarkEnd w:id="50"/>
    </w:p>
    <w:p w14:paraId="2E85EAF6">
      <w:pPr>
        <w:pStyle w:val="140"/>
        <w:ind w:firstLine="480"/>
        <w:outlineLvl w:val="9"/>
      </w:pPr>
      <w:r>
        <w:rPr>
          <w:rFonts w:hint="eastAsia"/>
        </w:rPr>
        <w:t>为全面验证洁链云系统在真实业务环境下的功能正确性、性能稳定性与安全可靠性，测试阶段从功能、性能、安全、兼容性及 AI 专项能力等多个维度，对系统进行系统化、场景化验证。</w:t>
      </w:r>
    </w:p>
    <w:p w14:paraId="55FCAB5F">
      <w:pPr>
        <w:pStyle w:val="140"/>
        <w:ind w:firstLine="480"/>
        <w:outlineLvl w:val="9"/>
      </w:pPr>
      <w:r>
        <w:rPr>
          <w:rFonts w:hint="eastAsia"/>
        </w:rPr>
        <w:t>功能测试方面，重点围绕真实用户使用场景展开，模拟“会员注册 → AI 智能收衣下单 → 在线支付 → 订单状态跟踪 → 取衣与服务评价”的完整用户旅程，确保业务流程闭环完整、数据流转准确。同时，对系统七大核心功能模块（包括运营概览、AI 智能收衣、订单管理、物流与支付、会员档案、连锁店管理及系统设置）进行全面功能覆盖测试，逐一核验各功能点是否符合系统设计要求。针对顾客、前台员工、清洗工坊人员、店长及总部管理员等不同角色，重点验证其操作权限与数据可见范围是否实现严格隔离，防止权限越界或数据泄露。</w:t>
      </w:r>
    </w:p>
    <w:p w14:paraId="55D909E5">
      <w:pPr>
        <w:pStyle w:val="140"/>
        <w:ind w:firstLine="480"/>
        <w:outlineLvl w:val="9"/>
      </w:pPr>
      <w:r>
        <w:rPr>
          <w:rFonts w:hint="eastAsia"/>
        </w:rPr>
        <w:t>性能测试方面，通过模拟不少于100家门店在业务高峰时段（如节假日前夕）的并发操作场景，对系统在创建订单、查询运营报表等高频行为下的响应时间、吞吐能力及资源使用情况进行评估。同时，通过压力测试与极限测试，逐步提升并发请求规模，定位潜在性能瓶颈，如数据库连接池容量、缓存命中率及 AI 接口调用上限等关键环节。此外，系统还将进行 7×24 小时的长时间稳定性测试，模拟持续业务负载，检查是否存在内存泄漏、线程堆积或响应时间逐步下降等问题。</w:t>
      </w:r>
    </w:p>
    <w:p w14:paraId="65023426">
      <w:pPr>
        <w:pStyle w:val="140"/>
        <w:ind w:firstLine="480"/>
        <w:outlineLvl w:val="9"/>
      </w:pPr>
      <w:r>
        <w:rPr>
          <w:rFonts w:hint="eastAsia"/>
        </w:rPr>
        <w:t>安全测试方面，重点针对常见 Web 安全风险开展验证，包括 SQL 注入、跨站脚本攻击（XSS）及越权访问等场景（例如普通员工尝试访问总部管理功能），以检验系统的防护能力。同时，对用户密码、支付相关信息等敏感数据的加密传输与存储机制进行检查，并测试登录会话超时控制、重复登录限制等安全策略，确保系统在实际运行中的数据安全与访问安全。</w:t>
      </w:r>
    </w:p>
    <w:p w14:paraId="692F829D">
      <w:pPr>
        <w:pStyle w:val="140"/>
        <w:ind w:firstLine="480"/>
        <w:outlineLvl w:val="9"/>
      </w:pPr>
      <w:r>
        <w:rPr>
          <w:rFonts w:hint="eastAsia"/>
        </w:rPr>
        <w:t>兼容性测试方面，系统将在 Chrome、Firefox、Safari、Edge 等主流浏览器的最新版本上进行全面测试，验证页面渲染与交互逻辑的一致性。同时，针对不同尺寸与分辨率的手机、平板等终端设备，测试页面布局自适应能力与操作体验，确保系统在多终端、多分辨率环境下均能稳定、友好地运行。</w:t>
      </w:r>
    </w:p>
    <w:p w14:paraId="487C6B2C">
      <w:pPr>
        <w:pStyle w:val="140"/>
        <w:ind w:firstLine="480"/>
        <w:outlineLvl w:val="9"/>
      </w:pPr>
      <w:r>
        <w:rPr>
          <w:rFonts w:hint="eastAsia"/>
        </w:rPr>
        <w:t>AI 专项测试方面，通过构建包含多种面料类型（如棉、羊毛、丝绸）和多种污渍类型（如油渍、红酒、墨水）的标准化测试图片集，对 AI 模型的识别准确率与召回率进行定量评估。同时，针对模糊、过暗、衣物折叠或带有复杂图案等非理想图片场景，重点测试系统的鲁棒性、异常识别能力与错误提示机制。此外，对单张图片的平均分析耗时进行统计，并持续监控 AI 接口调用频率与成本，为后续系统优化与规模化部署提供依据。</w:t>
      </w:r>
    </w:p>
    <w:p w14:paraId="13A05990">
      <w:pPr>
        <w:pStyle w:val="139"/>
        <w:ind w:firstLineChars="0"/>
        <w:outlineLvl w:val="9"/>
        <w:rPr>
          <w:rFonts w:ascii="宋体" w:hAnsi="宋体"/>
        </w:rPr>
      </w:pPr>
      <w:bookmarkStart w:id="51" w:name="_Toc13922"/>
      <w:r>
        <w:rPr>
          <w:rFonts w:ascii="宋体" w:hAnsi="宋体"/>
        </w:rPr>
        <w:t>5.2 测试工具</w:t>
      </w:r>
      <w:bookmarkEnd w:id="51"/>
    </w:p>
    <w:tbl>
      <w:tblPr>
        <w:tblStyle w:val="35"/>
        <w:tblW w:w="8611" w:type="dxa"/>
        <w:tblInd w:w="0" w:type="dxa"/>
        <w:tblLayout w:type="autofit"/>
        <w:tblCellMar>
          <w:top w:w="0" w:type="dxa"/>
          <w:left w:w="108" w:type="dxa"/>
          <w:bottom w:w="0" w:type="dxa"/>
          <w:right w:w="108" w:type="dxa"/>
        </w:tblCellMar>
      </w:tblPr>
      <w:tblGrid>
        <w:gridCol w:w="2870"/>
        <w:gridCol w:w="2870"/>
        <w:gridCol w:w="2871"/>
      </w:tblGrid>
      <w:tr w14:paraId="3CCA3678">
        <w:tblPrEx>
          <w:tblCellMar>
            <w:top w:w="0" w:type="dxa"/>
            <w:left w:w="108" w:type="dxa"/>
            <w:bottom w:w="0" w:type="dxa"/>
            <w:right w:w="108" w:type="dxa"/>
          </w:tblCellMar>
        </w:tblPrEx>
        <w:trPr>
          <w:trHeight w:val="467" w:hRule="atLeast"/>
        </w:trPr>
        <w:tc>
          <w:tcPr>
            <w:tcW w:w="2870" w:type="dxa"/>
          </w:tcPr>
          <w:p w14:paraId="4EA62AD0">
            <w:pPr>
              <w:widowControl/>
              <w:spacing w:line="375" w:lineRule="atLeast"/>
              <w:jc w:val="center"/>
              <w:outlineLvl w:val="9"/>
              <w:rPr>
                <w:rFonts w:ascii="Segoe UI" w:hAnsi="Segoe UI" w:cs="Segoe UI"/>
                <w:color w:val="0F1115"/>
                <w:kern w:val="0"/>
                <w:szCs w:val="21"/>
              </w:rPr>
            </w:pPr>
            <w:r>
              <w:rPr>
                <w:rFonts w:ascii="Segoe UI" w:hAnsi="Segoe UI" w:cs="Segoe UI"/>
                <w:color w:val="0F1115"/>
                <w:szCs w:val="21"/>
              </w:rPr>
              <w:t>测试类型</w:t>
            </w:r>
          </w:p>
        </w:tc>
        <w:tc>
          <w:tcPr>
            <w:tcW w:w="2870" w:type="dxa"/>
          </w:tcPr>
          <w:p w14:paraId="556F3055">
            <w:pPr>
              <w:pStyle w:val="135"/>
              <w:outlineLvl w:val="9"/>
            </w:pPr>
            <w:r>
              <w:t>推荐工具</w:t>
            </w:r>
          </w:p>
        </w:tc>
        <w:tc>
          <w:tcPr>
            <w:tcW w:w="2871" w:type="dxa"/>
          </w:tcPr>
          <w:p w14:paraId="1D51EEFE">
            <w:pPr>
              <w:pStyle w:val="135"/>
              <w:outlineLvl w:val="9"/>
            </w:pPr>
            <w:r>
              <w:t>在洁链云项目中的应用描述</w:t>
            </w:r>
          </w:p>
        </w:tc>
      </w:tr>
      <w:tr w14:paraId="7827D1AF">
        <w:tblPrEx>
          <w:tblCellMar>
            <w:top w:w="0" w:type="dxa"/>
            <w:left w:w="108" w:type="dxa"/>
            <w:bottom w:w="0" w:type="dxa"/>
            <w:right w:w="108" w:type="dxa"/>
          </w:tblCellMar>
        </w:tblPrEx>
        <w:trPr>
          <w:trHeight w:val="455" w:hRule="atLeast"/>
        </w:trPr>
        <w:tc>
          <w:tcPr>
            <w:tcW w:w="2870" w:type="dxa"/>
          </w:tcPr>
          <w:p w14:paraId="7F6B165D">
            <w:pPr>
              <w:pStyle w:val="135"/>
              <w:outlineLvl w:val="9"/>
            </w:pPr>
            <w:r>
              <w:t>单元测试</w:t>
            </w:r>
          </w:p>
        </w:tc>
        <w:tc>
          <w:tcPr>
            <w:tcW w:w="2870" w:type="dxa"/>
          </w:tcPr>
          <w:p w14:paraId="2350FCE9">
            <w:pPr>
              <w:pStyle w:val="135"/>
              <w:outlineLvl w:val="9"/>
            </w:pPr>
            <w:r>
              <w:t>后端：JUnit 5, Mockito</w:t>
            </w:r>
          </w:p>
          <w:p w14:paraId="2AA0794D">
            <w:pPr>
              <w:pStyle w:val="135"/>
              <w:outlineLvl w:val="9"/>
            </w:pPr>
            <w:r>
              <w:t>前端：Jest, React Testing Library</w:t>
            </w:r>
          </w:p>
        </w:tc>
        <w:tc>
          <w:tcPr>
            <w:tcW w:w="2871" w:type="dxa"/>
          </w:tcPr>
          <w:p w14:paraId="3E3DF566">
            <w:pPr>
              <w:pStyle w:val="135"/>
              <w:outlineLvl w:val="9"/>
            </w:pPr>
            <w:r>
              <w:t>使用JUnit + Mockito测试Spring Boot服务层的订单计算、会员逻辑。使用Jest测试React组件渲染和交互逻辑。</w:t>
            </w:r>
          </w:p>
        </w:tc>
      </w:tr>
      <w:tr w14:paraId="38CBBDB3">
        <w:tblPrEx>
          <w:tblCellMar>
            <w:top w:w="0" w:type="dxa"/>
            <w:left w:w="108" w:type="dxa"/>
            <w:bottom w:w="0" w:type="dxa"/>
            <w:right w:w="108" w:type="dxa"/>
          </w:tblCellMar>
        </w:tblPrEx>
        <w:trPr>
          <w:trHeight w:val="467" w:hRule="atLeast"/>
        </w:trPr>
        <w:tc>
          <w:tcPr>
            <w:tcW w:w="2870" w:type="dxa"/>
          </w:tcPr>
          <w:p w14:paraId="4484A82B">
            <w:pPr>
              <w:pStyle w:val="135"/>
              <w:outlineLvl w:val="9"/>
            </w:pPr>
            <w:r>
              <w:t>端到端测试</w:t>
            </w:r>
          </w:p>
        </w:tc>
        <w:tc>
          <w:tcPr>
            <w:tcW w:w="2870" w:type="dxa"/>
          </w:tcPr>
          <w:p w14:paraId="5FDE3F9A">
            <w:pPr>
              <w:pStyle w:val="135"/>
              <w:outlineLvl w:val="9"/>
            </w:pPr>
            <w:r>
              <w:t>Cypress, Playwright</w:t>
            </w:r>
          </w:p>
        </w:tc>
        <w:tc>
          <w:tcPr>
            <w:tcW w:w="2871" w:type="dxa"/>
          </w:tcPr>
          <w:p w14:paraId="665A919D">
            <w:pPr>
              <w:pStyle w:val="135"/>
              <w:outlineLvl w:val="9"/>
            </w:pPr>
            <w:r>
              <w:t>模拟用户在浏览器中的完整操作，如“新建一个AI识别订单并支付”。特别适合测试涉及多个页面的核心业务流程。</w:t>
            </w:r>
          </w:p>
        </w:tc>
      </w:tr>
      <w:tr w14:paraId="16E58161">
        <w:tblPrEx>
          <w:tblCellMar>
            <w:top w:w="0" w:type="dxa"/>
            <w:left w:w="108" w:type="dxa"/>
            <w:bottom w:w="0" w:type="dxa"/>
            <w:right w:w="108" w:type="dxa"/>
          </w:tblCellMar>
        </w:tblPrEx>
        <w:trPr>
          <w:trHeight w:val="455" w:hRule="atLeast"/>
        </w:trPr>
        <w:tc>
          <w:tcPr>
            <w:tcW w:w="2870" w:type="dxa"/>
          </w:tcPr>
          <w:p w14:paraId="6C2A458C">
            <w:pPr>
              <w:pStyle w:val="135"/>
              <w:outlineLvl w:val="9"/>
            </w:pPr>
            <w:r>
              <w:t>性能测试</w:t>
            </w:r>
          </w:p>
        </w:tc>
        <w:tc>
          <w:tcPr>
            <w:tcW w:w="2870" w:type="dxa"/>
          </w:tcPr>
          <w:p w14:paraId="6F65BC7E">
            <w:pPr>
              <w:pStyle w:val="135"/>
              <w:outlineLvl w:val="9"/>
            </w:pPr>
            <w:r>
              <w:t>Apache JMeter, k6</w:t>
            </w:r>
          </w:p>
        </w:tc>
        <w:tc>
          <w:tcPr>
            <w:tcW w:w="2871" w:type="dxa"/>
          </w:tcPr>
          <w:p w14:paraId="41F76DF1">
            <w:pPr>
              <w:pStyle w:val="135"/>
              <w:outlineLvl w:val="9"/>
            </w:pPr>
            <w:r>
              <w:t>使用JMeter模拟数百个虚拟用户同时进行“查询订单列表”、“生成运营报表”等操作，生成性能报告，定位瓶颈。</w:t>
            </w:r>
          </w:p>
        </w:tc>
      </w:tr>
      <w:tr w14:paraId="4DE95F20">
        <w:tblPrEx>
          <w:tblCellMar>
            <w:top w:w="0" w:type="dxa"/>
            <w:left w:w="108" w:type="dxa"/>
            <w:bottom w:w="0" w:type="dxa"/>
            <w:right w:w="108" w:type="dxa"/>
          </w:tblCellMar>
        </w:tblPrEx>
        <w:trPr>
          <w:trHeight w:val="467" w:hRule="atLeast"/>
        </w:trPr>
        <w:tc>
          <w:tcPr>
            <w:tcW w:w="2870" w:type="dxa"/>
          </w:tcPr>
          <w:p w14:paraId="2629AF60">
            <w:pPr>
              <w:pStyle w:val="135"/>
              <w:outlineLvl w:val="9"/>
            </w:pPr>
            <w:r>
              <w:t>安全测试</w:t>
            </w:r>
          </w:p>
        </w:tc>
        <w:tc>
          <w:tcPr>
            <w:tcW w:w="2870" w:type="dxa"/>
          </w:tcPr>
          <w:p w14:paraId="03A0380B">
            <w:pPr>
              <w:pStyle w:val="135"/>
              <w:outlineLvl w:val="9"/>
            </w:pPr>
            <w:r>
              <w:t>OWASP ZAP, SonarQube</w:t>
            </w:r>
          </w:p>
        </w:tc>
        <w:tc>
          <w:tcPr>
            <w:tcW w:w="2871" w:type="dxa"/>
          </w:tcPr>
          <w:p w14:paraId="4E78E3E8">
            <w:pPr>
              <w:pStyle w:val="135"/>
              <w:outlineLvl w:val="9"/>
            </w:pPr>
            <w:r>
              <w:t>使用ZAP对系统进行自动化的主动安全扫描，检测漏洞。使用SonarQube进行持续的代码安全与质量检测。</w:t>
            </w:r>
          </w:p>
        </w:tc>
      </w:tr>
      <w:tr w14:paraId="427AA8DC">
        <w:tblPrEx>
          <w:tblCellMar>
            <w:top w:w="0" w:type="dxa"/>
            <w:left w:w="108" w:type="dxa"/>
            <w:bottom w:w="0" w:type="dxa"/>
            <w:right w:w="108" w:type="dxa"/>
          </w:tblCellMar>
        </w:tblPrEx>
        <w:trPr>
          <w:trHeight w:val="467" w:hRule="atLeast"/>
        </w:trPr>
        <w:tc>
          <w:tcPr>
            <w:tcW w:w="2870" w:type="dxa"/>
          </w:tcPr>
          <w:p w14:paraId="3F079674">
            <w:pPr>
              <w:pStyle w:val="135"/>
              <w:outlineLvl w:val="9"/>
            </w:pPr>
            <w:r>
              <w:t>兼容性测试</w:t>
            </w:r>
          </w:p>
        </w:tc>
        <w:tc>
          <w:tcPr>
            <w:tcW w:w="2870" w:type="dxa"/>
          </w:tcPr>
          <w:p w14:paraId="75F110A2">
            <w:pPr>
              <w:pStyle w:val="135"/>
              <w:outlineLvl w:val="9"/>
            </w:pPr>
            <w:r>
              <w:t>BrowserStack, Sauce Labs</w:t>
            </w:r>
          </w:p>
        </w:tc>
        <w:tc>
          <w:tcPr>
            <w:tcW w:w="2871" w:type="dxa"/>
          </w:tcPr>
          <w:p w14:paraId="53306108">
            <w:pPr>
              <w:pStyle w:val="135"/>
              <w:outlineLvl w:val="9"/>
            </w:pPr>
            <w:r>
              <w:t>利用云测试平台，在大量真实的浏览器、操作系统和设备组合上自动化运行测试脚本，确保跨平台兼容性。</w:t>
            </w:r>
          </w:p>
        </w:tc>
      </w:tr>
    </w:tbl>
    <w:p w14:paraId="6865533C">
      <w:pPr>
        <w:spacing w:line="440" w:lineRule="exact"/>
        <w:outlineLvl w:val="9"/>
        <w:rPr>
          <w:b/>
          <w:bCs/>
          <w:sz w:val="28"/>
          <w:szCs w:val="28"/>
        </w:rPr>
      </w:pPr>
      <w:r>
        <w:rPr>
          <w:rFonts w:hint="eastAsia"/>
          <w:b/>
          <w:bCs/>
          <w:sz w:val="28"/>
          <w:szCs w:val="28"/>
        </w:rPr>
        <w:t>6 总结</w:t>
      </w:r>
    </w:p>
    <w:p w14:paraId="26E841F8">
      <w:pPr>
        <w:pStyle w:val="140"/>
        <w:ind w:firstLine="480"/>
        <w:outlineLvl w:val="9"/>
      </w:pPr>
      <w:r>
        <w:rPr>
          <w:rFonts w:hint="eastAsia"/>
        </w:rPr>
        <w:t>洁链云连锁干洗售后平台的开发与设计，是一项兼具前瞻性战略眼光与突破性创新价值的标杆项目。项目团队以系统化的需求分析为基石、严谨的可行性研究为导向、科学的系统设计为核心、全面的测试方案为保障，构建起一套适配连锁干洗行业全链路需求的数字化解决方案，为项目的成功落地筑牢了坚实根基。</w:t>
      </w:r>
    </w:p>
    <w:p w14:paraId="75EE3AFF">
      <w:pPr>
        <w:pStyle w:val="140"/>
        <w:ind w:firstLine="480"/>
        <w:outlineLvl w:val="9"/>
      </w:pPr>
      <w:r>
        <w:rPr>
          <w:rFonts w:hint="eastAsia"/>
        </w:rPr>
        <w:t>项目的稳步推进，离不开团队成员在各自专业领域的深厚积淀与高效协同的合作精神。在需求分析阶段，团队深耕市场一线，通过海量市场调研挖掘行业痛点，结合连锁门店经营者、一线服务人员、终端消费者等多维度用户的真实反馈，精准锚定干洗行业在运营管理、客户服务、供应链协同等环节的核心诉求，确保系统功能设计既贴合实际业务场景，又能直击行业现存的效率瓶颈。在技术架构层面，项目采用前沿的现代技术栈进行开发，不仅大幅提升了开发效率，更赋予系统卓越的可扩展性与兼容性，能够灵活适配连锁门店规模扩张、业务模式迭代等未来发展需求。与此同时，项目建立起全流程、多维度的严格测试体系，从单元测试、集成测试到压力测试、安全测试层层把关，全方位保障系统的稳定性、安全性与流畅性，最大限度降低平台上线后的运营风险，为用户提供可靠的技术支撑。</w:t>
      </w:r>
    </w:p>
    <w:p w14:paraId="04A79182">
      <w:pPr>
        <w:pStyle w:val="140"/>
        <w:ind w:firstLine="480"/>
        <w:outlineLvl w:val="9"/>
      </w:pPr>
      <w:r>
        <w:rPr>
          <w:rFonts w:hint="eastAsia"/>
        </w:rPr>
        <w:t>洁链云连锁干洗售后平台绝非一套简单的管理软件，而是对传统干洗行业的一次深度业务流程再造与核心价值升级。平台开创性地将前沿人工智能技术与干洗行业的业务场景深度融合，打造出一体化的数字化管理闭环，一举破解了连锁干洗企业在品质控制、效率提升、规模管理三大核心维度的痛点难题：在品质控制上，通过标准化的洗护流程管理、衣物溯源追踪等功能，实现洗护全流程的可控可溯，确保服务品质的稳定统一；在效率提升上，借助智能调度、自动化订单处理、会员精准营销等功能，打通从订单下单到衣物交付的全链路，显著降低人力成本，提升运营周转效率；在规模管理上，依托连锁店管理、会员档案管理、物流与支付一体化等模块，实现总部对多门店的集中管控与数据协同，助力企业突破规模扩张的管理瓶颈。可以说，洁链云平台是驱动传统干洗服务业从劳动密集型向数字化、智能化转型的典范之作。</w:t>
      </w:r>
    </w:p>
    <w:p w14:paraId="038BEE07">
      <w:pPr>
        <w:pStyle w:val="140"/>
        <w:ind w:firstLine="480"/>
        <w:outlineLvl w:val="9"/>
      </w:pPr>
      <w:r>
        <w:rPr>
          <w:rFonts w:hint="eastAsia"/>
        </w:rPr>
        <w:t>面向未来，消费市场需求持续迭代，智能技术发展日新月异，洁链云连锁干洗售后平台将始终以市场需求为导向，秉持持续创新的理念，不断迭代升级功能模块，优化用户体验，为连锁干洗企业提供更优质、更全面的数字化服务。我们坚信，凭借技术与业务的深度融合、产品与服务的持续精进，洁链云必将成长为连锁干洗行业数字化转型的领跑者，为行业客户创造更高的商业价值。</w:t>
      </w:r>
    </w:p>
    <w:p w14:paraId="3203B28F">
      <w:pPr>
        <w:keepNext w:val="0"/>
        <w:keepLines w:val="0"/>
        <w:pageBreakBefore/>
        <w:widowControl w:val="0"/>
        <w:kinsoku/>
        <w:wordWrap/>
        <w:overflowPunct/>
        <w:topLinePunct w:val="0"/>
        <w:autoSpaceDE/>
        <w:autoSpaceDN/>
        <w:bidi w:val="0"/>
        <w:adjustRightInd/>
        <w:snapToGrid/>
        <w:spacing w:line="440" w:lineRule="exact"/>
        <w:jc w:val="center"/>
        <w:textAlignment w:val="auto"/>
        <w:outlineLvl w:val="9"/>
        <w:rPr>
          <w:b/>
          <w:bCs/>
          <w:sz w:val="28"/>
          <w:szCs w:val="28"/>
        </w:rPr>
      </w:pPr>
      <w:r>
        <w:rPr>
          <w:rFonts w:hint="eastAsia"/>
          <w:b/>
          <w:bCs/>
          <w:sz w:val="28"/>
          <w:szCs w:val="28"/>
        </w:rPr>
        <w:t>参考文献</w:t>
      </w:r>
    </w:p>
    <w:p w14:paraId="625EFD7C">
      <w:pPr>
        <w:pStyle w:val="150"/>
        <w:wordWrap w:val="0"/>
        <w:ind w:left="420" w:hanging="420"/>
        <w:outlineLvl w:val="9"/>
        <w:rPr>
          <w:rFonts w:hint="default"/>
        </w:rPr>
      </w:pPr>
      <w:r>
        <w:t>[1]黑马程序员.Java EE企业级应用开发教程：Spring+Spring MVC+MyBatis [M].第2版.北京：人民邮电出版社，2021.</w:t>
      </w:r>
    </w:p>
    <w:p w14:paraId="3522822A">
      <w:pPr>
        <w:pStyle w:val="150"/>
        <w:wordWrap w:val="0"/>
        <w:ind w:left="420" w:hanging="420"/>
        <w:outlineLvl w:val="9"/>
        <w:rPr>
          <w:rFonts w:hint="default"/>
        </w:rPr>
      </w:pPr>
      <w:r>
        <w:t>[2]朱利华，姜英.Java EE企业级应用开发：SSM[M].北京：人民邮电出版社，2021.</w:t>
      </w:r>
    </w:p>
    <w:p w14:paraId="623EA9D2">
      <w:pPr>
        <w:pStyle w:val="150"/>
        <w:wordWrap w:val="0"/>
        <w:ind w:left="420" w:hanging="420"/>
        <w:outlineLvl w:val="9"/>
        <w:rPr>
          <w:rFonts w:hint="default"/>
        </w:rPr>
      </w:pPr>
      <w:r>
        <w:t>[3]杨开振，刘家成.Java EE互联网轻量级框架整合开发：SSM+Redis+Spring微服务，上册[M].北京：电子工业出版社，2021.</w:t>
      </w:r>
    </w:p>
    <w:p w14:paraId="78E233C5">
      <w:pPr>
        <w:pStyle w:val="150"/>
        <w:wordWrap w:val="0"/>
        <w:ind w:left="420" w:hanging="420"/>
        <w:outlineLvl w:val="9"/>
        <w:rPr>
          <w:rFonts w:hint="default"/>
        </w:rPr>
      </w:pPr>
      <w:r>
        <w:t>[4]杨开振，刘家成.Java EE 互联网轻量级框架整合开发：SSM+Redis+Spring微服务，下册[M].北京：电子工业出版社，2021.</w:t>
      </w:r>
    </w:p>
    <w:p w14:paraId="37438C70">
      <w:pPr>
        <w:pStyle w:val="150"/>
        <w:wordWrap w:val="0"/>
        <w:ind w:left="420" w:hanging="420"/>
        <w:outlineLvl w:val="9"/>
        <w:rPr>
          <w:rFonts w:hint="default"/>
        </w:rPr>
      </w:pPr>
      <w:r>
        <w:t>[5]缪勇，施俊.Spring+Spring MVC+MyBatis 框架技术精讲与整合案例[M]，北京：清华大学出版社，2019.</w:t>
      </w:r>
    </w:p>
    <w:p w14:paraId="328FEC78">
      <w:pPr>
        <w:pStyle w:val="140"/>
        <w:ind w:firstLine="480"/>
      </w:pPr>
    </w:p>
    <w:p w14:paraId="2B620034"/>
    <w:p w14:paraId="1ACE3FFD">
      <w:pPr>
        <w:pStyle w:val="10"/>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448A1193">
      <w:pPr>
        <w:pStyle w:val="3"/>
        <w:bidi w:val="0"/>
        <w:rPr>
          <w:rFonts w:hint="eastAsia"/>
        </w:rPr>
      </w:pPr>
      <w:bookmarkStart w:id="52" w:name="_Toc12328"/>
      <w:bookmarkStart w:id="53" w:name="_Toc29475"/>
      <w:r>
        <w:rPr>
          <w:rFonts w:hint="eastAsia"/>
          <w:lang w:val="en-US" w:eastAsia="zh-CN"/>
        </w:rPr>
        <w:t>2.</w:t>
      </w:r>
      <w:r>
        <w:rPr>
          <w:rFonts w:hint="eastAsia"/>
        </w:rPr>
        <w:t>基于springboot的运动服装商城管理系统</w:t>
      </w:r>
      <w:bookmarkEnd w:id="52"/>
      <w:bookmarkEnd w:id="53"/>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0D7D2D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C97BA44">
            <w:pPr>
              <w:jc w:val="left"/>
              <w:outlineLvl w:val="0"/>
              <w:rPr>
                <w:rFonts w:ascii="Calibri" w:hAnsi="Calibri" w:eastAsia="黑体"/>
                <w:szCs w:val="21"/>
              </w:rPr>
            </w:pPr>
            <w:bookmarkStart w:id="54" w:name="_Toc10177"/>
            <w:bookmarkStart w:id="55" w:name="_Toc8412"/>
            <w:r>
              <w:rPr>
                <w:rFonts w:hint="eastAsia" w:ascii="Calibri" w:hAnsi="Calibri" w:eastAsia="黑体"/>
                <w:sz w:val="24"/>
              </w:rPr>
              <w:t>项目主题：基于springboot的运动服装商城管理系统</w:t>
            </w:r>
            <w:bookmarkEnd w:id="54"/>
            <w:bookmarkEnd w:id="55"/>
          </w:p>
        </w:tc>
      </w:tr>
      <w:tr w14:paraId="2A1E19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0C2F100">
            <w:pPr>
              <w:jc w:val="left"/>
              <w:rPr>
                <w:rFonts w:ascii="Calibri" w:hAnsi="Calibri" w:eastAsia="黑体"/>
                <w:sz w:val="24"/>
              </w:rPr>
            </w:pPr>
            <w:r>
              <w:rPr>
                <w:rFonts w:hint="eastAsia" w:ascii="Calibri" w:hAnsi="Calibri" w:eastAsia="黑体"/>
                <w:sz w:val="24"/>
              </w:rPr>
              <w:t>班    级：23软件工程本科1班</w:t>
            </w:r>
          </w:p>
        </w:tc>
      </w:tr>
      <w:tr w14:paraId="161DD6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2488086">
            <w:pPr>
              <w:jc w:val="left"/>
              <w:rPr>
                <w:rFonts w:ascii="Calibri" w:hAnsi="Calibri" w:eastAsia="黑体"/>
                <w:szCs w:val="21"/>
              </w:rPr>
            </w:pPr>
            <w:r>
              <w:rPr>
                <w:rFonts w:hint="eastAsia" w:ascii="Calibri" w:hAnsi="Calibri" w:eastAsia="黑体"/>
                <w:sz w:val="24"/>
              </w:rPr>
              <w:t>学生姓名：曾春华、席康华、邓杰瑞、刘志淳    指导教师：钟治忠 罗远辉</w:t>
            </w:r>
          </w:p>
        </w:tc>
      </w:tr>
    </w:tbl>
    <w:p w14:paraId="77AC3EC2">
      <w:pPr>
        <w:spacing w:line="440" w:lineRule="exact"/>
        <w:outlineLvl w:val="9"/>
        <w:rPr>
          <w:rStyle w:val="152"/>
          <w:rFonts w:ascii="宋体" w:hAnsi="宋体"/>
        </w:rPr>
      </w:pPr>
      <w:bookmarkStart w:id="56" w:name="_Toc8056"/>
      <w:bookmarkStart w:id="57" w:name="_Toc5440"/>
      <w:r>
        <w:rPr>
          <w:rStyle w:val="152"/>
          <w:rFonts w:ascii="宋体" w:hAnsi="宋体"/>
        </w:rPr>
        <w:t>1 项目概述</w:t>
      </w:r>
      <w:bookmarkEnd w:id="56"/>
    </w:p>
    <w:bookmarkEnd w:id="57"/>
    <w:p w14:paraId="5A3A57D7">
      <w:pPr>
        <w:pStyle w:val="139"/>
        <w:ind w:firstLineChars="0"/>
        <w:outlineLvl w:val="9"/>
        <w:rPr>
          <w:b/>
          <w:bCs/>
          <w:sz w:val="28"/>
          <w:szCs w:val="28"/>
        </w:rPr>
      </w:pPr>
      <w:bookmarkStart w:id="58" w:name="_Toc13583"/>
      <w:r>
        <w:rPr>
          <w:rFonts w:hint="eastAsia"/>
          <w:b/>
          <w:bCs/>
          <w:sz w:val="28"/>
          <w:szCs w:val="28"/>
        </w:rPr>
        <w:t>1</w:t>
      </w:r>
      <w:r>
        <w:rPr>
          <w:b/>
          <w:bCs/>
          <w:sz w:val="28"/>
          <w:szCs w:val="28"/>
        </w:rPr>
        <w:t xml:space="preserve">.1 </w:t>
      </w:r>
      <w:r>
        <w:rPr>
          <w:rFonts w:hint="eastAsia"/>
          <w:b/>
          <w:bCs/>
          <w:sz w:val="28"/>
          <w:szCs w:val="28"/>
        </w:rPr>
        <w:t>项目介绍</w:t>
      </w:r>
      <w:bookmarkEnd w:id="58"/>
    </w:p>
    <w:p w14:paraId="429ECE41">
      <w:pPr>
        <w:pStyle w:val="140"/>
        <w:ind w:firstLine="480"/>
        <w:outlineLvl w:val="9"/>
      </w:pPr>
      <w:r>
        <w:rPr>
          <w:rFonts w:hint="eastAsia"/>
          <w:lang w:bidi="ar"/>
        </w:rPr>
        <w:t>本项目</w:t>
      </w:r>
      <w:r>
        <w:rPr>
          <w:lang w:bidi="ar"/>
        </w:rPr>
        <w:t>的主要目的是明确</w:t>
      </w:r>
      <w:r>
        <w:rPr>
          <w:rStyle w:val="38"/>
          <w:rFonts w:ascii="宋体" w:hAnsi="宋体" w:cs="宋体"/>
          <w:kern w:val="0"/>
          <w:lang w:bidi="ar"/>
        </w:rPr>
        <w:t>运动服装商城系统</w:t>
      </w:r>
      <w:r>
        <w:rPr>
          <w:lang w:bidi="ar"/>
        </w:rPr>
        <w:t>的建设初衷、核心目标以及它在整个业务运营中所处的地位。</w:t>
      </w:r>
    </w:p>
    <w:p w14:paraId="28CEA117">
      <w:pPr>
        <w:pStyle w:val="140"/>
        <w:ind w:firstLine="480"/>
        <w:outlineLvl w:val="9"/>
      </w:pPr>
      <w:r>
        <w:rPr>
          <w:lang w:bidi="ar"/>
        </w:rPr>
        <w:t>随着互联网技术的普及和人们消费习惯的改变，传统的线下实体销售模式已经无法完全满足现代运动服装品牌的发展需求。为了适应市场变化，拓宽销售渠道，并给广大运动爱好者提供一个更加便捷、舒适的购物环境，我们决定开发建设这套</w:t>
      </w:r>
      <w:r>
        <w:rPr>
          <w:rStyle w:val="38"/>
          <w:rFonts w:ascii="宋体" w:hAnsi="宋体" w:cs="宋体"/>
          <w:kern w:val="0"/>
          <w:lang w:bidi="ar"/>
        </w:rPr>
        <w:t>运动服装电子商务平台</w:t>
      </w:r>
      <w:r>
        <w:rPr>
          <w:lang w:bidi="ar"/>
        </w:rPr>
        <w:t>。</w:t>
      </w:r>
    </w:p>
    <w:p w14:paraId="243E38D7">
      <w:pPr>
        <w:pStyle w:val="140"/>
        <w:ind w:firstLine="480"/>
        <w:outlineLvl w:val="9"/>
      </w:pPr>
      <w:r>
        <w:rPr>
          <w:lang w:bidi="ar"/>
        </w:rPr>
        <w:t>本系统的核心目标是搭建一座连接商家与消费者的数字化桥梁。对于消费者而言，系统旨在提供一个界面友好、操作流畅的在线选购空间，让他们能够随时随地浏览最新的运动装备，查看详细的服装功能介绍（如透气性、弹性等），并享受安全快捷的在线支付和配送服务。对于商家而言，系统不仅是一个销售窗口，更是一个高效的管理工具，它将帮助我们实现商品信息的数字化管理、订单处理的自动化流转以及会员营销的精准化运作。</w:t>
      </w:r>
    </w:p>
    <w:p w14:paraId="09418714">
      <w:pPr>
        <w:pStyle w:val="140"/>
        <w:ind w:firstLine="480"/>
        <w:outlineLvl w:val="9"/>
      </w:pPr>
      <w:r>
        <w:rPr>
          <w:lang w:bidi="ar"/>
        </w:rPr>
        <w:t>通过本系统的实施，我们将打破时间和空间的限制，让运动服装的销售不再局限于实体店，从而提升品牌知名度，扩大市场份额，并最终实现业务增长与用户满意度的双赢。</w:t>
      </w:r>
    </w:p>
    <w:p w14:paraId="5AEC8531">
      <w:pPr>
        <w:pStyle w:val="139"/>
        <w:ind w:firstLine="562"/>
        <w:outlineLvl w:val="9"/>
        <w:rPr>
          <w:b/>
          <w:bCs/>
          <w:sz w:val="28"/>
          <w:szCs w:val="28"/>
        </w:rPr>
      </w:pPr>
      <w:bookmarkStart w:id="59" w:name="_Toc1473"/>
      <w:r>
        <w:rPr>
          <w:rFonts w:hint="eastAsia"/>
          <w:b/>
          <w:bCs/>
          <w:sz w:val="28"/>
          <w:szCs w:val="28"/>
        </w:rPr>
        <w:t>1.2 项目开发环境</w:t>
      </w:r>
      <w:bookmarkEnd w:id="59"/>
    </w:p>
    <w:p w14:paraId="4D909F86">
      <w:pPr>
        <w:pStyle w:val="140"/>
        <w:ind w:firstLine="480"/>
        <w:outlineLvl w:val="9"/>
      </w:pPr>
      <w:r>
        <w:rPr>
          <w:rFonts w:hint="eastAsia"/>
        </w:rPr>
        <w:t>项目开发环境的服务器端环境如下表1</w:t>
      </w:r>
      <w:r>
        <w:t>-1</w:t>
      </w:r>
      <w:r>
        <w:rPr>
          <w:rFonts w:hint="eastAsia"/>
        </w:rPr>
        <w:t>和1-</w:t>
      </w:r>
      <w:r>
        <w:t>2</w:t>
      </w:r>
      <w:r>
        <w:rPr>
          <w:rFonts w:hint="eastAsia"/>
        </w:rPr>
        <w:t>所示。</w:t>
      </w:r>
    </w:p>
    <w:p w14:paraId="5B7ECCC8">
      <w:pPr>
        <w:pStyle w:val="137"/>
        <w:outlineLvl w:val="9"/>
      </w:pPr>
      <w:r>
        <w:t>表</w:t>
      </w:r>
      <w:r>
        <w:rPr>
          <w:rFonts w:hint="eastAsia"/>
        </w:rPr>
        <w:t>1-</w:t>
      </w:r>
      <w:r>
        <w:t xml:space="preserve">1 </w:t>
      </w:r>
      <w:r>
        <w:rPr>
          <w:rFonts w:hint="eastAsia"/>
        </w:rPr>
        <w:t>服务器端硬件</w:t>
      </w:r>
    </w:p>
    <w:tbl>
      <w:tblPr>
        <w:tblStyle w:val="35"/>
        <w:tblW w:w="5000" w:type="pct"/>
        <w:tblInd w:w="0" w:type="dxa"/>
        <w:tblLayout w:type="autofit"/>
        <w:tblCellMar>
          <w:top w:w="0" w:type="dxa"/>
          <w:left w:w="108" w:type="dxa"/>
          <w:bottom w:w="0" w:type="dxa"/>
          <w:right w:w="108" w:type="dxa"/>
        </w:tblCellMar>
      </w:tblPr>
      <w:tblGrid>
        <w:gridCol w:w="4261"/>
        <w:gridCol w:w="4261"/>
      </w:tblGrid>
      <w:tr w14:paraId="31905E9C">
        <w:tblPrEx>
          <w:tblCellMar>
            <w:top w:w="0" w:type="dxa"/>
            <w:left w:w="108" w:type="dxa"/>
            <w:bottom w:w="0" w:type="dxa"/>
            <w:right w:w="108" w:type="dxa"/>
          </w:tblCellMar>
        </w:tblPrEx>
        <w:tc>
          <w:tcPr>
            <w:tcW w:w="2500" w:type="pct"/>
          </w:tcPr>
          <w:p w14:paraId="3F350F65">
            <w:pPr>
              <w:pStyle w:val="135"/>
              <w:outlineLvl w:val="9"/>
            </w:pPr>
            <w:r>
              <w:rPr>
                <w:rFonts w:hint="eastAsia"/>
              </w:rPr>
              <w:t xml:space="preserve">硬件 </w:t>
            </w:r>
          </w:p>
        </w:tc>
        <w:tc>
          <w:tcPr>
            <w:tcW w:w="2500" w:type="pct"/>
          </w:tcPr>
          <w:p w14:paraId="21FAC7CC">
            <w:pPr>
              <w:pStyle w:val="135"/>
              <w:outlineLvl w:val="9"/>
            </w:pPr>
            <w:r>
              <w:rPr>
                <w:rFonts w:hint="eastAsia"/>
              </w:rPr>
              <w:t>配置</w:t>
            </w:r>
          </w:p>
        </w:tc>
      </w:tr>
      <w:tr w14:paraId="2EE1A110">
        <w:tblPrEx>
          <w:tblCellMar>
            <w:top w:w="0" w:type="dxa"/>
            <w:left w:w="108" w:type="dxa"/>
            <w:bottom w:w="0" w:type="dxa"/>
            <w:right w:w="108" w:type="dxa"/>
          </w:tblCellMar>
        </w:tblPrEx>
        <w:tc>
          <w:tcPr>
            <w:tcW w:w="2500" w:type="pct"/>
          </w:tcPr>
          <w:p w14:paraId="7ABA3D31">
            <w:pPr>
              <w:pStyle w:val="135"/>
              <w:outlineLvl w:val="9"/>
            </w:pPr>
            <w:r>
              <w:t xml:space="preserve">CPU </w:t>
            </w:r>
          </w:p>
        </w:tc>
        <w:tc>
          <w:tcPr>
            <w:tcW w:w="2500" w:type="pct"/>
          </w:tcPr>
          <w:p w14:paraId="39629465">
            <w:pPr>
              <w:pStyle w:val="135"/>
              <w:outlineLvl w:val="9"/>
            </w:pPr>
            <w:r>
              <w:t>13th Gen Intel(R) Core(TM) i5-13500HX   2.50 GHz</w:t>
            </w:r>
          </w:p>
        </w:tc>
      </w:tr>
      <w:tr w14:paraId="4F458BA6">
        <w:tblPrEx>
          <w:tblCellMar>
            <w:top w:w="0" w:type="dxa"/>
            <w:left w:w="108" w:type="dxa"/>
            <w:bottom w:w="0" w:type="dxa"/>
            <w:right w:w="108" w:type="dxa"/>
          </w:tblCellMar>
        </w:tblPrEx>
        <w:tc>
          <w:tcPr>
            <w:tcW w:w="2500" w:type="pct"/>
          </w:tcPr>
          <w:p w14:paraId="6C674026">
            <w:pPr>
              <w:pStyle w:val="135"/>
              <w:outlineLvl w:val="9"/>
            </w:pPr>
            <w:r>
              <w:rPr>
                <w:rFonts w:hint="eastAsia"/>
              </w:rPr>
              <w:t>显卡</w:t>
            </w:r>
          </w:p>
        </w:tc>
        <w:tc>
          <w:tcPr>
            <w:tcW w:w="2500" w:type="pct"/>
          </w:tcPr>
          <w:p w14:paraId="3428EA5B">
            <w:pPr>
              <w:pStyle w:val="135"/>
              <w:outlineLvl w:val="9"/>
            </w:pPr>
            <w:r>
              <w:rPr>
                <w:rFonts w:hint="eastAsia"/>
              </w:rPr>
              <w:t>NVIDIA GeFore RTX4060Laptop GPU</w:t>
            </w:r>
          </w:p>
        </w:tc>
      </w:tr>
      <w:tr w14:paraId="6085F7D4">
        <w:tblPrEx>
          <w:tblCellMar>
            <w:top w:w="0" w:type="dxa"/>
            <w:left w:w="108" w:type="dxa"/>
            <w:bottom w:w="0" w:type="dxa"/>
            <w:right w:w="108" w:type="dxa"/>
          </w:tblCellMar>
        </w:tblPrEx>
        <w:tc>
          <w:tcPr>
            <w:tcW w:w="2500" w:type="pct"/>
          </w:tcPr>
          <w:p w14:paraId="602FA769">
            <w:pPr>
              <w:pStyle w:val="135"/>
              <w:outlineLvl w:val="9"/>
            </w:pPr>
            <w:r>
              <w:rPr>
                <w:rFonts w:hint="eastAsia"/>
              </w:rPr>
              <w:t xml:space="preserve">内存 </w:t>
            </w:r>
          </w:p>
        </w:tc>
        <w:tc>
          <w:tcPr>
            <w:tcW w:w="2500" w:type="pct"/>
          </w:tcPr>
          <w:p w14:paraId="5FF406BE">
            <w:pPr>
              <w:pStyle w:val="135"/>
              <w:outlineLvl w:val="9"/>
            </w:pPr>
            <w:r>
              <w:rPr>
                <w:rFonts w:hint="eastAsia"/>
              </w:rPr>
              <w:t>32.0GB</w:t>
            </w:r>
          </w:p>
        </w:tc>
      </w:tr>
      <w:tr w14:paraId="74A99EFF">
        <w:tblPrEx>
          <w:tblCellMar>
            <w:top w:w="0" w:type="dxa"/>
            <w:left w:w="108" w:type="dxa"/>
            <w:bottom w:w="0" w:type="dxa"/>
            <w:right w:w="108" w:type="dxa"/>
          </w:tblCellMar>
        </w:tblPrEx>
        <w:tc>
          <w:tcPr>
            <w:tcW w:w="2500" w:type="pct"/>
          </w:tcPr>
          <w:p w14:paraId="20B2C5AD">
            <w:pPr>
              <w:pStyle w:val="135"/>
              <w:outlineLvl w:val="9"/>
            </w:pPr>
            <w:r>
              <w:rPr>
                <w:rFonts w:hint="eastAsia"/>
              </w:rPr>
              <w:t>硬盘</w:t>
            </w:r>
          </w:p>
        </w:tc>
        <w:tc>
          <w:tcPr>
            <w:tcW w:w="2500" w:type="pct"/>
          </w:tcPr>
          <w:p w14:paraId="683E4238">
            <w:pPr>
              <w:pStyle w:val="135"/>
              <w:outlineLvl w:val="9"/>
            </w:pPr>
            <w:r>
              <w:rPr>
                <w:rFonts w:hint="eastAsia"/>
              </w:rPr>
              <w:t>SSD476.9GB</w:t>
            </w:r>
          </w:p>
          <w:p w14:paraId="64ACCEE4">
            <w:pPr>
              <w:pStyle w:val="135"/>
              <w:outlineLvl w:val="9"/>
            </w:pPr>
            <w:r>
              <w:rPr>
                <w:rFonts w:hint="eastAsia"/>
              </w:rPr>
              <w:t>SSD931.5GB</w:t>
            </w:r>
          </w:p>
        </w:tc>
      </w:tr>
    </w:tbl>
    <w:p w14:paraId="0023FEB0">
      <w:pPr>
        <w:pStyle w:val="137"/>
        <w:outlineLvl w:val="9"/>
      </w:pPr>
      <w:r>
        <w:t>表</w:t>
      </w:r>
      <w:r>
        <w:rPr>
          <w:rFonts w:hint="eastAsia"/>
        </w:rPr>
        <w:t>1-</w:t>
      </w:r>
      <w:r>
        <w:t xml:space="preserve">2 </w:t>
      </w:r>
      <w:r>
        <w:rPr>
          <w:rFonts w:hint="eastAsia"/>
        </w:rPr>
        <w:t>服务器端软件</w:t>
      </w:r>
    </w:p>
    <w:tbl>
      <w:tblPr>
        <w:tblStyle w:val="35"/>
        <w:tblW w:w="4927" w:type="pct"/>
        <w:tblInd w:w="0" w:type="dxa"/>
        <w:tblLayout w:type="autofit"/>
        <w:tblCellMar>
          <w:top w:w="0" w:type="dxa"/>
          <w:left w:w="108" w:type="dxa"/>
          <w:bottom w:w="0" w:type="dxa"/>
          <w:right w:w="108" w:type="dxa"/>
        </w:tblCellMar>
      </w:tblPr>
      <w:tblGrid>
        <w:gridCol w:w="4199"/>
        <w:gridCol w:w="4199"/>
      </w:tblGrid>
      <w:tr w14:paraId="15F4E5D3">
        <w:tblPrEx>
          <w:tblCellMar>
            <w:top w:w="0" w:type="dxa"/>
            <w:left w:w="108" w:type="dxa"/>
            <w:bottom w:w="0" w:type="dxa"/>
            <w:right w:w="108" w:type="dxa"/>
          </w:tblCellMar>
        </w:tblPrEx>
        <w:trPr>
          <w:trHeight w:val="476" w:hRule="atLeast"/>
        </w:trPr>
        <w:tc>
          <w:tcPr>
            <w:tcW w:w="2500" w:type="pct"/>
          </w:tcPr>
          <w:p w14:paraId="7928D25E">
            <w:pPr>
              <w:pStyle w:val="135"/>
              <w:outlineLvl w:val="9"/>
            </w:pPr>
            <w:r>
              <w:rPr>
                <w:rFonts w:hint="eastAsia"/>
              </w:rPr>
              <w:t>软件</w:t>
            </w:r>
          </w:p>
        </w:tc>
        <w:tc>
          <w:tcPr>
            <w:tcW w:w="2500" w:type="pct"/>
          </w:tcPr>
          <w:p w14:paraId="52D711E0">
            <w:pPr>
              <w:pStyle w:val="135"/>
              <w:outlineLvl w:val="9"/>
            </w:pPr>
            <w:r>
              <w:rPr>
                <w:rFonts w:hint="eastAsia"/>
              </w:rPr>
              <w:t>版本</w:t>
            </w:r>
          </w:p>
        </w:tc>
      </w:tr>
      <w:tr w14:paraId="5E7363C0">
        <w:tblPrEx>
          <w:tblCellMar>
            <w:top w:w="0" w:type="dxa"/>
            <w:left w:w="108" w:type="dxa"/>
            <w:bottom w:w="0" w:type="dxa"/>
            <w:right w:w="108" w:type="dxa"/>
          </w:tblCellMar>
        </w:tblPrEx>
        <w:trPr>
          <w:trHeight w:val="476" w:hRule="atLeast"/>
        </w:trPr>
        <w:tc>
          <w:tcPr>
            <w:tcW w:w="2500" w:type="pct"/>
          </w:tcPr>
          <w:p w14:paraId="071F516D">
            <w:pPr>
              <w:pStyle w:val="135"/>
              <w:outlineLvl w:val="9"/>
            </w:pPr>
            <w:r>
              <w:rPr>
                <w:rFonts w:hint="eastAsia"/>
              </w:rPr>
              <w:t>Spring Boot</w:t>
            </w:r>
          </w:p>
        </w:tc>
        <w:tc>
          <w:tcPr>
            <w:tcW w:w="2500" w:type="pct"/>
          </w:tcPr>
          <w:p w14:paraId="2A332A96">
            <w:pPr>
              <w:pStyle w:val="135"/>
              <w:outlineLvl w:val="9"/>
            </w:pPr>
            <w:r>
              <w:rPr>
                <w:rFonts w:hint="eastAsia"/>
              </w:rPr>
              <w:t>2.2.13.RELASE</w:t>
            </w:r>
          </w:p>
        </w:tc>
      </w:tr>
      <w:tr w14:paraId="06A7D5A8">
        <w:tblPrEx>
          <w:tblCellMar>
            <w:top w:w="0" w:type="dxa"/>
            <w:left w:w="108" w:type="dxa"/>
            <w:bottom w:w="0" w:type="dxa"/>
            <w:right w:w="108" w:type="dxa"/>
          </w:tblCellMar>
        </w:tblPrEx>
        <w:trPr>
          <w:trHeight w:val="476" w:hRule="atLeast"/>
        </w:trPr>
        <w:tc>
          <w:tcPr>
            <w:tcW w:w="2500" w:type="pct"/>
          </w:tcPr>
          <w:p w14:paraId="41ED9856">
            <w:pPr>
              <w:pStyle w:val="135"/>
              <w:outlineLvl w:val="9"/>
            </w:pPr>
            <w:r>
              <w:rPr>
                <w:rFonts w:hint="eastAsia"/>
              </w:rPr>
              <w:t>MYSQL</w:t>
            </w:r>
          </w:p>
        </w:tc>
        <w:tc>
          <w:tcPr>
            <w:tcW w:w="2500" w:type="pct"/>
          </w:tcPr>
          <w:p w14:paraId="048E5ECE">
            <w:pPr>
              <w:pStyle w:val="135"/>
              <w:outlineLvl w:val="9"/>
            </w:pPr>
            <w:r>
              <w:rPr>
                <w:rFonts w:hint="eastAsia"/>
              </w:rPr>
              <w:t>8.0.28</w:t>
            </w:r>
          </w:p>
        </w:tc>
      </w:tr>
      <w:tr w14:paraId="6ACC5491">
        <w:tblPrEx>
          <w:tblCellMar>
            <w:top w:w="0" w:type="dxa"/>
            <w:left w:w="108" w:type="dxa"/>
            <w:bottom w:w="0" w:type="dxa"/>
            <w:right w:w="108" w:type="dxa"/>
          </w:tblCellMar>
        </w:tblPrEx>
        <w:trPr>
          <w:trHeight w:val="476" w:hRule="atLeast"/>
        </w:trPr>
        <w:tc>
          <w:tcPr>
            <w:tcW w:w="2500" w:type="pct"/>
          </w:tcPr>
          <w:p w14:paraId="5E74EB5D">
            <w:pPr>
              <w:pStyle w:val="135"/>
              <w:outlineLvl w:val="9"/>
            </w:pPr>
            <w:r>
              <w:rPr>
                <w:rFonts w:hint="eastAsia"/>
              </w:rPr>
              <w:t xml:space="preserve">              Redis</w:t>
            </w:r>
          </w:p>
        </w:tc>
        <w:tc>
          <w:tcPr>
            <w:tcW w:w="2500" w:type="pct"/>
          </w:tcPr>
          <w:p w14:paraId="57ADECFE">
            <w:pPr>
              <w:pStyle w:val="135"/>
              <w:outlineLvl w:val="9"/>
            </w:pPr>
            <w:r>
              <w:rPr>
                <w:rFonts w:hint="eastAsia"/>
              </w:rPr>
              <w:t xml:space="preserve"> 5.1</w:t>
            </w:r>
          </w:p>
        </w:tc>
      </w:tr>
      <w:tr w14:paraId="1883CEAF">
        <w:tblPrEx>
          <w:tblCellMar>
            <w:top w:w="0" w:type="dxa"/>
            <w:left w:w="108" w:type="dxa"/>
            <w:bottom w:w="0" w:type="dxa"/>
            <w:right w:w="108" w:type="dxa"/>
          </w:tblCellMar>
        </w:tblPrEx>
        <w:trPr>
          <w:trHeight w:val="487" w:hRule="atLeast"/>
        </w:trPr>
        <w:tc>
          <w:tcPr>
            <w:tcW w:w="2500" w:type="pct"/>
          </w:tcPr>
          <w:p w14:paraId="7CE91C2C">
            <w:pPr>
              <w:pStyle w:val="135"/>
              <w:outlineLvl w:val="9"/>
            </w:pPr>
            <w:r>
              <w:rPr>
                <w:rFonts w:hint="eastAsia"/>
              </w:rPr>
              <w:t>MyBatis Plus</w:t>
            </w:r>
          </w:p>
        </w:tc>
        <w:tc>
          <w:tcPr>
            <w:tcW w:w="2500" w:type="pct"/>
          </w:tcPr>
          <w:p w14:paraId="0DDDE082">
            <w:pPr>
              <w:pStyle w:val="135"/>
              <w:outlineLvl w:val="9"/>
            </w:pPr>
            <w:r>
              <w:rPr>
                <w:rFonts w:hint="eastAsia"/>
              </w:rPr>
              <w:t>3.4.0</w:t>
            </w:r>
          </w:p>
        </w:tc>
      </w:tr>
    </w:tbl>
    <w:p w14:paraId="7AA0FA1A">
      <w:pPr>
        <w:pStyle w:val="140"/>
        <w:ind w:firstLine="480"/>
        <w:outlineLvl w:val="9"/>
      </w:pPr>
      <w:r>
        <w:rPr>
          <w:rFonts w:hint="eastAsia"/>
        </w:rPr>
        <w:t>项目开发环境的客户端环境如下表1-3和1-4所示。</w:t>
      </w:r>
    </w:p>
    <w:p w14:paraId="38E4D834">
      <w:pPr>
        <w:pStyle w:val="137"/>
        <w:outlineLvl w:val="9"/>
      </w:pPr>
      <w:r>
        <w:t>表</w:t>
      </w:r>
      <w:r>
        <w:rPr>
          <w:rFonts w:hint="eastAsia"/>
        </w:rPr>
        <w:t>1-</w:t>
      </w:r>
      <w:r>
        <w:t xml:space="preserve">3 </w:t>
      </w:r>
      <w:r>
        <w:rPr>
          <w:rFonts w:hint="eastAsia"/>
        </w:rPr>
        <w:t>客户端硬件</w:t>
      </w:r>
    </w:p>
    <w:tbl>
      <w:tblPr>
        <w:tblStyle w:val="35"/>
        <w:tblW w:w="4937" w:type="pct"/>
        <w:tblInd w:w="0" w:type="dxa"/>
        <w:tblLayout w:type="autofit"/>
        <w:tblCellMar>
          <w:top w:w="0" w:type="dxa"/>
          <w:left w:w="108" w:type="dxa"/>
          <w:bottom w:w="0" w:type="dxa"/>
          <w:right w:w="108" w:type="dxa"/>
        </w:tblCellMar>
      </w:tblPr>
      <w:tblGrid>
        <w:gridCol w:w="4206"/>
        <w:gridCol w:w="4209"/>
      </w:tblGrid>
      <w:tr w14:paraId="2DD6B1AD">
        <w:tblPrEx>
          <w:tblCellMar>
            <w:top w:w="0" w:type="dxa"/>
            <w:left w:w="108" w:type="dxa"/>
            <w:bottom w:w="0" w:type="dxa"/>
            <w:right w:w="108" w:type="dxa"/>
          </w:tblCellMar>
        </w:tblPrEx>
        <w:trPr>
          <w:trHeight w:val="459" w:hRule="atLeast"/>
        </w:trPr>
        <w:tc>
          <w:tcPr>
            <w:tcW w:w="2499" w:type="pct"/>
          </w:tcPr>
          <w:p w14:paraId="7652BB6A">
            <w:pPr>
              <w:pStyle w:val="135"/>
              <w:outlineLvl w:val="9"/>
            </w:pPr>
            <w:r>
              <w:rPr>
                <w:rFonts w:hint="eastAsia"/>
              </w:rPr>
              <w:t xml:space="preserve">硬件 </w:t>
            </w:r>
          </w:p>
        </w:tc>
        <w:tc>
          <w:tcPr>
            <w:tcW w:w="2500" w:type="pct"/>
          </w:tcPr>
          <w:p w14:paraId="11D8388C">
            <w:pPr>
              <w:pStyle w:val="135"/>
              <w:outlineLvl w:val="9"/>
            </w:pPr>
            <w:r>
              <w:rPr>
                <w:rFonts w:hint="eastAsia"/>
              </w:rPr>
              <w:t>配置</w:t>
            </w:r>
          </w:p>
        </w:tc>
      </w:tr>
      <w:tr w14:paraId="29F2ED37">
        <w:tblPrEx>
          <w:tblCellMar>
            <w:top w:w="0" w:type="dxa"/>
            <w:left w:w="108" w:type="dxa"/>
            <w:bottom w:w="0" w:type="dxa"/>
            <w:right w:w="108" w:type="dxa"/>
          </w:tblCellMar>
        </w:tblPrEx>
        <w:trPr>
          <w:trHeight w:val="898" w:hRule="atLeast"/>
        </w:trPr>
        <w:tc>
          <w:tcPr>
            <w:tcW w:w="2499" w:type="pct"/>
          </w:tcPr>
          <w:p w14:paraId="28D844DB">
            <w:pPr>
              <w:pStyle w:val="135"/>
              <w:outlineLvl w:val="9"/>
            </w:pPr>
            <w:r>
              <w:rPr>
                <w:rFonts w:hint="eastAsia"/>
              </w:rPr>
              <w:t>CPU</w:t>
            </w:r>
          </w:p>
        </w:tc>
        <w:tc>
          <w:tcPr>
            <w:tcW w:w="2500" w:type="pct"/>
          </w:tcPr>
          <w:p w14:paraId="5C29EEED">
            <w:pPr>
              <w:pStyle w:val="135"/>
              <w:outlineLvl w:val="9"/>
            </w:pPr>
            <w:r>
              <w:t>13th Gen Intel(R) Core(TM) i5-13500HX   2.50 GHz</w:t>
            </w:r>
          </w:p>
        </w:tc>
      </w:tr>
      <w:tr w14:paraId="44103561">
        <w:tblPrEx>
          <w:tblCellMar>
            <w:top w:w="0" w:type="dxa"/>
            <w:left w:w="108" w:type="dxa"/>
            <w:bottom w:w="0" w:type="dxa"/>
            <w:right w:w="108" w:type="dxa"/>
          </w:tblCellMar>
        </w:tblPrEx>
        <w:trPr>
          <w:trHeight w:val="459" w:hRule="atLeast"/>
        </w:trPr>
        <w:tc>
          <w:tcPr>
            <w:tcW w:w="2499" w:type="pct"/>
          </w:tcPr>
          <w:p w14:paraId="5F666DFA">
            <w:pPr>
              <w:pStyle w:val="135"/>
              <w:outlineLvl w:val="9"/>
            </w:pPr>
            <w:r>
              <w:rPr>
                <w:rFonts w:hint="eastAsia"/>
              </w:rPr>
              <w:t>显卡</w:t>
            </w:r>
          </w:p>
        </w:tc>
        <w:tc>
          <w:tcPr>
            <w:tcW w:w="2500" w:type="pct"/>
          </w:tcPr>
          <w:p w14:paraId="56EDDF74">
            <w:pPr>
              <w:pStyle w:val="135"/>
              <w:outlineLvl w:val="9"/>
            </w:pPr>
            <w:r>
              <w:rPr>
                <w:rFonts w:hint="eastAsia"/>
              </w:rPr>
              <w:t>NVIDIA GeFore RTX4060Laptop GPU</w:t>
            </w:r>
          </w:p>
        </w:tc>
      </w:tr>
      <w:tr w14:paraId="3EE034B6">
        <w:tblPrEx>
          <w:tblCellMar>
            <w:top w:w="0" w:type="dxa"/>
            <w:left w:w="108" w:type="dxa"/>
            <w:bottom w:w="0" w:type="dxa"/>
            <w:right w:w="108" w:type="dxa"/>
          </w:tblCellMar>
        </w:tblPrEx>
        <w:trPr>
          <w:trHeight w:val="459" w:hRule="atLeast"/>
        </w:trPr>
        <w:tc>
          <w:tcPr>
            <w:tcW w:w="2499" w:type="pct"/>
          </w:tcPr>
          <w:p w14:paraId="73750D91">
            <w:pPr>
              <w:pStyle w:val="135"/>
              <w:outlineLvl w:val="9"/>
            </w:pPr>
            <w:r>
              <w:rPr>
                <w:rFonts w:hint="eastAsia"/>
              </w:rPr>
              <w:t>内存</w:t>
            </w:r>
          </w:p>
        </w:tc>
        <w:tc>
          <w:tcPr>
            <w:tcW w:w="2500" w:type="pct"/>
          </w:tcPr>
          <w:p w14:paraId="1973B35F">
            <w:pPr>
              <w:pStyle w:val="135"/>
              <w:outlineLvl w:val="9"/>
            </w:pPr>
            <w:r>
              <w:rPr>
                <w:rFonts w:hint="eastAsia"/>
              </w:rPr>
              <w:t>32.0GB</w:t>
            </w:r>
          </w:p>
        </w:tc>
      </w:tr>
      <w:tr w14:paraId="67C05EDB">
        <w:tblPrEx>
          <w:tblCellMar>
            <w:top w:w="0" w:type="dxa"/>
            <w:left w:w="108" w:type="dxa"/>
            <w:bottom w:w="0" w:type="dxa"/>
            <w:right w:w="108" w:type="dxa"/>
          </w:tblCellMar>
        </w:tblPrEx>
        <w:trPr>
          <w:trHeight w:val="918" w:hRule="atLeast"/>
        </w:trPr>
        <w:tc>
          <w:tcPr>
            <w:tcW w:w="2499" w:type="pct"/>
          </w:tcPr>
          <w:p w14:paraId="1EC76FB8">
            <w:pPr>
              <w:pStyle w:val="135"/>
              <w:outlineLvl w:val="9"/>
            </w:pPr>
            <w:r>
              <w:rPr>
                <w:rFonts w:hint="eastAsia"/>
              </w:rPr>
              <w:t>硬盘</w:t>
            </w:r>
          </w:p>
        </w:tc>
        <w:tc>
          <w:tcPr>
            <w:tcW w:w="2500" w:type="pct"/>
          </w:tcPr>
          <w:p w14:paraId="320BD84F">
            <w:pPr>
              <w:pStyle w:val="135"/>
              <w:outlineLvl w:val="9"/>
            </w:pPr>
            <w:r>
              <w:rPr>
                <w:rFonts w:hint="eastAsia"/>
              </w:rPr>
              <w:t>SSD476.9GB</w:t>
            </w:r>
          </w:p>
          <w:p w14:paraId="7EE97DCF">
            <w:pPr>
              <w:pStyle w:val="135"/>
              <w:outlineLvl w:val="9"/>
            </w:pPr>
            <w:r>
              <w:rPr>
                <w:rFonts w:hint="eastAsia"/>
              </w:rPr>
              <w:t>SSD931.5GB</w:t>
            </w:r>
          </w:p>
        </w:tc>
      </w:tr>
    </w:tbl>
    <w:p w14:paraId="3CCFAC46">
      <w:pPr>
        <w:pStyle w:val="137"/>
        <w:outlineLvl w:val="9"/>
      </w:pPr>
      <w:r>
        <w:t>表</w:t>
      </w:r>
      <w:r>
        <w:rPr>
          <w:rFonts w:hint="eastAsia"/>
        </w:rPr>
        <w:t>1-</w:t>
      </w:r>
      <w:r>
        <w:t xml:space="preserve">4 </w:t>
      </w:r>
      <w:r>
        <w:rPr>
          <w:rFonts w:hint="eastAsia"/>
        </w:rPr>
        <w:t>客户端软件</w:t>
      </w:r>
    </w:p>
    <w:tbl>
      <w:tblPr>
        <w:tblStyle w:val="35"/>
        <w:tblW w:w="4950" w:type="pct"/>
        <w:tblInd w:w="0" w:type="dxa"/>
        <w:tblLayout w:type="autofit"/>
        <w:tblCellMar>
          <w:top w:w="0" w:type="dxa"/>
          <w:left w:w="108" w:type="dxa"/>
          <w:bottom w:w="0" w:type="dxa"/>
          <w:right w:w="108" w:type="dxa"/>
        </w:tblCellMar>
      </w:tblPr>
      <w:tblGrid>
        <w:gridCol w:w="4218"/>
        <w:gridCol w:w="4219"/>
      </w:tblGrid>
      <w:tr w14:paraId="6A6E7254">
        <w:tblPrEx>
          <w:tblCellMar>
            <w:top w:w="0" w:type="dxa"/>
            <w:left w:w="108" w:type="dxa"/>
            <w:bottom w:w="0" w:type="dxa"/>
            <w:right w:w="108" w:type="dxa"/>
          </w:tblCellMar>
        </w:tblPrEx>
        <w:trPr>
          <w:trHeight w:val="439" w:hRule="atLeast"/>
        </w:trPr>
        <w:tc>
          <w:tcPr>
            <w:tcW w:w="2500" w:type="pct"/>
          </w:tcPr>
          <w:p w14:paraId="7D5B8BF0">
            <w:pPr>
              <w:pStyle w:val="135"/>
              <w:outlineLvl w:val="9"/>
            </w:pPr>
            <w:r>
              <w:rPr>
                <w:rFonts w:hint="eastAsia"/>
              </w:rPr>
              <w:t>软件</w:t>
            </w:r>
          </w:p>
        </w:tc>
        <w:tc>
          <w:tcPr>
            <w:tcW w:w="2500" w:type="pct"/>
          </w:tcPr>
          <w:p w14:paraId="4F8EF948">
            <w:pPr>
              <w:pStyle w:val="135"/>
              <w:outlineLvl w:val="9"/>
            </w:pPr>
            <w:r>
              <w:rPr>
                <w:rFonts w:hint="eastAsia"/>
              </w:rPr>
              <w:t>版本</w:t>
            </w:r>
          </w:p>
        </w:tc>
      </w:tr>
      <w:tr w14:paraId="61108F34">
        <w:tblPrEx>
          <w:tblCellMar>
            <w:top w:w="0" w:type="dxa"/>
            <w:left w:w="108" w:type="dxa"/>
            <w:bottom w:w="0" w:type="dxa"/>
            <w:right w:w="108" w:type="dxa"/>
          </w:tblCellMar>
        </w:tblPrEx>
        <w:trPr>
          <w:trHeight w:val="439" w:hRule="atLeast"/>
        </w:trPr>
        <w:tc>
          <w:tcPr>
            <w:tcW w:w="2500" w:type="pct"/>
          </w:tcPr>
          <w:p w14:paraId="3AF15F10">
            <w:pPr>
              <w:pStyle w:val="135"/>
              <w:outlineLvl w:val="9"/>
            </w:pPr>
            <w:r>
              <w:rPr>
                <w:rFonts w:hint="eastAsia"/>
              </w:rPr>
              <w:t>Node.js</w:t>
            </w:r>
          </w:p>
        </w:tc>
        <w:tc>
          <w:tcPr>
            <w:tcW w:w="2500" w:type="pct"/>
          </w:tcPr>
          <w:p w14:paraId="222EA095">
            <w:pPr>
              <w:pStyle w:val="135"/>
              <w:outlineLvl w:val="9"/>
            </w:pPr>
            <w:r>
              <w:rPr>
                <w:rFonts w:hint="eastAsia"/>
              </w:rPr>
              <w:t>8.9</w:t>
            </w:r>
          </w:p>
        </w:tc>
      </w:tr>
      <w:tr w14:paraId="297DFB60">
        <w:tblPrEx>
          <w:tblCellMar>
            <w:top w:w="0" w:type="dxa"/>
            <w:left w:w="108" w:type="dxa"/>
            <w:bottom w:w="0" w:type="dxa"/>
            <w:right w:w="108" w:type="dxa"/>
          </w:tblCellMar>
        </w:tblPrEx>
        <w:trPr>
          <w:trHeight w:val="439" w:hRule="atLeast"/>
        </w:trPr>
        <w:tc>
          <w:tcPr>
            <w:tcW w:w="2500" w:type="pct"/>
          </w:tcPr>
          <w:p w14:paraId="28D82293">
            <w:pPr>
              <w:pStyle w:val="135"/>
              <w:outlineLvl w:val="9"/>
            </w:pPr>
            <w:r>
              <w:rPr>
                <w:rFonts w:hint="eastAsia"/>
              </w:rPr>
              <w:t>npm</w:t>
            </w:r>
          </w:p>
        </w:tc>
        <w:tc>
          <w:tcPr>
            <w:tcW w:w="2500" w:type="pct"/>
          </w:tcPr>
          <w:p w14:paraId="6632763F">
            <w:pPr>
              <w:pStyle w:val="135"/>
              <w:outlineLvl w:val="9"/>
            </w:pPr>
            <w:r>
              <w:rPr>
                <w:rFonts w:hint="eastAsia"/>
              </w:rPr>
              <w:t>3.0.0</w:t>
            </w:r>
          </w:p>
        </w:tc>
      </w:tr>
      <w:tr w14:paraId="7DEE9948">
        <w:tblPrEx>
          <w:tblCellMar>
            <w:top w:w="0" w:type="dxa"/>
            <w:left w:w="108" w:type="dxa"/>
            <w:bottom w:w="0" w:type="dxa"/>
            <w:right w:w="108" w:type="dxa"/>
          </w:tblCellMar>
        </w:tblPrEx>
        <w:trPr>
          <w:trHeight w:val="439" w:hRule="atLeast"/>
        </w:trPr>
        <w:tc>
          <w:tcPr>
            <w:tcW w:w="2500" w:type="pct"/>
          </w:tcPr>
          <w:p w14:paraId="31EE0FC5">
            <w:pPr>
              <w:pStyle w:val="135"/>
              <w:outlineLvl w:val="9"/>
            </w:pPr>
            <w:r>
              <w:rPr>
                <w:rFonts w:hint="eastAsia"/>
              </w:rPr>
              <w:t>Vue.js</w:t>
            </w:r>
          </w:p>
        </w:tc>
        <w:tc>
          <w:tcPr>
            <w:tcW w:w="2500" w:type="pct"/>
          </w:tcPr>
          <w:p w14:paraId="613F580C">
            <w:pPr>
              <w:pStyle w:val="135"/>
              <w:outlineLvl w:val="9"/>
            </w:pPr>
            <w:r>
              <w:rPr>
                <w:rFonts w:hint="eastAsia"/>
              </w:rPr>
              <w:t>2.6.12</w:t>
            </w:r>
          </w:p>
        </w:tc>
      </w:tr>
      <w:tr w14:paraId="77CE59A6">
        <w:tblPrEx>
          <w:tblCellMar>
            <w:top w:w="0" w:type="dxa"/>
            <w:left w:w="108" w:type="dxa"/>
            <w:bottom w:w="0" w:type="dxa"/>
            <w:right w:w="108" w:type="dxa"/>
          </w:tblCellMar>
        </w:tblPrEx>
        <w:trPr>
          <w:trHeight w:val="448" w:hRule="atLeast"/>
        </w:trPr>
        <w:tc>
          <w:tcPr>
            <w:tcW w:w="2500" w:type="pct"/>
          </w:tcPr>
          <w:p w14:paraId="75A6D1A3">
            <w:pPr>
              <w:pStyle w:val="135"/>
              <w:outlineLvl w:val="9"/>
            </w:pPr>
            <w:r>
              <w:rPr>
                <w:rFonts w:hint="eastAsia"/>
              </w:rPr>
              <w:t>Vue CLI</w:t>
            </w:r>
          </w:p>
        </w:tc>
        <w:tc>
          <w:tcPr>
            <w:tcW w:w="2500" w:type="pct"/>
          </w:tcPr>
          <w:p w14:paraId="4CDA5F1E">
            <w:pPr>
              <w:pStyle w:val="135"/>
              <w:outlineLvl w:val="9"/>
            </w:pPr>
            <w:r>
              <w:rPr>
                <w:rFonts w:hint="eastAsia"/>
              </w:rPr>
              <w:t>4.4.6</w:t>
            </w:r>
          </w:p>
        </w:tc>
      </w:tr>
    </w:tbl>
    <w:p w14:paraId="1224A009">
      <w:pPr>
        <w:pStyle w:val="139"/>
        <w:ind w:firstLine="281" w:firstLineChars="100"/>
        <w:outlineLvl w:val="9"/>
        <w:rPr>
          <w:b/>
          <w:bCs/>
          <w:sz w:val="28"/>
          <w:szCs w:val="28"/>
        </w:rPr>
      </w:pPr>
      <w:bookmarkStart w:id="60" w:name="_Toc2107"/>
      <w:r>
        <w:rPr>
          <w:rFonts w:hint="eastAsia"/>
          <w:b/>
          <w:bCs/>
          <w:sz w:val="28"/>
          <w:szCs w:val="28"/>
        </w:rPr>
        <w:t>1.3 小组</w:t>
      </w:r>
      <w:r>
        <w:rPr>
          <w:b/>
          <w:bCs/>
          <w:sz w:val="28"/>
          <w:szCs w:val="28"/>
        </w:rPr>
        <w:t>人员及分工</w:t>
      </w:r>
      <w:bookmarkEnd w:id="60"/>
    </w:p>
    <w:p w14:paraId="603A3220">
      <w:pPr>
        <w:pStyle w:val="140"/>
        <w:ind w:firstLine="480"/>
        <w:outlineLvl w:val="9"/>
        <w:rPr>
          <w:rFonts w:ascii="宋体" w:hAnsi="宋体" w:cs="宋体"/>
          <w:sz w:val="24"/>
        </w:rPr>
      </w:pPr>
      <w:r>
        <w:rPr>
          <w:rFonts w:hint="eastAsia" w:ascii="宋体" w:hAnsi="宋体" w:cs="宋体"/>
          <w:sz w:val="24"/>
        </w:rPr>
        <w:t>第八组小组人员名单以及</w:t>
      </w:r>
      <w:r>
        <w:rPr>
          <w:rFonts w:hint="eastAsia"/>
        </w:rPr>
        <w:t>负责</w:t>
      </w:r>
      <w:r>
        <w:rPr>
          <w:rFonts w:hint="eastAsia" w:ascii="宋体" w:hAnsi="宋体" w:cs="宋体"/>
          <w:sz w:val="24"/>
        </w:rPr>
        <w:t>工作如下表1-5所示。</w:t>
      </w:r>
    </w:p>
    <w:p w14:paraId="5C74338C">
      <w:pPr>
        <w:pStyle w:val="146"/>
        <w:outlineLvl w:val="9"/>
        <w:rPr>
          <w:rFonts w:hint="default" w:eastAsia="宋体"/>
          <w:lang w:val="en-US" w:eastAsia="zh-CN"/>
        </w:rPr>
      </w:pPr>
      <w:r>
        <w:rPr>
          <w:rFonts w:hint="eastAsia"/>
        </w:rPr>
        <w:t>表1-5</w:t>
      </w:r>
      <w:r>
        <w:rPr>
          <w:rFonts w:hint="eastAsia"/>
          <w:lang w:val="en-US" w:eastAsia="zh-CN"/>
        </w:rPr>
        <w:t xml:space="preserve"> 人员分工情况</w:t>
      </w:r>
    </w:p>
    <w:tbl>
      <w:tblPr>
        <w:tblStyle w:val="35"/>
        <w:tblW w:w="0" w:type="auto"/>
        <w:tblInd w:w="0" w:type="dxa"/>
        <w:tblLayout w:type="autofit"/>
        <w:tblCellMar>
          <w:top w:w="0" w:type="dxa"/>
          <w:left w:w="108" w:type="dxa"/>
          <w:bottom w:w="0" w:type="dxa"/>
          <w:right w:w="108" w:type="dxa"/>
        </w:tblCellMar>
      </w:tblPr>
      <w:tblGrid>
        <w:gridCol w:w="1538"/>
        <w:gridCol w:w="1812"/>
        <w:gridCol w:w="1675"/>
        <w:gridCol w:w="1675"/>
        <w:gridCol w:w="1678"/>
      </w:tblGrid>
      <w:tr w14:paraId="3617A78F">
        <w:tblPrEx>
          <w:tblCellMar>
            <w:top w:w="0" w:type="dxa"/>
            <w:left w:w="108" w:type="dxa"/>
            <w:bottom w:w="0" w:type="dxa"/>
            <w:right w:w="108" w:type="dxa"/>
          </w:tblCellMar>
        </w:tblPrEx>
        <w:trPr>
          <w:trHeight w:val="485" w:hRule="atLeast"/>
        </w:trPr>
        <w:tc>
          <w:tcPr>
            <w:tcW w:w="1538" w:type="dxa"/>
            <w:vMerge w:val="restart"/>
          </w:tcPr>
          <w:p w14:paraId="0BE667AC">
            <w:pPr>
              <w:pStyle w:val="140"/>
              <w:ind w:firstLine="0" w:firstLineChars="0"/>
              <w:outlineLvl w:val="9"/>
              <w:rPr>
                <w:sz w:val="21"/>
                <w:szCs w:val="21"/>
              </w:rPr>
            </w:pPr>
          </w:p>
        </w:tc>
        <w:tc>
          <w:tcPr>
            <w:tcW w:w="1812" w:type="dxa"/>
          </w:tcPr>
          <w:p w14:paraId="60929899">
            <w:pPr>
              <w:pStyle w:val="140"/>
              <w:ind w:firstLine="0" w:firstLineChars="0"/>
              <w:jc w:val="center"/>
              <w:outlineLvl w:val="9"/>
              <w:rPr>
                <w:sz w:val="21"/>
                <w:szCs w:val="21"/>
              </w:rPr>
            </w:pPr>
            <w:r>
              <w:rPr>
                <w:rFonts w:hint="eastAsia"/>
                <w:sz w:val="21"/>
                <w:szCs w:val="21"/>
              </w:rPr>
              <w:t>组长</w:t>
            </w:r>
          </w:p>
        </w:tc>
        <w:tc>
          <w:tcPr>
            <w:tcW w:w="5028" w:type="dxa"/>
            <w:gridSpan w:val="3"/>
          </w:tcPr>
          <w:p w14:paraId="76E19F4F">
            <w:pPr>
              <w:pStyle w:val="140"/>
              <w:ind w:firstLine="0" w:firstLineChars="0"/>
              <w:jc w:val="center"/>
              <w:outlineLvl w:val="9"/>
              <w:rPr>
                <w:sz w:val="21"/>
                <w:szCs w:val="21"/>
              </w:rPr>
            </w:pPr>
            <w:r>
              <w:rPr>
                <w:rFonts w:hint="eastAsia"/>
                <w:sz w:val="21"/>
                <w:szCs w:val="21"/>
              </w:rPr>
              <w:t>组员</w:t>
            </w:r>
          </w:p>
        </w:tc>
      </w:tr>
      <w:tr w14:paraId="3269AC29">
        <w:tblPrEx>
          <w:tblCellMar>
            <w:top w:w="0" w:type="dxa"/>
            <w:left w:w="108" w:type="dxa"/>
            <w:bottom w:w="0" w:type="dxa"/>
            <w:right w:w="108" w:type="dxa"/>
          </w:tblCellMar>
        </w:tblPrEx>
        <w:trPr>
          <w:trHeight w:val="485" w:hRule="atLeast"/>
        </w:trPr>
        <w:tc>
          <w:tcPr>
            <w:tcW w:w="1538" w:type="dxa"/>
            <w:vMerge w:val="continue"/>
          </w:tcPr>
          <w:p w14:paraId="62DE3029">
            <w:pPr>
              <w:pStyle w:val="140"/>
              <w:ind w:firstLine="0" w:firstLineChars="0"/>
              <w:outlineLvl w:val="9"/>
              <w:rPr>
                <w:sz w:val="21"/>
                <w:szCs w:val="21"/>
              </w:rPr>
            </w:pPr>
          </w:p>
        </w:tc>
        <w:tc>
          <w:tcPr>
            <w:tcW w:w="1812" w:type="dxa"/>
          </w:tcPr>
          <w:p w14:paraId="1FECF087">
            <w:pPr>
              <w:pStyle w:val="140"/>
              <w:ind w:firstLine="0" w:firstLineChars="0"/>
              <w:jc w:val="center"/>
              <w:outlineLvl w:val="9"/>
              <w:rPr>
                <w:sz w:val="21"/>
                <w:szCs w:val="21"/>
              </w:rPr>
            </w:pPr>
            <w:r>
              <w:rPr>
                <w:rFonts w:hint="eastAsia"/>
                <w:sz w:val="21"/>
                <w:szCs w:val="21"/>
              </w:rPr>
              <w:t>曾春华</w:t>
            </w:r>
          </w:p>
        </w:tc>
        <w:tc>
          <w:tcPr>
            <w:tcW w:w="1675" w:type="dxa"/>
          </w:tcPr>
          <w:p w14:paraId="098CE7A7">
            <w:pPr>
              <w:pStyle w:val="140"/>
              <w:ind w:firstLine="0" w:firstLineChars="0"/>
              <w:jc w:val="center"/>
              <w:outlineLvl w:val="9"/>
              <w:rPr>
                <w:sz w:val="21"/>
                <w:szCs w:val="21"/>
              </w:rPr>
            </w:pPr>
            <w:r>
              <w:rPr>
                <w:rFonts w:hint="eastAsia"/>
                <w:sz w:val="21"/>
                <w:szCs w:val="21"/>
              </w:rPr>
              <w:t>席康华</w:t>
            </w:r>
          </w:p>
        </w:tc>
        <w:tc>
          <w:tcPr>
            <w:tcW w:w="1675" w:type="dxa"/>
          </w:tcPr>
          <w:p w14:paraId="1ECD788F">
            <w:pPr>
              <w:pStyle w:val="140"/>
              <w:ind w:firstLine="0" w:firstLineChars="0"/>
              <w:jc w:val="center"/>
              <w:outlineLvl w:val="9"/>
              <w:rPr>
                <w:sz w:val="21"/>
                <w:szCs w:val="21"/>
              </w:rPr>
            </w:pPr>
            <w:r>
              <w:rPr>
                <w:rFonts w:hint="eastAsia"/>
                <w:sz w:val="21"/>
                <w:szCs w:val="21"/>
              </w:rPr>
              <w:t>邓杰瑞</w:t>
            </w:r>
          </w:p>
        </w:tc>
        <w:tc>
          <w:tcPr>
            <w:tcW w:w="1678" w:type="dxa"/>
          </w:tcPr>
          <w:p w14:paraId="76F4CFFA">
            <w:pPr>
              <w:pStyle w:val="140"/>
              <w:ind w:firstLine="0" w:firstLineChars="0"/>
              <w:jc w:val="center"/>
              <w:outlineLvl w:val="9"/>
              <w:rPr>
                <w:b/>
                <w:bCs/>
                <w:sz w:val="21"/>
                <w:szCs w:val="21"/>
              </w:rPr>
            </w:pPr>
            <w:r>
              <w:rPr>
                <w:rFonts w:hint="eastAsia"/>
                <w:sz w:val="21"/>
                <w:szCs w:val="21"/>
              </w:rPr>
              <w:t>刘志淳</w:t>
            </w:r>
          </w:p>
        </w:tc>
      </w:tr>
      <w:tr w14:paraId="31A84687">
        <w:tblPrEx>
          <w:tblCellMar>
            <w:top w:w="0" w:type="dxa"/>
            <w:left w:w="108" w:type="dxa"/>
            <w:bottom w:w="0" w:type="dxa"/>
            <w:right w:w="108" w:type="dxa"/>
          </w:tblCellMar>
        </w:tblPrEx>
        <w:trPr>
          <w:trHeight w:val="495" w:hRule="atLeast"/>
        </w:trPr>
        <w:tc>
          <w:tcPr>
            <w:tcW w:w="1538" w:type="dxa"/>
          </w:tcPr>
          <w:p w14:paraId="57E4C46F">
            <w:pPr>
              <w:pStyle w:val="140"/>
              <w:ind w:firstLine="0" w:firstLineChars="0"/>
              <w:jc w:val="center"/>
              <w:outlineLvl w:val="9"/>
              <w:rPr>
                <w:sz w:val="21"/>
                <w:szCs w:val="21"/>
              </w:rPr>
            </w:pPr>
            <w:r>
              <w:rPr>
                <w:rFonts w:hint="eastAsia"/>
                <w:sz w:val="21"/>
                <w:szCs w:val="21"/>
              </w:rPr>
              <w:t>负责工作</w:t>
            </w:r>
          </w:p>
        </w:tc>
        <w:tc>
          <w:tcPr>
            <w:tcW w:w="1812" w:type="dxa"/>
          </w:tcPr>
          <w:p w14:paraId="0B6812D2">
            <w:pPr>
              <w:pStyle w:val="140"/>
              <w:ind w:firstLine="0" w:firstLineChars="0"/>
              <w:jc w:val="center"/>
              <w:outlineLvl w:val="9"/>
              <w:rPr>
                <w:sz w:val="21"/>
                <w:szCs w:val="21"/>
              </w:rPr>
            </w:pPr>
            <w:r>
              <w:rPr>
                <w:rFonts w:hint="eastAsia"/>
                <w:sz w:val="21"/>
                <w:szCs w:val="21"/>
              </w:rPr>
              <w:t>海报制作、文档编辑、材料整合</w:t>
            </w:r>
          </w:p>
        </w:tc>
        <w:tc>
          <w:tcPr>
            <w:tcW w:w="1675" w:type="dxa"/>
          </w:tcPr>
          <w:p w14:paraId="561DB162">
            <w:pPr>
              <w:pStyle w:val="140"/>
              <w:ind w:firstLine="0" w:firstLineChars="0"/>
              <w:jc w:val="center"/>
              <w:outlineLvl w:val="9"/>
              <w:rPr>
                <w:sz w:val="21"/>
                <w:szCs w:val="21"/>
              </w:rPr>
            </w:pPr>
            <w:r>
              <w:rPr>
                <w:rFonts w:hint="eastAsia"/>
                <w:sz w:val="21"/>
                <w:szCs w:val="21"/>
              </w:rPr>
              <w:t>系统全端、心得体会、文档编辑</w:t>
            </w:r>
          </w:p>
        </w:tc>
        <w:tc>
          <w:tcPr>
            <w:tcW w:w="1675" w:type="dxa"/>
          </w:tcPr>
          <w:p w14:paraId="637754D8">
            <w:pPr>
              <w:pStyle w:val="140"/>
              <w:ind w:firstLine="0" w:firstLineChars="0"/>
              <w:jc w:val="center"/>
              <w:outlineLvl w:val="9"/>
              <w:rPr>
                <w:sz w:val="21"/>
                <w:szCs w:val="21"/>
              </w:rPr>
            </w:pPr>
            <w:r>
              <w:rPr>
                <w:rFonts w:hint="eastAsia"/>
                <w:sz w:val="21"/>
                <w:szCs w:val="21"/>
              </w:rPr>
              <w:t>文档编辑、设计概要</w:t>
            </w:r>
          </w:p>
        </w:tc>
        <w:tc>
          <w:tcPr>
            <w:tcW w:w="1678" w:type="dxa"/>
          </w:tcPr>
          <w:p w14:paraId="43FB1FBA">
            <w:pPr>
              <w:pStyle w:val="140"/>
              <w:ind w:firstLine="0" w:firstLineChars="0"/>
              <w:jc w:val="center"/>
              <w:outlineLvl w:val="9"/>
              <w:rPr>
                <w:sz w:val="21"/>
                <w:szCs w:val="21"/>
              </w:rPr>
            </w:pPr>
            <w:r>
              <w:rPr>
                <w:rFonts w:hint="eastAsia"/>
                <w:sz w:val="21"/>
                <w:szCs w:val="21"/>
              </w:rPr>
              <w:t>答辩展示、文档编辑</w:t>
            </w:r>
          </w:p>
        </w:tc>
      </w:tr>
    </w:tbl>
    <w:p w14:paraId="2987BC36">
      <w:pPr>
        <w:pStyle w:val="151"/>
        <w:outlineLvl w:val="9"/>
        <w:rPr>
          <w:rFonts w:ascii="宋体" w:hAnsi="宋体"/>
        </w:rPr>
      </w:pPr>
      <w:bookmarkStart w:id="61" w:name="_Toc26703"/>
      <w:r>
        <w:rPr>
          <w:rFonts w:ascii="宋体" w:hAnsi="宋体"/>
        </w:rPr>
        <w:t>2 需求分析</w:t>
      </w:r>
      <w:bookmarkEnd w:id="61"/>
    </w:p>
    <w:p w14:paraId="75066B7E">
      <w:pPr>
        <w:pStyle w:val="139"/>
        <w:ind w:firstLine="562"/>
        <w:outlineLvl w:val="9"/>
        <w:rPr>
          <w:b/>
          <w:bCs/>
        </w:rPr>
      </w:pPr>
      <w:bookmarkStart w:id="62" w:name="_Toc511"/>
      <w:r>
        <w:rPr>
          <w:rFonts w:hint="eastAsia"/>
          <w:b/>
          <w:bCs/>
          <w:sz w:val="28"/>
          <w:szCs w:val="28"/>
        </w:rPr>
        <w:t>2.1 系统需求分析</w:t>
      </w:r>
      <w:bookmarkEnd w:id="62"/>
      <w:r>
        <w:rPr>
          <w:rFonts w:hint="eastAsia"/>
          <w:b/>
          <w:bCs/>
        </w:rPr>
        <w:t xml:space="preserve">  </w:t>
      </w:r>
    </w:p>
    <w:p w14:paraId="68A3DCD1">
      <w:pPr>
        <w:pStyle w:val="140"/>
        <w:ind w:firstLine="480"/>
        <w:outlineLvl w:val="9"/>
      </w:pPr>
      <w:r>
        <w:rPr>
          <w:rFonts w:hint="eastAsia"/>
        </w:rPr>
        <w:t>着手开发这套运动服装商城之前，我们首先需要明确系统到底“要做什么”以及“为谁服务”。经过对当前运动服装销售市场的调研和分析，我们发现系统主要需要解决以下几个核心问题。</w:t>
      </w:r>
    </w:p>
    <w:p w14:paraId="0F1CD510">
      <w:pPr>
        <w:pStyle w:val="140"/>
        <w:ind w:firstLine="480"/>
        <w:outlineLvl w:val="9"/>
      </w:pPr>
      <w:r>
        <w:rPr>
          <w:rFonts w:hint="eastAsia"/>
        </w:rPr>
        <w:t>首先，从用户的角度来看，系统必须具备一个直观、美观的商品展示窗口。因为运动服装不同于普通商品，用户非常看重面料的功能性（如速干、透气、保暖）以及版型的合身度。因此，系统需要支持高清图片展示、详细的参数说明（尺码表、材质成分）以及用户真实的评价晒单，帮助顾客在线上也能做出准确的购买决策。同时，为了提升购物的便捷性，系统必须支持主流的移动支付方式，并提供流畅的下单、查单和退换货流程。</w:t>
      </w:r>
    </w:p>
    <w:p w14:paraId="02D8E675">
      <w:pPr>
        <w:pStyle w:val="140"/>
        <w:ind w:firstLine="480"/>
        <w:outlineLvl w:val="9"/>
      </w:pPr>
      <w:r>
        <w:rPr>
          <w:rFonts w:hint="eastAsia"/>
        </w:rPr>
        <w:t>其次，从管理者的角度来看，系统需要成为一个高效的“数字仓库”和“运营中心”。传统的手工记账和库存管理方式在面对多款式、多尺码的服装时极易出错。因此，系统必须具备强大的后台管理功能，能够实时监控每一件商品的库存状态，当某款热销运动服出现断码或缺货时，能够及时发出预警提醒补货。此外，管理者还需要通过系统发布促销活动、管理会员信息以及查看销售数据报表，以便调整经营策略。</w:t>
      </w:r>
    </w:p>
    <w:p w14:paraId="341B39AD">
      <w:pPr>
        <w:pStyle w:val="140"/>
        <w:ind w:firstLine="480"/>
        <w:outlineLvl w:val="9"/>
      </w:pPr>
      <w:r>
        <w:rPr>
          <w:rFonts w:hint="eastAsia"/>
        </w:rPr>
        <w:t>这套系统的核心需求就是构建一个连接“消费者”与“管理者”的数字化桥梁，既要满足消费者的购物体验，又要解决管理者在库存、订单和营销方面的痛点。</w:t>
      </w:r>
    </w:p>
    <w:p w14:paraId="1DE2ADB5">
      <w:pPr>
        <w:pStyle w:val="140"/>
        <w:ind w:firstLine="562"/>
        <w:outlineLvl w:val="9"/>
        <w:rPr>
          <w:b/>
          <w:bCs/>
        </w:rPr>
      </w:pPr>
      <w:bookmarkStart w:id="63" w:name="_Toc30170"/>
      <w:bookmarkStart w:id="64" w:name="_Toc7979"/>
      <w:r>
        <w:rPr>
          <w:rStyle w:val="142"/>
          <w:rFonts w:hint="eastAsia"/>
          <w:b/>
          <w:bCs/>
          <w:sz w:val="28"/>
          <w:szCs w:val="28"/>
        </w:rPr>
        <w:t>2.2 可行性分析</w:t>
      </w:r>
      <w:bookmarkEnd w:id="63"/>
      <w:r>
        <w:rPr>
          <w:rStyle w:val="142"/>
          <w:rFonts w:hint="eastAsia"/>
          <w:b/>
          <w:bCs/>
        </w:rPr>
        <w:t xml:space="preserve"> </w:t>
      </w:r>
      <w:bookmarkEnd w:id="64"/>
      <w:r>
        <w:rPr>
          <w:rFonts w:hint="eastAsia"/>
          <w:b/>
          <w:bCs/>
        </w:rPr>
        <w:t xml:space="preserve"> </w:t>
      </w:r>
    </w:p>
    <w:p w14:paraId="25D17626">
      <w:pPr>
        <w:pStyle w:val="140"/>
        <w:ind w:firstLine="480"/>
        <w:outlineLvl w:val="9"/>
      </w:pPr>
      <w:r>
        <w:rPr>
          <w:rFonts w:hint="eastAsia"/>
        </w:rPr>
        <w:t>以下是关于本项目在技术、经济和操作层面的可行性分析。</w:t>
      </w:r>
    </w:p>
    <w:p w14:paraId="1D68FBAD">
      <w:pPr>
        <w:pStyle w:val="140"/>
        <w:ind w:firstLine="480"/>
        <w:outlineLvl w:val="9"/>
      </w:pPr>
      <w:r>
        <w:rPr>
          <w:rFonts w:hint="eastAsia"/>
        </w:rPr>
        <w:t>目前，构建此类电商系统的开发技术已经非常成熟。我们可以利用现有的SpringBoot框架来快速搭建系统的骨架，能够轻松应对日常的访问流量。前端展示方面，我们可以采用响应式设计，确保用户无论是用电脑、手机还是平板访问，都能获得良好的浏览体验。数据库技术也能很好地支撑海量的商品信息和用户数据的存储与查询。</w:t>
      </w:r>
    </w:p>
    <w:p w14:paraId="3B9D3C1A">
      <w:pPr>
        <w:pStyle w:val="140"/>
        <w:ind w:firstLine="480"/>
        <w:outlineLvl w:val="9"/>
      </w:pPr>
      <w:r>
        <w:rPr>
          <w:rFonts w:hint="eastAsia"/>
        </w:rPr>
        <w:t>虽然开发系统需要投入一定的人力和软硬件成本，但相比于传统的实体店铺运营，线上的运营成本要低得多。系统上线后，能够极大地减少人工管理库存和订单的出错率，从而节省人力成本。通过精准的库存预警，还能有效避免因积压或断货造成的资金损失。长远来看，随着用户量的积累，线上商城带来的销售增长和品牌影响力的提升，将远远超过初期的开发投入，具有显著的经济效益。</w:t>
      </w:r>
    </w:p>
    <w:p w14:paraId="40F758A6">
      <w:pPr>
        <w:pStyle w:val="140"/>
        <w:ind w:firstLine="480"/>
        <w:outlineLvl w:val="9"/>
      </w:pPr>
      <w:r>
        <w:rPr>
          <w:rFonts w:hint="eastAsia"/>
        </w:rPr>
        <w:t>系统的界面设计将遵循简洁、直观的原则，无论是前端的用户购物流程，还是后台的管理操作，都力求简单易懂。对于普通用户来说，操作逻辑与主流的购物软件保持一致，无需额外学习成本。对于后台管理人员，我们将设计清晰的功能菜单和操作指引，让商品上架、订单处理等日常操作变得高效便捷。</w:t>
      </w:r>
    </w:p>
    <w:p w14:paraId="3D6F5875">
      <w:pPr>
        <w:pStyle w:val="139"/>
        <w:ind w:firstLine="562"/>
        <w:outlineLvl w:val="9"/>
        <w:rPr>
          <w:b/>
          <w:bCs/>
          <w:sz w:val="28"/>
          <w:szCs w:val="28"/>
        </w:rPr>
      </w:pPr>
      <w:bookmarkStart w:id="65" w:name="_Toc19317"/>
      <w:r>
        <w:rPr>
          <w:rFonts w:hint="eastAsia"/>
          <w:b/>
          <w:bCs/>
          <w:sz w:val="28"/>
          <w:szCs w:val="28"/>
        </w:rPr>
        <w:t>2.3 功能模板分析</w:t>
      </w:r>
      <w:bookmarkEnd w:id="65"/>
    </w:p>
    <w:p w14:paraId="461532EC">
      <w:pPr>
        <w:pStyle w:val="143"/>
        <w:ind w:firstLine="482"/>
        <w:outlineLvl w:val="9"/>
        <w:rPr>
          <w:b/>
          <w:bCs/>
        </w:rPr>
      </w:pPr>
      <w:r>
        <w:rPr>
          <w:rFonts w:hint="eastAsia"/>
          <w:b/>
          <w:bCs/>
        </w:rPr>
        <w:t>2.3.1登录功能分析</w:t>
      </w:r>
    </w:p>
    <w:p w14:paraId="7E62E3EB">
      <w:pPr>
        <w:pStyle w:val="140"/>
        <w:ind w:firstLine="480"/>
        <w:outlineLvl w:val="9"/>
      </w:pPr>
      <w:r>
        <w:t>登录功能作为系统安全访问的入口，承担着用户身份认证与权限控制的枢纽作用。</w:t>
      </w:r>
      <w:r>
        <w:rPr>
          <w:rFonts w:hint="eastAsia"/>
        </w:rPr>
        <w:t>例如</w:t>
      </w:r>
      <w:r>
        <w:t>登录流程图</w:t>
      </w:r>
      <w:r>
        <w:rPr>
          <w:rFonts w:hint="eastAsia"/>
        </w:rPr>
        <w:t>2-1</w:t>
      </w:r>
      <w:r>
        <w:t>，它展示了一个典型的用户登录过程。下面是对该流程图的详细解释</w:t>
      </w:r>
      <w:r>
        <w:rPr>
          <w:rFonts w:hint="eastAsia"/>
        </w:rPr>
        <w:t>。</w:t>
      </w:r>
    </w:p>
    <w:p w14:paraId="680283B2">
      <w:pPr>
        <w:pStyle w:val="140"/>
        <w:ind w:firstLine="480"/>
        <w:outlineLvl w:val="9"/>
      </w:pPr>
      <w:r>
        <w:t>开始：流程从“开始”节点启动，表示用户登录操作的起点。</w:t>
      </w:r>
    </w:p>
    <w:p w14:paraId="1B9619CC">
      <w:pPr>
        <w:pStyle w:val="140"/>
        <w:ind w:firstLine="480"/>
        <w:outlineLvl w:val="9"/>
      </w:pPr>
      <w:r>
        <w:t>输入账号密码：用户首先需要输入自己的账号和密码。这一步是登录过程中的关键步骤，系统会验证用户输入的账号和密码是否正确。</w:t>
      </w:r>
    </w:p>
    <w:p w14:paraId="6E6C792E">
      <w:pPr>
        <w:pStyle w:val="140"/>
        <w:ind w:firstLine="480"/>
        <w:outlineLvl w:val="9"/>
      </w:pPr>
      <w:r>
        <w:t>输入验证码：在输入账号密码后，用户需要输入验证码。验证码是一种安全措施，用于防止自动化程序（如机器人）的非法登录。</w:t>
      </w:r>
    </w:p>
    <w:p w14:paraId="4A51FAF8">
      <w:pPr>
        <w:pStyle w:val="140"/>
        <w:ind w:firstLine="480"/>
        <w:outlineLvl w:val="9"/>
      </w:pPr>
      <w:r>
        <w:t>验证：系统会验证用户输入的账号密码和验证码。如果账号密码错误或验证码错误，流程会返回到“输入账号密码”步骤，提示用户重新输入。如果账号密码和验证码都正确，流程将继续进行。</w:t>
      </w:r>
    </w:p>
    <w:p w14:paraId="784926CE">
      <w:pPr>
        <w:pStyle w:val="140"/>
        <w:ind w:firstLine="480"/>
        <w:outlineLvl w:val="9"/>
      </w:pPr>
      <w:r>
        <w:t>登录成功：当所有验证通过后，用户将成功登录系统。这一步表示用户已经成功进入系统，可以进行后续的操作。</w:t>
      </w:r>
      <w:r>
        <w:rPr>
          <w:rFonts w:hint="eastAsia"/>
        </w:rPr>
        <w:t>如图2-1所示。</w:t>
      </w:r>
    </w:p>
    <w:p w14:paraId="78B939BB">
      <w:pPr>
        <w:pStyle w:val="140"/>
        <w:ind w:firstLine="0" w:firstLineChars="0"/>
        <w:outlineLvl w:val="9"/>
        <w:rPr>
          <w:rFonts w:ascii="宋体" w:hAnsi="宋体" w:cs="宋体"/>
        </w:rPr>
      </w:pPr>
      <w:r>
        <mc:AlternateContent>
          <mc:Choice Requires="wps">
            <w:drawing>
              <wp:anchor distT="0" distB="0" distL="114300" distR="114300" simplePos="0" relativeHeight="251696128" behindDoc="0" locked="0" layoutInCell="1" allowOverlap="1">
                <wp:simplePos x="0" y="0"/>
                <wp:positionH relativeFrom="column">
                  <wp:posOffset>924560</wp:posOffset>
                </wp:positionH>
                <wp:positionV relativeFrom="paragraph">
                  <wp:posOffset>160020</wp:posOffset>
                </wp:positionV>
                <wp:extent cx="3291840" cy="2075180"/>
                <wp:effectExtent l="4445" t="4445" r="5715" b="15875"/>
                <wp:wrapNone/>
                <wp:docPr id="328584142" name="文本框 328584142"/>
                <wp:cNvGraphicFramePr/>
                <a:graphic xmlns:a="http://schemas.openxmlformats.org/drawingml/2006/main">
                  <a:graphicData uri="http://schemas.microsoft.com/office/word/2010/wordprocessingShape">
                    <wps:wsp>
                      <wps:cNvSpPr txBox="1"/>
                      <wps:spPr>
                        <a:xfrm>
                          <a:off x="1501140" y="7757160"/>
                          <a:ext cx="3291840" cy="2075180"/>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14:paraId="5EC6F469">
                            <w:r>
                              <w:rPr>
                                <w:rFonts w:hint="eastAsia"/>
                              </w:rPr>
                              <w:drawing>
                                <wp:inline distT="0" distB="0" distL="114300" distR="114300">
                                  <wp:extent cx="2844165" cy="2000250"/>
                                  <wp:effectExtent l="0" t="0" r="635" b="6350"/>
                                  <wp:docPr id="1756417111" name="图片 1756417111" descr="Class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17111" name="图片 1756417111" descr="Class Model"/>
                                          <pic:cNvPicPr>
                                            <a:picLocks noChangeAspect="1"/>
                                          </pic:cNvPicPr>
                                        </pic:nvPicPr>
                                        <pic:blipFill>
                                          <a:blip r:embed="rId81"/>
                                          <a:stretch>
                                            <a:fillRect/>
                                          </a:stretch>
                                        </pic:blipFill>
                                        <pic:spPr>
                                          <a:xfrm>
                                            <a:off x="0" y="0"/>
                                            <a:ext cx="2844165" cy="2000250"/>
                                          </a:xfrm>
                                          <a:prstGeom prst="rect">
                                            <a:avLst/>
                                          </a:prstGeom>
                                        </pic:spPr>
                                      </pic:pic>
                                    </a:graphicData>
                                  </a:graphic>
                                </wp:inline>
                              </w:drawing>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8pt;margin-top:12.6pt;height:163.4pt;width:259.2pt;z-index:251696128;mso-width-relative:page;mso-height-relative:page;" fillcolor="#FFFFFF [3201]" filled="t" stroked="t" coordsize="21600,21600" o:gfxdata="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Fs86TXVAAAACgEAAA8AAAAAAAAAAQAgAAAAIgAAAGRycy9kb3ducmV2LnhtbFBL&#10;AQIUABQAAAAIAIdO4kAu5WNrawIAANcEAAAOAAAAAAAAAAEAIAAAACQBAABkcnMvZTJvRG9jLnht&#10;bFBLBQYAAAAABgAGAFkBAAABBgAAAAA=&#10;">
                <v:fill on="t" focussize="0,0"/>
                <v:stroke weight="0.5pt" color="#FFFFFF [3212]" joinstyle="round"/>
                <v:imagedata o:title=""/>
                <o:lock v:ext="edit" aspectratio="f"/>
                <v:textbox style="layout-flow:vertical-ideographic;">
                  <w:txbxContent>
                    <w:p w14:paraId="5EC6F469">
                      <w:r>
                        <w:rPr>
                          <w:rFonts w:hint="eastAsia"/>
                        </w:rPr>
                        <w:drawing>
                          <wp:inline distT="0" distB="0" distL="114300" distR="114300">
                            <wp:extent cx="2844165" cy="2000250"/>
                            <wp:effectExtent l="0" t="0" r="635" b="6350"/>
                            <wp:docPr id="1756417111" name="图片 1756417111" descr="Class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417111" name="图片 1756417111" descr="Class Model"/>
                                    <pic:cNvPicPr>
                                      <a:picLocks noChangeAspect="1"/>
                                    </pic:cNvPicPr>
                                  </pic:nvPicPr>
                                  <pic:blipFill>
                                    <a:blip r:embed="rId81"/>
                                    <a:stretch>
                                      <a:fillRect/>
                                    </a:stretch>
                                  </pic:blipFill>
                                  <pic:spPr>
                                    <a:xfrm>
                                      <a:off x="0" y="0"/>
                                      <a:ext cx="2844165" cy="2000250"/>
                                    </a:xfrm>
                                    <a:prstGeom prst="rect">
                                      <a:avLst/>
                                    </a:prstGeom>
                                  </pic:spPr>
                                </pic:pic>
                              </a:graphicData>
                            </a:graphic>
                          </wp:inline>
                        </w:drawing>
                      </w:r>
                    </w:p>
                  </w:txbxContent>
                </v:textbox>
              </v:shape>
            </w:pict>
          </mc:Fallback>
        </mc:AlternateContent>
      </w:r>
    </w:p>
    <w:p w14:paraId="6A9429B1">
      <w:pPr>
        <w:pStyle w:val="140"/>
        <w:ind w:firstLine="480"/>
        <w:outlineLvl w:val="9"/>
        <w:rPr>
          <w:rFonts w:ascii="宋体" w:hAnsi="宋体" w:cs="宋体"/>
        </w:rPr>
      </w:pPr>
    </w:p>
    <w:p w14:paraId="1D93094F">
      <w:pPr>
        <w:pStyle w:val="140"/>
        <w:ind w:firstLine="480"/>
        <w:outlineLvl w:val="9"/>
        <w:rPr>
          <w:rFonts w:ascii="宋体" w:hAnsi="宋体" w:cs="宋体"/>
        </w:rPr>
      </w:pPr>
    </w:p>
    <w:p w14:paraId="4C70CCCF">
      <w:pPr>
        <w:pStyle w:val="140"/>
        <w:ind w:firstLine="480"/>
        <w:outlineLvl w:val="9"/>
        <w:rPr>
          <w:rFonts w:ascii="宋体" w:hAnsi="宋体" w:cs="宋体"/>
        </w:rPr>
      </w:pPr>
    </w:p>
    <w:p w14:paraId="6F1D4BD2">
      <w:pPr>
        <w:pStyle w:val="140"/>
        <w:ind w:firstLine="480"/>
        <w:outlineLvl w:val="9"/>
        <w:rPr>
          <w:rFonts w:ascii="宋体" w:hAnsi="宋体" w:cs="宋体"/>
        </w:rPr>
      </w:pPr>
    </w:p>
    <w:p w14:paraId="38960E2D">
      <w:pPr>
        <w:pStyle w:val="140"/>
        <w:ind w:firstLine="480"/>
        <w:outlineLvl w:val="9"/>
        <w:rPr>
          <w:rFonts w:ascii="宋体" w:hAnsi="宋体" w:cs="宋体"/>
        </w:rPr>
      </w:pPr>
    </w:p>
    <w:p w14:paraId="0E6AB86E">
      <w:pPr>
        <w:pStyle w:val="140"/>
        <w:ind w:firstLine="480"/>
        <w:outlineLvl w:val="9"/>
        <w:rPr>
          <w:rFonts w:ascii="宋体" w:hAnsi="宋体" w:cs="宋体"/>
        </w:rPr>
      </w:pPr>
    </w:p>
    <w:p w14:paraId="14902822">
      <w:pPr>
        <w:pStyle w:val="140"/>
        <w:ind w:firstLine="0" w:firstLineChars="0"/>
        <w:outlineLvl w:val="9"/>
        <w:rPr>
          <w:rFonts w:ascii="宋体" w:hAnsi="宋体" w:cs="宋体"/>
        </w:rPr>
      </w:pPr>
    </w:p>
    <w:p w14:paraId="234B1B63">
      <w:pPr>
        <w:pStyle w:val="146"/>
        <w:outlineLvl w:val="9"/>
      </w:pPr>
      <w:r>
        <w:rPr>
          <w:rFonts w:hint="eastAsia"/>
        </w:rPr>
        <w:t>图2-1 登录流程图</w:t>
      </w:r>
    </w:p>
    <w:p w14:paraId="730F4C96">
      <w:pPr>
        <w:pStyle w:val="143"/>
        <w:ind w:firstLine="482"/>
        <w:outlineLvl w:val="9"/>
        <w:rPr>
          <w:b/>
          <w:bCs/>
          <w:color w:val="383B51"/>
          <w:spacing w:val="10"/>
          <w:shd w:val="clear" w:color="auto" w:fill="FFFFFF"/>
        </w:rPr>
      </w:pPr>
      <w:r>
        <w:rPr>
          <w:rFonts w:hint="eastAsia"/>
          <w:b/>
          <w:bCs/>
        </w:rPr>
        <w:t>2.3.2用例分析</w:t>
      </w:r>
    </w:p>
    <w:p w14:paraId="34F8E453">
      <w:pPr>
        <w:pStyle w:val="140"/>
        <w:ind w:firstLine="480"/>
        <w:outlineLvl w:val="9"/>
      </w:pPr>
      <w:r>
        <w:rPr>
          <w:rFonts w:hint="eastAsia"/>
        </w:rPr>
        <w:t>下面这张UML用例图展示了服装销售系统中管理员的核心权限与功能范围。管理员作为系统主要管理角色，可直接操作“系统首页”“用户”“服装分类”“品牌”“服装信息”“补货信息”“优惠券”“订单管理”“系统管理”及“个人中心”等模块，覆盖商品、用户、订单、营销、系统设置的全链路管理。</w:t>
      </w:r>
    </w:p>
    <w:p w14:paraId="64575452">
      <w:pPr>
        <w:pStyle w:val="140"/>
        <w:ind w:firstLine="480"/>
        <w:outlineLvl w:val="9"/>
      </w:pPr>
      <w:r>
        <w:rPr>
          <w:rFonts w:hint="eastAsia"/>
        </w:rPr>
        <w:t>其中，“订单管理”和“系统管理”为复合模块：“订单管理”通过包含关系关联“已支付/未支付/已发货/已退款/已取消/已完成订单”，支持对不同状态订单的精细化操作；“系统管理”则涵盖“公告咨询分类”“在线客服”“智能助手”“轮播图管理”“系统简介”，负责系统内容与辅助功能的配置。此外，“个人中心”提供“修改密码”与“个人信息”维护功能，保障账户安全与资料管理。如图2-2所示。</w:t>
      </w:r>
    </w:p>
    <w:p w14:paraId="7ED19BAB">
      <w:pPr>
        <w:pStyle w:val="146"/>
        <w:outlineLvl w:val="9"/>
      </w:pPr>
      <w:r>
        <mc:AlternateContent>
          <mc:Choice Requires="wps">
            <w:drawing>
              <wp:anchor distT="45720" distB="45720" distL="114300" distR="114300" simplePos="0" relativeHeight="251695104" behindDoc="0" locked="0" layoutInCell="1" allowOverlap="1">
                <wp:simplePos x="0" y="0"/>
                <wp:positionH relativeFrom="margin">
                  <wp:posOffset>450850</wp:posOffset>
                </wp:positionH>
                <wp:positionV relativeFrom="paragraph">
                  <wp:posOffset>161925</wp:posOffset>
                </wp:positionV>
                <wp:extent cx="4243705" cy="5273040"/>
                <wp:effectExtent l="5080" t="4445" r="5715" b="5715"/>
                <wp:wrapSquare wrapText="bothSides"/>
                <wp:docPr id="94536724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243705" cy="5273040"/>
                        </a:xfrm>
                        <a:prstGeom prst="rect">
                          <a:avLst/>
                        </a:prstGeom>
                        <a:solidFill>
                          <a:srgbClr val="FFFFFF"/>
                        </a:solidFill>
                        <a:ln w="9525">
                          <a:solidFill>
                            <a:schemeClr val="bg1"/>
                          </a:solidFill>
                          <a:miter lim="800000"/>
                        </a:ln>
                      </wps:spPr>
                      <wps:txbx>
                        <w:txbxContent>
                          <w:p w14:paraId="0CF13387">
                            <w:r>
                              <w:rPr>
                                <w:rFonts w:hint="eastAsia"/>
                              </w:rPr>
                              <w:drawing>
                                <wp:inline distT="0" distB="0" distL="114300" distR="114300">
                                  <wp:extent cx="3986530" cy="5114290"/>
                                  <wp:effectExtent l="0" t="0" r="1270" b="3810"/>
                                  <wp:docPr id="116" name="图片 116" descr="服装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服装系统"/>
                                          <pic:cNvPicPr>
                                            <a:picLocks noChangeAspect="1"/>
                                          </pic:cNvPicPr>
                                        </pic:nvPicPr>
                                        <pic:blipFill>
                                          <a:blip r:embed="rId82"/>
                                          <a:stretch>
                                            <a:fillRect/>
                                          </a:stretch>
                                        </pic:blipFill>
                                        <pic:spPr>
                                          <a:xfrm>
                                            <a:off x="0" y="0"/>
                                            <a:ext cx="3986530" cy="511429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5.5pt;margin-top:12.75pt;height:415.2pt;width:334.15pt;mso-position-horizontal-relative:margin;mso-wrap-distance-bottom:3.6pt;mso-wrap-distance-left:9pt;mso-wrap-distance-right:9pt;mso-wrap-distance-top:3.6pt;z-index:251695104;mso-width-relative:page;mso-height-relative:page;" fillcolor="#FFFFFF" filled="t" stroked="t" coordsize="21600,21600" o:gfxdata="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JbvHvZAAAACQEAAA8AAAAAAAAAAQAgAAAAIgAA&#10;AGRycy9kb3ducmV2LnhtbFBLAQIUABQAAAAIAIdO4kCGby3EQAIAAIQEAAAOAAAAAAAAAAEAIAAA&#10;ACgBAABkcnMvZTJvRG9jLnhtbFBLBQYAAAAABgAGAFkBAADaBQAAAAA=&#10;">
                <v:fill on="t" focussize="0,0"/>
                <v:stroke color="#FFFFFF [3212]" miterlimit="8" joinstyle="miter"/>
                <v:imagedata o:title=""/>
                <o:lock v:ext="edit" aspectratio="f"/>
                <v:textbox>
                  <w:txbxContent>
                    <w:p w14:paraId="0CF13387">
                      <w:r>
                        <w:rPr>
                          <w:rFonts w:hint="eastAsia"/>
                        </w:rPr>
                        <w:drawing>
                          <wp:inline distT="0" distB="0" distL="114300" distR="114300">
                            <wp:extent cx="3986530" cy="5114290"/>
                            <wp:effectExtent l="0" t="0" r="1270" b="3810"/>
                            <wp:docPr id="116" name="图片 116" descr="服装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服装系统"/>
                                    <pic:cNvPicPr>
                                      <a:picLocks noChangeAspect="1"/>
                                    </pic:cNvPicPr>
                                  </pic:nvPicPr>
                                  <pic:blipFill>
                                    <a:blip r:embed="rId82"/>
                                    <a:stretch>
                                      <a:fillRect/>
                                    </a:stretch>
                                  </pic:blipFill>
                                  <pic:spPr>
                                    <a:xfrm>
                                      <a:off x="0" y="0"/>
                                      <a:ext cx="3986530" cy="5114290"/>
                                    </a:xfrm>
                                    <a:prstGeom prst="rect">
                                      <a:avLst/>
                                    </a:prstGeom>
                                  </pic:spPr>
                                </pic:pic>
                              </a:graphicData>
                            </a:graphic>
                          </wp:inline>
                        </w:drawing>
                      </w:r>
                    </w:p>
                  </w:txbxContent>
                </v:textbox>
                <w10:wrap type="square"/>
              </v:shape>
            </w:pict>
          </mc:Fallback>
        </mc:AlternateContent>
      </w:r>
    </w:p>
    <w:p w14:paraId="30D91B85">
      <w:pPr>
        <w:pStyle w:val="146"/>
        <w:outlineLvl w:val="9"/>
      </w:pPr>
    </w:p>
    <w:p w14:paraId="1DF496B9">
      <w:pPr>
        <w:pStyle w:val="146"/>
        <w:outlineLvl w:val="9"/>
      </w:pPr>
    </w:p>
    <w:p w14:paraId="18BAF4C8">
      <w:pPr>
        <w:pStyle w:val="146"/>
        <w:outlineLvl w:val="9"/>
      </w:pPr>
    </w:p>
    <w:p w14:paraId="07A93CA9">
      <w:pPr>
        <w:pStyle w:val="146"/>
        <w:outlineLvl w:val="9"/>
      </w:pPr>
    </w:p>
    <w:p w14:paraId="76E9F9C6">
      <w:pPr>
        <w:pStyle w:val="146"/>
        <w:outlineLvl w:val="9"/>
      </w:pPr>
    </w:p>
    <w:p w14:paraId="618172D1">
      <w:pPr>
        <w:pStyle w:val="146"/>
        <w:outlineLvl w:val="9"/>
      </w:pPr>
    </w:p>
    <w:p w14:paraId="215604D9">
      <w:pPr>
        <w:pStyle w:val="146"/>
        <w:outlineLvl w:val="9"/>
      </w:pPr>
    </w:p>
    <w:p w14:paraId="4A0F427D">
      <w:pPr>
        <w:pStyle w:val="146"/>
        <w:outlineLvl w:val="9"/>
      </w:pPr>
    </w:p>
    <w:p w14:paraId="4ECEB4C4">
      <w:pPr>
        <w:pStyle w:val="146"/>
        <w:outlineLvl w:val="9"/>
      </w:pPr>
    </w:p>
    <w:p w14:paraId="21794FE3">
      <w:pPr>
        <w:pStyle w:val="146"/>
        <w:outlineLvl w:val="9"/>
      </w:pPr>
    </w:p>
    <w:p w14:paraId="733D7793">
      <w:pPr>
        <w:pStyle w:val="146"/>
        <w:outlineLvl w:val="9"/>
      </w:pPr>
    </w:p>
    <w:p w14:paraId="7BC2AACB">
      <w:pPr>
        <w:pStyle w:val="146"/>
        <w:outlineLvl w:val="9"/>
      </w:pPr>
    </w:p>
    <w:p w14:paraId="12A71E16">
      <w:pPr>
        <w:pStyle w:val="146"/>
        <w:outlineLvl w:val="9"/>
      </w:pPr>
    </w:p>
    <w:p w14:paraId="5B803332">
      <w:pPr>
        <w:pStyle w:val="146"/>
        <w:outlineLvl w:val="9"/>
      </w:pPr>
    </w:p>
    <w:p w14:paraId="22B554E6">
      <w:pPr>
        <w:pStyle w:val="146"/>
        <w:outlineLvl w:val="9"/>
      </w:pPr>
    </w:p>
    <w:p w14:paraId="47F92BDC">
      <w:pPr>
        <w:pStyle w:val="146"/>
        <w:outlineLvl w:val="9"/>
      </w:pPr>
    </w:p>
    <w:p w14:paraId="69EAA639">
      <w:pPr>
        <w:pStyle w:val="146"/>
        <w:outlineLvl w:val="9"/>
      </w:pPr>
    </w:p>
    <w:p w14:paraId="079785C6">
      <w:pPr>
        <w:pStyle w:val="146"/>
        <w:outlineLvl w:val="9"/>
      </w:pPr>
    </w:p>
    <w:p w14:paraId="1C90BB4A">
      <w:pPr>
        <w:pStyle w:val="146"/>
        <w:outlineLvl w:val="9"/>
      </w:pPr>
    </w:p>
    <w:p w14:paraId="7AFD13AE">
      <w:pPr>
        <w:pStyle w:val="146"/>
        <w:outlineLvl w:val="9"/>
      </w:pPr>
    </w:p>
    <w:p w14:paraId="549AA2BB">
      <w:pPr>
        <w:pStyle w:val="146"/>
        <w:outlineLvl w:val="9"/>
      </w:pPr>
    </w:p>
    <w:p w14:paraId="758AFE32">
      <w:pPr>
        <w:pStyle w:val="146"/>
        <w:outlineLvl w:val="9"/>
      </w:pPr>
    </w:p>
    <w:p w14:paraId="5202BEEB">
      <w:pPr>
        <w:pStyle w:val="146"/>
        <w:outlineLvl w:val="9"/>
      </w:pPr>
    </w:p>
    <w:p w14:paraId="2F93ADC6">
      <w:pPr>
        <w:pStyle w:val="146"/>
        <w:outlineLvl w:val="9"/>
      </w:pPr>
    </w:p>
    <w:p w14:paraId="2223645C">
      <w:pPr>
        <w:pStyle w:val="146"/>
        <w:outlineLvl w:val="9"/>
      </w:pPr>
    </w:p>
    <w:p w14:paraId="3D361966">
      <w:pPr>
        <w:pStyle w:val="146"/>
        <w:outlineLvl w:val="9"/>
      </w:pPr>
    </w:p>
    <w:p w14:paraId="7FF010D8">
      <w:pPr>
        <w:pStyle w:val="146"/>
        <w:jc w:val="both"/>
        <w:outlineLvl w:val="9"/>
      </w:pPr>
    </w:p>
    <w:p w14:paraId="7C190B62">
      <w:pPr>
        <w:pStyle w:val="146"/>
        <w:outlineLvl w:val="9"/>
      </w:pPr>
      <w:r>
        <w:rPr>
          <w:rFonts w:hint="eastAsia"/>
        </w:rPr>
        <w:t>图2-2 用例图</w:t>
      </w:r>
    </w:p>
    <w:p w14:paraId="3F48736D">
      <w:pPr>
        <w:pStyle w:val="143"/>
        <w:ind w:firstLine="482"/>
        <w:outlineLvl w:val="9"/>
        <w:rPr>
          <w:b/>
          <w:bCs/>
        </w:rPr>
      </w:pPr>
      <w:r>
        <w:rPr>
          <w:rFonts w:hint="eastAsia"/>
          <w:b/>
          <w:bCs/>
        </w:rPr>
        <w:t>2.3.2商品购买核心流程流程图分析</w:t>
      </w:r>
    </w:p>
    <w:p w14:paraId="10D208F0">
      <w:pPr>
        <w:pStyle w:val="140"/>
        <w:ind w:firstLine="480"/>
        <w:outlineLvl w:val="9"/>
      </w:pPr>
      <w:r>
        <w:rPr>
          <w:rFonts w:hint="eastAsia"/>
        </w:rPr>
        <w:t>商品购买流程作为运动服装电商系统的核心业务链路与关键价值转化环节，全面覆盖了从用户发起选购需求到最终完成订单履约的全流程，不仅涉及用户端的浏览、选择、支付等交互操作，还包含后端系统的身份校验、数据验证、库存核查等一系列校验环节，以及跨模块的业务联动与数据协同工作。为避免单一流程图因涵盖环节过多、分支复杂而显得繁杂混乱，进而提升文档的可读性与逻辑清晰度，便于读者快速把握各环节的核心逻辑与关联关系，现将其拆分为4个逻辑紧密衔接的关键子流程，分别对应“登录选购-订单确认-支付校验-履约完成”的完整业务链路。</w:t>
      </w:r>
    </w:p>
    <w:p w14:paraId="0AED373D">
      <w:pPr>
        <w:pStyle w:val="140"/>
        <w:ind w:firstLine="480"/>
        <w:outlineLvl w:val="9"/>
        <w:rPr>
          <w:shd w:val="clear" w:color="auto" w:fill="FFFFFF"/>
        </w:rPr>
      </w:pPr>
      <w:r>
        <w:rPr>
          <w:rFonts w:hint="eastAsia"/>
          <w:shd w:val="clear" w:color="auto" w:fill="FFFFFF"/>
        </w:rPr>
        <w:t>子流程1：登录校验与商品选购流程图（图2-</w:t>
      </w:r>
      <w:r>
        <w:rPr>
          <w:shd w:val="clear" w:color="auto" w:fill="FFFFFF"/>
        </w:rPr>
        <w:t>3</w:t>
      </w:r>
      <w:r>
        <w:rPr>
          <w:rFonts w:hint="eastAsia"/>
          <w:shd w:val="clear" w:color="auto" w:fill="FFFFFF"/>
        </w:rPr>
        <w:t>）。</w:t>
      </w:r>
    </w:p>
    <w:p w14:paraId="6FD68454">
      <w:pPr>
        <w:jc w:val="center"/>
        <w:outlineLvl w:val="9"/>
        <w:rPr>
          <w:rFonts w:ascii="宋体" w:hAnsi="宋体" w:cs="宋体"/>
          <w:color w:val="383B51"/>
          <w:spacing w:val="10"/>
          <w:sz w:val="24"/>
          <w:shd w:val="clear" w:color="auto" w:fill="FFFFFF"/>
        </w:rPr>
      </w:pPr>
      <w:r>
        <w:rPr>
          <w:rFonts w:hint="eastAsia" w:ascii="宋体" w:hAnsi="宋体" w:cs="宋体"/>
          <w:color w:val="383B51"/>
          <w:spacing w:val="10"/>
          <w:sz w:val="24"/>
          <w:shd w:val="clear" w:color="auto" w:fill="FFFFFF"/>
        </w:rPr>
        <w:drawing>
          <wp:inline distT="0" distB="0" distL="114300" distR="114300">
            <wp:extent cx="3164840" cy="5257165"/>
            <wp:effectExtent l="0" t="0" r="10160" b="635"/>
            <wp:docPr id="112" name="图片 1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1"/>
                    <pic:cNvPicPr>
                      <a:picLocks noChangeAspect="1"/>
                    </pic:cNvPicPr>
                  </pic:nvPicPr>
                  <pic:blipFill>
                    <a:blip r:embed="rId83"/>
                    <a:srcRect l="1370" b="538"/>
                    <a:stretch>
                      <a:fillRect/>
                    </a:stretch>
                  </pic:blipFill>
                  <pic:spPr>
                    <a:xfrm>
                      <a:off x="0" y="0"/>
                      <a:ext cx="3164840" cy="5257165"/>
                    </a:xfrm>
                    <a:prstGeom prst="rect">
                      <a:avLst/>
                    </a:prstGeom>
                  </pic:spPr>
                </pic:pic>
              </a:graphicData>
            </a:graphic>
          </wp:inline>
        </w:drawing>
      </w:r>
    </w:p>
    <w:p w14:paraId="10BA006C">
      <w:pPr>
        <w:jc w:val="center"/>
        <w:outlineLvl w:val="9"/>
        <w:rPr>
          <w:rFonts w:ascii="宋体" w:hAnsi="宋体" w:cs="宋体"/>
          <w:color w:val="383B51"/>
          <w:spacing w:val="10"/>
          <w:sz w:val="24"/>
          <w:shd w:val="clear" w:color="auto" w:fill="FFFFFF"/>
        </w:rPr>
      </w:pPr>
    </w:p>
    <w:p w14:paraId="7563AB53">
      <w:pPr>
        <w:pStyle w:val="146"/>
        <w:outlineLvl w:val="9"/>
      </w:pPr>
      <w:r>
        <w:rPr>
          <w:rFonts w:hint="eastAsia"/>
        </w:rPr>
        <w:t>图2-3 登录校验与商品选购流程图</w:t>
      </w:r>
    </w:p>
    <w:p w14:paraId="6ADA2A05">
      <w:pPr>
        <w:pStyle w:val="140"/>
        <w:ind w:firstLine="480"/>
        <w:outlineLvl w:val="9"/>
        <w:rPr>
          <w:shd w:val="clear" w:color="auto" w:fill="FFFFFF"/>
          <w:lang w:bidi="ar"/>
        </w:rPr>
      </w:pPr>
      <w:r>
        <w:rPr>
          <w:rFonts w:hint="eastAsia"/>
          <w:shd w:val="clear" w:color="auto" w:fill="FFFFFF"/>
          <w:lang w:bidi="ar"/>
        </w:rPr>
        <w:t>本流程聚焦“用户身份验证”与“商品筛选选购”两大核心环节，是购买流程的前置基础，核心目标是保障用户合法性与选购便捷性。</w:t>
      </w:r>
    </w:p>
    <w:p w14:paraId="47008362">
      <w:pPr>
        <w:pStyle w:val="140"/>
        <w:ind w:firstLine="480"/>
        <w:outlineLvl w:val="9"/>
        <w:rPr>
          <w:shd w:val="clear" w:color="auto" w:fill="FFFFFF"/>
          <w:lang w:bidi="ar"/>
        </w:rPr>
      </w:pPr>
      <w:r>
        <w:rPr>
          <w:rFonts w:hint="eastAsia"/>
          <w:shd w:val="clear" w:color="auto" w:fill="FFFFFF"/>
          <w:lang w:bidi="ar"/>
        </w:rPr>
        <w:t>登录校验逻辑：流程以“是否已登录”为首个判断节点，未登录用户需跳转至2.3.1所述的登录流程（含账号密码+验证码验证），登录/注册成功后返回选购环节，确保订单数据与用户身份绑定，避免匿名下单导致的售后纠纷。</w:t>
      </w:r>
    </w:p>
    <w:p w14:paraId="3E4DB919">
      <w:pPr>
        <w:pStyle w:val="140"/>
        <w:ind w:firstLine="480"/>
        <w:outlineLvl w:val="9"/>
        <w:rPr>
          <w:shd w:val="clear" w:color="auto" w:fill="FFFFFF"/>
          <w:lang w:bidi="ar"/>
        </w:rPr>
      </w:pPr>
      <w:r>
        <w:rPr>
          <w:rFonts w:hint="eastAsia"/>
          <w:shd w:val="clear" w:color="auto" w:fill="FFFFFF"/>
          <w:lang w:bidi="ar"/>
        </w:rPr>
        <w:t>商品选购体验：用户可通过“浏览列表”或“关键词搜索”定位商品，详情页提供运动服装核心信息（如速干材质、尺码表、用户评价），贴合运动服装“重功能性”的消费需求，帮助用户在线上做出精准决策。</w:t>
      </w:r>
    </w:p>
    <w:p w14:paraId="23B8FEBB">
      <w:pPr>
        <w:pStyle w:val="140"/>
        <w:ind w:firstLine="480"/>
        <w:outlineLvl w:val="9"/>
        <w:rPr>
          <w:shd w:val="clear" w:color="auto" w:fill="FFFFFF"/>
          <w:lang w:bidi="ar"/>
        </w:rPr>
      </w:pPr>
      <w:r>
        <w:rPr>
          <w:rFonts w:hint="eastAsia"/>
          <w:shd w:val="clear" w:color="auto" w:fill="FFFFFF"/>
          <w:lang w:bidi="ar"/>
        </w:rPr>
        <w:t>双选购模式：支持“加入购物车（批量结算）”和“立即购买（直接结算）”两种操作，适配不同用户场景——“加入购物车”满足多商品凑单、后续购买的需求，“立即购买”则简化单商品购买流程，提升转化效率</w:t>
      </w:r>
    </w:p>
    <w:p w14:paraId="4970B78E">
      <w:pPr>
        <w:pStyle w:val="140"/>
        <w:ind w:firstLine="480"/>
        <w:outlineLvl w:val="9"/>
        <w:rPr>
          <w:shd w:val="clear" w:color="auto" w:fill="FFFFFF"/>
          <w:lang w:bidi="ar"/>
        </w:rPr>
      </w:pPr>
      <w:r>
        <w:rPr>
          <w:rFonts w:hint="eastAsia"/>
          <w:shd w:val="clear" w:color="auto" w:fill="FFFFFF"/>
          <w:lang w:bidi="ar"/>
        </w:rPr>
        <w:t>二、子流程2：购物车操作与订单确认流程图（图2-</w:t>
      </w:r>
      <w:r>
        <w:rPr>
          <w:shd w:val="clear" w:color="auto" w:fill="FFFFFF"/>
          <w:lang w:bidi="ar"/>
        </w:rPr>
        <w:t>4</w:t>
      </w:r>
      <w:r>
        <w:rPr>
          <w:rFonts w:hint="eastAsia"/>
          <w:shd w:val="clear" w:color="auto" w:fill="FFFFFF"/>
          <w:lang w:bidi="ar"/>
        </w:rPr>
        <w:t>）。</w:t>
      </w:r>
    </w:p>
    <w:p w14:paraId="3CAFCCF1">
      <w:pPr>
        <w:pStyle w:val="146"/>
        <w:ind w:firstLine="520" w:firstLineChars="200"/>
        <w:outlineLvl w:val="9"/>
        <w:rPr>
          <w:rFonts w:cs="宋体"/>
          <w:color w:val="1F223C"/>
          <w:spacing w:val="10"/>
          <w:kern w:val="0"/>
          <w:sz w:val="24"/>
          <w:shd w:val="clear" w:color="auto" w:fill="FFFFFF"/>
          <w:lang w:bidi="ar"/>
        </w:rPr>
      </w:pPr>
      <w:r>
        <w:rPr>
          <w:rFonts w:hint="eastAsia" w:cs="宋体"/>
          <w:color w:val="1F223C"/>
          <w:spacing w:val="10"/>
          <w:kern w:val="0"/>
          <w:sz w:val="24"/>
          <w:shd w:val="clear" w:color="auto" w:fill="FFFFFF"/>
        </w:rPr>
        <w:drawing>
          <wp:inline distT="0" distB="0" distL="114300" distR="114300">
            <wp:extent cx="2217420" cy="5989955"/>
            <wp:effectExtent l="0" t="0" r="5080" b="4445"/>
            <wp:docPr id="113" name="图片 1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2"/>
                    <pic:cNvPicPr>
                      <a:picLocks noChangeAspect="1"/>
                    </pic:cNvPicPr>
                  </pic:nvPicPr>
                  <pic:blipFill>
                    <a:blip r:embed="rId84"/>
                    <a:stretch>
                      <a:fillRect/>
                    </a:stretch>
                  </pic:blipFill>
                  <pic:spPr>
                    <a:xfrm>
                      <a:off x="0" y="0"/>
                      <a:ext cx="2217420" cy="5989955"/>
                    </a:xfrm>
                    <a:prstGeom prst="rect">
                      <a:avLst/>
                    </a:prstGeom>
                  </pic:spPr>
                </pic:pic>
              </a:graphicData>
            </a:graphic>
          </wp:inline>
        </w:drawing>
      </w:r>
    </w:p>
    <w:p w14:paraId="424890CC">
      <w:pPr>
        <w:pStyle w:val="146"/>
        <w:outlineLvl w:val="9"/>
      </w:pPr>
      <w:r>
        <w:rPr>
          <w:rFonts w:hint="eastAsia"/>
        </w:rPr>
        <w:t>图2-</w:t>
      </w:r>
      <w:r>
        <w:t>4</w:t>
      </w:r>
      <w:r>
        <w:rPr>
          <w:rFonts w:hint="eastAsia"/>
        </w:rPr>
        <w:t xml:space="preserve"> 购物车操作与订单确认流程图</w:t>
      </w:r>
    </w:p>
    <w:p w14:paraId="4361CC83">
      <w:pPr>
        <w:pStyle w:val="140"/>
        <w:ind w:firstLine="480"/>
        <w:outlineLvl w:val="9"/>
        <w:rPr>
          <w:shd w:val="clear" w:color="auto" w:fill="FFFFFF"/>
          <w:lang w:bidi="ar"/>
        </w:rPr>
      </w:pPr>
      <w:r>
        <w:rPr>
          <w:rFonts w:hint="eastAsia"/>
          <w:shd w:val="clear" w:color="auto" w:fill="FFFFFF"/>
          <w:lang w:bidi="ar"/>
        </w:rPr>
        <w:t>本流程是订单生成的核心环节，聚焦“订单信息完整性校验”与“优惠权益适配”，确保订单数据准确、用户享受合规优惠。</w:t>
      </w:r>
    </w:p>
    <w:p w14:paraId="7AB41117">
      <w:pPr>
        <w:pStyle w:val="140"/>
        <w:ind w:firstLine="480"/>
        <w:outlineLvl w:val="9"/>
        <w:rPr>
          <w:rFonts w:hint="eastAsia" w:ascii="Times New Roman" w:hAnsi="Times New Roman" w:cs="Times New Roman"/>
          <w:shd w:val="clear" w:color="auto" w:fill="FFFFFF"/>
          <w:lang w:bidi="ar"/>
        </w:rPr>
      </w:pPr>
      <w:r>
        <w:rPr>
          <w:rFonts w:hint="eastAsia" w:ascii="Times New Roman" w:hAnsi="Times New Roman" w:cs="Times New Roman"/>
          <w:shd w:val="clear" w:color="auto" w:fill="FFFFFF"/>
          <w:lang w:bidi="ar"/>
        </w:rPr>
        <w:t>订单号生成：提交订单后系统生成唯一订单号，作为后续支付、物流、售后的核心标识，确保每笔订单可追溯，为后端订单管理模块提供数据支撑。</w:t>
      </w:r>
    </w:p>
    <w:p w14:paraId="39BA7B46">
      <w:pPr>
        <w:pStyle w:val="140"/>
        <w:ind w:firstLine="480"/>
        <w:outlineLvl w:val="9"/>
        <w:rPr>
          <w:rFonts w:hint="eastAsia" w:ascii="Times New Roman" w:hAnsi="Times New Roman" w:cs="Times New Roman"/>
          <w:shd w:val="clear" w:color="auto" w:fill="FFFFFF"/>
          <w:lang w:bidi="ar"/>
        </w:rPr>
      </w:pPr>
      <w:r>
        <w:rPr>
          <w:rFonts w:hint="eastAsia" w:ascii="Times New Roman" w:hAnsi="Times New Roman" w:cs="Times New Roman"/>
          <w:shd w:val="clear" w:color="auto" w:fill="FFFFFF"/>
          <w:lang w:bidi="ar"/>
        </w:rPr>
        <w:t>子流程3：支付验证与库存校验流程图（图2-5）。</w:t>
      </w:r>
    </w:p>
    <w:p w14:paraId="6628CD73">
      <w:pPr>
        <w:pStyle w:val="140"/>
        <w:ind w:firstLine="480"/>
        <w:outlineLvl w:val="9"/>
        <w:rPr>
          <w:rFonts w:hint="eastAsia" w:ascii="Times New Roman" w:hAnsi="Times New Roman" w:cs="Times New Roman"/>
          <w:shd w:val="clear" w:color="auto" w:fill="FFFFFF"/>
          <w:lang w:bidi="ar"/>
        </w:rPr>
      </w:pPr>
      <w:r>
        <w:rPr>
          <w:rFonts w:hint="eastAsia" w:ascii="Times New Roman" w:hAnsi="Times New Roman" w:cs="Times New Roman"/>
          <w:shd w:val="clear" w:color="auto" w:fill="FFFFFF"/>
          <w:lang w:bidi="ar"/>
        </w:rPr>
        <w:t>商品清单确认：无论从购物车跳转还是直接购买，均需用户最终确认商品清单，支持修改数量或删除商品，避免误选、多拍导致的后续退货，降低售后成本。</w:t>
      </w:r>
    </w:p>
    <w:p w14:paraId="1EFFC3FE">
      <w:pPr>
        <w:pStyle w:val="140"/>
        <w:ind w:firstLine="480"/>
        <w:outlineLvl w:val="9"/>
        <w:rPr>
          <w:rFonts w:hint="eastAsia" w:ascii="Times New Roman" w:hAnsi="Times New Roman" w:cs="Times New Roman"/>
          <w:shd w:val="clear" w:color="auto" w:fill="FFFFFF"/>
          <w:lang w:bidi="ar"/>
        </w:rPr>
      </w:pPr>
      <w:r>
        <w:rPr>
          <w:rFonts w:hint="eastAsia" w:ascii="Times New Roman" w:hAnsi="Times New Roman" w:cs="Times New Roman"/>
          <w:shd w:val="clear" w:color="auto" w:fill="FFFFFF"/>
          <w:lang w:bidi="ar"/>
        </w:rPr>
        <w:t>关键信息配置：收货地址支持“新增/修改/默认选择”，满足用户多地址配送需求；支付方式覆盖主流线上支付渠道，贴合现代消费者购物习惯；优惠券抵扣环节自动匹配用户账户内可用券（如满减券、会员券），并实时计算实付金额，提升用户优惠感知。</w:t>
      </w:r>
    </w:p>
    <w:p w14:paraId="613F95E7">
      <w:pPr>
        <w:pStyle w:val="140"/>
        <w:ind w:firstLine="480"/>
        <w:outlineLvl w:val="9"/>
        <w:rPr>
          <w:color w:val="1F223C"/>
          <w:shd w:val="clear" w:color="auto" w:fill="FFFFFF"/>
          <w:lang w:bidi="ar"/>
        </w:rPr>
      </w:pPr>
    </w:p>
    <w:p w14:paraId="2D354170">
      <w:pPr>
        <w:pStyle w:val="146"/>
        <w:outlineLvl w:val="9"/>
        <w:rPr>
          <w:rFonts w:cs="宋体"/>
          <w:color w:val="1F223C"/>
          <w:spacing w:val="10"/>
          <w:kern w:val="0"/>
          <w:sz w:val="24"/>
          <w:shd w:val="clear" w:color="auto" w:fill="FFFFFF"/>
          <w:lang w:bidi="ar"/>
        </w:rPr>
      </w:pPr>
      <w:r>
        <w:rPr>
          <w:rFonts w:hint="eastAsia" w:cs="宋体"/>
          <w:color w:val="1F223C"/>
          <w:spacing w:val="10"/>
          <w:kern w:val="0"/>
          <w:sz w:val="24"/>
          <w:shd w:val="clear" w:color="auto" w:fill="FFFFFF"/>
        </w:rPr>
        <w:drawing>
          <wp:inline distT="0" distB="0" distL="114300" distR="114300">
            <wp:extent cx="4631055" cy="5144770"/>
            <wp:effectExtent l="0" t="0" r="4445" b="11430"/>
            <wp:docPr id="114" name="图片 11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3"/>
                    <pic:cNvPicPr>
                      <a:picLocks noChangeAspect="1"/>
                    </pic:cNvPicPr>
                  </pic:nvPicPr>
                  <pic:blipFill>
                    <a:blip r:embed="rId85"/>
                    <a:stretch>
                      <a:fillRect/>
                    </a:stretch>
                  </pic:blipFill>
                  <pic:spPr>
                    <a:xfrm>
                      <a:off x="0" y="0"/>
                      <a:ext cx="4631055" cy="5144770"/>
                    </a:xfrm>
                    <a:prstGeom prst="rect">
                      <a:avLst/>
                    </a:prstGeom>
                  </pic:spPr>
                </pic:pic>
              </a:graphicData>
            </a:graphic>
          </wp:inline>
        </w:drawing>
      </w:r>
    </w:p>
    <w:p w14:paraId="0340B656">
      <w:pPr>
        <w:pStyle w:val="146"/>
        <w:ind w:firstLine="520" w:firstLineChars="200"/>
        <w:jc w:val="both"/>
        <w:outlineLvl w:val="9"/>
        <w:rPr>
          <w:rFonts w:cs="宋体"/>
          <w:color w:val="1F223C"/>
          <w:spacing w:val="10"/>
          <w:kern w:val="0"/>
          <w:sz w:val="24"/>
          <w:shd w:val="clear" w:color="auto" w:fill="FFFFFF"/>
          <w:lang w:bidi="ar"/>
        </w:rPr>
      </w:pPr>
    </w:p>
    <w:p w14:paraId="70A2FE46">
      <w:pPr>
        <w:pStyle w:val="146"/>
        <w:outlineLvl w:val="9"/>
      </w:pPr>
      <w:r>
        <w:rPr>
          <w:rFonts w:hint="eastAsia"/>
        </w:rPr>
        <w:t>图2-</w:t>
      </w:r>
      <w:r>
        <w:t>5</w:t>
      </w:r>
      <w:r>
        <w:rPr>
          <w:rFonts w:hint="eastAsia"/>
        </w:rPr>
        <w:t xml:space="preserve"> 支付验证与库存校验流程图</w:t>
      </w:r>
    </w:p>
    <w:p w14:paraId="76C490B3">
      <w:pPr>
        <w:pStyle w:val="140"/>
        <w:ind w:firstLine="480"/>
        <w:outlineLvl w:val="9"/>
        <w:rPr>
          <w:shd w:val="clear" w:color="auto" w:fill="FFFFFF"/>
          <w:lang w:bidi="ar"/>
        </w:rPr>
      </w:pPr>
      <w:r>
        <w:rPr>
          <w:rFonts w:hint="eastAsia"/>
          <w:shd w:val="clear" w:color="auto" w:fill="FFFFFF"/>
          <w:lang w:bidi="ar"/>
        </w:rPr>
        <w:t>本流程是保障交易安全与库存合规的关键环节，核心解决“支付有效性”与“避免超卖”两大业务痛点，是系统稳定性的重要支撑。</w:t>
      </w:r>
    </w:p>
    <w:p w14:paraId="44CF2220">
      <w:pPr>
        <w:pStyle w:val="140"/>
        <w:ind w:firstLine="480"/>
        <w:outlineLvl w:val="9"/>
        <w:rPr>
          <w:shd w:val="clear" w:color="auto" w:fill="FFFFFF"/>
          <w:lang w:bidi="ar"/>
        </w:rPr>
      </w:pPr>
      <w:r>
        <w:rPr>
          <w:rFonts w:hint="eastAsia"/>
          <w:shd w:val="clear" w:color="auto" w:fill="FFFFFF"/>
          <w:lang w:bidi="ar"/>
        </w:rPr>
        <w:t>支付异常处理：针对支付失败、网络超时等常见问题，设计“重新支付”与“取消订单”双选项，既给用户补救机会，又能通过“取消订单”及时释放库存，避免商品长期占用导致的销售损失。</w:t>
      </w:r>
    </w:p>
    <w:p w14:paraId="0B18ED21">
      <w:pPr>
        <w:pStyle w:val="140"/>
        <w:ind w:firstLine="480"/>
        <w:outlineLvl w:val="9"/>
        <w:rPr>
          <w:shd w:val="clear" w:color="auto" w:fill="FFFFFF"/>
          <w:lang w:bidi="ar"/>
        </w:rPr>
      </w:pPr>
      <w:r>
        <w:rPr>
          <w:rFonts w:hint="eastAsia"/>
          <w:shd w:val="clear" w:color="auto" w:fill="FFFFFF"/>
          <w:lang w:bidi="ar"/>
        </w:rPr>
        <w:t>库存实时校验：支付成功后系统立即联动库存管理模块，校验商品实际库存——这是电商系统的核心防超卖机制。对于运动服装多尺码、多颜色的特性，库存校验精准到具体SKU（如“白色L码速干衣”），确保用户支付的商品均可履约，避免“支付成功却无货”的用户投诉。</w:t>
      </w:r>
    </w:p>
    <w:p w14:paraId="5C72181C">
      <w:pPr>
        <w:pStyle w:val="140"/>
        <w:ind w:firstLine="480"/>
        <w:outlineLvl w:val="9"/>
        <w:rPr>
          <w:shd w:val="clear" w:color="auto" w:fill="FFFFFF"/>
          <w:lang w:bidi="ar"/>
        </w:rPr>
      </w:pPr>
      <w:r>
        <w:rPr>
          <w:rFonts w:hint="eastAsia"/>
          <w:shd w:val="clear" w:color="auto" w:fill="FFFFFF"/>
          <w:lang w:bidi="ar"/>
        </w:rPr>
        <w:t>数据联动逻辑：库存扣减操作实时同步至后台库存管理模块，为管理员后续补货预警提供数据依据（如某尺码库存低于阈值时触发补货提醒），形成“销售-库存-补货”的闭环。</w:t>
      </w:r>
    </w:p>
    <w:p w14:paraId="59DC1316">
      <w:pPr>
        <w:pStyle w:val="140"/>
        <w:ind w:firstLine="480"/>
        <w:outlineLvl w:val="9"/>
        <w:rPr>
          <w:shd w:val="clear" w:color="auto" w:fill="FFFFFF"/>
          <w:lang w:bidi="ar"/>
        </w:rPr>
      </w:pPr>
      <w:r>
        <w:rPr>
          <w:rFonts w:hint="eastAsia"/>
          <w:shd w:val="clear" w:color="auto" w:fill="FFFFFF"/>
          <w:lang w:bidi="ar"/>
        </w:rPr>
        <w:t>四、子流程4：订单生成与物流对接流程图（图2-</w:t>
      </w:r>
      <w:r>
        <w:rPr>
          <w:shd w:val="clear" w:color="auto" w:fill="FFFFFF"/>
          <w:lang w:bidi="ar"/>
        </w:rPr>
        <w:t>6</w:t>
      </w:r>
      <w:r>
        <w:rPr>
          <w:rFonts w:hint="eastAsia"/>
          <w:shd w:val="clear" w:color="auto" w:fill="FFFFFF"/>
          <w:lang w:bidi="ar"/>
        </w:rPr>
        <w:t>）。</w:t>
      </w:r>
    </w:p>
    <w:p w14:paraId="5D681B05">
      <w:pPr>
        <w:pStyle w:val="146"/>
        <w:ind w:firstLine="420" w:firstLineChars="200"/>
        <w:outlineLvl w:val="9"/>
        <w:rPr>
          <w:rFonts w:cs="宋体"/>
          <w:color w:val="1F223C"/>
          <w:spacing w:val="10"/>
          <w:kern w:val="0"/>
          <w:sz w:val="24"/>
          <w:shd w:val="clear" w:color="auto" w:fill="FFFFFF"/>
          <w:lang w:bidi="ar"/>
        </w:rPr>
      </w:pPr>
      <w:r>
        <w:drawing>
          <wp:inline distT="0" distB="0" distL="114300" distR="114300">
            <wp:extent cx="1608455" cy="5228590"/>
            <wp:effectExtent l="0" t="0" r="4445" b="3810"/>
            <wp:docPr id="48" name="图片 8" descr="游戏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descr="游戏的截图&#10;&#10;AI 生成的内容可能不正确。"/>
                    <pic:cNvPicPr>
                      <a:picLocks noChangeAspect="1"/>
                    </pic:cNvPicPr>
                  </pic:nvPicPr>
                  <pic:blipFill>
                    <a:blip r:embed="rId86"/>
                    <a:stretch>
                      <a:fillRect/>
                    </a:stretch>
                  </pic:blipFill>
                  <pic:spPr>
                    <a:xfrm>
                      <a:off x="0" y="0"/>
                      <a:ext cx="1608455" cy="5228590"/>
                    </a:xfrm>
                    <a:prstGeom prst="rect">
                      <a:avLst/>
                    </a:prstGeom>
                    <a:noFill/>
                    <a:ln>
                      <a:noFill/>
                    </a:ln>
                  </pic:spPr>
                </pic:pic>
              </a:graphicData>
            </a:graphic>
          </wp:inline>
        </w:drawing>
      </w:r>
    </w:p>
    <w:p w14:paraId="034C52B3">
      <w:pPr>
        <w:pStyle w:val="146"/>
        <w:ind w:firstLine="520" w:firstLineChars="200"/>
        <w:jc w:val="both"/>
        <w:outlineLvl w:val="9"/>
        <w:rPr>
          <w:rFonts w:cs="宋体"/>
          <w:color w:val="1F223C"/>
          <w:spacing w:val="10"/>
          <w:kern w:val="0"/>
          <w:sz w:val="24"/>
          <w:shd w:val="clear" w:color="auto" w:fill="FFFFFF"/>
          <w:lang w:bidi="ar"/>
        </w:rPr>
      </w:pPr>
    </w:p>
    <w:p w14:paraId="4B8D06F6">
      <w:pPr>
        <w:pStyle w:val="146"/>
        <w:outlineLvl w:val="9"/>
      </w:pPr>
      <w:r>
        <w:rPr>
          <w:rFonts w:hint="eastAsia"/>
        </w:rPr>
        <w:t>图2-</w:t>
      </w:r>
      <w:r>
        <w:t>6</w:t>
      </w:r>
      <w:r>
        <w:rPr>
          <w:rFonts w:hint="eastAsia"/>
        </w:rPr>
        <w:t xml:space="preserve"> 订单生成与物流对接流程图</w:t>
      </w:r>
    </w:p>
    <w:p w14:paraId="1DC0E631">
      <w:pPr>
        <w:pStyle w:val="140"/>
        <w:ind w:firstLine="480"/>
        <w:outlineLvl w:val="9"/>
        <w:rPr>
          <w:shd w:val="clear" w:color="auto" w:fill="FFFFFF"/>
          <w:lang w:bidi="ar"/>
        </w:rPr>
      </w:pPr>
      <w:r>
        <w:rPr>
          <w:rFonts w:hint="eastAsia"/>
          <w:shd w:val="clear" w:color="auto" w:fill="FFFFFF"/>
          <w:lang w:bidi="ar"/>
        </w:rPr>
        <w:t>本流程是购买链路的收尾环节，核心目标是实现“订单数据固化”与“物流服务衔接”，确保用户可追踪、管理员可操作。</w:t>
      </w:r>
    </w:p>
    <w:p w14:paraId="115CBEB6">
      <w:pPr>
        <w:pStyle w:val="140"/>
        <w:ind w:firstLine="480"/>
        <w:outlineLvl w:val="9"/>
        <w:rPr>
          <w:shd w:val="clear" w:color="auto" w:fill="FFFFFF"/>
          <w:lang w:bidi="ar"/>
        </w:rPr>
      </w:pPr>
      <w:r>
        <w:rPr>
          <w:rFonts w:hint="eastAsia"/>
          <w:shd w:val="clear" w:color="auto" w:fill="FFFFFF"/>
          <w:lang w:bidi="ar"/>
        </w:rPr>
        <w:t>订单数据固化：生成正式订单记录时，系统完整存储商品明细、支付金额、收货地址等关键信息，这些数据同步至“订单管理模块”，支撑管理员后续发货、售后处理、数据统计等操作，是业务追溯的核心依据。</w:t>
      </w:r>
    </w:p>
    <w:p w14:paraId="007CD53D">
      <w:pPr>
        <w:pStyle w:val="140"/>
        <w:ind w:firstLine="480"/>
        <w:outlineLvl w:val="9"/>
        <w:rPr>
          <w:shd w:val="clear" w:color="auto" w:fill="FFFFFF"/>
          <w:lang w:bidi="ar"/>
        </w:rPr>
      </w:pPr>
      <w:r>
        <w:rPr>
          <w:rFonts w:hint="eastAsia"/>
          <w:shd w:val="clear" w:color="auto" w:fill="FFFFFF"/>
          <w:lang w:bidi="ar"/>
        </w:rPr>
        <w:t>物流系统对接：通过接口与第三方物流系统（如顺丰、中通）联动，自动创建物流单并获取物流单号，实现“订单-物流”的无缝衔接。用户可通过订单详情页实时查看物流轨迹，管理员可在后台直接操作发货，提升履约效率。</w:t>
      </w:r>
    </w:p>
    <w:p w14:paraId="03A9715E">
      <w:pPr>
        <w:pStyle w:val="140"/>
        <w:ind w:firstLine="480"/>
        <w:outlineLvl w:val="9"/>
        <w:rPr>
          <w:shd w:val="clear" w:color="auto" w:fill="FFFFFF"/>
          <w:lang w:bidi="ar"/>
        </w:rPr>
      </w:pPr>
      <w:r>
        <w:rPr>
          <w:rFonts w:hint="eastAsia"/>
          <w:shd w:val="clear" w:color="auto" w:fill="FFFFFF"/>
          <w:lang w:bidi="ar"/>
        </w:rPr>
        <w:t>状态同步机制：订单状态更新为“已支付待发货”后，同步推送至用户端（APP/网页消息提醒）与管理员后台，确保双方信息对称——用户知晓订单进度，管理员及时处理发货需求，提升服务响应速度。</w:t>
      </w:r>
    </w:p>
    <w:p w14:paraId="4066309F">
      <w:pPr>
        <w:pStyle w:val="140"/>
        <w:ind w:firstLine="480"/>
        <w:outlineLvl w:val="9"/>
        <w:rPr>
          <w:shd w:val="clear" w:color="auto" w:fill="FFFFFF"/>
          <w:lang w:bidi="ar"/>
        </w:rPr>
      </w:pPr>
      <w:r>
        <w:rPr>
          <w:shd w:val="clear" w:color="auto" w:fill="FFFFFF"/>
          <w:lang w:bidi="ar"/>
        </w:rPr>
        <w:t>五、全流程关联说明</w:t>
      </w:r>
    </w:p>
    <w:p w14:paraId="48EB9F5E">
      <w:pPr>
        <w:pStyle w:val="140"/>
        <w:ind w:firstLine="480"/>
        <w:outlineLvl w:val="9"/>
        <w:rPr>
          <w:shd w:val="clear" w:color="auto" w:fill="FFFFFF"/>
          <w:lang w:bidi="ar"/>
        </w:rPr>
      </w:pPr>
      <w:r>
        <w:rPr>
          <w:shd w:val="clear" w:color="auto" w:fill="FFFFFF"/>
          <w:lang w:bidi="ar"/>
        </w:rPr>
        <w:t>4个子流程环环相扣，形成“登录-选购-确认-支付-履约”的完整业务闭环，且与系统其他模块深度联动：</w:t>
      </w:r>
    </w:p>
    <w:p w14:paraId="298D0CB9">
      <w:pPr>
        <w:pStyle w:val="140"/>
        <w:ind w:firstLine="480"/>
        <w:outlineLvl w:val="9"/>
        <w:rPr>
          <w:shd w:val="clear" w:color="auto" w:fill="FFFFFF"/>
          <w:lang w:bidi="ar"/>
        </w:rPr>
      </w:pPr>
      <w:r>
        <w:rPr>
          <w:shd w:val="clear" w:color="auto" w:fill="FFFFFF"/>
          <w:lang w:bidi="ar"/>
        </w:rPr>
        <w:t>与“登录模块”联动：保障用户身份合法性，避免匿名订单；</w:t>
      </w:r>
    </w:p>
    <w:p w14:paraId="32EB6A9A">
      <w:pPr>
        <w:pStyle w:val="140"/>
        <w:ind w:firstLine="480"/>
        <w:outlineLvl w:val="9"/>
        <w:rPr>
          <w:shd w:val="clear" w:color="auto" w:fill="FFFFFF"/>
          <w:lang w:bidi="ar"/>
        </w:rPr>
      </w:pPr>
      <w:r>
        <w:rPr>
          <w:shd w:val="clear" w:color="auto" w:fill="FFFFFF"/>
          <w:lang w:bidi="ar"/>
        </w:rPr>
        <w:t>与“商品管理模块”联动：获取商品详情、库存数据，支撑选购与库存校验；</w:t>
      </w:r>
    </w:p>
    <w:p w14:paraId="0B02D108">
      <w:pPr>
        <w:pStyle w:val="140"/>
        <w:ind w:firstLine="480"/>
        <w:outlineLvl w:val="9"/>
        <w:rPr>
          <w:shd w:val="clear" w:color="auto" w:fill="FFFFFF"/>
          <w:lang w:bidi="ar"/>
        </w:rPr>
      </w:pPr>
      <w:r>
        <w:rPr>
          <w:shd w:val="clear" w:color="auto" w:fill="FFFFFF"/>
          <w:lang w:bidi="ar"/>
        </w:rPr>
        <w:t>与“订单管理模块”联动：固化订单数据，支撑后续发货、售后操作；</w:t>
      </w:r>
    </w:p>
    <w:p w14:paraId="66BF92DC">
      <w:pPr>
        <w:pStyle w:val="140"/>
        <w:ind w:firstLine="480"/>
        <w:outlineLvl w:val="9"/>
        <w:rPr>
          <w:shd w:val="clear" w:color="auto" w:fill="FFFFFF"/>
          <w:lang w:bidi="ar"/>
        </w:rPr>
      </w:pPr>
      <w:r>
        <w:rPr>
          <w:shd w:val="clear" w:color="auto" w:fill="FFFFFF"/>
          <w:lang w:bidi="ar"/>
        </w:rPr>
        <w:t>与“库存管理模块”联动：实时扣减库存，触发补货预警，避免超卖/断货。</w:t>
      </w:r>
    </w:p>
    <w:p w14:paraId="43FED335">
      <w:pPr>
        <w:pStyle w:val="140"/>
        <w:ind w:firstLine="480"/>
        <w:outlineLvl w:val="9"/>
        <w:rPr>
          <w:color w:val="383B51"/>
          <w:shd w:val="clear" w:color="auto" w:fill="FFFFFF"/>
        </w:rPr>
      </w:pPr>
      <w:r>
        <w:rPr>
          <w:shd w:val="clear" w:color="auto" w:fill="FFFFFF"/>
          <w:lang w:bidi="ar"/>
        </w:rPr>
        <w:t>整个流程既兼顾了用户购物的便捷性（如双选购模式、优惠券自动抵扣），又保障了商家运营的合规性（如防超卖、订单追溯），符合运动服装电商“体验优先、效率为王”的核心需求。</w:t>
      </w:r>
    </w:p>
    <w:p w14:paraId="48C73986">
      <w:pPr>
        <w:pStyle w:val="151"/>
        <w:outlineLvl w:val="9"/>
        <w:rPr>
          <w:rFonts w:ascii="宋体" w:hAnsi="宋体"/>
        </w:rPr>
      </w:pPr>
      <w:bookmarkStart w:id="66" w:name="_Toc6995"/>
      <w:r>
        <w:rPr>
          <w:rFonts w:ascii="宋体" w:hAnsi="宋体"/>
        </w:rPr>
        <w:t>3 系统设计</w:t>
      </w:r>
      <w:bookmarkEnd w:id="66"/>
    </w:p>
    <w:p w14:paraId="4C90527C">
      <w:pPr>
        <w:pStyle w:val="139"/>
        <w:ind w:firstLine="562"/>
        <w:outlineLvl w:val="9"/>
        <w:rPr>
          <w:b/>
          <w:bCs/>
        </w:rPr>
      </w:pPr>
      <w:bookmarkStart w:id="67" w:name="_Toc19743"/>
      <w:r>
        <w:rPr>
          <w:rFonts w:hint="eastAsia"/>
          <w:b/>
          <w:bCs/>
          <w:sz w:val="28"/>
          <w:szCs w:val="28"/>
        </w:rPr>
        <w:t>3.1 系统结构设计</w:t>
      </w:r>
      <w:bookmarkEnd w:id="67"/>
      <w:r>
        <w:rPr>
          <w:rFonts w:hint="eastAsia"/>
          <w:b/>
          <w:bCs/>
        </w:rPr>
        <w:t xml:space="preserve">  </w:t>
      </w:r>
    </w:p>
    <w:p w14:paraId="76BDE2F9">
      <w:pPr>
        <w:pStyle w:val="140"/>
        <w:ind w:firstLine="480"/>
        <w:outlineLvl w:val="9"/>
      </w:pPr>
      <w:r>
        <w:rPr>
          <w:rFonts w:hint="eastAsia"/>
          <w:shd w:val="clear" w:color="auto" w:fill="FFFFFF"/>
          <w:lang w:bidi="ar"/>
        </w:rPr>
        <w:t>运动服装销售系统主要分为前台和后台两大部分。前台是用户直接接触的界面，包括手机App、电脑网页等。用户可以通过这些渠道浏览各种运动装备、查看商品详情、将喜欢的服装加入购物车并下单支付。为了保证用户在浏览商品图片或观看视频时加载迅速，系统专门配置了高效的图片和视频加载服务，确保页面打开不卡顿。</w:t>
      </w:r>
    </w:p>
    <w:p w14:paraId="6001E8B0">
      <w:pPr>
        <w:pStyle w:val="140"/>
        <w:ind w:firstLine="480"/>
        <w:outlineLvl w:val="9"/>
      </w:pPr>
      <w:r>
        <w:rPr>
          <w:rFonts w:hint="eastAsia"/>
          <w:shd w:val="clear" w:color="auto" w:fill="FFFFFF"/>
          <w:lang w:bidi="ar"/>
        </w:rPr>
        <w:t>后台则是支撑整个商城运转的“大脑”和“仓库”。业务处理中心负责处理所有复杂的业务逻辑，比如计算订单价格、管理库存扣减、处理优惠券发放等。这部分是系统的核心，确保买卖流程顺畅。数据存储中心负责安全地保存所有核心数据，包括用户账号信息、商品库存、订单记录等，相当于一个严密的电子仓库。运营管理系统是管理员使用的后台，专门用来管理商品上下架、查看销售数据、处理售后申请等，帮助运营人员高效管理店铺。</w:t>
      </w:r>
    </w:p>
    <w:p w14:paraId="28A79549">
      <w:pPr>
        <w:pStyle w:val="140"/>
        <w:ind w:firstLine="480"/>
        <w:outlineLvl w:val="9"/>
      </w:pPr>
      <w:r>
        <w:rPr>
          <w:rFonts w:hint="eastAsia"/>
          <w:shd w:val="clear" w:color="auto" w:fill="FFFFFF"/>
          <w:lang w:bidi="ar"/>
        </w:rPr>
        <w:t>这套架构围绕运动服装的销售特点，从前端的用户展示到后端的订单与库存管理，再到后台的数据支撑，构建了一条完整的业务流水线，既能保证用户购物体验的流畅，也可以满足商城日常运营和管理的需求。</w:t>
      </w:r>
    </w:p>
    <w:p w14:paraId="4276A03D">
      <w:pPr>
        <w:pStyle w:val="139"/>
        <w:ind w:firstLine="562"/>
        <w:outlineLvl w:val="9"/>
      </w:pPr>
      <w:bookmarkStart w:id="68" w:name="_Toc22842"/>
      <w:r>
        <w:rPr>
          <w:rFonts w:hint="eastAsia"/>
          <w:b/>
          <w:bCs/>
          <w:sz w:val="28"/>
          <w:szCs w:val="28"/>
        </w:rPr>
        <w:t>3.2 系统功能模块设计</w:t>
      </w:r>
      <w:bookmarkEnd w:id="68"/>
      <w:r>
        <w:rPr>
          <w:rFonts w:hint="eastAsia"/>
          <w:sz w:val="28"/>
          <w:szCs w:val="28"/>
        </w:rPr>
        <w:t xml:space="preserve"> </w:t>
      </w:r>
      <w:r>
        <w:rPr>
          <w:rFonts w:hint="eastAsia"/>
        </w:rPr>
        <w:t xml:space="preserve"> </w:t>
      </w:r>
    </w:p>
    <w:p w14:paraId="0B9A2FB7">
      <w:pPr>
        <w:pStyle w:val="140"/>
        <w:ind w:firstLine="480"/>
        <w:outlineLvl w:val="9"/>
      </w:pPr>
      <w:r>
        <w:rPr>
          <w:rFonts w:hint="eastAsia"/>
        </w:rPr>
        <w:t>这套运动服装商城的功能设计，主要围绕“用户购物”和“商家管理”两条主线展开，旨在打造一个既好用又方便管理的销售平台。</w:t>
      </w:r>
    </w:p>
    <w:p w14:paraId="4AC8E794">
      <w:pPr>
        <w:pStyle w:val="140"/>
        <w:ind w:firstLine="480"/>
        <w:outlineLvl w:val="9"/>
      </w:pPr>
      <w:r>
        <w:rPr>
          <w:rFonts w:hint="eastAsia"/>
        </w:rPr>
        <w:t>从用户的角度来看，系统首先提供了一个丰富的商品展示与选购中心。用户进入商城后，可以通过首页的轮播图看到最新的运动装备推荐，或者通过分类列表快速找到自己需要的运动类型（如跑步、健身、瑜伽等）的服装。在商品详情页，用户不仅能查看服装的多角度图片，还能看到详细的尺码建议、面料成分以及适用场景说明，帮助用户做出更准确的购买决策。选中心仪商品后，用户可以将其加入购物车，或者直接通过“立即购买”功能快速下单。为了提升购物体验，系统还集成了智能搜索与筛选功能，用户可以通过输入关键词（如“速干”、“加绒”）或者按价格、销量、品牌进行排序，快速从海量商品中找到最适合自己的那一款。</w:t>
      </w:r>
    </w:p>
    <w:p w14:paraId="44438443">
      <w:pPr>
        <w:pStyle w:val="140"/>
        <w:ind w:firstLine="480"/>
        <w:outlineLvl w:val="9"/>
      </w:pPr>
      <w:r>
        <w:rPr>
          <w:rFonts w:hint="eastAsia"/>
        </w:rPr>
        <w:t>在交易环节，系统构建了一套完整的订单与支付流程。用户下单后，可以实时查看订单状态，包括待付款、待发货、已发货等，并且能够在线申请售后或退换货。为了增加用户的粘性，系统还设计了会员与营销体系，用户可以通过注册成为会员享受专属折扣，或者领取优惠券、参与限时秒杀等活动。此外，系统还提供了在线客服功能，用户在选购过程中如果有关于尺码或材质的疑问，可以随时与客服沟通，获得及时的解答。</w:t>
      </w:r>
    </w:p>
    <w:p w14:paraId="76C85C2F">
      <w:pPr>
        <w:pStyle w:val="140"/>
        <w:ind w:firstLine="480"/>
        <w:outlineLvl w:val="9"/>
      </w:pPr>
      <w:r>
        <w:rPr>
          <w:rFonts w:hint="eastAsia"/>
        </w:rPr>
        <w:t>从后台管理的角度来看，系统为管理员提供了一套强大的运营管理工具。管理员可以通过后台对所有的运动服装进行全生命周期的管理，包括新增商品、编辑商品信息、设置库存预警等。当库存低于设定的阈值时，系统会自动提醒管理员补货，避免出现断码缺货的情况。在订单管理方面，管理员可以查看所有用户的订单详情，处理发货操作，并跟踪物流信息。为了辅助经营决策，系统还内置了数据统计分析模块，能够自动生成销售报表，展示热销单品、用户偏好等关键数据，帮助商家了解市场趋势，从而调整进货策略和营销方案。</w:t>
      </w:r>
    </w:p>
    <w:p w14:paraId="768B85B5">
      <w:pPr>
        <w:pStyle w:val="139"/>
        <w:ind w:firstLine="562"/>
        <w:outlineLvl w:val="9"/>
        <w:rPr>
          <w:b/>
          <w:bCs/>
          <w:sz w:val="28"/>
          <w:szCs w:val="28"/>
        </w:rPr>
      </w:pPr>
      <w:r>
        <w:rPr>
          <w:rFonts w:hint="eastAsia"/>
          <w:b/>
          <w:bCs/>
          <w:sz w:val="28"/>
          <w:szCs w:val="28"/>
        </w:rPr>
        <w:t>3.3数据库功能结构</w:t>
      </w:r>
    </w:p>
    <w:p w14:paraId="52F5C545">
      <w:pPr>
        <w:pStyle w:val="143"/>
        <w:ind w:firstLine="482"/>
        <w:outlineLvl w:val="9"/>
        <w:rPr>
          <w:b/>
          <w:bCs/>
        </w:rPr>
      </w:pPr>
      <w:r>
        <w:rPr>
          <w:rFonts w:hint="eastAsia"/>
          <w:b/>
          <w:bCs/>
        </w:rPr>
        <w:t>3.3.1营销数据</w:t>
      </w:r>
    </w:p>
    <w:p w14:paraId="530EB35C">
      <w:pPr>
        <w:pStyle w:val="140"/>
        <w:ind w:firstLine="480"/>
        <w:outlineLvl w:val="9"/>
      </w:pPr>
      <w:r>
        <w:rPr>
          <w:rFonts w:hint="eastAsia"/>
        </w:rPr>
        <w:t>下面是一张用户行为与交易汇总统计表，主要用于记录和分析平台每日的运营状况。这张表的设计核心在于“汇总”，它不是记录原始的订单流水，而是将每天的业务指标计算好后存入，以便于后续快速生成报表和分析趋势。</w:t>
      </w:r>
    </w:p>
    <w:p w14:paraId="1D9BC4E4">
      <w:pPr>
        <w:pStyle w:val="140"/>
        <w:ind w:firstLine="480"/>
        <w:outlineLvl w:val="9"/>
      </w:pPr>
      <w:r>
        <w:rPr>
          <w:rFonts w:hint="eastAsia"/>
        </w:rPr>
        <w:t>在结构上，首先通过“统计日期”作为核心维度，确保每一天的数据是唯一的，避免了重复统计。表中详细记录了从用户活跃到最终成交的全链路数据，包括登录用户数、注册用户数、加购用户数、下单用户数以及最终的成交用户数，这些字段构成了完整的用户转化漏斗，能够帮助运营人员清晰地看到用户在各个环节的流失情况。同时，为了反映业务的真实产出，表中还包含了下单数、成交数和成交金额等核心交易指标，用于衡量每日的销售业绩。为了平衡业务健康度，还专门统计了售后数和售后金额，这不仅反映了销量，也反映了退换货的比例。这张表通常是后台数据看板、日报表和月度分析报告的数据来源基础，通过它能一目了然地掌握平台的每日流量转化效率和销售健康度。如表3-1所示。</w:t>
      </w:r>
    </w:p>
    <w:p w14:paraId="19FBA866">
      <w:pPr>
        <w:pStyle w:val="146"/>
        <w:outlineLvl w:val="9"/>
        <w:rPr>
          <w:rFonts w:cs="宋体"/>
          <w:b/>
          <w:bCs/>
        </w:rPr>
      </w:pPr>
      <w:r>
        <w:rPr>
          <w:rFonts w:hint="eastAsia"/>
        </w:rPr>
        <w:t>表3-1</w:t>
      </w:r>
      <w:r>
        <w:t xml:space="preserve"> </w:t>
      </w:r>
      <w:r>
        <w:rPr>
          <w:rFonts w:hint="eastAsia"/>
        </w:rPr>
        <w:t>营销数据表</w:t>
      </w:r>
    </w:p>
    <w:tbl>
      <w:tblPr>
        <w:tblStyle w:val="35"/>
        <w:tblW w:w="8359" w:type="dxa"/>
        <w:tblInd w:w="0" w:type="dxa"/>
        <w:tblLayout w:type="fixed"/>
        <w:tblCellMar>
          <w:top w:w="0" w:type="dxa"/>
          <w:left w:w="108" w:type="dxa"/>
          <w:bottom w:w="0" w:type="dxa"/>
          <w:right w:w="108" w:type="dxa"/>
        </w:tblCellMar>
      </w:tblPr>
      <w:tblGrid>
        <w:gridCol w:w="672"/>
        <w:gridCol w:w="2841"/>
        <w:gridCol w:w="1585"/>
        <w:gridCol w:w="709"/>
        <w:gridCol w:w="709"/>
        <w:gridCol w:w="1843"/>
      </w:tblGrid>
      <w:tr w14:paraId="4B224659">
        <w:tc>
          <w:tcPr>
            <w:tcW w:w="672" w:type="dxa"/>
          </w:tcPr>
          <w:p w14:paraId="3A4678BA">
            <w:pPr>
              <w:pStyle w:val="140"/>
              <w:ind w:firstLine="0" w:firstLineChars="0"/>
              <w:jc w:val="center"/>
              <w:outlineLvl w:val="9"/>
              <w:rPr>
                <w:rFonts w:ascii="宋体" w:hAnsi="宋体" w:cs="宋体"/>
                <w:sz w:val="21"/>
                <w:szCs w:val="21"/>
              </w:rPr>
            </w:pPr>
            <w:r>
              <w:rPr>
                <w:rFonts w:hint="eastAsia" w:ascii="宋体" w:hAnsi="宋体" w:cs="宋体"/>
                <w:sz w:val="21"/>
                <w:szCs w:val="21"/>
              </w:rPr>
              <w:t>序号</w:t>
            </w:r>
          </w:p>
        </w:tc>
        <w:tc>
          <w:tcPr>
            <w:tcW w:w="2841" w:type="dxa"/>
          </w:tcPr>
          <w:p w14:paraId="5304AE2B">
            <w:pPr>
              <w:pStyle w:val="140"/>
              <w:ind w:firstLine="0" w:firstLineChars="0"/>
              <w:jc w:val="center"/>
              <w:outlineLvl w:val="9"/>
              <w:rPr>
                <w:rFonts w:ascii="宋体" w:hAnsi="宋体" w:cs="宋体"/>
                <w:sz w:val="21"/>
                <w:szCs w:val="21"/>
              </w:rPr>
            </w:pPr>
            <w:r>
              <w:rPr>
                <w:rFonts w:hint="eastAsia" w:ascii="宋体" w:hAnsi="宋体" w:cs="宋体"/>
                <w:sz w:val="21"/>
                <w:szCs w:val="21"/>
              </w:rPr>
              <w:t>字段名</w:t>
            </w:r>
          </w:p>
        </w:tc>
        <w:tc>
          <w:tcPr>
            <w:tcW w:w="1585" w:type="dxa"/>
          </w:tcPr>
          <w:p w14:paraId="23CD21FF">
            <w:pPr>
              <w:pStyle w:val="140"/>
              <w:ind w:firstLine="0" w:firstLineChars="0"/>
              <w:jc w:val="center"/>
              <w:outlineLvl w:val="9"/>
              <w:rPr>
                <w:rFonts w:ascii="宋体" w:hAnsi="宋体" w:cs="宋体"/>
                <w:sz w:val="21"/>
                <w:szCs w:val="21"/>
              </w:rPr>
            </w:pPr>
            <w:r>
              <w:rPr>
                <w:rFonts w:hint="eastAsia" w:ascii="宋体" w:hAnsi="宋体" w:cs="宋体"/>
                <w:sz w:val="21"/>
                <w:szCs w:val="21"/>
              </w:rPr>
              <w:t>数据类型</w:t>
            </w:r>
          </w:p>
        </w:tc>
        <w:tc>
          <w:tcPr>
            <w:tcW w:w="709" w:type="dxa"/>
          </w:tcPr>
          <w:p w14:paraId="41361FC1">
            <w:pPr>
              <w:pStyle w:val="140"/>
              <w:ind w:firstLine="0" w:firstLineChars="0"/>
              <w:jc w:val="center"/>
              <w:outlineLvl w:val="9"/>
              <w:rPr>
                <w:rFonts w:ascii="宋体" w:hAnsi="宋体" w:cs="宋体"/>
                <w:sz w:val="21"/>
                <w:szCs w:val="21"/>
              </w:rPr>
            </w:pPr>
            <w:r>
              <w:rPr>
                <w:rFonts w:hint="eastAsia" w:ascii="宋体" w:hAnsi="宋体" w:cs="宋体"/>
                <w:sz w:val="21"/>
                <w:szCs w:val="21"/>
              </w:rPr>
              <w:t>主键</w:t>
            </w:r>
          </w:p>
        </w:tc>
        <w:tc>
          <w:tcPr>
            <w:tcW w:w="709" w:type="dxa"/>
          </w:tcPr>
          <w:p w14:paraId="1925D501">
            <w:pPr>
              <w:pStyle w:val="140"/>
              <w:ind w:firstLine="0" w:firstLineChars="0"/>
              <w:jc w:val="center"/>
              <w:outlineLvl w:val="9"/>
              <w:rPr>
                <w:rFonts w:ascii="宋体" w:hAnsi="宋体" w:cs="宋体"/>
                <w:sz w:val="21"/>
                <w:szCs w:val="21"/>
              </w:rPr>
            </w:pPr>
            <w:r>
              <w:rPr>
                <w:rFonts w:hint="eastAsia" w:ascii="宋体" w:hAnsi="宋体" w:cs="宋体"/>
                <w:sz w:val="21"/>
                <w:szCs w:val="21"/>
              </w:rPr>
              <w:t>非空</w:t>
            </w:r>
          </w:p>
        </w:tc>
        <w:tc>
          <w:tcPr>
            <w:tcW w:w="1843" w:type="dxa"/>
          </w:tcPr>
          <w:p w14:paraId="4CF3EA7A">
            <w:pPr>
              <w:pStyle w:val="140"/>
              <w:ind w:firstLine="0" w:firstLineChars="0"/>
              <w:jc w:val="center"/>
              <w:outlineLvl w:val="9"/>
              <w:rPr>
                <w:rFonts w:ascii="宋体" w:hAnsi="宋体" w:cs="宋体"/>
                <w:sz w:val="21"/>
                <w:szCs w:val="21"/>
              </w:rPr>
            </w:pPr>
            <w:r>
              <w:rPr>
                <w:rFonts w:hint="eastAsia" w:ascii="宋体" w:hAnsi="宋体" w:cs="宋体"/>
                <w:sz w:val="21"/>
                <w:szCs w:val="21"/>
              </w:rPr>
              <w:t>描述</w:t>
            </w:r>
          </w:p>
        </w:tc>
      </w:tr>
      <w:tr w14:paraId="45262256">
        <w:tblPrEx>
          <w:tblCellMar>
            <w:top w:w="0" w:type="dxa"/>
            <w:left w:w="108" w:type="dxa"/>
            <w:bottom w:w="0" w:type="dxa"/>
            <w:right w:w="108" w:type="dxa"/>
          </w:tblCellMar>
        </w:tblPrEx>
        <w:tc>
          <w:tcPr>
            <w:tcW w:w="672" w:type="dxa"/>
          </w:tcPr>
          <w:p w14:paraId="7984622C">
            <w:pPr>
              <w:pStyle w:val="140"/>
              <w:ind w:firstLine="0" w:firstLineChars="0"/>
              <w:jc w:val="center"/>
              <w:outlineLvl w:val="9"/>
              <w:rPr>
                <w:rFonts w:ascii="宋体" w:hAnsi="宋体" w:cs="宋体"/>
                <w:sz w:val="21"/>
                <w:szCs w:val="21"/>
              </w:rPr>
            </w:pPr>
            <w:r>
              <w:rPr>
                <w:rFonts w:hint="eastAsia" w:ascii="宋体" w:hAnsi="宋体" w:cs="宋体"/>
                <w:sz w:val="21"/>
                <w:szCs w:val="21"/>
              </w:rPr>
              <w:t>1</w:t>
            </w:r>
          </w:p>
        </w:tc>
        <w:tc>
          <w:tcPr>
            <w:tcW w:w="2841" w:type="dxa"/>
          </w:tcPr>
          <w:p w14:paraId="55DD9F86">
            <w:pPr>
              <w:pStyle w:val="140"/>
              <w:ind w:firstLine="0" w:firstLineChars="0"/>
              <w:jc w:val="center"/>
              <w:outlineLvl w:val="9"/>
              <w:rPr>
                <w:rFonts w:ascii="宋体" w:hAnsi="宋体" w:cs="宋体"/>
                <w:sz w:val="21"/>
                <w:szCs w:val="21"/>
              </w:rPr>
            </w:pPr>
            <w:r>
              <w:rPr>
                <w:rFonts w:hint="eastAsia" w:ascii="宋体" w:hAnsi="宋体" w:cs="宋体"/>
                <w:sz w:val="21"/>
                <w:szCs w:val="21"/>
              </w:rPr>
              <w:t>id</w:t>
            </w:r>
          </w:p>
        </w:tc>
        <w:tc>
          <w:tcPr>
            <w:tcW w:w="1585" w:type="dxa"/>
          </w:tcPr>
          <w:p w14:paraId="10DABF13">
            <w:pPr>
              <w:pStyle w:val="140"/>
              <w:ind w:firstLine="0" w:firstLineChars="0"/>
              <w:jc w:val="center"/>
              <w:outlineLvl w:val="9"/>
              <w:rPr>
                <w:rFonts w:ascii="宋体" w:hAnsi="宋体" w:cs="宋体"/>
                <w:sz w:val="21"/>
                <w:szCs w:val="21"/>
              </w:rPr>
            </w:pPr>
            <w:r>
              <w:rPr>
                <w:rFonts w:hint="eastAsia" w:ascii="宋体" w:hAnsi="宋体" w:cs="宋体"/>
                <w:sz w:val="21"/>
                <w:szCs w:val="21"/>
              </w:rPr>
              <w:t>bigint(20)</w:t>
            </w:r>
          </w:p>
        </w:tc>
        <w:tc>
          <w:tcPr>
            <w:tcW w:w="709" w:type="dxa"/>
          </w:tcPr>
          <w:p w14:paraId="04ABF99F">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709" w:type="dxa"/>
          </w:tcPr>
          <w:p w14:paraId="3567EA01">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6D082B3D">
            <w:pPr>
              <w:pStyle w:val="140"/>
              <w:ind w:firstLine="0" w:firstLineChars="0"/>
              <w:jc w:val="center"/>
              <w:outlineLvl w:val="9"/>
              <w:rPr>
                <w:rFonts w:ascii="宋体" w:hAnsi="宋体" w:cs="宋体"/>
                <w:sz w:val="21"/>
                <w:szCs w:val="21"/>
              </w:rPr>
            </w:pPr>
            <w:r>
              <w:rPr>
                <w:rFonts w:hint="eastAsia" w:ascii="宋体" w:hAnsi="宋体" w:cs="宋体"/>
                <w:sz w:val="21"/>
                <w:szCs w:val="21"/>
              </w:rPr>
              <w:t>主键ID</w:t>
            </w:r>
          </w:p>
        </w:tc>
      </w:tr>
      <w:tr w14:paraId="14793C3C">
        <w:tblPrEx>
          <w:tblCellMar>
            <w:top w:w="0" w:type="dxa"/>
            <w:left w:w="108" w:type="dxa"/>
            <w:bottom w:w="0" w:type="dxa"/>
            <w:right w:w="108" w:type="dxa"/>
          </w:tblCellMar>
        </w:tblPrEx>
        <w:tc>
          <w:tcPr>
            <w:tcW w:w="672" w:type="dxa"/>
          </w:tcPr>
          <w:p w14:paraId="74A1BA6B">
            <w:pPr>
              <w:pStyle w:val="140"/>
              <w:ind w:firstLine="0" w:firstLineChars="0"/>
              <w:jc w:val="center"/>
              <w:outlineLvl w:val="9"/>
              <w:rPr>
                <w:rFonts w:ascii="宋体" w:hAnsi="宋体" w:cs="宋体"/>
                <w:sz w:val="21"/>
                <w:szCs w:val="21"/>
              </w:rPr>
            </w:pPr>
            <w:r>
              <w:rPr>
                <w:rFonts w:hint="eastAsia" w:ascii="宋体" w:hAnsi="宋体" w:cs="宋体"/>
                <w:sz w:val="21"/>
                <w:szCs w:val="21"/>
              </w:rPr>
              <w:t>2</w:t>
            </w:r>
          </w:p>
        </w:tc>
        <w:tc>
          <w:tcPr>
            <w:tcW w:w="2841" w:type="dxa"/>
          </w:tcPr>
          <w:p w14:paraId="1A9B26A0">
            <w:pPr>
              <w:pStyle w:val="140"/>
              <w:ind w:firstLine="0" w:firstLineChars="0"/>
              <w:jc w:val="center"/>
              <w:outlineLvl w:val="9"/>
              <w:rPr>
                <w:rFonts w:ascii="宋体" w:hAnsi="宋体" w:cs="宋体"/>
                <w:sz w:val="21"/>
                <w:szCs w:val="21"/>
              </w:rPr>
            </w:pPr>
            <w:r>
              <w:rPr>
                <w:rFonts w:hint="eastAsia" w:ascii="宋体" w:hAnsi="宋体" w:cs="宋体"/>
                <w:sz w:val="21"/>
                <w:szCs w:val="21"/>
              </w:rPr>
              <w:t>date</w:t>
            </w:r>
          </w:p>
        </w:tc>
        <w:tc>
          <w:tcPr>
            <w:tcW w:w="1585" w:type="dxa"/>
          </w:tcPr>
          <w:p w14:paraId="51EE1D6D">
            <w:pPr>
              <w:pStyle w:val="140"/>
              <w:ind w:firstLine="0" w:firstLineChars="0"/>
              <w:jc w:val="center"/>
              <w:outlineLvl w:val="9"/>
              <w:rPr>
                <w:rFonts w:ascii="宋体" w:hAnsi="宋体" w:cs="宋体"/>
                <w:sz w:val="21"/>
                <w:szCs w:val="21"/>
              </w:rPr>
            </w:pPr>
            <w:r>
              <w:rPr>
                <w:rFonts w:hint="eastAsia" w:ascii="宋体" w:hAnsi="宋体" w:cs="宋体"/>
                <w:sz w:val="21"/>
                <w:szCs w:val="21"/>
              </w:rPr>
              <w:t>datetime(3)</w:t>
            </w:r>
          </w:p>
        </w:tc>
        <w:tc>
          <w:tcPr>
            <w:tcW w:w="709" w:type="dxa"/>
          </w:tcPr>
          <w:p w14:paraId="027B7AEF">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4A040512">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0043A1C1">
            <w:pPr>
              <w:pStyle w:val="140"/>
              <w:ind w:firstLine="0" w:firstLineChars="0"/>
              <w:jc w:val="center"/>
              <w:outlineLvl w:val="9"/>
              <w:rPr>
                <w:rFonts w:ascii="宋体" w:hAnsi="宋体" w:cs="宋体"/>
                <w:sz w:val="21"/>
                <w:szCs w:val="21"/>
              </w:rPr>
            </w:pPr>
            <w:r>
              <w:rPr>
                <w:rFonts w:hint="eastAsia" w:ascii="宋体" w:hAnsi="宋体" w:cs="宋体"/>
                <w:sz w:val="21"/>
                <w:szCs w:val="21"/>
              </w:rPr>
              <w:t>统计日期</w:t>
            </w:r>
          </w:p>
        </w:tc>
      </w:tr>
      <w:tr w14:paraId="62726AE3">
        <w:tblPrEx>
          <w:tblCellMar>
            <w:top w:w="0" w:type="dxa"/>
            <w:left w:w="108" w:type="dxa"/>
            <w:bottom w:w="0" w:type="dxa"/>
            <w:right w:w="108" w:type="dxa"/>
          </w:tblCellMar>
        </w:tblPrEx>
        <w:tc>
          <w:tcPr>
            <w:tcW w:w="672" w:type="dxa"/>
          </w:tcPr>
          <w:p w14:paraId="484E4EC0">
            <w:pPr>
              <w:pStyle w:val="140"/>
              <w:ind w:firstLine="0" w:firstLineChars="0"/>
              <w:jc w:val="center"/>
              <w:outlineLvl w:val="9"/>
              <w:rPr>
                <w:rFonts w:ascii="宋体" w:hAnsi="宋体" w:cs="宋体"/>
                <w:sz w:val="21"/>
                <w:szCs w:val="21"/>
              </w:rPr>
            </w:pPr>
            <w:r>
              <w:rPr>
                <w:rFonts w:hint="eastAsia" w:ascii="宋体" w:hAnsi="宋体" w:cs="宋体"/>
                <w:sz w:val="21"/>
                <w:szCs w:val="21"/>
              </w:rPr>
              <w:t>3</w:t>
            </w:r>
          </w:p>
        </w:tc>
        <w:tc>
          <w:tcPr>
            <w:tcW w:w="2841" w:type="dxa"/>
          </w:tcPr>
          <w:p w14:paraId="2CB6166B">
            <w:pPr>
              <w:pStyle w:val="140"/>
              <w:ind w:firstLine="0" w:firstLineChars="0"/>
              <w:jc w:val="center"/>
              <w:outlineLvl w:val="9"/>
              <w:rPr>
                <w:rFonts w:ascii="宋体" w:hAnsi="宋体" w:cs="宋体"/>
                <w:sz w:val="21"/>
                <w:szCs w:val="21"/>
              </w:rPr>
            </w:pPr>
            <w:r>
              <w:rPr>
                <w:rFonts w:hint="eastAsia" w:ascii="宋体" w:hAnsi="宋体" w:cs="宋体"/>
                <w:sz w:val="21"/>
                <w:szCs w:val="21"/>
              </w:rPr>
              <w:t>login_member_count</w:t>
            </w:r>
          </w:p>
        </w:tc>
        <w:tc>
          <w:tcPr>
            <w:tcW w:w="1585" w:type="dxa"/>
          </w:tcPr>
          <w:p w14:paraId="233B180D">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7F75D68D">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671AC1DC">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42C612AB">
            <w:pPr>
              <w:pStyle w:val="140"/>
              <w:ind w:firstLine="0" w:firstLineChars="0"/>
              <w:jc w:val="center"/>
              <w:outlineLvl w:val="9"/>
              <w:rPr>
                <w:rFonts w:ascii="宋体" w:hAnsi="宋体" w:cs="宋体"/>
                <w:sz w:val="21"/>
                <w:szCs w:val="21"/>
              </w:rPr>
            </w:pPr>
            <w:r>
              <w:rPr>
                <w:rFonts w:hint="eastAsia" w:ascii="宋体" w:hAnsi="宋体" w:cs="宋体"/>
                <w:sz w:val="21"/>
                <w:szCs w:val="21"/>
              </w:rPr>
              <w:t>登录用户数</w:t>
            </w:r>
          </w:p>
        </w:tc>
      </w:tr>
      <w:tr w14:paraId="54109BC9">
        <w:tblPrEx>
          <w:tblCellMar>
            <w:top w:w="0" w:type="dxa"/>
            <w:left w:w="108" w:type="dxa"/>
            <w:bottom w:w="0" w:type="dxa"/>
            <w:right w:w="108" w:type="dxa"/>
          </w:tblCellMar>
        </w:tblPrEx>
        <w:tc>
          <w:tcPr>
            <w:tcW w:w="672" w:type="dxa"/>
          </w:tcPr>
          <w:p w14:paraId="4E72D66F">
            <w:pPr>
              <w:pStyle w:val="140"/>
              <w:ind w:firstLine="0" w:firstLineChars="0"/>
              <w:jc w:val="center"/>
              <w:outlineLvl w:val="9"/>
              <w:rPr>
                <w:rFonts w:ascii="宋体" w:hAnsi="宋体" w:cs="宋体"/>
                <w:sz w:val="21"/>
                <w:szCs w:val="21"/>
              </w:rPr>
            </w:pPr>
            <w:r>
              <w:rPr>
                <w:rFonts w:hint="eastAsia" w:ascii="宋体" w:hAnsi="宋体" w:cs="宋体"/>
                <w:sz w:val="21"/>
                <w:szCs w:val="21"/>
              </w:rPr>
              <w:t>4</w:t>
            </w:r>
          </w:p>
        </w:tc>
        <w:tc>
          <w:tcPr>
            <w:tcW w:w="2841" w:type="dxa"/>
          </w:tcPr>
          <w:p w14:paraId="0E41D75A">
            <w:pPr>
              <w:pStyle w:val="140"/>
              <w:ind w:firstLine="0" w:firstLineChars="0"/>
              <w:jc w:val="center"/>
              <w:outlineLvl w:val="9"/>
              <w:rPr>
                <w:rFonts w:ascii="宋体" w:hAnsi="宋体" w:cs="宋体"/>
                <w:sz w:val="21"/>
                <w:szCs w:val="21"/>
              </w:rPr>
            </w:pPr>
            <w:r>
              <w:rPr>
                <w:rFonts w:hint="eastAsia" w:ascii="宋体" w:hAnsi="宋体" w:cs="宋体"/>
                <w:sz w:val="21"/>
                <w:szCs w:val="21"/>
              </w:rPr>
              <w:t>register_member_count</w:t>
            </w:r>
          </w:p>
        </w:tc>
        <w:tc>
          <w:tcPr>
            <w:tcW w:w="1585" w:type="dxa"/>
          </w:tcPr>
          <w:p w14:paraId="52E81BF5">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6D20DF44">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62E2BD61">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59213ADF">
            <w:pPr>
              <w:pStyle w:val="140"/>
              <w:ind w:firstLine="0" w:firstLineChars="0"/>
              <w:jc w:val="center"/>
              <w:outlineLvl w:val="9"/>
              <w:rPr>
                <w:rFonts w:ascii="宋体" w:hAnsi="宋体" w:cs="宋体"/>
                <w:sz w:val="21"/>
                <w:szCs w:val="21"/>
              </w:rPr>
            </w:pPr>
            <w:r>
              <w:rPr>
                <w:rFonts w:hint="eastAsia" w:ascii="宋体" w:hAnsi="宋体" w:cs="宋体"/>
                <w:sz w:val="21"/>
                <w:szCs w:val="21"/>
              </w:rPr>
              <w:t>注册用户数</w:t>
            </w:r>
          </w:p>
        </w:tc>
      </w:tr>
      <w:tr w14:paraId="3CDCDEE0">
        <w:tblPrEx>
          <w:tblCellMar>
            <w:top w:w="0" w:type="dxa"/>
            <w:left w:w="108" w:type="dxa"/>
            <w:bottom w:w="0" w:type="dxa"/>
            <w:right w:w="108" w:type="dxa"/>
          </w:tblCellMar>
        </w:tblPrEx>
        <w:tc>
          <w:tcPr>
            <w:tcW w:w="672" w:type="dxa"/>
          </w:tcPr>
          <w:p w14:paraId="6195D4F5">
            <w:pPr>
              <w:pStyle w:val="140"/>
              <w:ind w:firstLine="0" w:firstLineChars="0"/>
              <w:jc w:val="center"/>
              <w:outlineLvl w:val="9"/>
              <w:rPr>
                <w:rFonts w:ascii="宋体" w:hAnsi="宋体" w:cs="宋体"/>
                <w:sz w:val="21"/>
                <w:szCs w:val="21"/>
              </w:rPr>
            </w:pPr>
            <w:r>
              <w:rPr>
                <w:rFonts w:hint="eastAsia" w:ascii="宋体" w:hAnsi="宋体" w:cs="宋体"/>
                <w:sz w:val="21"/>
                <w:szCs w:val="21"/>
              </w:rPr>
              <w:t>5</w:t>
            </w:r>
          </w:p>
        </w:tc>
        <w:tc>
          <w:tcPr>
            <w:tcW w:w="2841" w:type="dxa"/>
          </w:tcPr>
          <w:p w14:paraId="1B5ABE36">
            <w:pPr>
              <w:pStyle w:val="140"/>
              <w:ind w:firstLine="0" w:firstLineChars="0"/>
              <w:jc w:val="center"/>
              <w:outlineLvl w:val="9"/>
              <w:rPr>
                <w:rFonts w:ascii="宋体" w:hAnsi="宋体" w:cs="宋体"/>
                <w:sz w:val="21"/>
                <w:szCs w:val="21"/>
              </w:rPr>
            </w:pPr>
            <w:r>
              <w:rPr>
                <w:rFonts w:hint="eastAsia" w:ascii="宋体" w:hAnsi="宋体" w:cs="宋体"/>
                <w:sz w:val="21"/>
                <w:szCs w:val="21"/>
              </w:rPr>
              <w:t>add_cart_member_count</w:t>
            </w:r>
          </w:p>
        </w:tc>
        <w:tc>
          <w:tcPr>
            <w:tcW w:w="1585" w:type="dxa"/>
          </w:tcPr>
          <w:p w14:paraId="7C97E74A">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051FFC14">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1069D005">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04A4488C">
            <w:pPr>
              <w:pStyle w:val="140"/>
              <w:ind w:firstLine="0" w:firstLineChars="0"/>
              <w:jc w:val="center"/>
              <w:outlineLvl w:val="9"/>
              <w:rPr>
                <w:rFonts w:ascii="宋体" w:hAnsi="宋体" w:cs="宋体"/>
                <w:sz w:val="21"/>
                <w:szCs w:val="21"/>
              </w:rPr>
            </w:pPr>
            <w:r>
              <w:rPr>
                <w:rFonts w:hint="eastAsia" w:ascii="宋体" w:hAnsi="宋体" w:cs="宋体"/>
                <w:sz w:val="21"/>
                <w:szCs w:val="21"/>
              </w:rPr>
              <w:t>加购用户数</w:t>
            </w:r>
          </w:p>
        </w:tc>
      </w:tr>
      <w:tr w14:paraId="5C9AC3B6">
        <w:tblPrEx>
          <w:tblCellMar>
            <w:top w:w="0" w:type="dxa"/>
            <w:left w:w="108" w:type="dxa"/>
            <w:bottom w:w="0" w:type="dxa"/>
            <w:right w:w="108" w:type="dxa"/>
          </w:tblCellMar>
        </w:tblPrEx>
        <w:tc>
          <w:tcPr>
            <w:tcW w:w="672" w:type="dxa"/>
          </w:tcPr>
          <w:p w14:paraId="199D1FA1">
            <w:pPr>
              <w:pStyle w:val="140"/>
              <w:ind w:firstLine="0" w:firstLineChars="0"/>
              <w:jc w:val="center"/>
              <w:outlineLvl w:val="9"/>
              <w:rPr>
                <w:rFonts w:ascii="宋体" w:hAnsi="宋体" w:cs="宋体"/>
                <w:sz w:val="21"/>
                <w:szCs w:val="21"/>
              </w:rPr>
            </w:pPr>
            <w:r>
              <w:rPr>
                <w:rFonts w:hint="eastAsia" w:ascii="宋体" w:hAnsi="宋体" w:cs="宋体"/>
                <w:sz w:val="21"/>
                <w:szCs w:val="21"/>
              </w:rPr>
              <w:t>6</w:t>
            </w:r>
          </w:p>
        </w:tc>
        <w:tc>
          <w:tcPr>
            <w:tcW w:w="2841" w:type="dxa"/>
          </w:tcPr>
          <w:p w14:paraId="1678C6EF">
            <w:pPr>
              <w:pStyle w:val="140"/>
              <w:ind w:firstLine="0" w:firstLineChars="0"/>
              <w:jc w:val="center"/>
              <w:outlineLvl w:val="9"/>
              <w:rPr>
                <w:rFonts w:ascii="宋体" w:hAnsi="宋体" w:cs="宋体"/>
                <w:sz w:val="21"/>
                <w:szCs w:val="21"/>
              </w:rPr>
            </w:pPr>
            <w:r>
              <w:rPr>
                <w:rFonts w:hint="eastAsia" w:ascii="宋体" w:hAnsi="宋体" w:cs="宋体"/>
                <w:sz w:val="21"/>
                <w:szCs w:val="21"/>
              </w:rPr>
              <w:t>create_order_member_count</w:t>
            </w:r>
          </w:p>
        </w:tc>
        <w:tc>
          <w:tcPr>
            <w:tcW w:w="1585" w:type="dxa"/>
          </w:tcPr>
          <w:p w14:paraId="39099FE0">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47C2C69D">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1E19A251">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2B51465A">
            <w:pPr>
              <w:pStyle w:val="140"/>
              <w:ind w:firstLine="0" w:firstLineChars="0"/>
              <w:jc w:val="center"/>
              <w:outlineLvl w:val="9"/>
              <w:rPr>
                <w:rFonts w:ascii="宋体" w:hAnsi="宋体" w:cs="宋体"/>
                <w:sz w:val="21"/>
                <w:szCs w:val="21"/>
              </w:rPr>
            </w:pPr>
            <w:r>
              <w:rPr>
                <w:rFonts w:hint="eastAsia" w:ascii="宋体" w:hAnsi="宋体" w:cs="宋体"/>
                <w:sz w:val="21"/>
                <w:szCs w:val="21"/>
              </w:rPr>
              <w:t>下单用户数</w:t>
            </w:r>
          </w:p>
        </w:tc>
      </w:tr>
      <w:tr w14:paraId="724FDF1D">
        <w:tblPrEx>
          <w:tblCellMar>
            <w:top w:w="0" w:type="dxa"/>
            <w:left w:w="108" w:type="dxa"/>
            <w:bottom w:w="0" w:type="dxa"/>
            <w:right w:w="108" w:type="dxa"/>
          </w:tblCellMar>
        </w:tblPrEx>
        <w:tc>
          <w:tcPr>
            <w:tcW w:w="672" w:type="dxa"/>
          </w:tcPr>
          <w:p w14:paraId="199EE396">
            <w:pPr>
              <w:pStyle w:val="140"/>
              <w:ind w:firstLine="0" w:firstLineChars="0"/>
              <w:jc w:val="center"/>
              <w:outlineLvl w:val="9"/>
              <w:rPr>
                <w:rFonts w:ascii="宋体" w:hAnsi="宋体" w:cs="宋体"/>
                <w:sz w:val="21"/>
                <w:szCs w:val="21"/>
              </w:rPr>
            </w:pPr>
            <w:r>
              <w:rPr>
                <w:rFonts w:hint="eastAsia" w:ascii="宋体" w:hAnsi="宋体" w:cs="宋体"/>
                <w:sz w:val="21"/>
                <w:szCs w:val="21"/>
              </w:rPr>
              <w:t>7</w:t>
            </w:r>
          </w:p>
        </w:tc>
        <w:tc>
          <w:tcPr>
            <w:tcW w:w="2841" w:type="dxa"/>
          </w:tcPr>
          <w:p w14:paraId="7C19446B">
            <w:pPr>
              <w:pStyle w:val="140"/>
              <w:ind w:firstLine="0" w:firstLineChars="0"/>
              <w:jc w:val="center"/>
              <w:outlineLvl w:val="9"/>
              <w:rPr>
                <w:rFonts w:ascii="宋体" w:hAnsi="宋体" w:cs="宋体"/>
                <w:sz w:val="21"/>
                <w:szCs w:val="21"/>
              </w:rPr>
            </w:pPr>
            <w:r>
              <w:rPr>
                <w:rFonts w:hint="eastAsia" w:ascii="宋体" w:hAnsi="宋体" w:cs="宋体"/>
                <w:sz w:val="21"/>
                <w:szCs w:val="21"/>
              </w:rPr>
              <w:t>deal_member_count</w:t>
            </w:r>
          </w:p>
        </w:tc>
        <w:tc>
          <w:tcPr>
            <w:tcW w:w="1585" w:type="dxa"/>
          </w:tcPr>
          <w:p w14:paraId="38D4B204">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596A060F">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6A8586B4">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26843CF4">
            <w:pPr>
              <w:pStyle w:val="140"/>
              <w:ind w:firstLine="0" w:firstLineChars="0"/>
              <w:jc w:val="center"/>
              <w:outlineLvl w:val="9"/>
              <w:rPr>
                <w:rFonts w:ascii="宋体" w:hAnsi="宋体" w:cs="宋体"/>
                <w:sz w:val="21"/>
                <w:szCs w:val="21"/>
              </w:rPr>
            </w:pPr>
            <w:r>
              <w:rPr>
                <w:rFonts w:hint="eastAsia" w:ascii="宋体" w:hAnsi="宋体" w:cs="宋体"/>
                <w:sz w:val="21"/>
                <w:szCs w:val="21"/>
              </w:rPr>
              <w:t>成交用户数</w:t>
            </w:r>
          </w:p>
        </w:tc>
      </w:tr>
      <w:tr w14:paraId="29B06CC1">
        <w:tblPrEx>
          <w:tblCellMar>
            <w:top w:w="0" w:type="dxa"/>
            <w:left w:w="108" w:type="dxa"/>
            <w:bottom w:w="0" w:type="dxa"/>
            <w:right w:w="108" w:type="dxa"/>
          </w:tblCellMar>
        </w:tblPrEx>
        <w:tc>
          <w:tcPr>
            <w:tcW w:w="672" w:type="dxa"/>
          </w:tcPr>
          <w:p w14:paraId="4A6A84ED">
            <w:pPr>
              <w:pStyle w:val="140"/>
              <w:ind w:firstLine="0" w:firstLineChars="0"/>
              <w:jc w:val="center"/>
              <w:outlineLvl w:val="9"/>
              <w:rPr>
                <w:rFonts w:ascii="宋体" w:hAnsi="宋体" w:cs="宋体"/>
                <w:sz w:val="21"/>
                <w:szCs w:val="21"/>
              </w:rPr>
            </w:pPr>
            <w:r>
              <w:rPr>
                <w:rFonts w:hint="eastAsia" w:ascii="宋体" w:hAnsi="宋体" w:cs="宋体"/>
                <w:sz w:val="21"/>
                <w:szCs w:val="21"/>
              </w:rPr>
              <w:t>8</w:t>
            </w:r>
          </w:p>
        </w:tc>
        <w:tc>
          <w:tcPr>
            <w:tcW w:w="2841" w:type="dxa"/>
          </w:tcPr>
          <w:p w14:paraId="3A33E7FD">
            <w:pPr>
              <w:pStyle w:val="140"/>
              <w:ind w:firstLine="0" w:firstLineChars="0"/>
              <w:jc w:val="center"/>
              <w:outlineLvl w:val="9"/>
              <w:rPr>
                <w:rFonts w:ascii="宋体" w:hAnsi="宋体" w:cs="宋体"/>
                <w:sz w:val="21"/>
                <w:szCs w:val="21"/>
              </w:rPr>
            </w:pPr>
            <w:r>
              <w:rPr>
                <w:rFonts w:hint="eastAsia" w:ascii="宋体" w:hAnsi="宋体" w:cs="宋体"/>
                <w:sz w:val="21"/>
                <w:szCs w:val="21"/>
              </w:rPr>
              <w:t>order_count</w:t>
            </w:r>
          </w:p>
        </w:tc>
        <w:tc>
          <w:tcPr>
            <w:tcW w:w="1585" w:type="dxa"/>
          </w:tcPr>
          <w:p w14:paraId="7544402E">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70C39BB3">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3A98D461">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729602E8">
            <w:pPr>
              <w:pStyle w:val="140"/>
              <w:ind w:firstLine="0" w:firstLineChars="0"/>
              <w:jc w:val="center"/>
              <w:outlineLvl w:val="9"/>
              <w:rPr>
                <w:rFonts w:ascii="宋体" w:hAnsi="宋体" w:cs="宋体"/>
                <w:sz w:val="21"/>
                <w:szCs w:val="21"/>
              </w:rPr>
            </w:pPr>
            <w:r>
              <w:rPr>
                <w:rFonts w:hint="eastAsia" w:ascii="宋体" w:hAnsi="宋体" w:cs="宋体"/>
                <w:sz w:val="21"/>
                <w:szCs w:val="21"/>
              </w:rPr>
              <w:t>下单数</w:t>
            </w:r>
          </w:p>
        </w:tc>
      </w:tr>
      <w:tr w14:paraId="700C3FBE">
        <w:tblPrEx>
          <w:tblCellMar>
            <w:top w:w="0" w:type="dxa"/>
            <w:left w:w="108" w:type="dxa"/>
            <w:bottom w:w="0" w:type="dxa"/>
            <w:right w:w="108" w:type="dxa"/>
          </w:tblCellMar>
        </w:tblPrEx>
        <w:tc>
          <w:tcPr>
            <w:tcW w:w="672" w:type="dxa"/>
          </w:tcPr>
          <w:p w14:paraId="73869C7F">
            <w:pPr>
              <w:pStyle w:val="140"/>
              <w:ind w:firstLine="0" w:firstLineChars="0"/>
              <w:jc w:val="center"/>
              <w:outlineLvl w:val="9"/>
              <w:rPr>
                <w:rFonts w:ascii="宋体" w:hAnsi="宋体" w:cs="宋体"/>
                <w:sz w:val="21"/>
                <w:szCs w:val="21"/>
              </w:rPr>
            </w:pPr>
            <w:r>
              <w:rPr>
                <w:rFonts w:hint="eastAsia" w:ascii="宋体" w:hAnsi="宋体" w:cs="宋体"/>
                <w:sz w:val="21"/>
                <w:szCs w:val="21"/>
              </w:rPr>
              <w:t>9</w:t>
            </w:r>
          </w:p>
        </w:tc>
        <w:tc>
          <w:tcPr>
            <w:tcW w:w="2841" w:type="dxa"/>
          </w:tcPr>
          <w:p w14:paraId="00EAA2BF">
            <w:pPr>
              <w:pStyle w:val="140"/>
              <w:ind w:firstLine="0" w:firstLineChars="0"/>
              <w:jc w:val="center"/>
              <w:outlineLvl w:val="9"/>
              <w:rPr>
                <w:rFonts w:ascii="宋体" w:hAnsi="宋体" w:cs="宋体"/>
                <w:sz w:val="21"/>
                <w:szCs w:val="21"/>
              </w:rPr>
            </w:pPr>
            <w:r>
              <w:rPr>
                <w:rFonts w:hint="eastAsia" w:ascii="宋体" w:hAnsi="宋体" w:cs="宋体"/>
                <w:sz w:val="21"/>
                <w:szCs w:val="21"/>
              </w:rPr>
              <w:t>deal_count</w:t>
            </w:r>
          </w:p>
        </w:tc>
        <w:tc>
          <w:tcPr>
            <w:tcW w:w="1585" w:type="dxa"/>
          </w:tcPr>
          <w:p w14:paraId="5B601720">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49A2D610">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6B313DDD">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30C75B3B">
            <w:pPr>
              <w:pStyle w:val="140"/>
              <w:ind w:firstLine="0" w:firstLineChars="0"/>
              <w:jc w:val="center"/>
              <w:outlineLvl w:val="9"/>
              <w:rPr>
                <w:rFonts w:ascii="宋体" w:hAnsi="宋体" w:cs="宋体"/>
                <w:sz w:val="21"/>
                <w:szCs w:val="21"/>
              </w:rPr>
            </w:pPr>
            <w:r>
              <w:rPr>
                <w:rFonts w:hint="eastAsia" w:ascii="宋体" w:hAnsi="宋体" w:cs="宋体"/>
                <w:sz w:val="21"/>
                <w:szCs w:val="21"/>
              </w:rPr>
              <w:t>成交数</w:t>
            </w:r>
          </w:p>
        </w:tc>
      </w:tr>
      <w:tr w14:paraId="538022BA">
        <w:tblPrEx>
          <w:tblCellMar>
            <w:top w:w="0" w:type="dxa"/>
            <w:left w:w="108" w:type="dxa"/>
            <w:bottom w:w="0" w:type="dxa"/>
            <w:right w:w="108" w:type="dxa"/>
          </w:tblCellMar>
        </w:tblPrEx>
        <w:tc>
          <w:tcPr>
            <w:tcW w:w="672" w:type="dxa"/>
          </w:tcPr>
          <w:p w14:paraId="3C426F15">
            <w:pPr>
              <w:pStyle w:val="140"/>
              <w:ind w:firstLine="0" w:firstLineChars="0"/>
              <w:jc w:val="center"/>
              <w:outlineLvl w:val="9"/>
              <w:rPr>
                <w:rFonts w:ascii="宋体" w:hAnsi="宋体" w:cs="宋体"/>
                <w:sz w:val="21"/>
                <w:szCs w:val="21"/>
              </w:rPr>
            </w:pPr>
            <w:r>
              <w:rPr>
                <w:rFonts w:hint="eastAsia" w:ascii="宋体" w:hAnsi="宋体" w:cs="宋体"/>
                <w:sz w:val="21"/>
                <w:szCs w:val="21"/>
              </w:rPr>
              <w:t>10</w:t>
            </w:r>
          </w:p>
        </w:tc>
        <w:tc>
          <w:tcPr>
            <w:tcW w:w="2841" w:type="dxa"/>
          </w:tcPr>
          <w:p w14:paraId="1FDBF290">
            <w:pPr>
              <w:pStyle w:val="140"/>
              <w:ind w:firstLine="0" w:firstLineChars="0"/>
              <w:jc w:val="center"/>
              <w:outlineLvl w:val="9"/>
              <w:rPr>
                <w:rFonts w:ascii="宋体" w:hAnsi="宋体" w:cs="宋体"/>
                <w:sz w:val="21"/>
                <w:szCs w:val="21"/>
              </w:rPr>
            </w:pPr>
            <w:r>
              <w:rPr>
                <w:rFonts w:hint="eastAsia" w:ascii="宋体" w:hAnsi="宋体" w:cs="宋体"/>
                <w:sz w:val="21"/>
                <w:szCs w:val="21"/>
              </w:rPr>
              <w:t>deal_amount</w:t>
            </w:r>
          </w:p>
        </w:tc>
        <w:tc>
          <w:tcPr>
            <w:tcW w:w="1585" w:type="dxa"/>
          </w:tcPr>
          <w:p w14:paraId="3ADC7D34">
            <w:pPr>
              <w:pStyle w:val="140"/>
              <w:ind w:firstLine="0" w:firstLineChars="0"/>
              <w:jc w:val="center"/>
              <w:outlineLvl w:val="9"/>
              <w:rPr>
                <w:rFonts w:ascii="宋体" w:hAnsi="宋体" w:cs="宋体"/>
                <w:sz w:val="21"/>
                <w:szCs w:val="21"/>
              </w:rPr>
            </w:pPr>
            <w:r>
              <w:rPr>
                <w:rFonts w:hint="eastAsia" w:ascii="宋体" w:hAnsi="宋体" w:cs="宋体"/>
                <w:sz w:val="21"/>
                <w:szCs w:val="21"/>
              </w:rPr>
              <w:t>decimal(10,2)</w:t>
            </w:r>
          </w:p>
        </w:tc>
        <w:tc>
          <w:tcPr>
            <w:tcW w:w="709" w:type="dxa"/>
          </w:tcPr>
          <w:p w14:paraId="56934DCB">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6C900DEC">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005CBEF5">
            <w:pPr>
              <w:pStyle w:val="140"/>
              <w:ind w:firstLine="0" w:firstLineChars="0"/>
              <w:jc w:val="center"/>
              <w:outlineLvl w:val="9"/>
              <w:rPr>
                <w:rFonts w:ascii="宋体" w:hAnsi="宋体" w:cs="宋体"/>
                <w:sz w:val="21"/>
                <w:szCs w:val="21"/>
              </w:rPr>
            </w:pPr>
            <w:r>
              <w:rPr>
                <w:rFonts w:hint="eastAsia" w:ascii="宋体" w:hAnsi="宋体" w:cs="宋体"/>
                <w:sz w:val="21"/>
                <w:szCs w:val="21"/>
              </w:rPr>
              <w:t>成交金额</w:t>
            </w:r>
          </w:p>
        </w:tc>
      </w:tr>
      <w:tr w14:paraId="4F76B364">
        <w:tblPrEx>
          <w:tblCellMar>
            <w:top w:w="0" w:type="dxa"/>
            <w:left w:w="108" w:type="dxa"/>
            <w:bottom w:w="0" w:type="dxa"/>
            <w:right w:w="108" w:type="dxa"/>
          </w:tblCellMar>
        </w:tblPrEx>
        <w:tc>
          <w:tcPr>
            <w:tcW w:w="672" w:type="dxa"/>
          </w:tcPr>
          <w:p w14:paraId="54AAC410">
            <w:pPr>
              <w:pStyle w:val="140"/>
              <w:ind w:firstLine="0" w:firstLineChars="0"/>
              <w:jc w:val="center"/>
              <w:outlineLvl w:val="9"/>
              <w:rPr>
                <w:rFonts w:ascii="宋体" w:hAnsi="宋体" w:cs="宋体"/>
                <w:sz w:val="21"/>
                <w:szCs w:val="21"/>
              </w:rPr>
            </w:pPr>
            <w:r>
              <w:rPr>
                <w:rFonts w:hint="eastAsia" w:ascii="宋体" w:hAnsi="宋体" w:cs="宋体"/>
                <w:sz w:val="21"/>
                <w:szCs w:val="21"/>
              </w:rPr>
              <w:t>11</w:t>
            </w:r>
          </w:p>
        </w:tc>
        <w:tc>
          <w:tcPr>
            <w:tcW w:w="2841" w:type="dxa"/>
          </w:tcPr>
          <w:p w14:paraId="145A4316">
            <w:pPr>
              <w:pStyle w:val="140"/>
              <w:ind w:firstLine="0" w:firstLineChars="0"/>
              <w:jc w:val="center"/>
              <w:outlineLvl w:val="9"/>
              <w:rPr>
                <w:rFonts w:ascii="宋体" w:hAnsi="宋体" w:cs="宋体"/>
                <w:sz w:val="21"/>
                <w:szCs w:val="21"/>
              </w:rPr>
            </w:pPr>
            <w:r>
              <w:rPr>
                <w:rFonts w:hint="eastAsia" w:ascii="宋体" w:hAnsi="宋体" w:cs="宋体"/>
                <w:sz w:val="21"/>
                <w:szCs w:val="21"/>
              </w:rPr>
              <w:t>aftersale_count</w:t>
            </w:r>
          </w:p>
        </w:tc>
        <w:tc>
          <w:tcPr>
            <w:tcW w:w="1585" w:type="dxa"/>
          </w:tcPr>
          <w:p w14:paraId="75F9A458">
            <w:pPr>
              <w:pStyle w:val="140"/>
              <w:ind w:firstLine="0" w:firstLineChars="0"/>
              <w:jc w:val="center"/>
              <w:outlineLvl w:val="9"/>
              <w:rPr>
                <w:rFonts w:ascii="宋体" w:hAnsi="宋体" w:cs="宋体"/>
                <w:sz w:val="21"/>
                <w:szCs w:val="21"/>
              </w:rPr>
            </w:pPr>
            <w:r>
              <w:rPr>
                <w:rFonts w:hint="eastAsia" w:ascii="宋体" w:hAnsi="宋体" w:cs="宋体"/>
                <w:sz w:val="21"/>
                <w:szCs w:val="21"/>
              </w:rPr>
              <w:t>int(11)</w:t>
            </w:r>
          </w:p>
        </w:tc>
        <w:tc>
          <w:tcPr>
            <w:tcW w:w="709" w:type="dxa"/>
          </w:tcPr>
          <w:p w14:paraId="61A0B03E">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0E7CF554">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0F766F8F">
            <w:pPr>
              <w:pStyle w:val="140"/>
              <w:ind w:firstLine="0" w:firstLineChars="0"/>
              <w:jc w:val="center"/>
              <w:outlineLvl w:val="9"/>
              <w:rPr>
                <w:rFonts w:ascii="宋体" w:hAnsi="宋体" w:cs="宋体"/>
                <w:sz w:val="21"/>
                <w:szCs w:val="21"/>
              </w:rPr>
            </w:pPr>
            <w:r>
              <w:rPr>
                <w:rFonts w:hint="eastAsia" w:ascii="宋体" w:hAnsi="宋体" w:cs="宋体"/>
                <w:sz w:val="21"/>
                <w:szCs w:val="21"/>
              </w:rPr>
              <w:t>售后数</w:t>
            </w:r>
          </w:p>
        </w:tc>
      </w:tr>
      <w:tr w14:paraId="254C92C6">
        <w:tblPrEx>
          <w:tblCellMar>
            <w:top w:w="0" w:type="dxa"/>
            <w:left w:w="108" w:type="dxa"/>
            <w:bottom w:w="0" w:type="dxa"/>
            <w:right w:w="108" w:type="dxa"/>
          </w:tblCellMar>
        </w:tblPrEx>
        <w:tc>
          <w:tcPr>
            <w:tcW w:w="672" w:type="dxa"/>
          </w:tcPr>
          <w:p w14:paraId="08440D40">
            <w:pPr>
              <w:pStyle w:val="140"/>
              <w:ind w:firstLine="0" w:firstLineChars="0"/>
              <w:jc w:val="center"/>
              <w:outlineLvl w:val="9"/>
              <w:rPr>
                <w:rFonts w:ascii="宋体" w:hAnsi="宋体" w:cs="宋体"/>
                <w:sz w:val="21"/>
                <w:szCs w:val="21"/>
              </w:rPr>
            </w:pPr>
            <w:r>
              <w:rPr>
                <w:rFonts w:hint="eastAsia" w:ascii="宋体" w:hAnsi="宋体" w:cs="宋体"/>
                <w:sz w:val="21"/>
                <w:szCs w:val="21"/>
              </w:rPr>
              <w:t>12</w:t>
            </w:r>
          </w:p>
        </w:tc>
        <w:tc>
          <w:tcPr>
            <w:tcW w:w="2841" w:type="dxa"/>
          </w:tcPr>
          <w:p w14:paraId="4554B351">
            <w:pPr>
              <w:pStyle w:val="140"/>
              <w:ind w:firstLine="0" w:firstLineChars="0"/>
              <w:jc w:val="center"/>
              <w:outlineLvl w:val="9"/>
              <w:rPr>
                <w:rFonts w:ascii="宋体" w:hAnsi="宋体" w:cs="宋体"/>
                <w:sz w:val="21"/>
                <w:szCs w:val="21"/>
              </w:rPr>
            </w:pPr>
            <w:r>
              <w:rPr>
                <w:rFonts w:hint="eastAsia" w:ascii="宋体" w:hAnsi="宋体" w:cs="宋体"/>
                <w:sz w:val="21"/>
                <w:szCs w:val="21"/>
              </w:rPr>
              <w:t>aftersale_amount</w:t>
            </w:r>
          </w:p>
        </w:tc>
        <w:tc>
          <w:tcPr>
            <w:tcW w:w="1585" w:type="dxa"/>
          </w:tcPr>
          <w:p w14:paraId="4AF2C878">
            <w:pPr>
              <w:pStyle w:val="140"/>
              <w:ind w:firstLine="0" w:firstLineChars="0"/>
              <w:jc w:val="center"/>
              <w:outlineLvl w:val="9"/>
              <w:rPr>
                <w:rFonts w:ascii="宋体" w:hAnsi="宋体" w:cs="宋体"/>
                <w:sz w:val="21"/>
                <w:szCs w:val="21"/>
              </w:rPr>
            </w:pPr>
            <w:r>
              <w:rPr>
                <w:rFonts w:hint="eastAsia" w:ascii="宋体" w:hAnsi="宋体" w:cs="宋体"/>
                <w:sz w:val="21"/>
                <w:szCs w:val="21"/>
              </w:rPr>
              <w:t>decimal(10,2)</w:t>
            </w:r>
          </w:p>
        </w:tc>
        <w:tc>
          <w:tcPr>
            <w:tcW w:w="709" w:type="dxa"/>
          </w:tcPr>
          <w:p w14:paraId="17CBFB8B">
            <w:pPr>
              <w:pStyle w:val="140"/>
              <w:ind w:firstLine="0" w:firstLineChars="0"/>
              <w:jc w:val="center"/>
              <w:outlineLvl w:val="9"/>
              <w:rPr>
                <w:rFonts w:ascii="宋体" w:hAnsi="宋体" w:cs="宋体"/>
                <w:sz w:val="21"/>
                <w:szCs w:val="21"/>
              </w:rPr>
            </w:pPr>
            <w:r>
              <w:rPr>
                <w:rFonts w:hint="eastAsia" w:ascii="宋体" w:hAnsi="宋体" w:cs="宋体"/>
                <w:sz w:val="21"/>
                <w:szCs w:val="21"/>
              </w:rPr>
              <w:t>否</w:t>
            </w:r>
          </w:p>
        </w:tc>
        <w:tc>
          <w:tcPr>
            <w:tcW w:w="709" w:type="dxa"/>
          </w:tcPr>
          <w:p w14:paraId="409CCE44">
            <w:pPr>
              <w:pStyle w:val="140"/>
              <w:ind w:firstLine="0" w:firstLineChars="0"/>
              <w:jc w:val="center"/>
              <w:outlineLvl w:val="9"/>
              <w:rPr>
                <w:rFonts w:ascii="宋体" w:hAnsi="宋体" w:cs="宋体"/>
                <w:sz w:val="21"/>
                <w:szCs w:val="21"/>
              </w:rPr>
            </w:pPr>
            <w:r>
              <w:rPr>
                <w:rFonts w:hint="eastAsia" w:ascii="宋体" w:hAnsi="宋体" w:cs="宋体"/>
                <w:sz w:val="21"/>
                <w:szCs w:val="21"/>
              </w:rPr>
              <w:t>是</w:t>
            </w:r>
          </w:p>
        </w:tc>
        <w:tc>
          <w:tcPr>
            <w:tcW w:w="1843" w:type="dxa"/>
          </w:tcPr>
          <w:p w14:paraId="6EF5DD01">
            <w:pPr>
              <w:pStyle w:val="140"/>
              <w:ind w:firstLine="0" w:firstLineChars="0"/>
              <w:jc w:val="center"/>
              <w:outlineLvl w:val="9"/>
              <w:rPr>
                <w:rFonts w:ascii="宋体" w:hAnsi="宋体" w:cs="宋体"/>
                <w:sz w:val="21"/>
                <w:szCs w:val="21"/>
              </w:rPr>
            </w:pPr>
            <w:r>
              <w:rPr>
                <w:rFonts w:hint="eastAsia" w:ascii="宋体" w:hAnsi="宋体" w:cs="宋体"/>
                <w:sz w:val="21"/>
                <w:szCs w:val="21"/>
              </w:rPr>
              <w:t>售后金额</w:t>
            </w:r>
          </w:p>
        </w:tc>
      </w:tr>
    </w:tbl>
    <w:p w14:paraId="47D4DA36">
      <w:pPr>
        <w:pStyle w:val="143"/>
        <w:ind w:firstLine="482"/>
        <w:outlineLvl w:val="9"/>
        <w:rPr>
          <w:b/>
          <w:bCs/>
        </w:rPr>
      </w:pPr>
      <w:r>
        <w:rPr>
          <w:rFonts w:hint="eastAsia"/>
          <w:b/>
          <w:bCs/>
        </w:rPr>
        <w:t>3.3.2优惠券活动</w:t>
      </w:r>
    </w:p>
    <w:p w14:paraId="0E5E001A">
      <w:pPr>
        <w:pStyle w:val="140"/>
        <w:ind w:firstLine="480"/>
        <w:outlineLvl w:val="9"/>
      </w:pPr>
      <w:r>
        <w:rPr>
          <w:rFonts w:hint="eastAsia"/>
        </w:rPr>
        <w:t>下面是一张用于管理优惠券发放与使用状态的核心业务表。该表通过主键ID确保每张优惠券实例的唯一性，并通过关联活动ID将优惠券归属到具体的营销活动中，同时绑定会员ID来标识优惠券的归属人。表结构详细记录了优惠券的基本属性，如活动名称、优惠金额以及使用的门槛金额，特别设计了积分兑换字段来支持积分商城兑换优惠券的业务场景。在使用范围上，通过范围标识和商品ID集合字段灵活控制优惠券是全场通用还是限定点定商品使用。时间字段严格界定了优惠券的有效期，而使用状态字段则用于实时追踪优惠券是处于未使用还是已使用的状态，是计算优惠券库存、核销统计及用户端展示的关键依据。如表3-2所示。</w:t>
      </w:r>
    </w:p>
    <w:p w14:paraId="76958A41">
      <w:pPr>
        <w:pStyle w:val="146"/>
        <w:outlineLvl w:val="9"/>
      </w:pPr>
      <w:r>
        <w:rPr>
          <w:rFonts w:hint="eastAsia"/>
        </w:rPr>
        <w:t>表3-2</w:t>
      </w:r>
      <w:r>
        <w:t xml:space="preserve"> </w:t>
      </w:r>
      <w:r>
        <w:rPr>
          <w:rFonts w:hint="eastAsia"/>
        </w:rPr>
        <w:t>优惠券活动表</w:t>
      </w:r>
    </w:p>
    <w:tbl>
      <w:tblPr>
        <w:tblStyle w:val="35"/>
        <w:tblW w:w="0" w:type="auto"/>
        <w:tblInd w:w="0" w:type="dxa"/>
        <w:tblLayout w:type="autofit"/>
        <w:tblCellMar>
          <w:top w:w="0" w:type="dxa"/>
          <w:left w:w="108" w:type="dxa"/>
          <w:bottom w:w="0" w:type="dxa"/>
          <w:right w:w="108" w:type="dxa"/>
        </w:tblCellMar>
      </w:tblPr>
      <w:tblGrid>
        <w:gridCol w:w="704"/>
        <w:gridCol w:w="2126"/>
        <w:gridCol w:w="1701"/>
        <w:gridCol w:w="709"/>
        <w:gridCol w:w="992"/>
        <w:gridCol w:w="2064"/>
      </w:tblGrid>
      <w:tr w14:paraId="4CD29E02">
        <w:tblPrEx>
          <w:tblCellMar>
            <w:top w:w="0" w:type="dxa"/>
            <w:left w:w="108" w:type="dxa"/>
            <w:bottom w:w="0" w:type="dxa"/>
            <w:right w:w="108" w:type="dxa"/>
          </w:tblCellMar>
        </w:tblPrEx>
        <w:tc>
          <w:tcPr>
            <w:tcW w:w="704" w:type="dxa"/>
          </w:tcPr>
          <w:p w14:paraId="2EB2F25A">
            <w:pPr>
              <w:pStyle w:val="140"/>
              <w:ind w:firstLine="0" w:firstLineChars="0"/>
              <w:jc w:val="center"/>
              <w:outlineLvl w:val="9"/>
              <w:rPr>
                <w:rFonts w:ascii="宋体" w:hAnsi="宋体" w:cs="宋体"/>
                <w:sz w:val="21"/>
                <w:szCs w:val="21"/>
              </w:rPr>
            </w:pPr>
            <w:r>
              <w:rPr>
                <w:rFonts w:hint="eastAsia" w:ascii="宋体" w:hAnsi="宋体" w:cs="宋体"/>
                <w:sz w:val="21"/>
                <w:szCs w:val="21"/>
              </w:rPr>
              <w:t>序号</w:t>
            </w:r>
          </w:p>
        </w:tc>
        <w:tc>
          <w:tcPr>
            <w:tcW w:w="2126" w:type="dxa"/>
          </w:tcPr>
          <w:p w14:paraId="0119DA58">
            <w:pPr>
              <w:pStyle w:val="140"/>
              <w:ind w:firstLine="0" w:firstLineChars="0"/>
              <w:jc w:val="center"/>
              <w:outlineLvl w:val="9"/>
              <w:rPr>
                <w:rFonts w:ascii="宋体" w:hAnsi="宋体" w:cs="宋体"/>
                <w:sz w:val="21"/>
                <w:szCs w:val="21"/>
              </w:rPr>
            </w:pPr>
            <w:r>
              <w:rPr>
                <w:rFonts w:hint="eastAsia" w:ascii="宋体" w:hAnsi="宋体"/>
                <w:sz w:val="21"/>
                <w:szCs w:val="21"/>
              </w:rPr>
              <w:t>字段名</w:t>
            </w:r>
          </w:p>
        </w:tc>
        <w:tc>
          <w:tcPr>
            <w:tcW w:w="1701" w:type="dxa"/>
          </w:tcPr>
          <w:p w14:paraId="2905A648">
            <w:pPr>
              <w:pStyle w:val="140"/>
              <w:ind w:firstLine="0" w:firstLineChars="0"/>
              <w:jc w:val="center"/>
              <w:outlineLvl w:val="9"/>
              <w:rPr>
                <w:rFonts w:ascii="宋体" w:hAnsi="宋体" w:cs="宋体"/>
                <w:sz w:val="21"/>
                <w:szCs w:val="21"/>
              </w:rPr>
            </w:pPr>
            <w:r>
              <w:rPr>
                <w:rFonts w:hint="eastAsia" w:ascii="宋体" w:hAnsi="宋体"/>
                <w:sz w:val="21"/>
                <w:szCs w:val="21"/>
              </w:rPr>
              <w:t>数据类型</w:t>
            </w:r>
          </w:p>
        </w:tc>
        <w:tc>
          <w:tcPr>
            <w:tcW w:w="709" w:type="dxa"/>
          </w:tcPr>
          <w:p w14:paraId="2B9A50EB">
            <w:pPr>
              <w:pStyle w:val="140"/>
              <w:ind w:firstLine="0" w:firstLineChars="0"/>
              <w:jc w:val="center"/>
              <w:outlineLvl w:val="9"/>
              <w:rPr>
                <w:rFonts w:ascii="宋体" w:hAnsi="宋体" w:cs="宋体"/>
                <w:sz w:val="21"/>
                <w:szCs w:val="21"/>
              </w:rPr>
            </w:pPr>
            <w:r>
              <w:rPr>
                <w:rFonts w:hint="eastAsia" w:ascii="宋体" w:hAnsi="宋体"/>
                <w:sz w:val="21"/>
                <w:szCs w:val="21"/>
              </w:rPr>
              <w:t>主键</w:t>
            </w:r>
          </w:p>
        </w:tc>
        <w:tc>
          <w:tcPr>
            <w:tcW w:w="992" w:type="dxa"/>
          </w:tcPr>
          <w:p w14:paraId="042F7CED">
            <w:pPr>
              <w:pStyle w:val="140"/>
              <w:ind w:firstLine="0" w:firstLineChars="0"/>
              <w:jc w:val="center"/>
              <w:outlineLvl w:val="9"/>
              <w:rPr>
                <w:rFonts w:ascii="宋体" w:hAnsi="宋体" w:cs="宋体"/>
                <w:sz w:val="21"/>
                <w:szCs w:val="21"/>
              </w:rPr>
            </w:pPr>
            <w:r>
              <w:rPr>
                <w:rFonts w:hint="eastAsia" w:ascii="宋体" w:hAnsi="宋体"/>
                <w:sz w:val="21"/>
                <w:szCs w:val="21"/>
              </w:rPr>
              <w:t>非空</w:t>
            </w:r>
          </w:p>
        </w:tc>
        <w:tc>
          <w:tcPr>
            <w:tcW w:w="2064" w:type="dxa"/>
          </w:tcPr>
          <w:p w14:paraId="7E33017B">
            <w:pPr>
              <w:pStyle w:val="140"/>
              <w:ind w:firstLine="0" w:firstLineChars="0"/>
              <w:jc w:val="center"/>
              <w:outlineLvl w:val="9"/>
              <w:rPr>
                <w:rFonts w:ascii="宋体" w:hAnsi="宋体" w:cs="宋体"/>
                <w:sz w:val="21"/>
                <w:szCs w:val="21"/>
              </w:rPr>
            </w:pPr>
            <w:r>
              <w:rPr>
                <w:rFonts w:hint="eastAsia" w:ascii="宋体" w:hAnsi="宋体"/>
                <w:sz w:val="21"/>
                <w:szCs w:val="21"/>
              </w:rPr>
              <w:t>描述</w:t>
            </w:r>
          </w:p>
        </w:tc>
      </w:tr>
      <w:tr w14:paraId="5678DDA7">
        <w:tblPrEx>
          <w:tblCellMar>
            <w:top w:w="0" w:type="dxa"/>
            <w:left w:w="108" w:type="dxa"/>
            <w:bottom w:w="0" w:type="dxa"/>
            <w:right w:w="108" w:type="dxa"/>
          </w:tblCellMar>
        </w:tblPrEx>
        <w:tc>
          <w:tcPr>
            <w:tcW w:w="704" w:type="dxa"/>
          </w:tcPr>
          <w:p w14:paraId="049C7730">
            <w:pPr>
              <w:pStyle w:val="140"/>
              <w:ind w:firstLine="0" w:firstLineChars="0"/>
              <w:jc w:val="center"/>
              <w:outlineLvl w:val="9"/>
              <w:rPr>
                <w:rFonts w:ascii="宋体" w:hAnsi="宋体" w:cs="宋体"/>
                <w:sz w:val="21"/>
                <w:szCs w:val="21"/>
              </w:rPr>
            </w:pPr>
            <w:r>
              <w:rPr>
                <w:rFonts w:hint="eastAsia" w:ascii="宋体" w:hAnsi="宋体" w:cs="宋体"/>
                <w:sz w:val="21"/>
                <w:szCs w:val="21"/>
              </w:rPr>
              <w:t>1</w:t>
            </w:r>
          </w:p>
        </w:tc>
        <w:tc>
          <w:tcPr>
            <w:tcW w:w="2126" w:type="dxa"/>
          </w:tcPr>
          <w:p w14:paraId="71C770D4">
            <w:pPr>
              <w:pStyle w:val="140"/>
              <w:ind w:firstLine="0" w:firstLineChars="0"/>
              <w:jc w:val="center"/>
              <w:outlineLvl w:val="9"/>
              <w:rPr>
                <w:rFonts w:ascii="宋体" w:hAnsi="宋体" w:cs="宋体"/>
                <w:sz w:val="21"/>
                <w:szCs w:val="21"/>
              </w:rPr>
            </w:pPr>
            <w:r>
              <w:rPr>
                <w:rFonts w:hint="eastAsia" w:ascii="宋体" w:hAnsi="宋体"/>
                <w:sz w:val="21"/>
                <w:szCs w:val="21"/>
              </w:rPr>
              <w:t>id</w:t>
            </w:r>
          </w:p>
        </w:tc>
        <w:tc>
          <w:tcPr>
            <w:tcW w:w="1701" w:type="dxa"/>
          </w:tcPr>
          <w:p w14:paraId="52127CFB">
            <w:pPr>
              <w:pStyle w:val="140"/>
              <w:ind w:firstLine="0" w:firstLineChars="0"/>
              <w:jc w:val="center"/>
              <w:outlineLvl w:val="9"/>
              <w:rPr>
                <w:rFonts w:ascii="宋体" w:hAnsi="宋体" w:cs="宋体"/>
                <w:sz w:val="21"/>
                <w:szCs w:val="21"/>
              </w:rPr>
            </w:pPr>
            <w:r>
              <w:rPr>
                <w:rFonts w:hint="eastAsia" w:ascii="宋体" w:hAnsi="宋体"/>
                <w:sz w:val="21"/>
                <w:szCs w:val="21"/>
              </w:rPr>
              <w:t>bigint(20)</w:t>
            </w:r>
          </w:p>
        </w:tc>
        <w:tc>
          <w:tcPr>
            <w:tcW w:w="709" w:type="dxa"/>
          </w:tcPr>
          <w:p w14:paraId="686470FD">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992" w:type="dxa"/>
          </w:tcPr>
          <w:p w14:paraId="5C240EB8">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5A09509A">
            <w:pPr>
              <w:pStyle w:val="140"/>
              <w:ind w:firstLine="0" w:firstLineChars="0"/>
              <w:jc w:val="center"/>
              <w:outlineLvl w:val="9"/>
              <w:rPr>
                <w:rFonts w:ascii="宋体" w:hAnsi="宋体" w:cs="宋体"/>
                <w:sz w:val="21"/>
                <w:szCs w:val="21"/>
              </w:rPr>
            </w:pPr>
            <w:r>
              <w:rPr>
                <w:rFonts w:hint="eastAsia" w:ascii="宋体" w:hAnsi="宋体"/>
                <w:sz w:val="21"/>
                <w:szCs w:val="21"/>
              </w:rPr>
              <w:t>主键</w:t>
            </w:r>
          </w:p>
        </w:tc>
      </w:tr>
      <w:tr w14:paraId="16078488">
        <w:tblPrEx>
          <w:tblCellMar>
            <w:top w:w="0" w:type="dxa"/>
            <w:left w:w="108" w:type="dxa"/>
            <w:bottom w:w="0" w:type="dxa"/>
            <w:right w:w="108" w:type="dxa"/>
          </w:tblCellMar>
        </w:tblPrEx>
        <w:tc>
          <w:tcPr>
            <w:tcW w:w="704" w:type="dxa"/>
          </w:tcPr>
          <w:p w14:paraId="52383FF7">
            <w:pPr>
              <w:pStyle w:val="140"/>
              <w:ind w:firstLine="0" w:firstLineChars="0"/>
              <w:jc w:val="center"/>
              <w:outlineLvl w:val="9"/>
              <w:rPr>
                <w:rFonts w:ascii="宋体" w:hAnsi="宋体" w:cs="宋体"/>
                <w:sz w:val="21"/>
                <w:szCs w:val="21"/>
              </w:rPr>
            </w:pPr>
            <w:r>
              <w:rPr>
                <w:rFonts w:hint="eastAsia" w:ascii="宋体" w:hAnsi="宋体" w:cs="宋体"/>
                <w:sz w:val="21"/>
                <w:szCs w:val="21"/>
              </w:rPr>
              <w:t>2</w:t>
            </w:r>
          </w:p>
        </w:tc>
        <w:tc>
          <w:tcPr>
            <w:tcW w:w="2126" w:type="dxa"/>
          </w:tcPr>
          <w:p w14:paraId="1882F2AB">
            <w:pPr>
              <w:pStyle w:val="140"/>
              <w:ind w:firstLine="0" w:firstLineChars="0"/>
              <w:jc w:val="center"/>
              <w:outlineLvl w:val="9"/>
              <w:rPr>
                <w:rFonts w:ascii="宋体" w:hAnsi="宋体" w:cs="宋体"/>
                <w:sz w:val="21"/>
                <w:szCs w:val="21"/>
              </w:rPr>
            </w:pPr>
            <w:r>
              <w:rPr>
                <w:rFonts w:hint="eastAsia" w:ascii="宋体" w:hAnsi="宋体"/>
                <w:sz w:val="21"/>
                <w:szCs w:val="21"/>
              </w:rPr>
              <w:t>coupon_activity_id</w:t>
            </w:r>
          </w:p>
        </w:tc>
        <w:tc>
          <w:tcPr>
            <w:tcW w:w="1701" w:type="dxa"/>
          </w:tcPr>
          <w:p w14:paraId="2B63B152">
            <w:pPr>
              <w:pStyle w:val="140"/>
              <w:ind w:firstLine="0" w:firstLineChars="0"/>
              <w:jc w:val="center"/>
              <w:outlineLvl w:val="9"/>
              <w:rPr>
                <w:rFonts w:ascii="宋体" w:hAnsi="宋体" w:cs="宋体"/>
                <w:sz w:val="21"/>
                <w:szCs w:val="21"/>
              </w:rPr>
            </w:pPr>
            <w:r>
              <w:rPr>
                <w:rFonts w:hint="eastAsia" w:ascii="宋体" w:hAnsi="宋体"/>
                <w:sz w:val="21"/>
                <w:szCs w:val="21"/>
              </w:rPr>
              <w:t>bigint(20)</w:t>
            </w:r>
          </w:p>
        </w:tc>
        <w:tc>
          <w:tcPr>
            <w:tcW w:w="709" w:type="dxa"/>
          </w:tcPr>
          <w:p w14:paraId="4F5C79F3">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1D9BF5E9">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19AC5E03">
            <w:pPr>
              <w:pStyle w:val="140"/>
              <w:ind w:firstLine="0" w:firstLineChars="0"/>
              <w:jc w:val="center"/>
              <w:outlineLvl w:val="9"/>
              <w:rPr>
                <w:rFonts w:ascii="宋体" w:hAnsi="宋体" w:cs="宋体"/>
                <w:sz w:val="21"/>
                <w:szCs w:val="21"/>
              </w:rPr>
            </w:pPr>
            <w:r>
              <w:rPr>
                <w:rFonts w:hint="eastAsia" w:ascii="宋体" w:hAnsi="宋体"/>
                <w:sz w:val="21"/>
                <w:szCs w:val="21"/>
              </w:rPr>
              <w:t>活动id</w:t>
            </w:r>
          </w:p>
        </w:tc>
      </w:tr>
      <w:tr w14:paraId="7BFDA927">
        <w:tblPrEx>
          <w:tblCellMar>
            <w:top w:w="0" w:type="dxa"/>
            <w:left w:w="108" w:type="dxa"/>
            <w:bottom w:w="0" w:type="dxa"/>
            <w:right w:w="108" w:type="dxa"/>
          </w:tblCellMar>
        </w:tblPrEx>
        <w:tc>
          <w:tcPr>
            <w:tcW w:w="704" w:type="dxa"/>
          </w:tcPr>
          <w:p w14:paraId="0D53920E">
            <w:pPr>
              <w:pStyle w:val="140"/>
              <w:ind w:firstLine="0" w:firstLineChars="0"/>
              <w:jc w:val="center"/>
              <w:outlineLvl w:val="9"/>
              <w:rPr>
                <w:rFonts w:ascii="宋体" w:hAnsi="宋体" w:cs="宋体"/>
                <w:sz w:val="21"/>
                <w:szCs w:val="21"/>
              </w:rPr>
            </w:pPr>
            <w:r>
              <w:rPr>
                <w:rFonts w:hint="eastAsia" w:ascii="宋体" w:hAnsi="宋体" w:cs="宋体"/>
                <w:sz w:val="21"/>
                <w:szCs w:val="21"/>
              </w:rPr>
              <w:t>3</w:t>
            </w:r>
          </w:p>
        </w:tc>
        <w:tc>
          <w:tcPr>
            <w:tcW w:w="2126" w:type="dxa"/>
          </w:tcPr>
          <w:p w14:paraId="053842C7">
            <w:pPr>
              <w:pStyle w:val="140"/>
              <w:ind w:firstLine="0" w:firstLineChars="0"/>
              <w:jc w:val="center"/>
              <w:outlineLvl w:val="9"/>
              <w:rPr>
                <w:rFonts w:ascii="宋体" w:hAnsi="宋体" w:cs="宋体"/>
                <w:sz w:val="21"/>
                <w:szCs w:val="21"/>
              </w:rPr>
            </w:pPr>
            <w:r>
              <w:rPr>
                <w:rFonts w:hint="eastAsia" w:ascii="宋体" w:hAnsi="宋体"/>
                <w:sz w:val="21"/>
                <w:szCs w:val="21"/>
              </w:rPr>
              <w:t>member_id</w:t>
            </w:r>
          </w:p>
        </w:tc>
        <w:tc>
          <w:tcPr>
            <w:tcW w:w="1701" w:type="dxa"/>
          </w:tcPr>
          <w:p w14:paraId="57B2A307">
            <w:pPr>
              <w:pStyle w:val="140"/>
              <w:ind w:firstLine="0" w:firstLineChars="0"/>
              <w:jc w:val="center"/>
              <w:outlineLvl w:val="9"/>
              <w:rPr>
                <w:rFonts w:ascii="宋体" w:hAnsi="宋体" w:cs="宋体"/>
                <w:sz w:val="21"/>
                <w:szCs w:val="21"/>
              </w:rPr>
            </w:pPr>
            <w:r>
              <w:rPr>
                <w:rFonts w:hint="eastAsia" w:ascii="宋体" w:hAnsi="宋体"/>
                <w:sz w:val="21"/>
                <w:szCs w:val="21"/>
              </w:rPr>
              <w:t>bigint(20)</w:t>
            </w:r>
          </w:p>
        </w:tc>
        <w:tc>
          <w:tcPr>
            <w:tcW w:w="709" w:type="dxa"/>
          </w:tcPr>
          <w:p w14:paraId="16F6CFF4">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6C0A866F">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2064" w:type="dxa"/>
          </w:tcPr>
          <w:p w14:paraId="7C254ABD">
            <w:pPr>
              <w:pStyle w:val="140"/>
              <w:ind w:firstLine="0" w:firstLineChars="0"/>
              <w:jc w:val="center"/>
              <w:outlineLvl w:val="9"/>
              <w:rPr>
                <w:rFonts w:ascii="宋体" w:hAnsi="宋体" w:cs="宋体"/>
                <w:sz w:val="21"/>
                <w:szCs w:val="21"/>
              </w:rPr>
            </w:pPr>
            <w:r>
              <w:rPr>
                <w:rFonts w:hint="eastAsia" w:ascii="宋体" w:hAnsi="宋体"/>
                <w:sz w:val="21"/>
                <w:szCs w:val="21"/>
              </w:rPr>
              <w:t>用户ID</w:t>
            </w:r>
          </w:p>
        </w:tc>
      </w:tr>
      <w:tr w14:paraId="55B95319">
        <w:tblPrEx>
          <w:tblCellMar>
            <w:top w:w="0" w:type="dxa"/>
            <w:left w:w="108" w:type="dxa"/>
            <w:bottom w:w="0" w:type="dxa"/>
            <w:right w:w="108" w:type="dxa"/>
          </w:tblCellMar>
        </w:tblPrEx>
        <w:tc>
          <w:tcPr>
            <w:tcW w:w="704" w:type="dxa"/>
          </w:tcPr>
          <w:p w14:paraId="69E819DE">
            <w:pPr>
              <w:pStyle w:val="140"/>
              <w:ind w:firstLine="0" w:firstLineChars="0"/>
              <w:jc w:val="center"/>
              <w:outlineLvl w:val="9"/>
              <w:rPr>
                <w:rFonts w:ascii="宋体" w:hAnsi="宋体" w:cs="宋体"/>
                <w:sz w:val="21"/>
                <w:szCs w:val="21"/>
              </w:rPr>
            </w:pPr>
            <w:r>
              <w:rPr>
                <w:rFonts w:hint="eastAsia" w:ascii="宋体" w:hAnsi="宋体" w:cs="宋体"/>
                <w:sz w:val="21"/>
                <w:szCs w:val="21"/>
              </w:rPr>
              <w:t>4</w:t>
            </w:r>
          </w:p>
        </w:tc>
        <w:tc>
          <w:tcPr>
            <w:tcW w:w="2126" w:type="dxa"/>
          </w:tcPr>
          <w:p w14:paraId="7DAB0DA0">
            <w:pPr>
              <w:pStyle w:val="140"/>
              <w:ind w:firstLine="0" w:firstLineChars="0"/>
              <w:jc w:val="center"/>
              <w:outlineLvl w:val="9"/>
              <w:rPr>
                <w:rFonts w:ascii="宋体" w:hAnsi="宋体" w:cs="宋体"/>
                <w:sz w:val="21"/>
                <w:szCs w:val="21"/>
              </w:rPr>
            </w:pPr>
            <w:r>
              <w:rPr>
                <w:rFonts w:hint="eastAsia" w:ascii="宋体" w:hAnsi="宋体"/>
                <w:sz w:val="21"/>
                <w:szCs w:val="21"/>
              </w:rPr>
              <w:t>title</w:t>
            </w:r>
          </w:p>
        </w:tc>
        <w:tc>
          <w:tcPr>
            <w:tcW w:w="1701" w:type="dxa"/>
          </w:tcPr>
          <w:p w14:paraId="439AE45E">
            <w:pPr>
              <w:pStyle w:val="140"/>
              <w:ind w:firstLine="0" w:firstLineChars="0"/>
              <w:jc w:val="center"/>
              <w:outlineLvl w:val="9"/>
              <w:rPr>
                <w:rFonts w:ascii="宋体" w:hAnsi="宋体" w:cs="宋体"/>
                <w:sz w:val="21"/>
                <w:szCs w:val="21"/>
              </w:rPr>
            </w:pPr>
            <w:r>
              <w:rPr>
                <w:rFonts w:hint="eastAsia" w:ascii="宋体" w:hAnsi="宋体"/>
                <w:sz w:val="21"/>
                <w:szCs w:val="21"/>
              </w:rPr>
              <w:t>varchar(255)</w:t>
            </w:r>
          </w:p>
        </w:tc>
        <w:tc>
          <w:tcPr>
            <w:tcW w:w="709" w:type="dxa"/>
          </w:tcPr>
          <w:p w14:paraId="1DECE5F0">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27DAA400">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73D00106">
            <w:pPr>
              <w:pStyle w:val="140"/>
              <w:ind w:firstLine="0" w:firstLineChars="0"/>
              <w:jc w:val="center"/>
              <w:outlineLvl w:val="9"/>
              <w:rPr>
                <w:rFonts w:ascii="宋体" w:hAnsi="宋体" w:cs="宋体"/>
                <w:sz w:val="21"/>
                <w:szCs w:val="21"/>
              </w:rPr>
            </w:pPr>
            <w:r>
              <w:rPr>
                <w:rFonts w:hint="eastAsia" w:ascii="宋体" w:hAnsi="宋体"/>
                <w:sz w:val="21"/>
                <w:szCs w:val="21"/>
              </w:rPr>
              <w:t>活动名称</w:t>
            </w:r>
          </w:p>
        </w:tc>
      </w:tr>
      <w:tr w14:paraId="4690AE11">
        <w:tblPrEx>
          <w:tblCellMar>
            <w:top w:w="0" w:type="dxa"/>
            <w:left w:w="108" w:type="dxa"/>
            <w:bottom w:w="0" w:type="dxa"/>
            <w:right w:w="108" w:type="dxa"/>
          </w:tblCellMar>
        </w:tblPrEx>
        <w:tc>
          <w:tcPr>
            <w:tcW w:w="704" w:type="dxa"/>
          </w:tcPr>
          <w:p w14:paraId="4D56955C">
            <w:pPr>
              <w:pStyle w:val="140"/>
              <w:ind w:firstLine="0" w:firstLineChars="0"/>
              <w:jc w:val="center"/>
              <w:outlineLvl w:val="9"/>
              <w:rPr>
                <w:rFonts w:ascii="宋体" w:hAnsi="宋体" w:cs="宋体"/>
                <w:sz w:val="21"/>
                <w:szCs w:val="21"/>
              </w:rPr>
            </w:pPr>
            <w:r>
              <w:rPr>
                <w:rFonts w:hint="eastAsia" w:ascii="宋体" w:hAnsi="宋体" w:cs="宋体"/>
                <w:sz w:val="21"/>
                <w:szCs w:val="21"/>
              </w:rPr>
              <w:t>5</w:t>
            </w:r>
          </w:p>
        </w:tc>
        <w:tc>
          <w:tcPr>
            <w:tcW w:w="2126" w:type="dxa"/>
          </w:tcPr>
          <w:p w14:paraId="287C7DBC">
            <w:pPr>
              <w:pStyle w:val="140"/>
              <w:ind w:firstLine="0" w:firstLineChars="0"/>
              <w:jc w:val="center"/>
              <w:outlineLvl w:val="9"/>
              <w:rPr>
                <w:rFonts w:ascii="宋体" w:hAnsi="宋体" w:cs="宋体"/>
                <w:sz w:val="21"/>
                <w:szCs w:val="21"/>
              </w:rPr>
            </w:pPr>
            <w:r>
              <w:rPr>
                <w:rFonts w:hint="eastAsia" w:ascii="宋体" w:hAnsi="宋体"/>
                <w:sz w:val="21"/>
                <w:szCs w:val="21"/>
              </w:rPr>
              <w:t>use_scope</w:t>
            </w:r>
          </w:p>
        </w:tc>
        <w:tc>
          <w:tcPr>
            <w:tcW w:w="1701" w:type="dxa"/>
          </w:tcPr>
          <w:p w14:paraId="016FD6DA">
            <w:pPr>
              <w:pStyle w:val="140"/>
              <w:ind w:firstLine="0" w:firstLineChars="0"/>
              <w:jc w:val="center"/>
              <w:outlineLvl w:val="9"/>
              <w:rPr>
                <w:rFonts w:ascii="宋体" w:hAnsi="宋体" w:cs="宋体"/>
                <w:sz w:val="21"/>
                <w:szCs w:val="21"/>
              </w:rPr>
            </w:pPr>
            <w:r>
              <w:rPr>
                <w:rFonts w:hint="eastAsia" w:ascii="宋体" w:hAnsi="宋体"/>
                <w:sz w:val="21"/>
                <w:szCs w:val="21"/>
              </w:rPr>
              <w:t>int(11)</w:t>
            </w:r>
          </w:p>
        </w:tc>
        <w:tc>
          <w:tcPr>
            <w:tcW w:w="709" w:type="dxa"/>
          </w:tcPr>
          <w:p w14:paraId="0A00804B">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546776EB">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247D2C83">
            <w:pPr>
              <w:pStyle w:val="140"/>
              <w:ind w:firstLine="0" w:firstLineChars="0"/>
              <w:jc w:val="center"/>
              <w:outlineLvl w:val="9"/>
              <w:rPr>
                <w:rFonts w:ascii="宋体" w:hAnsi="宋体" w:cs="宋体"/>
                <w:sz w:val="21"/>
                <w:szCs w:val="21"/>
              </w:rPr>
            </w:pPr>
            <w:r>
              <w:rPr>
                <w:rFonts w:hint="eastAsia" w:ascii="宋体" w:hAnsi="宋体"/>
                <w:sz w:val="21"/>
                <w:szCs w:val="21"/>
              </w:rPr>
              <w:t>使用范围</w:t>
            </w:r>
          </w:p>
        </w:tc>
      </w:tr>
      <w:tr w14:paraId="6E6EC297">
        <w:tblPrEx>
          <w:tblCellMar>
            <w:top w:w="0" w:type="dxa"/>
            <w:left w:w="108" w:type="dxa"/>
            <w:bottom w:w="0" w:type="dxa"/>
            <w:right w:w="108" w:type="dxa"/>
          </w:tblCellMar>
        </w:tblPrEx>
        <w:tc>
          <w:tcPr>
            <w:tcW w:w="704" w:type="dxa"/>
          </w:tcPr>
          <w:p w14:paraId="2C499C07">
            <w:pPr>
              <w:pStyle w:val="140"/>
              <w:ind w:firstLine="0" w:firstLineChars="0"/>
              <w:jc w:val="center"/>
              <w:outlineLvl w:val="9"/>
              <w:rPr>
                <w:rFonts w:ascii="宋体" w:hAnsi="宋体" w:cs="宋体"/>
                <w:sz w:val="21"/>
                <w:szCs w:val="21"/>
              </w:rPr>
            </w:pPr>
            <w:r>
              <w:rPr>
                <w:rFonts w:hint="eastAsia" w:ascii="宋体" w:hAnsi="宋体" w:cs="宋体"/>
                <w:sz w:val="21"/>
                <w:szCs w:val="21"/>
              </w:rPr>
              <w:t>6</w:t>
            </w:r>
          </w:p>
        </w:tc>
        <w:tc>
          <w:tcPr>
            <w:tcW w:w="2126" w:type="dxa"/>
          </w:tcPr>
          <w:p w14:paraId="5EADFF68">
            <w:pPr>
              <w:pStyle w:val="140"/>
              <w:ind w:firstLine="0" w:firstLineChars="0"/>
              <w:jc w:val="center"/>
              <w:outlineLvl w:val="9"/>
              <w:rPr>
                <w:rFonts w:ascii="宋体" w:hAnsi="宋体" w:cs="宋体"/>
                <w:sz w:val="21"/>
                <w:szCs w:val="21"/>
              </w:rPr>
            </w:pPr>
            <w:r>
              <w:rPr>
                <w:rFonts w:hint="eastAsia" w:ascii="宋体" w:hAnsi="宋体"/>
                <w:sz w:val="21"/>
                <w:szCs w:val="21"/>
              </w:rPr>
              <w:t>product_ids</w:t>
            </w:r>
          </w:p>
        </w:tc>
        <w:tc>
          <w:tcPr>
            <w:tcW w:w="1701" w:type="dxa"/>
          </w:tcPr>
          <w:p w14:paraId="70D534EC">
            <w:pPr>
              <w:pStyle w:val="140"/>
              <w:ind w:firstLine="0" w:firstLineChars="0"/>
              <w:jc w:val="center"/>
              <w:outlineLvl w:val="9"/>
              <w:rPr>
                <w:rFonts w:ascii="宋体" w:hAnsi="宋体" w:cs="宋体"/>
                <w:sz w:val="21"/>
                <w:szCs w:val="21"/>
              </w:rPr>
            </w:pPr>
            <w:r>
              <w:rPr>
                <w:rFonts w:hint="eastAsia" w:ascii="宋体" w:hAnsi="宋体"/>
                <w:sz w:val="21"/>
                <w:szCs w:val="21"/>
              </w:rPr>
              <w:t>varchar(255)</w:t>
            </w:r>
          </w:p>
        </w:tc>
        <w:tc>
          <w:tcPr>
            <w:tcW w:w="709" w:type="dxa"/>
          </w:tcPr>
          <w:p w14:paraId="5DA1C69C">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2057AD19">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2064" w:type="dxa"/>
          </w:tcPr>
          <w:p w14:paraId="5F024F7A">
            <w:pPr>
              <w:pStyle w:val="140"/>
              <w:ind w:firstLine="0" w:firstLineChars="0"/>
              <w:jc w:val="center"/>
              <w:outlineLvl w:val="9"/>
              <w:rPr>
                <w:rFonts w:ascii="宋体" w:hAnsi="宋体" w:cs="宋体"/>
                <w:sz w:val="21"/>
                <w:szCs w:val="21"/>
              </w:rPr>
            </w:pPr>
            <w:r>
              <w:rPr>
                <w:rFonts w:hint="eastAsia" w:ascii="宋体" w:hAnsi="宋体"/>
                <w:sz w:val="21"/>
                <w:szCs w:val="21"/>
              </w:rPr>
              <w:t>商品id集合</w:t>
            </w:r>
          </w:p>
        </w:tc>
      </w:tr>
      <w:tr w14:paraId="3FDAF264">
        <w:tblPrEx>
          <w:tblCellMar>
            <w:top w:w="0" w:type="dxa"/>
            <w:left w:w="108" w:type="dxa"/>
            <w:bottom w:w="0" w:type="dxa"/>
            <w:right w:w="108" w:type="dxa"/>
          </w:tblCellMar>
        </w:tblPrEx>
        <w:tc>
          <w:tcPr>
            <w:tcW w:w="704" w:type="dxa"/>
          </w:tcPr>
          <w:p w14:paraId="36D3CD52">
            <w:pPr>
              <w:pStyle w:val="140"/>
              <w:ind w:firstLine="0" w:firstLineChars="0"/>
              <w:jc w:val="center"/>
              <w:outlineLvl w:val="9"/>
              <w:rPr>
                <w:rFonts w:ascii="宋体" w:hAnsi="宋体" w:cs="宋体"/>
                <w:sz w:val="21"/>
                <w:szCs w:val="21"/>
              </w:rPr>
            </w:pPr>
            <w:r>
              <w:rPr>
                <w:rFonts w:hint="eastAsia" w:ascii="宋体" w:hAnsi="宋体" w:cs="宋体"/>
                <w:sz w:val="21"/>
                <w:szCs w:val="21"/>
              </w:rPr>
              <w:t>7</w:t>
            </w:r>
          </w:p>
        </w:tc>
        <w:tc>
          <w:tcPr>
            <w:tcW w:w="2126" w:type="dxa"/>
          </w:tcPr>
          <w:p w14:paraId="55D1CA1D">
            <w:pPr>
              <w:pStyle w:val="140"/>
              <w:ind w:firstLine="0" w:firstLineChars="0"/>
              <w:jc w:val="center"/>
              <w:outlineLvl w:val="9"/>
              <w:rPr>
                <w:rFonts w:ascii="宋体" w:hAnsi="宋体" w:cs="宋体"/>
                <w:sz w:val="21"/>
                <w:szCs w:val="21"/>
              </w:rPr>
            </w:pPr>
            <w:r>
              <w:rPr>
                <w:rFonts w:hint="eastAsia" w:ascii="宋体" w:hAnsi="宋体"/>
                <w:sz w:val="21"/>
                <w:szCs w:val="21"/>
              </w:rPr>
              <w:t>coupon_amount</w:t>
            </w:r>
          </w:p>
        </w:tc>
        <w:tc>
          <w:tcPr>
            <w:tcW w:w="1701" w:type="dxa"/>
          </w:tcPr>
          <w:p w14:paraId="4874B4A6">
            <w:pPr>
              <w:pStyle w:val="140"/>
              <w:ind w:firstLine="0" w:firstLineChars="0"/>
              <w:jc w:val="center"/>
              <w:outlineLvl w:val="9"/>
              <w:rPr>
                <w:rFonts w:ascii="宋体" w:hAnsi="宋体" w:cs="宋体"/>
                <w:sz w:val="21"/>
                <w:szCs w:val="21"/>
              </w:rPr>
            </w:pPr>
            <w:r>
              <w:rPr>
                <w:rFonts w:hint="eastAsia" w:ascii="宋体" w:hAnsi="宋体"/>
                <w:sz w:val="21"/>
                <w:szCs w:val="21"/>
              </w:rPr>
              <w:t>decimal(10, 2)</w:t>
            </w:r>
          </w:p>
        </w:tc>
        <w:tc>
          <w:tcPr>
            <w:tcW w:w="709" w:type="dxa"/>
          </w:tcPr>
          <w:p w14:paraId="10180600">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5D32D96A">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55CC8A86">
            <w:pPr>
              <w:pStyle w:val="140"/>
              <w:ind w:firstLine="0" w:firstLineChars="0"/>
              <w:jc w:val="center"/>
              <w:outlineLvl w:val="9"/>
              <w:rPr>
                <w:rFonts w:ascii="宋体" w:hAnsi="宋体" w:cs="宋体"/>
                <w:sz w:val="21"/>
                <w:szCs w:val="21"/>
              </w:rPr>
            </w:pPr>
            <w:r>
              <w:rPr>
                <w:rFonts w:hint="eastAsia" w:ascii="宋体" w:hAnsi="宋体"/>
                <w:sz w:val="21"/>
                <w:szCs w:val="21"/>
              </w:rPr>
              <w:t>优惠券金额</w:t>
            </w:r>
          </w:p>
        </w:tc>
      </w:tr>
      <w:tr w14:paraId="56BC2526">
        <w:tblPrEx>
          <w:tblCellMar>
            <w:top w:w="0" w:type="dxa"/>
            <w:left w:w="108" w:type="dxa"/>
            <w:bottom w:w="0" w:type="dxa"/>
            <w:right w:w="108" w:type="dxa"/>
          </w:tblCellMar>
        </w:tblPrEx>
        <w:tc>
          <w:tcPr>
            <w:tcW w:w="704" w:type="dxa"/>
          </w:tcPr>
          <w:p w14:paraId="3112F8BA">
            <w:pPr>
              <w:pStyle w:val="140"/>
              <w:ind w:firstLine="0" w:firstLineChars="0"/>
              <w:jc w:val="center"/>
              <w:outlineLvl w:val="9"/>
              <w:rPr>
                <w:rFonts w:ascii="宋体" w:hAnsi="宋体" w:cs="宋体"/>
                <w:sz w:val="21"/>
                <w:szCs w:val="21"/>
              </w:rPr>
            </w:pPr>
            <w:r>
              <w:rPr>
                <w:rFonts w:hint="eastAsia" w:ascii="宋体" w:hAnsi="宋体" w:cs="宋体"/>
                <w:sz w:val="21"/>
                <w:szCs w:val="21"/>
              </w:rPr>
              <w:t>8</w:t>
            </w:r>
          </w:p>
        </w:tc>
        <w:tc>
          <w:tcPr>
            <w:tcW w:w="2126" w:type="dxa"/>
          </w:tcPr>
          <w:p w14:paraId="25212215">
            <w:pPr>
              <w:pStyle w:val="140"/>
              <w:ind w:firstLine="0" w:firstLineChars="0"/>
              <w:jc w:val="center"/>
              <w:outlineLvl w:val="9"/>
              <w:rPr>
                <w:rFonts w:ascii="宋体" w:hAnsi="宋体" w:cs="宋体"/>
                <w:sz w:val="21"/>
                <w:szCs w:val="21"/>
              </w:rPr>
            </w:pPr>
            <w:r>
              <w:rPr>
                <w:rFonts w:hint="eastAsia" w:ascii="宋体" w:hAnsi="宋体"/>
                <w:sz w:val="21"/>
                <w:szCs w:val="21"/>
              </w:rPr>
              <w:t>min_amount</w:t>
            </w:r>
          </w:p>
        </w:tc>
        <w:tc>
          <w:tcPr>
            <w:tcW w:w="1701" w:type="dxa"/>
          </w:tcPr>
          <w:p w14:paraId="45DA0A82">
            <w:pPr>
              <w:pStyle w:val="140"/>
              <w:ind w:firstLine="0" w:firstLineChars="0"/>
              <w:jc w:val="center"/>
              <w:outlineLvl w:val="9"/>
              <w:rPr>
                <w:rFonts w:ascii="宋体" w:hAnsi="宋体" w:cs="宋体"/>
                <w:sz w:val="21"/>
                <w:szCs w:val="21"/>
              </w:rPr>
            </w:pPr>
            <w:r>
              <w:rPr>
                <w:rFonts w:hint="eastAsia" w:ascii="宋体" w:hAnsi="宋体"/>
                <w:sz w:val="21"/>
                <w:szCs w:val="21"/>
              </w:rPr>
              <w:t>decimal(10, 2)</w:t>
            </w:r>
          </w:p>
        </w:tc>
        <w:tc>
          <w:tcPr>
            <w:tcW w:w="709" w:type="dxa"/>
          </w:tcPr>
          <w:p w14:paraId="3D5DC2D2">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7F4C2EB4">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2064" w:type="dxa"/>
          </w:tcPr>
          <w:p w14:paraId="65EA631E">
            <w:pPr>
              <w:pStyle w:val="140"/>
              <w:ind w:firstLine="0" w:firstLineChars="0"/>
              <w:jc w:val="center"/>
              <w:outlineLvl w:val="9"/>
              <w:rPr>
                <w:rFonts w:ascii="宋体" w:hAnsi="宋体" w:cs="宋体"/>
                <w:sz w:val="21"/>
                <w:szCs w:val="21"/>
              </w:rPr>
            </w:pPr>
            <w:r>
              <w:rPr>
                <w:rFonts w:hint="eastAsia" w:ascii="宋体" w:hAnsi="宋体"/>
                <w:sz w:val="21"/>
                <w:szCs w:val="21"/>
              </w:rPr>
              <w:t>最低消费金额</w:t>
            </w:r>
          </w:p>
        </w:tc>
      </w:tr>
      <w:tr w14:paraId="5F4500FC">
        <w:tblPrEx>
          <w:tblCellMar>
            <w:top w:w="0" w:type="dxa"/>
            <w:left w:w="108" w:type="dxa"/>
            <w:bottom w:w="0" w:type="dxa"/>
            <w:right w:w="108" w:type="dxa"/>
          </w:tblCellMar>
        </w:tblPrEx>
        <w:tc>
          <w:tcPr>
            <w:tcW w:w="704" w:type="dxa"/>
          </w:tcPr>
          <w:p w14:paraId="73F1FA1A">
            <w:pPr>
              <w:pStyle w:val="140"/>
              <w:ind w:firstLine="0" w:firstLineChars="0"/>
              <w:jc w:val="center"/>
              <w:outlineLvl w:val="9"/>
              <w:rPr>
                <w:rFonts w:ascii="宋体" w:hAnsi="宋体" w:cs="宋体"/>
                <w:sz w:val="21"/>
                <w:szCs w:val="21"/>
              </w:rPr>
            </w:pPr>
            <w:r>
              <w:rPr>
                <w:rFonts w:hint="eastAsia" w:ascii="宋体" w:hAnsi="宋体" w:cs="宋体"/>
                <w:sz w:val="21"/>
                <w:szCs w:val="21"/>
              </w:rPr>
              <w:t>9</w:t>
            </w:r>
          </w:p>
        </w:tc>
        <w:tc>
          <w:tcPr>
            <w:tcW w:w="2126" w:type="dxa"/>
          </w:tcPr>
          <w:p w14:paraId="0FCB2936">
            <w:pPr>
              <w:pStyle w:val="140"/>
              <w:ind w:firstLine="0" w:firstLineChars="0"/>
              <w:jc w:val="center"/>
              <w:outlineLvl w:val="9"/>
              <w:rPr>
                <w:rFonts w:ascii="宋体" w:hAnsi="宋体" w:cs="宋体"/>
                <w:sz w:val="21"/>
                <w:szCs w:val="21"/>
              </w:rPr>
            </w:pPr>
            <w:r>
              <w:rPr>
                <w:rFonts w:hint="eastAsia" w:ascii="宋体" w:hAnsi="宋体"/>
                <w:sz w:val="21"/>
                <w:szCs w:val="21"/>
              </w:rPr>
              <w:t>use_integral</w:t>
            </w:r>
          </w:p>
        </w:tc>
        <w:tc>
          <w:tcPr>
            <w:tcW w:w="1701" w:type="dxa"/>
          </w:tcPr>
          <w:p w14:paraId="5F7139B1">
            <w:pPr>
              <w:pStyle w:val="140"/>
              <w:ind w:firstLine="0" w:firstLineChars="0"/>
              <w:jc w:val="center"/>
              <w:outlineLvl w:val="9"/>
              <w:rPr>
                <w:rFonts w:ascii="宋体" w:hAnsi="宋体" w:cs="宋体"/>
                <w:sz w:val="21"/>
                <w:szCs w:val="21"/>
              </w:rPr>
            </w:pPr>
            <w:r>
              <w:rPr>
                <w:rFonts w:hint="eastAsia" w:ascii="宋体" w:hAnsi="宋体"/>
                <w:sz w:val="21"/>
                <w:szCs w:val="21"/>
              </w:rPr>
              <w:t>decimal(10, 2)</w:t>
            </w:r>
          </w:p>
        </w:tc>
        <w:tc>
          <w:tcPr>
            <w:tcW w:w="709" w:type="dxa"/>
          </w:tcPr>
          <w:p w14:paraId="4E3F12CA">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4C6E88B9">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2064" w:type="dxa"/>
          </w:tcPr>
          <w:p w14:paraId="45077B79">
            <w:pPr>
              <w:pStyle w:val="140"/>
              <w:ind w:firstLine="0" w:firstLineChars="0"/>
              <w:jc w:val="center"/>
              <w:outlineLvl w:val="9"/>
              <w:rPr>
                <w:rFonts w:ascii="宋体" w:hAnsi="宋体" w:cs="宋体"/>
                <w:sz w:val="21"/>
                <w:szCs w:val="21"/>
              </w:rPr>
            </w:pPr>
            <w:r>
              <w:rPr>
                <w:rFonts w:hint="eastAsia" w:ascii="宋体" w:hAnsi="宋体"/>
                <w:sz w:val="21"/>
                <w:szCs w:val="21"/>
              </w:rPr>
              <w:t>要兑换的积分</w:t>
            </w:r>
          </w:p>
        </w:tc>
      </w:tr>
      <w:tr w14:paraId="3A427EF8">
        <w:tblPrEx>
          <w:tblCellMar>
            <w:top w:w="0" w:type="dxa"/>
            <w:left w:w="108" w:type="dxa"/>
            <w:bottom w:w="0" w:type="dxa"/>
            <w:right w:w="108" w:type="dxa"/>
          </w:tblCellMar>
        </w:tblPrEx>
        <w:tc>
          <w:tcPr>
            <w:tcW w:w="704" w:type="dxa"/>
          </w:tcPr>
          <w:p w14:paraId="37FF9618">
            <w:pPr>
              <w:pStyle w:val="140"/>
              <w:ind w:firstLine="0" w:firstLineChars="0"/>
              <w:jc w:val="center"/>
              <w:outlineLvl w:val="9"/>
              <w:rPr>
                <w:rFonts w:ascii="宋体" w:hAnsi="宋体" w:cs="宋体"/>
                <w:sz w:val="21"/>
                <w:szCs w:val="21"/>
              </w:rPr>
            </w:pPr>
            <w:r>
              <w:rPr>
                <w:rFonts w:hint="eastAsia" w:ascii="宋体" w:hAnsi="宋体" w:cs="宋体"/>
                <w:sz w:val="21"/>
                <w:szCs w:val="21"/>
              </w:rPr>
              <w:t>10</w:t>
            </w:r>
          </w:p>
        </w:tc>
        <w:tc>
          <w:tcPr>
            <w:tcW w:w="2126" w:type="dxa"/>
          </w:tcPr>
          <w:p w14:paraId="0C136692">
            <w:pPr>
              <w:pStyle w:val="140"/>
              <w:ind w:firstLine="0" w:firstLineChars="0"/>
              <w:jc w:val="center"/>
              <w:outlineLvl w:val="9"/>
              <w:rPr>
                <w:rFonts w:ascii="宋体" w:hAnsi="宋体" w:cs="宋体"/>
                <w:sz w:val="21"/>
                <w:szCs w:val="21"/>
              </w:rPr>
            </w:pPr>
            <w:r>
              <w:rPr>
                <w:rFonts w:hint="eastAsia" w:ascii="宋体" w:hAnsi="宋体"/>
                <w:sz w:val="21"/>
                <w:szCs w:val="21"/>
              </w:rPr>
              <w:t>coupon_type</w:t>
            </w:r>
          </w:p>
        </w:tc>
        <w:tc>
          <w:tcPr>
            <w:tcW w:w="1701" w:type="dxa"/>
          </w:tcPr>
          <w:p w14:paraId="4AE1C3F0">
            <w:pPr>
              <w:pStyle w:val="140"/>
              <w:ind w:firstLine="0" w:firstLineChars="0"/>
              <w:jc w:val="center"/>
              <w:outlineLvl w:val="9"/>
              <w:rPr>
                <w:rFonts w:ascii="宋体" w:hAnsi="宋体" w:cs="宋体"/>
                <w:sz w:val="21"/>
                <w:szCs w:val="21"/>
              </w:rPr>
            </w:pPr>
            <w:r>
              <w:rPr>
                <w:rFonts w:hint="eastAsia" w:ascii="宋体" w:hAnsi="宋体"/>
                <w:sz w:val="21"/>
                <w:szCs w:val="21"/>
              </w:rPr>
              <w:t>int(11)</w:t>
            </w:r>
          </w:p>
        </w:tc>
        <w:tc>
          <w:tcPr>
            <w:tcW w:w="709" w:type="dxa"/>
          </w:tcPr>
          <w:p w14:paraId="5492744C">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5CBBD5E0">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791F0A09">
            <w:pPr>
              <w:pStyle w:val="140"/>
              <w:ind w:firstLine="0" w:firstLineChars="0"/>
              <w:jc w:val="center"/>
              <w:outlineLvl w:val="9"/>
              <w:rPr>
                <w:rFonts w:ascii="宋体" w:hAnsi="宋体" w:cs="宋体"/>
                <w:sz w:val="21"/>
                <w:szCs w:val="21"/>
              </w:rPr>
            </w:pPr>
            <w:r>
              <w:rPr>
                <w:rFonts w:hint="eastAsia" w:ascii="宋体" w:hAnsi="宋体"/>
                <w:sz w:val="21"/>
                <w:szCs w:val="21"/>
              </w:rPr>
              <w:t>免费兑换积分兑换</w:t>
            </w:r>
          </w:p>
        </w:tc>
      </w:tr>
      <w:tr w14:paraId="748D80A7">
        <w:tblPrEx>
          <w:tblCellMar>
            <w:top w:w="0" w:type="dxa"/>
            <w:left w:w="108" w:type="dxa"/>
            <w:bottom w:w="0" w:type="dxa"/>
            <w:right w:w="108" w:type="dxa"/>
          </w:tblCellMar>
        </w:tblPrEx>
        <w:tc>
          <w:tcPr>
            <w:tcW w:w="704" w:type="dxa"/>
          </w:tcPr>
          <w:p w14:paraId="62103CFE">
            <w:pPr>
              <w:pStyle w:val="140"/>
              <w:ind w:firstLine="0" w:firstLineChars="0"/>
              <w:jc w:val="center"/>
              <w:outlineLvl w:val="9"/>
              <w:rPr>
                <w:rFonts w:ascii="宋体" w:hAnsi="宋体" w:cs="宋体"/>
                <w:sz w:val="21"/>
                <w:szCs w:val="21"/>
              </w:rPr>
            </w:pPr>
            <w:r>
              <w:rPr>
                <w:rFonts w:hint="eastAsia" w:ascii="宋体" w:hAnsi="宋体" w:cs="宋体"/>
                <w:sz w:val="21"/>
                <w:szCs w:val="21"/>
              </w:rPr>
              <w:t>11</w:t>
            </w:r>
          </w:p>
        </w:tc>
        <w:tc>
          <w:tcPr>
            <w:tcW w:w="2126" w:type="dxa"/>
          </w:tcPr>
          <w:p w14:paraId="271BF892">
            <w:pPr>
              <w:pStyle w:val="140"/>
              <w:ind w:firstLine="0" w:firstLineChars="0"/>
              <w:jc w:val="center"/>
              <w:outlineLvl w:val="9"/>
              <w:rPr>
                <w:rFonts w:ascii="宋体" w:hAnsi="宋体" w:cs="宋体"/>
                <w:sz w:val="21"/>
                <w:szCs w:val="21"/>
              </w:rPr>
            </w:pPr>
            <w:r>
              <w:rPr>
                <w:rFonts w:hint="eastAsia" w:ascii="宋体" w:hAnsi="宋体"/>
                <w:sz w:val="21"/>
                <w:szCs w:val="21"/>
              </w:rPr>
              <w:t>begin_time</w:t>
            </w:r>
          </w:p>
        </w:tc>
        <w:tc>
          <w:tcPr>
            <w:tcW w:w="1701" w:type="dxa"/>
          </w:tcPr>
          <w:p w14:paraId="33D3339C">
            <w:pPr>
              <w:pStyle w:val="140"/>
              <w:ind w:firstLine="0" w:firstLineChars="0"/>
              <w:jc w:val="center"/>
              <w:outlineLvl w:val="9"/>
              <w:rPr>
                <w:rFonts w:ascii="宋体" w:hAnsi="宋体" w:cs="宋体"/>
                <w:sz w:val="21"/>
                <w:szCs w:val="21"/>
              </w:rPr>
            </w:pPr>
            <w:r>
              <w:rPr>
                <w:rFonts w:hint="eastAsia" w:ascii="宋体" w:hAnsi="宋体"/>
                <w:sz w:val="21"/>
                <w:szCs w:val="21"/>
              </w:rPr>
              <w:t>datetime(3)</w:t>
            </w:r>
          </w:p>
        </w:tc>
        <w:tc>
          <w:tcPr>
            <w:tcW w:w="709" w:type="dxa"/>
          </w:tcPr>
          <w:p w14:paraId="78A2CD27">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672F8792">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6FB7B36F">
            <w:pPr>
              <w:pStyle w:val="140"/>
              <w:ind w:firstLine="0" w:firstLineChars="0"/>
              <w:jc w:val="center"/>
              <w:outlineLvl w:val="9"/>
              <w:rPr>
                <w:rFonts w:ascii="宋体" w:hAnsi="宋体" w:cs="宋体"/>
                <w:sz w:val="21"/>
                <w:szCs w:val="21"/>
              </w:rPr>
            </w:pPr>
            <w:r>
              <w:rPr>
                <w:rFonts w:hint="eastAsia" w:ascii="宋体" w:hAnsi="宋体"/>
                <w:sz w:val="21"/>
                <w:szCs w:val="21"/>
              </w:rPr>
              <w:t>券开始时间</w:t>
            </w:r>
          </w:p>
        </w:tc>
      </w:tr>
      <w:tr w14:paraId="78BB5C12">
        <w:tblPrEx>
          <w:tblCellMar>
            <w:top w:w="0" w:type="dxa"/>
            <w:left w:w="108" w:type="dxa"/>
            <w:bottom w:w="0" w:type="dxa"/>
            <w:right w:w="108" w:type="dxa"/>
          </w:tblCellMar>
        </w:tblPrEx>
        <w:tc>
          <w:tcPr>
            <w:tcW w:w="704" w:type="dxa"/>
          </w:tcPr>
          <w:p w14:paraId="3D9F7BBD">
            <w:pPr>
              <w:pStyle w:val="140"/>
              <w:ind w:firstLine="0" w:firstLineChars="0"/>
              <w:jc w:val="center"/>
              <w:outlineLvl w:val="9"/>
              <w:rPr>
                <w:rFonts w:ascii="宋体" w:hAnsi="宋体" w:cs="宋体"/>
                <w:sz w:val="21"/>
                <w:szCs w:val="21"/>
              </w:rPr>
            </w:pPr>
            <w:r>
              <w:rPr>
                <w:rFonts w:hint="eastAsia" w:ascii="宋体" w:hAnsi="宋体" w:cs="宋体"/>
                <w:sz w:val="21"/>
                <w:szCs w:val="21"/>
              </w:rPr>
              <w:t>12</w:t>
            </w:r>
          </w:p>
        </w:tc>
        <w:tc>
          <w:tcPr>
            <w:tcW w:w="2126" w:type="dxa"/>
          </w:tcPr>
          <w:p w14:paraId="3E32DA7C">
            <w:pPr>
              <w:pStyle w:val="140"/>
              <w:ind w:firstLine="0" w:firstLineChars="0"/>
              <w:jc w:val="center"/>
              <w:outlineLvl w:val="9"/>
              <w:rPr>
                <w:rFonts w:ascii="宋体" w:hAnsi="宋体" w:cs="宋体"/>
                <w:sz w:val="21"/>
                <w:szCs w:val="21"/>
              </w:rPr>
            </w:pPr>
            <w:r>
              <w:rPr>
                <w:rFonts w:hint="eastAsia" w:ascii="宋体" w:hAnsi="宋体"/>
                <w:sz w:val="21"/>
                <w:szCs w:val="21"/>
              </w:rPr>
              <w:t>end_time</w:t>
            </w:r>
          </w:p>
        </w:tc>
        <w:tc>
          <w:tcPr>
            <w:tcW w:w="1701" w:type="dxa"/>
          </w:tcPr>
          <w:p w14:paraId="52A86CA2">
            <w:pPr>
              <w:pStyle w:val="140"/>
              <w:ind w:firstLine="0" w:firstLineChars="0"/>
              <w:jc w:val="center"/>
              <w:outlineLvl w:val="9"/>
              <w:rPr>
                <w:rFonts w:ascii="宋体" w:hAnsi="宋体" w:cs="宋体"/>
                <w:sz w:val="21"/>
                <w:szCs w:val="21"/>
              </w:rPr>
            </w:pPr>
            <w:r>
              <w:rPr>
                <w:rFonts w:hint="eastAsia" w:ascii="宋体" w:hAnsi="宋体"/>
                <w:sz w:val="21"/>
                <w:szCs w:val="21"/>
              </w:rPr>
              <w:t>datetime(3)</w:t>
            </w:r>
          </w:p>
        </w:tc>
        <w:tc>
          <w:tcPr>
            <w:tcW w:w="709" w:type="dxa"/>
          </w:tcPr>
          <w:p w14:paraId="30B14FC3">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4DF0C5D6">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1E36F344">
            <w:pPr>
              <w:pStyle w:val="140"/>
              <w:ind w:firstLine="0" w:firstLineChars="0"/>
              <w:jc w:val="center"/>
              <w:outlineLvl w:val="9"/>
              <w:rPr>
                <w:rFonts w:ascii="宋体" w:hAnsi="宋体" w:cs="宋体"/>
                <w:sz w:val="21"/>
                <w:szCs w:val="21"/>
              </w:rPr>
            </w:pPr>
            <w:r>
              <w:rPr>
                <w:rFonts w:hint="eastAsia" w:ascii="宋体" w:hAnsi="宋体"/>
                <w:sz w:val="21"/>
                <w:szCs w:val="21"/>
              </w:rPr>
              <w:t>券结束时间</w:t>
            </w:r>
          </w:p>
        </w:tc>
      </w:tr>
      <w:tr w14:paraId="3EE4EC72">
        <w:tblPrEx>
          <w:tblCellMar>
            <w:top w:w="0" w:type="dxa"/>
            <w:left w:w="108" w:type="dxa"/>
            <w:bottom w:w="0" w:type="dxa"/>
            <w:right w:w="108" w:type="dxa"/>
          </w:tblCellMar>
        </w:tblPrEx>
        <w:tc>
          <w:tcPr>
            <w:tcW w:w="704" w:type="dxa"/>
          </w:tcPr>
          <w:p w14:paraId="29EDA93A">
            <w:pPr>
              <w:pStyle w:val="140"/>
              <w:ind w:firstLine="0" w:firstLineChars="0"/>
              <w:jc w:val="center"/>
              <w:outlineLvl w:val="9"/>
              <w:rPr>
                <w:rFonts w:ascii="宋体" w:hAnsi="宋体" w:cs="宋体"/>
                <w:sz w:val="21"/>
                <w:szCs w:val="21"/>
              </w:rPr>
            </w:pPr>
            <w:r>
              <w:rPr>
                <w:rFonts w:hint="eastAsia" w:ascii="宋体" w:hAnsi="宋体" w:cs="宋体"/>
                <w:sz w:val="21"/>
                <w:szCs w:val="21"/>
              </w:rPr>
              <w:t>13</w:t>
            </w:r>
          </w:p>
        </w:tc>
        <w:tc>
          <w:tcPr>
            <w:tcW w:w="2126" w:type="dxa"/>
          </w:tcPr>
          <w:p w14:paraId="52066946">
            <w:pPr>
              <w:pStyle w:val="140"/>
              <w:ind w:firstLine="0" w:firstLineChars="0"/>
              <w:jc w:val="center"/>
              <w:outlineLvl w:val="9"/>
              <w:rPr>
                <w:rFonts w:ascii="宋体" w:hAnsi="宋体" w:cs="宋体"/>
                <w:sz w:val="21"/>
                <w:szCs w:val="21"/>
              </w:rPr>
            </w:pPr>
            <w:r>
              <w:rPr>
                <w:rFonts w:hint="eastAsia" w:ascii="宋体" w:hAnsi="宋体"/>
                <w:sz w:val="21"/>
                <w:szCs w:val="21"/>
              </w:rPr>
              <w:t>use_status</w:t>
            </w:r>
          </w:p>
        </w:tc>
        <w:tc>
          <w:tcPr>
            <w:tcW w:w="1701" w:type="dxa"/>
          </w:tcPr>
          <w:p w14:paraId="63DDC040">
            <w:pPr>
              <w:pStyle w:val="140"/>
              <w:ind w:firstLine="0" w:firstLineChars="0"/>
              <w:jc w:val="center"/>
              <w:outlineLvl w:val="9"/>
              <w:rPr>
                <w:rFonts w:ascii="宋体" w:hAnsi="宋体" w:cs="宋体"/>
                <w:sz w:val="21"/>
                <w:szCs w:val="21"/>
              </w:rPr>
            </w:pPr>
            <w:r>
              <w:rPr>
                <w:rFonts w:hint="eastAsia" w:ascii="宋体" w:hAnsi="宋体"/>
                <w:sz w:val="21"/>
                <w:szCs w:val="21"/>
              </w:rPr>
              <w:t>int(11)</w:t>
            </w:r>
          </w:p>
        </w:tc>
        <w:tc>
          <w:tcPr>
            <w:tcW w:w="709" w:type="dxa"/>
          </w:tcPr>
          <w:p w14:paraId="0CD46F3D">
            <w:pPr>
              <w:pStyle w:val="140"/>
              <w:ind w:firstLine="0" w:firstLineChars="0"/>
              <w:jc w:val="center"/>
              <w:outlineLvl w:val="9"/>
              <w:rPr>
                <w:rFonts w:ascii="宋体" w:hAnsi="宋体" w:cs="宋体"/>
                <w:sz w:val="21"/>
                <w:szCs w:val="21"/>
              </w:rPr>
            </w:pPr>
            <w:r>
              <w:rPr>
                <w:rFonts w:hint="eastAsia" w:ascii="宋体" w:hAnsi="宋体"/>
                <w:sz w:val="21"/>
                <w:szCs w:val="21"/>
              </w:rPr>
              <w:t>否</w:t>
            </w:r>
          </w:p>
        </w:tc>
        <w:tc>
          <w:tcPr>
            <w:tcW w:w="992" w:type="dxa"/>
          </w:tcPr>
          <w:p w14:paraId="52BA2761">
            <w:pPr>
              <w:pStyle w:val="140"/>
              <w:ind w:firstLine="0" w:firstLineChars="0"/>
              <w:jc w:val="center"/>
              <w:outlineLvl w:val="9"/>
              <w:rPr>
                <w:rFonts w:ascii="宋体" w:hAnsi="宋体" w:cs="宋体"/>
                <w:sz w:val="21"/>
                <w:szCs w:val="21"/>
              </w:rPr>
            </w:pPr>
            <w:r>
              <w:rPr>
                <w:rFonts w:hint="eastAsia" w:ascii="宋体" w:hAnsi="宋体"/>
                <w:sz w:val="21"/>
                <w:szCs w:val="21"/>
              </w:rPr>
              <w:t>是</w:t>
            </w:r>
          </w:p>
        </w:tc>
        <w:tc>
          <w:tcPr>
            <w:tcW w:w="2064" w:type="dxa"/>
          </w:tcPr>
          <w:p w14:paraId="29B3CBF7">
            <w:pPr>
              <w:pStyle w:val="140"/>
              <w:ind w:firstLine="0" w:firstLineChars="0"/>
              <w:jc w:val="center"/>
              <w:outlineLvl w:val="9"/>
              <w:rPr>
                <w:rFonts w:ascii="宋体" w:hAnsi="宋体"/>
                <w:sz w:val="21"/>
                <w:szCs w:val="21"/>
              </w:rPr>
            </w:pPr>
            <w:r>
              <w:rPr>
                <w:rFonts w:hint="eastAsia" w:ascii="宋体" w:hAnsi="宋体"/>
                <w:sz w:val="21"/>
                <w:szCs w:val="21"/>
              </w:rPr>
              <w:t>0未使用</w:t>
            </w:r>
          </w:p>
          <w:p w14:paraId="1054C620">
            <w:pPr>
              <w:pStyle w:val="140"/>
              <w:ind w:firstLine="0" w:firstLineChars="0"/>
              <w:jc w:val="center"/>
              <w:outlineLvl w:val="9"/>
              <w:rPr>
                <w:rFonts w:ascii="宋体" w:hAnsi="宋体" w:cs="宋体"/>
                <w:sz w:val="21"/>
                <w:szCs w:val="21"/>
              </w:rPr>
            </w:pPr>
            <w:r>
              <w:rPr>
                <w:rFonts w:hint="eastAsia" w:ascii="宋体" w:hAnsi="宋体"/>
                <w:sz w:val="21"/>
                <w:szCs w:val="21"/>
              </w:rPr>
              <w:t>1已使用</w:t>
            </w:r>
          </w:p>
        </w:tc>
      </w:tr>
    </w:tbl>
    <w:p w14:paraId="3161BD46">
      <w:pPr>
        <w:pStyle w:val="143"/>
        <w:ind w:firstLine="482"/>
        <w:outlineLvl w:val="9"/>
        <w:rPr>
          <w:b/>
          <w:bCs/>
        </w:rPr>
      </w:pPr>
      <w:r>
        <w:rPr>
          <w:rFonts w:hint="eastAsia"/>
          <w:b/>
          <w:bCs/>
        </w:rPr>
        <w:t>3.3.3售后服务</w:t>
      </w:r>
    </w:p>
    <w:p w14:paraId="04DBEFD3">
      <w:pPr>
        <w:pStyle w:val="140"/>
        <w:ind w:firstLine="480"/>
        <w:outlineLvl w:val="9"/>
      </w:pPr>
      <w:r>
        <w:rPr>
          <w:rFonts w:hint="eastAsia"/>
        </w:rPr>
        <w:t>下面是这</w:t>
      </w:r>
      <w:r>
        <w:t>张表主要用于构建</w:t>
      </w:r>
      <w:r>
        <w:rPr>
          <w:rFonts w:hint="eastAsia"/>
        </w:rPr>
        <w:t>运动服装</w:t>
      </w:r>
      <w:r>
        <w:t>电商平台或零售系统中的售后管理模块，其核心功能是记录和追踪用户发起的退货及退款申请的全生命周期。表结构设计上，首先通过主键ID确保每条记录的唯一性，并通过会员ID和订单ID将售后申请与具体的用户及其购买行为紧密关联。在申请内容方面，详细记录了售后类型（区分仅退款还是退货退款）、申请金额、退货数量以及用户填写的原因、详细描述和上传的凭证图片，为客服审核提供依据。针对处理流程，表中包含了状态流转字段（如待处理、退货中、已完成、已拒绝），并记录了处理时间、处理人员及处理备注，以便追溯操作历史。此外，为了管理退货物流，还专门设计了字段用于存储用户寄回商品时的快递公司和运单号。最后，通过创建人和修改人相关的审计字段，保证了数据变更的可追溯性，是一张涵盖了业务申请、流程审批、物流跟踪及数据审计的综合性业务表。</w:t>
      </w:r>
      <w:r>
        <w:rPr>
          <w:rFonts w:hint="eastAsia"/>
        </w:rPr>
        <w:t>如表3-3所示。</w:t>
      </w:r>
    </w:p>
    <w:p w14:paraId="3BF7EF9E">
      <w:pPr>
        <w:pStyle w:val="146"/>
        <w:outlineLvl w:val="9"/>
      </w:pPr>
    </w:p>
    <w:p w14:paraId="19685ACD">
      <w:pPr>
        <w:pStyle w:val="146"/>
        <w:outlineLvl w:val="9"/>
        <w:rPr>
          <w:rFonts w:hint="eastAsia"/>
        </w:rPr>
      </w:pPr>
    </w:p>
    <w:p w14:paraId="6D3AD3B9">
      <w:pPr>
        <w:pStyle w:val="146"/>
        <w:outlineLvl w:val="9"/>
      </w:pPr>
      <w:r>
        <w:rPr>
          <w:rFonts w:hint="eastAsia"/>
        </w:rPr>
        <w:t>表3-3</w:t>
      </w:r>
      <w:r>
        <w:t xml:space="preserve"> </w:t>
      </w:r>
      <w:r>
        <w:rPr>
          <w:rFonts w:hint="eastAsia"/>
        </w:rPr>
        <w:t>售后服务表</w:t>
      </w:r>
    </w:p>
    <w:tbl>
      <w:tblPr>
        <w:tblStyle w:val="35"/>
        <w:tblW w:w="0" w:type="auto"/>
        <w:tblInd w:w="0" w:type="dxa"/>
        <w:tblLayout w:type="autofit"/>
        <w:tblCellMar>
          <w:top w:w="0" w:type="dxa"/>
          <w:left w:w="108" w:type="dxa"/>
          <w:bottom w:w="0" w:type="dxa"/>
          <w:right w:w="108" w:type="dxa"/>
        </w:tblCellMar>
      </w:tblPr>
      <w:tblGrid>
        <w:gridCol w:w="663"/>
        <w:gridCol w:w="2211"/>
        <w:gridCol w:w="1799"/>
        <w:gridCol w:w="709"/>
        <w:gridCol w:w="709"/>
        <w:gridCol w:w="2205"/>
      </w:tblGrid>
      <w:tr w14:paraId="78A606D2">
        <w:tblPrEx>
          <w:tblCellMar>
            <w:top w:w="0" w:type="dxa"/>
            <w:left w:w="108" w:type="dxa"/>
            <w:bottom w:w="0" w:type="dxa"/>
            <w:right w:w="108" w:type="dxa"/>
          </w:tblCellMar>
        </w:tblPrEx>
        <w:tc>
          <w:tcPr>
            <w:tcW w:w="663" w:type="dxa"/>
          </w:tcPr>
          <w:p w14:paraId="09450CBB">
            <w:pPr>
              <w:jc w:val="center"/>
              <w:outlineLvl w:val="9"/>
              <w:rPr>
                <w:rFonts w:ascii="宋体" w:hAnsi="宋体" w:cs="宋体"/>
              </w:rPr>
            </w:pPr>
            <w:r>
              <w:rPr>
                <w:rFonts w:hint="eastAsia" w:ascii="宋体" w:hAnsi="宋体" w:cs="宋体"/>
              </w:rPr>
              <w:t>序号</w:t>
            </w:r>
          </w:p>
        </w:tc>
        <w:tc>
          <w:tcPr>
            <w:tcW w:w="2211" w:type="dxa"/>
          </w:tcPr>
          <w:p w14:paraId="3FD42320">
            <w:pPr>
              <w:jc w:val="center"/>
              <w:outlineLvl w:val="9"/>
              <w:rPr>
                <w:rFonts w:ascii="宋体" w:hAnsi="宋体" w:cs="宋体"/>
              </w:rPr>
            </w:pPr>
            <w:r>
              <w:rPr>
                <w:rFonts w:hint="eastAsia" w:ascii="宋体" w:hAnsi="宋体" w:cs="宋体"/>
              </w:rPr>
              <w:t>字段名</w:t>
            </w:r>
          </w:p>
        </w:tc>
        <w:tc>
          <w:tcPr>
            <w:tcW w:w="1799" w:type="dxa"/>
          </w:tcPr>
          <w:p w14:paraId="2FC323B0">
            <w:pPr>
              <w:jc w:val="center"/>
              <w:outlineLvl w:val="9"/>
              <w:rPr>
                <w:rFonts w:ascii="宋体" w:hAnsi="宋体" w:cs="宋体"/>
              </w:rPr>
            </w:pPr>
            <w:r>
              <w:rPr>
                <w:rFonts w:hint="eastAsia" w:ascii="宋体" w:hAnsi="宋体" w:cs="宋体"/>
              </w:rPr>
              <w:t>数据类型</w:t>
            </w:r>
          </w:p>
        </w:tc>
        <w:tc>
          <w:tcPr>
            <w:tcW w:w="709" w:type="dxa"/>
          </w:tcPr>
          <w:p w14:paraId="117D3198">
            <w:pPr>
              <w:jc w:val="center"/>
              <w:outlineLvl w:val="9"/>
              <w:rPr>
                <w:rFonts w:ascii="宋体" w:hAnsi="宋体" w:cs="宋体"/>
              </w:rPr>
            </w:pPr>
            <w:r>
              <w:rPr>
                <w:rFonts w:hint="eastAsia" w:ascii="宋体" w:hAnsi="宋体" w:cs="宋体"/>
              </w:rPr>
              <w:t>主键</w:t>
            </w:r>
          </w:p>
        </w:tc>
        <w:tc>
          <w:tcPr>
            <w:tcW w:w="709" w:type="dxa"/>
          </w:tcPr>
          <w:p w14:paraId="74CCA9BE">
            <w:pPr>
              <w:jc w:val="center"/>
              <w:outlineLvl w:val="9"/>
              <w:rPr>
                <w:rFonts w:ascii="宋体" w:hAnsi="宋体" w:cs="宋体"/>
              </w:rPr>
            </w:pPr>
            <w:r>
              <w:rPr>
                <w:rFonts w:hint="eastAsia" w:ascii="宋体" w:hAnsi="宋体" w:cs="宋体"/>
              </w:rPr>
              <w:t>非空</w:t>
            </w:r>
          </w:p>
        </w:tc>
        <w:tc>
          <w:tcPr>
            <w:tcW w:w="2205" w:type="dxa"/>
          </w:tcPr>
          <w:p w14:paraId="7357BE0F">
            <w:pPr>
              <w:jc w:val="center"/>
              <w:outlineLvl w:val="9"/>
              <w:rPr>
                <w:rFonts w:ascii="宋体" w:hAnsi="宋体" w:cs="宋体"/>
              </w:rPr>
            </w:pPr>
            <w:r>
              <w:rPr>
                <w:rFonts w:hint="eastAsia" w:ascii="宋体" w:hAnsi="宋体" w:cs="宋体"/>
              </w:rPr>
              <w:t>描述</w:t>
            </w:r>
          </w:p>
        </w:tc>
      </w:tr>
      <w:tr w14:paraId="7E84ADA6">
        <w:tblPrEx>
          <w:tblCellMar>
            <w:top w:w="0" w:type="dxa"/>
            <w:left w:w="108" w:type="dxa"/>
            <w:bottom w:w="0" w:type="dxa"/>
            <w:right w:w="108" w:type="dxa"/>
          </w:tblCellMar>
        </w:tblPrEx>
        <w:tc>
          <w:tcPr>
            <w:tcW w:w="663" w:type="dxa"/>
          </w:tcPr>
          <w:p w14:paraId="480F4549">
            <w:pPr>
              <w:jc w:val="center"/>
              <w:outlineLvl w:val="9"/>
              <w:rPr>
                <w:rFonts w:ascii="宋体" w:hAnsi="宋体" w:cs="宋体"/>
              </w:rPr>
            </w:pPr>
            <w:r>
              <w:rPr>
                <w:rFonts w:hint="eastAsia" w:ascii="宋体" w:hAnsi="宋体" w:cs="宋体"/>
              </w:rPr>
              <w:t>1</w:t>
            </w:r>
          </w:p>
        </w:tc>
        <w:tc>
          <w:tcPr>
            <w:tcW w:w="2211" w:type="dxa"/>
          </w:tcPr>
          <w:p w14:paraId="470C7EEE">
            <w:pPr>
              <w:jc w:val="center"/>
              <w:outlineLvl w:val="9"/>
              <w:rPr>
                <w:rFonts w:ascii="宋体" w:hAnsi="宋体" w:cs="宋体"/>
              </w:rPr>
            </w:pPr>
            <w:r>
              <w:rPr>
                <w:rFonts w:hint="eastAsia" w:ascii="宋体" w:hAnsi="宋体" w:cs="宋体"/>
              </w:rPr>
              <w:t>id</w:t>
            </w:r>
          </w:p>
        </w:tc>
        <w:tc>
          <w:tcPr>
            <w:tcW w:w="1799" w:type="dxa"/>
          </w:tcPr>
          <w:p w14:paraId="27337517">
            <w:pPr>
              <w:jc w:val="center"/>
              <w:outlineLvl w:val="9"/>
              <w:rPr>
                <w:rFonts w:ascii="宋体" w:hAnsi="宋体" w:cs="宋体"/>
              </w:rPr>
            </w:pPr>
            <w:r>
              <w:rPr>
                <w:rFonts w:hint="eastAsia" w:ascii="宋体" w:hAnsi="宋体" w:cs="宋体"/>
              </w:rPr>
              <w:t>bigint(20)</w:t>
            </w:r>
          </w:p>
        </w:tc>
        <w:tc>
          <w:tcPr>
            <w:tcW w:w="709" w:type="dxa"/>
          </w:tcPr>
          <w:p w14:paraId="32D9AEB8">
            <w:pPr>
              <w:jc w:val="center"/>
              <w:outlineLvl w:val="9"/>
              <w:rPr>
                <w:rFonts w:ascii="宋体" w:hAnsi="宋体" w:cs="宋体"/>
              </w:rPr>
            </w:pPr>
            <w:r>
              <w:rPr>
                <w:rFonts w:hint="eastAsia" w:ascii="宋体" w:hAnsi="宋体" w:cs="宋体"/>
              </w:rPr>
              <w:t>是</w:t>
            </w:r>
          </w:p>
        </w:tc>
        <w:tc>
          <w:tcPr>
            <w:tcW w:w="709" w:type="dxa"/>
          </w:tcPr>
          <w:p w14:paraId="36E12C41">
            <w:pPr>
              <w:jc w:val="center"/>
              <w:outlineLvl w:val="9"/>
              <w:rPr>
                <w:rFonts w:ascii="宋体" w:hAnsi="宋体" w:cs="宋体"/>
              </w:rPr>
            </w:pPr>
            <w:r>
              <w:rPr>
                <w:rFonts w:hint="eastAsia" w:ascii="宋体" w:hAnsi="宋体" w:cs="宋体"/>
              </w:rPr>
              <w:t>是</w:t>
            </w:r>
          </w:p>
        </w:tc>
        <w:tc>
          <w:tcPr>
            <w:tcW w:w="2205" w:type="dxa"/>
          </w:tcPr>
          <w:p w14:paraId="07FC673A">
            <w:pPr>
              <w:jc w:val="center"/>
              <w:outlineLvl w:val="9"/>
              <w:rPr>
                <w:rFonts w:ascii="宋体" w:hAnsi="宋体" w:cs="宋体"/>
              </w:rPr>
            </w:pPr>
            <w:r>
              <w:rPr>
                <w:rFonts w:hint="eastAsia" w:ascii="宋体" w:hAnsi="宋体" w:cs="宋体"/>
              </w:rPr>
              <w:t>主键ID</w:t>
            </w:r>
          </w:p>
        </w:tc>
      </w:tr>
      <w:tr w14:paraId="3EDD6666">
        <w:tblPrEx>
          <w:tblCellMar>
            <w:top w:w="0" w:type="dxa"/>
            <w:left w:w="108" w:type="dxa"/>
            <w:bottom w:w="0" w:type="dxa"/>
            <w:right w:w="108" w:type="dxa"/>
          </w:tblCellMar>
        </w:tblPrEx>
        <w:tc>
          <w:tcPr>
            <w:tcW w:w="663" w:type="dxa"/>
          </w:tcPr>
          <w:p w14:paraId="5D13FDBE">
            <w:pPr>
              <w:jc w:val="center"/>
              <w:outlineLvl w:val="9"/>
              <w:rPr>
                <w:rFonts w:ascii="宋体" w:hAnsi="宋体" w:cs="宋体"/>
              </w:rPr>
            </w:pPr>
            <w:r>
              <w:rPr>
                <w:rFonts w:hint="eastAsia" w:ascii="宋体" w:hAnsi="宋体" w:cs="宋体"/>
              </w:rPr>
              <w:t>2</w:t>
            </w:r>
          </w:p>
        </w:tc>
        <w:tc>
          <w:tcPr>
            <w:tcW w:w="2211" w:type="dxa"/>
          </w:tcPr>
          <w:p w14:paraId="799B9AC5">
            <w:pPr>
              <w:jc w:val="center"/>
              <w:outlineLvl w:val="9"/>
              <w:rPr>
                <w:rFonts w:ascii="宋体" w:hAnsi="宋体" w:cs="宋体"/>
              </w:rPr>
            </w:pPr>
            <w:r>
              <w:rPr>
                <w:rFonts w:hint="eastAsia" w:ascii="宋体" w:hAnsi="宋体" w:cs="宋体"/>
              </w:rPr>
              <w:t>member_id</w:t>
            </w:r>
          </w:p>
        </w:tc>
        <w:tc>
          <w:tcPr>
            <w:tcW w:w="1799" w:type="dxa"/>
          </w:tcPr>
          <w:p w14:paraId="218108ED">
            <w:pPr>
              <w:jc w:val="center"/>
              <w:outlineLvl w:val="9"/>
              <w:rPr>
                <w:rFonts w:ascii="宋体" w:hAnsi="宋体" w:cs="宋体"/>
              </w:rPr>
            </w:pPr>
            <w:r>
              <w:rPr>
                <w:rFonts w:hint="eastAsia" w:ascii="宋体" w:hAnsi="宋体" w:cs="宋体"/>
              </w:rPr>
              <w:t>bigint(20)</w:t>
            </w:r>
          </w:p>
        </w:tc>
        <w:tc>
          <w:tcPr>
            <w:tcW w:w="709" w:type="dxa"/>
          </w:tcPr>
          <w:p w14:paraId="586DB16D">
            <w:pPr>
              <w:jc w:val="center"/>
              <w:outlineLvl w:val="9"/>
              <w:rPr>
                <w:rFonts w:ascii="宋体" w:hAnsi="宋体" w:cs="宋体"/>
              </w:rPr>
            </w:pPr>
            <w:r>
              <w:rPr>
                <w:rFonts w:hint="eastAsia" w:ascii="宋体" w:hAnsi="宋体" w:cs="宋体"/>
              </w:rPr>
              <w:t>否</w:t>
            </w:r>
          </w:p>
        </w:tc>
        <w:tc>
          <w:tcPr>
            <w:tcW w:w="709" w:type="dxa"/>
          </w:tcPr>
          <w:p w14:paraId="12EA1B5D">
            <w:pPr>
              <w:jc w:val="center"/>
              <w:outlineLvl w:val="9"/>
              <w:rPr>
                <w:rFonts w:ascii="宋体" w:hAnsi="宋体" w:cs="宋体"/>
              </w:rPr>
            </w:pPr>
            <w:r>
              <w:rPr>
                <w:rFonts w:hint="eastAsia" w:ascii="宋体" w:hAnsi="宋体" w:cs="宋体"/>
              </w:rPr>
              <w:t>是</w:t>
            </w:r>
          </w:p>
        </w:tc>
        <w:tc>
          <w:tcPr>
            <w:tcW w:w="2205" w:type="dxa"/>
          </w:tcPr>
          <w:p w14:paraId="52560326">
            <w:pPr>
              <w:jc w:val="center"/>
              <w:outlineLvl w:val="9"/>
              <w:rPr>
                <w:rFonts w:ascii="宋体" w:hAnsi="宋体" w:cs="宋体"/>
              </w:rPr>
            </w:pPr>
            <w:r>
              <w:rPr>
                <w:rFonts w:hint="eastAsia" w:ascii="宋体" w:hAnsi="宋体" w:cs="宋体"/>
              </w:rPr>
              <w:t>会员ID</w:t>
            </w:r>
          </w:p>
        </w:tc>
      </w:tr>
      <w:tr w14:paraId="001D5552">
        <w:tblPrEx>
          <w:tblCellMar>
            <w:top w:w="0" w:type="dxa"/>
            <w:left w:w="108" w:type="dxa"/>
            <w:bottom w:w="0" w:type="dxa"/>
            <w:right w:w="108" w:type="dxa"/>
          </w:tblCellMar>
        </w:tblPrEx>
        <w:tc>
          <w:tcPr>
            <w:tcW w:w="663" w:type="dxa"/>
          </w:tcPr>
          <w:p w14:paraId="3E2E02E3">
            <w:pPr>
              <w:jc w:val="center"/>
              <w:outlineLvl w:val="9"/>
              <w:rPr>
                <w:rFonts w:ascii="宋体" w:hAnsi="宋体" w:cs="宋体"/>
              </w:rPr>
            </w:pPr>
            <w:r>
              <w:rPr>
                <w:rFonts w:hint="eastAsia" w:ascii="宋体" w:hAnsi="宋体" w:cs="宋体"/>
              </w:rPr>
              <w:t>3</w:t>
            </w:r>
          </w:p>
        </w:tc>
        <w:tc>
          <w:tcPr>
            <w:tcW w:w="2211" w:type="dxa"/>
          </w:tcPr>
          <w:p w14:paraId="427594C7">
            <w:pPr>
              <w:jc w:val="center"/>
              <w:outlineLvl w:val="9"/>
              <w:rPr>
                <w:rFonts w:ascii="宋体" w:hAnsi="宋体" w:cs="宋体"/>
              </w:rPr>
            </w:pPr>
            <w:r>
              <w:rPr>
                <w:rFonts w:hint="eastAsia" w:ascii="宋体" w:hAnsi="宋体" w:cs="宋体"/>
              </w:rPr>
              <w:t>order_id</w:t>
            </w:r>
          </w:p>
        </w:tc>
        <w:tc>
          <w:tcPr>
            <w:tcW w:w="1799" w:type="dxa"/>
          </w:tcPr>
          <w:p w14:paraId="208DF3A2">
            <w:pPr>
              <w:jc w:val="center"/>
              <w:outlineLvl w:val="9"/>
              <w:rPr>
                <w:rFonts w:ascii="宋体" w:hAnsi="宋体" w:cs="宋体"/>
              </w:rPr>
            </w:pPr>
            <w:r>
              <w:rPr>
                <w:rFonts w:hint="eastAsia" w:ascii="宋体" w:hAnsi="宋体" w:cs="宋体"/>
              </w:rPr>
              <w:t>bigint(20)</w:t>
            </w:r>
          </w:p>
        </w:tc>
        <w:tc>
          <w:tcPr>
            <w:tcW w:w="709" w:type="dxa"/>
          </w:tcPr>
          <w:p w14:paraId="4FB756F6">
            <w:pPr>
              <w:jc w:val="center"/>
              <w:outlineLvl w:val="9"/>
              <w:rPr>
                <w:rFonts w:ascii="宋体" w:hAnsi="宋体" w:cs="宋体"/>
              </w:rPr>
            </w:pPr>
            <w:r>
              <w:rPr>
                <w:rFonts w:hint="eastAsia" w:ascii="宋体" w:hAnsi="宋体" w:cs="宋体"/>
              </w:rPr>
              <w:t>否</w:t>
            </w:r>
          </w:p>
        </w:tc>
        <w:tc>
          <w:tcPr>
            <w:tcW w:w="709" w:type="dxa"/>
          </w:tcPr>
          <w:p w14:paraId="4FD5895A">
            <w:pPr>
              <w:jc w:val="center"/>
              <w:outlineLvl w:val="9"/>
              <w:rPr>
                <w:rFonts w:ascii="宋体" w:hAnsi="宋体" w:cs="宋体"/>
              </w:rPr>
            </w:pPr>
            <w:r>
              <w:rPr>
                <w:rFonts w:hint="eastAsia" w:ascii="宋体" w:hAnsi="宋体" w:cs="宋体"/>
              </w:rPr>
              <w:t>否</w:t>
            </w:r>
          </w:p>
        </w:tc>
        <w:tc>
          <w:tcPr>
            <w:tcW w:w="2205" w:type="dxa"/>
          </w:tcPr>
          <w:p w14:paraId="196DCA43">
            <w:pPr>
              <w:jc w:val="center"/>
              <w:outlineLvl w:val="9"/>
              <w:rPr>
                <w:rFonts w:ascii="宋体" w:hAnsi="宋体" w:cs="宋体"/>
              </w:rPr>
            </w:pPr>
            <w:r>
              <w:rPr>
                <w:rFonts w:hint="eastAsia" w:ascii="宋体" w:hAnsi="宋体" w:cs="宋体"/>
              </w:rPr>
              <w:t>订单id</w:t>
            </w:r>
          </w:p>
        </w:tc>
      </w:tr>
      <w:tr w14:paraId="74340571">
        <w:tblPrEx>
          <w:tblCellMar>
            <w:top w:w="0" w:type="dxa"/>
            <w:left w:w="108" w:type="dxa"/>
            <w:bottom w:w="0" w:type="dxa"/>
            <w:right w:w="108" w:type="dxa"/>
          </w:tblCellMar>
        </w:tblPrEx>
        <w:tc>
          <w:tcPr>
            <w:tcW w:w="663" w:type="dxa"/>
          </w:tcPr>
          <w:p w14:paraId="128B70F1">
            <w:pPr>
              <w:jc w:val="center"/>
              <w:outlineLvl w:val="9"/>
              <w:rPr>
                <w:rFonts w:ascii="宋体" w:hAnsi="宋体" w:cs="宋体"/>
              </w:rPr>
            </w:pPr>
            <w:r>
              <w:rPr>
                <w:rFonts w:hint="eastAsia" w:ascii="宋体" w:hAnsi="宋体" w:cs="宋体"/>
              </w:rPr>
              <w:t>4</w:t>
            </w:r>
          </w:p>
        </w:tc>
        <w:tc>
          <w:tcPr>
            <w:tcW w:w="2211" w:type="dxa"/>
          </w:tcPr>
          <w:p w14:paraId="589EB945">
            <w:pPr>
              <w:jc w:val="center"/>
              <w:outlineLvl w:val="9"/>
              <w:rPr>
                <w:rFonts w:ascii="宋体" w:hAnsi="宋体" w:cs="宋体"/>
              </w:rPr>
            </w:pPr>
            <w:r>
              <w:rPr>
                <w:rFonts w:hint="eastAsia" w:ascii="宋体" w:hAnsi="宋体" w:cs="宋体"/>
              </w:rPr>
              <w:t>return_amount</w:t>
            </w:r>
          </w:p>
        </w:tc>
        <w:tc>
          <w:tcPr>
            <w:tcW w:w="1799" w:type="dxa"/>
          </w:tcPr>
          <w:p w14:paraId="3AB5257B">
            <w:pPr>
              <w:jc w:val="center"/>
              <w:outlineLvl w:val="9"/>
              <w:rPr>
                <w:rFonts w:ascii="宋体" w:hAnsi="宋体" w:cs="宋体"/>
              </w:rPr>
            </w:pPr>
            <w:r>
              <w:rPr>
                <w:rFonts w:hint="eastAsia" w:ascii="宋体" w:hAnsi="宋体" w:cs="宋体"/>
              </w:rPr>
              <w:t>decimal(10, 2)</w:t>
            </w:r>
          </w:p>
        </w:tc>
        <w:tc>
          <w:tcPr>
            <w:tcW w:w="709" w:type="dxa"/>
          </w:tcPr>
          <w:p w14:paraId="0C87A547">
            <w:pPr>
              <w:jc w:val="center"/>
              <w:outlineLvl w:val="9"/>
              <w:rPr>
                <w:rFonts w:ascii="宋体" w:hAnsi="宋体" w:cs="宋体"/>
              </w:rPr>
            </w:pPr>
            <w:r>
              <w:rPr>
                <w:rFonts w:hint="eastAsia" w:ascii="宋体" w:hAnsi="宋体" w:cs="宋体"/>
              </w:rPr>
              <w:t>否</w:t>
            </w:r>
          </w:p>
        </w:tc>
        <w:tc>
          <w:tcPr>
            <w:tcW w:w="709" w:type="dxa"/>
          </w:tcPr>
          <w:p w14:paraId="27CCE662">
            <w:pPr>
              <w:jc w:val="center"/>
              <w:outlineLvl w:val="9"/>
              <w:rPr>
                <w:rFonts w:ascii="宋体" w:hAnsi="宋体" w:cs="宋体"/>
              </w:rPr>
            </w:pPr>
            <w:r>
              <w:rPr>
                <w:rFonts w:hint="eastAsia" w:ascii="宋体" w:hAnsi="宋体" w:cs="宋体"/>
              </w:rPr>
              <w:t>否</w:t>
            </w:r>
          </w:p>
        </w:tc>
        <w:tc>
          <w:tcPr>
            <w:tcW w:w="2205" w:type="dxa"/>
          </w:tcPr>
          <w:p w14:paraId="44513C97">
            <w:pPr>
              <w:jc w:val="center"/>
              <w:outlineLvl w:val="9"/>
              <w:rPr>
                <w:rFonts w:ascii="宋体" w:hAnsi="宋体" w:cs="宋体"/>
              </w:rPr>
            </w:pPr>
            <w:r>
              <w:rPr>
                <w:rFonts w:hint="eastAsia" w:ascii="宋体" w:hAnsi="宋体" w:cs="宋体"/>
              </w:rPr>
              <w:t>退款金额</w:t>
            </w:r>
          </w:p>
        </w:tc>
      </w:tr>
      <w:tr w14:paraId="7D604353">
        <w:tblPrEx>
          <w:tblCellMar>
            <w:top w:w="0" w:type="dxa"/>
            <w:left w:w="108" w:type="dxa"/>
            <w:bottom w:w="0" w:type="dxa"/>
            <w:right w:w="108" w:type="dxa"/>
          </w:tblCellMar>
        </w:tblPrEx>
        <w:tc>
          <w:tcPr>
            <w:tcW w:w="663" w:type="dxa"/>
          </w:tcPr>
          <w:p w14:paraId="3157D262">
            <w:pPr>
              <w:jc w:val="center"/>
              <w:outlineLvl w:val="9"/>
              <w:rPr>
                <w:rFonts w:ascii="宋体" w:hAnsi="宋体" w:cs="宋体"/>
              </w:rPr>
            </w:pPr>
            <w:r>
              <w:rPr>
                <w:rFonts w:hint="eastAsia" w:ascii="宋体" w:hAnsi="宋体" w:cs="宋体"/>
              </w:rPr>
              <w:t>5</w:t>
            </w:r>
          </w:p>
        </w:tc>
        <w:tc>
          <w:tcPr>
            <w:tcW w:w="2211" w:type="dxa"/>
          </w:tcPr>
          <w:p w14:paraId="43031090">
            <w:pPr>
              <w:jc w:val="center"/>
              <w:outlineLvl w:val="9"/>
              <w:rPr>
                <w:rFonts w:ascii="宋体" w:hAnsi="宋体" w:cs="宋体"/>
              </w:rPr>
            </w:pPr>
            <w:r>
              <w:rPr>
                <w:rFonts w:hint="eastAsia" w:ascii="宋体" w:hAnsi="宋体" w:cs="宋体"/>
              </w:rPr>
              <w:t>type</w:t>
            </w:r>
          </w:p>
        </w:tc>
        <w:tc>
          <w:tcPr>
            <w:tcW w:w="1799" w:type="dxa"/>
          </w:tcPr>
          <w:p w14:paraId="280B9FC0">
            <w:pPr>
              <w:jc w:val="center"/>
              <w:outlineLvl w:val="9"/>
              <w:rPr>
                <w:rFonts w:ascii="宋体" w:hAnsi="宋体" w:cs="宋体"/>
              </w:rPr>
            </w:pPr>
            <w:r>
              <w:rPr>
                <w:rFonts w:hint="eastAsia" w:ascii="宋体" w:hAnsi="宋体" w:cs="宋体"/>
              </w:rPr>
              <w:t>int(1)</w:t>
            </w:r>
          </w:p>
        </w:tc>
        <w:tc>
          <w:tcPr>
            <w:tcW w:w="709" w:type="dxa"/>
          </w:tcPr>
          <w:p w14:paraId="1A12D5C4">
            <w:pPr>
              <w:jc w:val="center"/>
              <w:outlineLvl w:val="9"/>
              <w:rPr>
                <w:rFonts w:ascii="宋体" w:hAnsi="宋体" w:cs="宋体"/>
              </w:rPr>
            </w:pPr>
            <w:r>
              <w:rPr>
                <w:rFonts w:hint="eastAsia" w:ascii="宋体" w:hAnsi="宋体" w:cs="宋体"/>
              </w:rPr>
              <w:t>否</w:t>
            </w:r>
          </w:p>
        </w:tc>
        <w:tc>
          <w:tcPr>
            <w:tcW w:w="709" w:type="dxa"/>
          </w:tcPr>
          <w:p w14:paraId="2616981B">
            <w:pPr>
              <w:jc w:val="center"/>
              <w:outlineLvl w:val="9"/>
              <w:rPr>
                <w:rFonts w:ascii="宋体" w:hAnsi="宋体" w:cs="宋体"/>
              </w:rPr>
            </w:pPr>
            <w:r>
              <w:rPr>
                <w:rFonts w:hint="eastAsia" w:ascii="宋体" w:hAnsi="宋体" w:cs="宋体"/>
              </w:rPr>
              <w:t>否</w:t>
            </w:r>
          </w:p>
        </w:tc>
        <w:tc>
          <w:tcPr>
            <w:tcW w:w="2205" w:type="dxa"/>
          </w:tcPr>
          <w:p w14:paraId="7F742FEA">
            <w:pPr>
              <w:jc w:val="center"/>
              <w:outlineLvl w:val="9"/>
              <w:rPr>
                <w:rFonts w:ascii="宋体" w:hAnsi="宋体" w:cs="宋体"/>
              </w:rPr>
            </w:pPr>
            <w:r>
              <w:rPr>
                <w:rFonts w:hint="eastAsia" w:ascii="宋体" w:hAnsi="宋体" w:cs="宋体"/>
              </w:rPr>
              <w:t>售后类型：1：退款，2：退货退款</w:t>
            </w:r>
          </w:p>
        </w:tc>
      </w:tr>
      <w:tr w14:paraId="2FC9B17E">
        <w:tblPrEx>
          <w:tblCellMar>
            <w:top w:w="0" w:type="dxa"/>
            <w:left w:w="108" w:type="dxa"/>
            <w:bottom w:w="0" w:type="dxa"/>
            <w:right w:w="108" w:type="dxa"/>
          </w:tblCellMar>
        </w:tblPrEx>
        <w:tc>
          <w:tcPr>
            <w:tcW w:w="663" w:type="dxa"/>
          </w:tcPr>
          <w:p w14:paraId="79099D0D">
            <w:pPr>
              <w:jc w:val="center"/>
              <w:outlineLvl w:val="9"/>
              <w:rPr>
                <w:rFonts w:ascii="宋体" w:hAnsi="宋体" w:cs="宋体"/>
              </w:rPr>
            </w:pPr>
            <w:r>
              <w:rPr>
                <w:rFonts w:hint="eastAsia" w:ascii="宋体" w:hAnsi="宋体" w:cs="宋体"/>
              </w:rPr>
              <w:t>6</w:t>
            </w:r>
          </w:p>
        </w:tc>
        <w:tc>
          <w:tcPr>
            <w:tcW w:w="2211" w:type="dxa"/>
          </w:tcPr>
          <w:p w14:paraId="1E9269B8">
            <w:pPr>
              <w:jc w:val="center"/>
              <w:outlineLvl w:val="9"/>
              <w:rPr>
                <w:rFonts w:ascii="宋体" w:hAnsi="宋体" w:cs="宋体"/>
              </w:rPr>
            </w:pPr>
            <w:r>
              <w:rPr>
                <w:rFonts w:hint="eastAsia" w:ascii="宋体" w:hAnsi="宋体" w:cs="宋体"/>
              </w:rPr>
              <w:t>status</w:t>
            </w:r>
          </w:p>
        </w:tc>
        <w:tc>
          <w:tcPr>
            <w:tcW w:w="1799" w:type="dxa"/>
          </w:tcPr>
          <w:p w14:paraId="356F6535">
            <w:pPr>
              <w:jc w:val="center"/>
              <w:outlineLvl w:val="9"/>
              <w:rPr>
                <w:rFonts w:ascii="宋体" w:hAnsi="宋体" w:cs="宋体"/>
              </w:rPr>
            </w:pPr>
            <w:r>
              <w:rPr>
                <w:rFonts w:hint="eastAsia" w:ascii="宋体" w:hAnsi="宋体" w:cs="宋体"/>
              </w:rPr>
              <w:t>int(1)</w:t>
            </w:r>
          </w:p>
        </w:tc>
        <w:tc>
          <w:tcPr>
            <w:tcW w:w="709" w:type="dxa"/>
          </w:tcPr>
          <w:p w14:paraId="0AF47D4E">
            <w:pPr>
              <w:jc w:val="center"/>
              <w:outlineLvl w:val="9"/>
              <w:rPr>
                <w:rFonts w:ascii="宋体" w:hAnsi="宋体" w:cs="宋体"/>
              </w:rPr>
            </w:pPr>
            <w:r>
              <w:rPr>
                <w:rFonts w:hint="eastAsia" w:ascii="宋体" w:hAnsi="宋体" w:cs="宋体"/>
              </w:rPr>
              <w:t>否</w:t>
            </w:r>
          </w:p>
        </w:tc>
        <w:tc>
          <w:tcPr>
            <w:tcW w:w="709" w:type="dxa"/>
          </w:tcPr>
          <w:p w14:paraId="7B42E5F7">
            <w:pPr>
              <w:jc w:val="center"/>
              <w:outlineLvl w:val="9"/>
              <w:rPr>
                <w:rFonts w:ascii="宋体" w:hAnsi="宋体" w:cs="宋体"/>
              </w:rPr>
            </w:pPr>
            <w:r>
              <w:rPr>
                <w:rFonts w:hint="eastAsia" w:ascii="宋体" w:hAnsi="宋体" w:cs="宋体"/>
              </w:rPr>
              <w:t>否</w:t>
            </w:r>
          </w:p>
        </w:tc>
        <w:tc>
          <w:tcPr>
            <w:tcW w:w="2205" w:type="dxa"/>
          </w:tcPr>
          <w:p w14:paraId="5A03AA62">
            <w:pPr>
              <w:jc w:val="center"/>
              <w:outlineLvl w:val="9"/>
              <w:rPr>
                <w:rFonts w:ascii="宋体" w:hAnsi="宋体" w:cs="宋体"/>
              </w:rPr>
            </w:pPr>
            <w:r>
              <w:rPr>
                <w:rFonts w:hint="eastAsia" w:ascii="宋体" w:hAnsi="宋体" w:cs="宋体"/>
              </w:rPr>
              <w:t>申请状态：0-待处理；1-退货中；2-已完成；3-已拒绝</w:t>
            </w:r>
          </w:p>
        </w:tc>
      </w:tr>
      <w:tr w14:paraId="42904E42">
        <w:tblPrEx>
          <w:tblCellMar>
            <w:top w:w="0" w:type="dxa"/>
            <w:left w:w="108" w:type="dxa"/>
            <w:bottom w:w="0" w:type="dxa"/>
            <w:right w:w="108" w:type="dxa"/>
          </w:tblCellMar>
        </w:tblPrEx>
        <w:tc>
          <w:tcPr>
            <w:tcW w:w="663" w:type="dxa"/>
          </w:tcPr>
          <w:p w14:paraId="11C0B335">
            <w:pPr>
              <w:jc w:val="center"/>
              <w:outlineLvl w:val="9"/>
              <w:rPr>
                <w:rFonts w:ascii="宋体" w:hAnsi="宋体" w:cs="宋体"/>
              </w:rPr>
            </w:pPr>
            <w:r>
              <w:rPr>
                <w:rFonts w:hint="eastAsia" w:ascii="宋体" w:hAnsi="宋体" w:cs="宋体"/>
              </w:rPr>
              <w:t>7</w:t>
            </w:r>
          </w:p>
        </w:tc>
        <w:tc>
          <w:tcPr>
            <w:tcW w:w="2211" w:type="dxa"/>
          </w:tcPr>
          <w:p w14:paraId="2970EA1E">
            <w:pPr>
              <w:jc w:val="center"/>
              <w:outlineLvl w:val="9"/>
              <w:rPr>
                <w:rFonts w:ascii="宋体" w:hAnsi="宋体" w:cs="宋体"/>
              </w:rPr>
            </w:pPr>
            <w:r>
              <w:rPr>
                <w:rFonts w:hint="eastAsia" w:ascii="宋体" w:hAnsi="宋体" w:cs="宋体"/>
              </w:rPr>
              <w:t>handle_time</w:t>
            </w:r>
          </w:p>
        </w:tc>
        <w:tc>
          <w:tcPr>
            <w:tcW w:w="1799" w:type="dxa"/>
          </w:tcPr>
          <w:p w14:paraId="68C9B495">
            <w:pPr>
              <w:jc w:val="center"/>
              <w:outlineLvl w:val="9"/>
              <w:rPr>
                <w:rFonts w:ascii="宋体" w:hAnsi="宋体" w:cs="宋体"/>
              </w:rPr>
            </w:pPr>
            <w:r>
              <w:rPr>
                <w:rFonts w:hint="eastAsia" w:ascii="宋体" w:hAnsi="宋体" w:cs="宋体"/>
              </w:rPr>
              <w:t>datetime(0)</w:t>
            </w:r>
          </w:p>
        </w:tc>
        <w:tc>
          <w:tcPr>
            <w:tcW w:w="709" w:type="dxa"/>
          </w:tcPr>
          <w:p w14:paraId="75A2C5D0">
            <w:pPr>
              <w:jc w:val="center"/>
              <w:outlineLvl w:val="9"/>
              <w:rPr>
                <w:rFonts w:ascii="宋体" w:hAnsi="宋体" w:cs="宋体"/>
              </w:rPr>
            </w:pPr>
            <w:r>
              <w:rPr>
                <w:rFonts w:hint="eastAsia" w:ascii="宋体" w:hAnsi="宋体" w:cs="宋体"/>
              </w:rPr>
              <w:t>否</w:t>
            </w:r>
          </w:p>
        </w:tc>
        <w:tc>
          <w:tcPr>
            <w:tcW w:w="709" w:type="dxa"/>
          </w:tcPr>
          <w:p w14:paraId="41CD680A">
            <w:pPr>
              <w:jc w:val="center"/>
              <w:outlineLvl w:val="9"/>
              <w:rPr>
                <w:rFonts w:ascii="宋体" w:hAnsi="宋体" w:cs="宋体"/>
              </w:rPr>
            </w:pPr>
            <w:r>
              <w:rPr>
                <w:rFonts w:hint="eastAsia" w:ascii="宋体" w:hAnsi="宋体" w:cs="宋体"/>
              </w:rPr>
              <w:t>否</w:t>
            </w:r>
          </w:p>
        </w:tc>
        <w:tc>
          <w:tcPr>
            <w:tcW w:w="2205" w:type="dxa"/>
          </w:tcPr>
          <w:p w14:paraId="1814303E">
            <w:pPr>
              <w:jc w:val="center"/>
              <w:outlineLvl w:val="9"/>
              <w:rPr>
                <w:rFonts w:ascii="宋体" w:hAnsi="宋体" w:cs="宋体"/>
              </w:rPr>
            </w:pPr>
            <w:r>
              <w:rPr>
                <w:rFonts w:hint="eastAsia" w:ascii="宋体" w:hAnsi="宋体" w:cs="宋体"/>
              </w:rPr>
              <w:t>处理时间</w:t>
            </w:r>
          </w:p>
        </w:tc>
      </w:tr>
      <w:tr w14:paraId="70C4BC02">
        <w:tblPrEx>
          <w:tblCellMar>
            <w:top w:w="0" w:type="dxa"/>
            <w:left w:w="108" w:type="dxa"/>
            <w:bottom w:w="0" w:type="dxa"/>
            <w:right w:w="108" w:type="dxa"/>
          </w:tblCellMar>
        </w:tblPrEx>
        <w:tc>
          <w:tcPr>
            <w:tcW w:w="663" w:type="dxa"/>
          </w:tcPr>
          <w:p w14:paraId="2AFC1F70">
            <w:pPr>
              <w:jc w:val="center"/>
              <w:outlineLvl w:val="9"/>
              <w:rPr>
                <w:rFonts w:ascii="宋体" w:hAnsi="宋体" w:cs="宋体"/>
              </w:rPr>
            </w:pPr>
            <w:r>
              <w:rPr>
                <w:rFonts w:hint="eastAsia" w:ascii="宋体" w:hAnsi="宋体" w:cs="宋体"/>
              </w:rPr>
              <w:t>8</w:t>
            </w:r>
          </w:p>
        </w:tc>
        <w:tc>
          <w:tcPr>
            <w:tcW w:w="2211" w:type="dxa"/>
          </w:tcPr>
          <w:p w14:paraId="25B9B949">
            <w:pPr>
              <w:jc w:val="center"/>
              <w:outlineLvl w:val="9"/>
              <w:rPr>
                <w:rFonts w:ascii="宋体" w:hAnsi="宋体" w:cs="宋体"/>
              </w:rPr>
            </w:pPr>
            <w:r>
              <w:rPr>
                <w:rFonts w:hint="eastAsia" w:ascii="宋体" w:hAnsi="宋体" w:cs="宋体"/>
              </w:rPr>
              <w:t>quantity</w:t>
            </w:r>
          </w:p>
        </w:tc>
        <w:tc>
          <w:tcPr>
            <w:tcW w:w="1799" w:type="dxa"/>
          </w:tcPr>
          <w:p w14:paraId="10FF5E04">
            <w:pPr>
              <w:jc w:val="center"/>
              <w:outlineLvl w:val="9"/>
              <w:rPr>
                <w:rFonts w:ascii="宋体" w:hAnsi="宋体" w:cs="宋体"/>
              </w:rPr>
            </w:pPr>
            <w:r>
              <w:rPr>
                <w:rFonts w:hint="eastAsia" w:ascii="宋体" w:hAnsi="宋体" w:cs="宋体"/>
              </w:rPr>
              <w:t>int(11)</w:t>
            </w:r>
          </w:p>
        </w:tc>
        <w:tc>
          <w:tcPr>
            <w:tcW w:w="709" w:type="dxa"/>
          </w:tcPr>
          <w:p w14:paraId="2599C646">
            <w:pPr>
              <w:jc w:val="center"/>
              <w:outlineLvl w:val="9"/>
              <w:rPr>
                <w:rFonts w:ascii="宋体" w:hAnsi="宋体" w:cs="宋体"/>
              </w:rPr>
            </w:pPr>
            <w:r>
              <w:rPr>
                <w:rFonts w:hint="eastAsia" w:ascii="宋体" w:hAnsi="宋体" w:cs="宋体"/>
              </w:rPr>
              <w:t>否</w:t>
            </w:r>
          </w:p>
        </w:tc>
        <w:tc>
          <w:tcPr>
            <w:tcW w:w="709" w:type="dxa"/>
          </w:tcPr>
          <w:p w14:paraId="40DACAAB">
            <w:pPr>
              <w:jc w:val="center"/>
              <w:outlineLvl w:val="9"/>
              <w:rPr>
                <w:rFonts w:ascii="宋体" w:hAnsi="宋体" w:cs="宋体"/>
              </w:rPr>
            </w:pPr>
            <w:r>
              <w:rPr>
                <w:rFonts w:hint="eastAsia" w:ascii="宋体" w:hAnsi="宋体" w:cs="宋体"/>
              </w:rPr>
              <w:t>否</w:t>
            </w:r>
          </w:p>
        </w:tc>
        <w:tc>
          <w:tcPr>
            <w:tcW w:w="2205" w:type="dxa"/>
          </w:tcPr>
          <w:p w14:paraId="2118243E">
            <w:pPr>
              <w:jc w:val="center"/>
              <w:outlineLvl w:val="9"/>
              <w:rPr>
                <w:rFonts w:ascii="宋体" w:hAnsi="宋体" w:cs="宋体"/>
              </w:rPr>
            </w:pPr>
            <w:r>
              <w:rPr>
                <w:rFonts w:hint="eastAsia" w:ascii="宋体" w:hAnsi="宋体" w:cs="宋体"/>
              </w:rPr>
              <w:t>退货数量</w:t>
            </w:r>
          </w:p>
        </w:tc>
      </w:tr>
      <w:tr w14:paraId="1FACC1E4">
        <w:tblPrEx>
          <w:tblCellMar>
            <w:top w:w="0" w:type="dxa"/>
            <w:left w:w="108" w:type="dxa"/>
            <w:bottom w:w="0" w:type="dxa"/>
            <w:right w:w="108" w:type="dxa"/>
          </w:tblCellMar>
        </w:tblPrEx>
        <w:tc>
          <w:tcPr>
            <w:tcW w:w="663" w:type="dxa"/>
          </w:tcPr>
          <w:p w14:paraId="285B55D2">
            <w:pPr>
              <w:jc w:val="center"/>
              <w:outlineLvl w:val="9"/>
              <w:rPr>
                <w:rFonts w:ascii="宋体" w:hAnsi="宋体" w:cs="宋体"/>
              </w:rPr>
            </w:pPr>
            <w:r>
              <w:rPr>
                <w:rFonts w:hint="eastAsia" w:ascii="宋体" w:hAnsi="宋体" w:cs="宋体"/>
              </w:rPr>
              <w:t>9</w:t>
            </w:r>
          </w:p>
        </w:tc>
        <w:tc>
          <w:tcPr>
            <w:tcW w:w="2211" w:type="dxa"/>
          </w:tcPr>
          <w:p w14:paraId="0ADB9103">
            <w:pPr>
              <w:jc w:val="center"/>
              <w:outlineLvl w:val="9"/>
              <w:rPr>
                <w:rFonts w:ascii="宋体" w:hAnsi="宋体" w:cs="宋体"/>
              </w:rPr>
            </w:pPr>
            <w:r>
              <w:rPr>
                <w:rFonts w:hint="eastAsia" w:ascii="宋体" w:hAnsi="宋体" w:cs="宋体"/>
              </w:rPr>
              <w:t>reason</w:t>
            </w:r>
          </w:p>
        </w:tc>
        <w:tc>
          <w:tcPr>
            <w:tcW w:w="1799" w:type="dxa"/>
          </w:tcPr>
          <w:p w14:paraId="497B9422">
            <w:pPr>
              <w:jc w:val="center"/>
              <w:outlineLvl w:val="9"/>
              <w:rPr>
                <w:rFonts w:ascii="宋体" w:hAnsi="宋体" w:cs="宋体"/>
              </w:rPr>
            </w:pPr>
            <w:r>
              <w:rPr>
                <w:rFonts w:hint="eastAsia" w:ascii="宋体" w:hAnsi="宋体" w:cs="宋体"/>
              </w:rPr>
              <w:t>varchar(200)</w:t>
            </w:r>
          </w:p>
        </w:tc>
        <w:tc>
          <w:tcPr>
            <w:tcW w:w="709" w:type="dxa"/>
          </w:tcPr>
          <w:p w14:paraId="55C5FD63">
            <w:pPr>
              <w:jc w:val="center"/>
              <w:outlineLvl w:val="9"/>
              <w:rPr>
                <w:rFonts w:ascii="宋体" w:hAnsi="宋体" w:cs="宋体"/>
              </w:rPr>
            </w:pPr>
            <w:r>
              <w:rPr>
                <w:rFonts w:hint="eastAsia" w:ascii="宋体" w:hAnsi="宋体" w:cs="宋体"/>
              </w:rPr>
              <w:t>否</w:t>
            </w:r>
          </w:p>
        </w:tc>
        <w:tc>
          <w:tcPr>
            <w:tcW w:w="709" w:type="dxa"/>
          </w:tcPr>
          <w:p w14:paraId="2A828FE2">
            <w:pPr>
              <w:jc w:val="center"/>
              <w:outlineLvl w:val="9"/>
              <w:rPr>
                <w:rFonts w:ascii="宋体" w:hAnsi="宋体" w:cs="宋体"/>
              </w:rPr>
            </w:pPr>
            <w:r>
              <w:rPr>
                <w:rFonts w:hint="eastAsia" w:ascii="宋体" w:hAnsi="宋体" w:cs="宋体"/>
              </w:rPr>
              <w:t>否</w:t>
            </w:r>
          </w:p>
        </w:tc>
        <w:tc>
          <w:tcPr>
            <w:tcW w:w="2205" w:type="dxa"/>
          </w:tcPr>
          <w:p w14:paraId="24034F12">
            <w:pPr>
              <w:jc w:val="center"/>
              <w:outlineLvl w:val="9"/>
              <w:rPr>
                <w:rFonts w:ascii="宋体" w:hAnsi="宋体" w:cs="宋体"/>
              </w:rPr>
            </w:pPr>
            <w:r>
              <w:rPr>
                <w:rFonts w:hint="eastAsia" w:ascii="宋体" w:hAnsi="宋体" w:cs="宋体"/>
              </w:rPr>
              <w:t>原因</w:t>
            </w:r>
          </w:p>
        </w:tc>
      </w:tr>
      <w:tr w14:paraId="33601E08">
        <w:tblPrEx>
          <w:tblCellMar>
            <w:top w:w="0" w:type="dxa"/>
            <w:left w:w="108" w:type="dxa"/>
            <w:bottom w:w="0" w:type="dxa"/>
            <w:right w:w="108" w:type="dxa"/>
          </w:tblCellMar>
        </w:tblPrEx>
        <w:tc>
          <w:tcPr>
            <w:tcW w:w="663" w:type="dxa"/>
          </w:tcPr>
          <w:p w14:paraId="0F515AE1">
            <w:pPr>
              <w:jc w:val="center"/>
              <w:outlineLvl w:val="9"/>
              <w:rPr>
                <w:rFonts w:ascii="宋体" w:hAnsi="宋体" w:cs="宋体"/>
              </w:rPr>
            </w:pPr>
            <w:r>
              <w:rPr>
                <w:rFonts w:hint="eastAsia" w:ascii="宋体" w:hAnsi="宋体" w:cs="宋体"/>
              </w:rPr>
              <w:t>10</w:t>
            </w:r>
          </w:p>
        </w:tc>
        <w:tc>
          <w:tcPr>
            <w:tcW w:w="2211" w:type="dxa"/>
          </w:tcPr>
          <w:p w14:paraId="369A2B6B">
            <w:pPr>
              <w:jc w:val="center"/>
              <w:outlineLvl w:val="9"/>
              <w:rPr>
                <w:rFonts w:ascii="宋体" w:hAnsi="宋体" w:cs="宋体"/>
              </w:rPr>
            </w:pPr>
            <w:r>
              <w:rPr>
                <w:rFonts w:hint="eastAsia" w:ascii="宋体" w:hAnsi="宋体" w:cs="宋体"/>
              </w:rPr>
              <w:t>description</w:t>
            </w:r>
          </w:p>
        </w:tc>
        <w:tc>
          <w:tcPr>
            <w:tcW w:w="1799" w:type="dxa"/>
          </w:tcPr>
          <w:p w14:paraId="36905D89">
            <w:pPr>
              <w:jc w:val="center"/>
              <w:outlineLvl w:val="9"/>
              <w:rPr>
                <w:rFonts w:ascii="宋体" w:hAnsi="宋体" w:cs="宋体"/>
              </w:rPr>
            </w:pPr>
            <w:r>
              <w:rPr>
                <w:rFonts w:hint="eastAsia" w:ascii="宋体" w:hAnsi="宋体" w:cs="宋体"/>
              </w:rPr>
              <w:t>varchar(500)</w:t>
            </w:r>
          </w:p>
        </w:tc>
        <w:tc>
          <w:tcPr>
            <w:tcW w:w="709" w:type="dxa"/>
          </w:tcPr>
          <w:p w14:paraId="1F99BAAE">
            <w:pPr>
              <w:jc w:val="center"/>
              <w:outlineLvl w:val="9"/>
              <w:rPr>
                <w:rFonts w:ascii="宋体" w:hAnsi="宋体" w:cs="宋体"/>
              </w:rPr>
            </w:pPr>
            <w:r>
              <w:rPr>
                <w:rFonts w:hint="eastAsia" w:ascii="宋体" w:hAnsi="宋体" w:cs="宋体"/>
              </w:rPr>
              <w:t>否</w:t>
            </w:r>
          </w:p>
        </w:tc>
        <w:tc>
          <w:tcPr>
            <w:tcW w:w="709" w:type="dxa"/>
          </w:tcPr>
          <w:p w14:paraId="7BBA7C9C">
            <w:pPr>
              <w:jc w:val="center"/>
              <w:outlineLvl w:val="9"/>
              <w:rPr>
                <w:rFonts w:ascii="宋体" w:hAnsi="宋体" w:cs="宋体"/>
              </w:rPr>
            </w:pPr>
            <w:r>
              <w:rPr>
                <w:rFonts w:hint="eastAsia" w:ascii="宋体" w:hAnsi="宋体" w:cs="宋体"/>
              </w:rPr>
              <w:t>否</w:t>
            </w:r>
          </w:p>
        </w:tc>
        <w:tc>
          <w:tcPr>
            <w:tcW w:w="2205" w:type="dxa"/>
          </w:tcPr>
          <w:p w14:paraId="18F04F52">
            <w:pPr>
              <w:jc w:val="center"/>
              <w:outlineLvl w:val="9"/>
              <w:rPr>
                <w:rFonts w:ascii="宋体" w:hAnsi="宋体" w:cs="宋体"/>
              </w:rPr>
            </w:pPr>
            <w:r>
              <w:rPr>
                <w:rFonts w:hint="eastAsia" w:ascii="宋体" w:hAnsi="宋体" w:cs="宋体"/>
              </w:rPr>
              <w:t>描述</w:t>
            </w:r>
          </w:p>
        </w:tc>
      </w:tr>
      <w:tr w14:paraId="6DE699FF">
        <w:tblPrEx>
          <w:tblCellMar>
            <w:top w:w="0" w:type="dxa"/>
            <w:left w:w="108" w:type="dxa"/>
            <w:bottom w:w="0" w:type="dxa"/>
            <w:right w:w="108" w:type="dxa"/>
          </w:tblCellMar>
        </w:tblPrEx>
        <w:tc>
          <w:tcPr>
            <w:tcW w:w="663" w:type="dxa"/>
          </w:tcPr>
          <w:p w14:paraId="6F9AA79B">
            <w:pPr>
              <w:jc w:val="center"/>
              <w:outlineLvl w:val="9"/>
              <w:rPr>
                <w:rFonts w:ascii="宋体" w:hAnsi="宋体" w:cs="宋体"/>
              </w:rPr>
            </w:pPr>
            <w:r>
              <w:rPr>
                <w:rFonts w:hint="eastAsia" w:ascii="宋体" w:hAnsi="宋体" w:cs="宋体"/>
              </w:rPr>
              <w:t>11</w:t>
            </w:r>
          </w:p>
        </w:tc>
        <w:tc>
          <w:tcPr>
            <w:tcW w:w="2211" w:type="dxa"/>
          </w:tcPr>
          <w:p w14:paraId="3BCB1C4E">
            <w:pPr>
              <w:jc w:val="center"/>
              <w:outlineLvl w:val="9"/>
              <w:rPr>
                <w:rFonts w:ascii="宋体" w:hAnsi="宋体" w:cs="宋体"/>
              </w:rPr>
            </w:pPr>
            <w:r>
              <w:rPr>
                <w:rFonts w:hint="eastAsia" w:ascii="宋体" w:hAnsi="宋体" w:cs="宋体"/>
              </w:rPr>
              <w:t>proof_pics</w:t>
            </w:r>
          </w:p>
        </w:tc>
        <w:tc>
          <w:tcPr>
            <w:tcW w:w="1799" w:type="dxa"/>
          </w:tcPr>
          <w:p w14:paraId="2420BF3C">
            <w:pPr>
              <w:jc w:val="center"/>
              <w:outlineLvl w:val="9"/>
              <w:rPr>
                <w:rFonts w:ascii="宋体" w:hAnsi="宋体" w:cs="宋体"/>
              </w:rPr>
            </w:pPr>
            <w:r>
              <w:rPr>
                <w:rFonts w:hint="eastAsia" w:ascii="宋体" w:hAnsi="宋体" w:cs="宋体"/>
              </w:rPr>
              <w:t>varchar(1000)</w:t>
            </w:r>
          </w:p>
        </w:tc>
        <w:tc>
          <w:tcPr>
            <w:tcW w:w="709" w:type="dxa"/>
          </w:tcPr>
          <w:p w14:paraId="1087D00F">
            <w:pPr>
              <w:jc w:val="center"/>
              <w:outlineLvl w:val="9"/>
              <w:rPr>
                <w:rFonts w:ascii="宋体" w:hAnsi="宋体" w:cs="宋体"/>
              </w:rPr>
            </w:pPr>
            <w:r>
              <w:rPr>
                <w:rFonts w:hint="eastAsia" w:ascii="宋体" w:hAnsi="宋体" w:cs="宋体"/>
              </w:rPr>
              <w:t>否</w:t>
            </w:r>
          </w:p>
        </w:tc>
        <w:tc>
          <w:tcPr>
            <w:tcW w:w="709" w:type="dxa"/>
          </w:tcPr>
          <w:p w14:paraId="2B72486E">
            <w:pPr>
              <w:jc w:val="center"/>
              <w:outlineLvl w:val="9"/>
              <w:rPr>
                <w:rFonts w:ascii="宋体" w:hAnsi="宋体" w:cs="宋体"/>
              </w:rPr>
            </w:pPr>
            <w:r>
              <w:rPr>
                <w:rFonts w:hint="eastAsia" w:ascii="宋体" w:hAnsi="宋体" w:cs="宋体"/>
              </w:rPr>
              <w:t>否</w:t>
            </w:r>
          </w:p>
        </w:tc>
        <w:tc>
          <w:tcPr>
            <w:tcW w:w="2205" w:type="dxa"/>
          </w:tcPr>
          <w:p w14:paraId="3EC9D16E">
            <w:pPr>
              <w:jc w:val="center"/>
              <w:outlineLvl w:val="9"/>
              <w:rPr>
                <w:rFonts w:ascii="宋体" w:hAnsi="宋体" w:cs="宋体"/>
              </w:rPr>
            </w:pPr>
            <w:r>
              <w:rPr>
                <w:rFonts w:hint="eastAsia" w:ascii="宋体" w:hAnsi="宋体" w:cs="宋体"/>
              </w:rPr>
              <w:t>凭证图片</w:t>
            </w:r>
          </w:p>
        </w:tc>
      </w:tr>
      <w:tr w14:paraId="138C72CA">
        <w:tblPrEx>
          <w:tblCellMar>
            <w:top w:w="0" w:type="dxa"/>
            <w:left w:w="108" w:type="dxa"/>
            <w:bottom w:w="0" w:type="dxa"/>
            <w:right w:w="108" w:type="dxa"/>
          </w:tblCellMar>
        </w:tblPrEx>
        <w:tc>
          <w:tcPr>
            <w:tcW w:w="663" w:type="dxa"/>
          </w:tcPr>
          <w:p w14:paraId="02F448F5">
            <w:pPr>
              <w:jc w:val="center"/>
              <w:outlineLvl w:val="9"/>
              <w:rPr>
                <w:rFonts w:ascii="宋体" w:hAnsi="宋体" w:cs="宋体"/>
              </w:rPr>
            </w:pPr>
            <w:r>
              <w:rPr>
                <w:rFonts w:hint="eastAsia" w:ascii="宋体" w:hAnsi="宋体" w:cs="宋体"/>
              </w:rPr>
              <w:t>12</w:t>
            </w:r>
          </w:p>
        </w:tc>
        <w:tc>
          <w:tcPr>
            <w:tcW w:w="2211" w:type="dxa"/>
          </w:tcPr>
          <w:p w14:paraId="55250F2A">
            <w:pPr>
              <w:jc w:val="center"/>
              <w:outlineLvl w:val="9"/>
              <w:rPr>
                <w:rFonts w:ascii="宋体" w:hAnsi="宋体" w:cs="宋体"/>
              </w:rPr>
            </w:pPr>
            <w:r>
              <w:rPr>
                <w:rFonts w:hint="eastAsia" w:ascii="宋体" w:hAnsi="宋体" w:cs="宋体"/>
              </w:rPr>
              <w:t>handle_note</w:t>
            </w:r>
          </w:p>
        </w:tc>
        <w:tc>
          <w:tcPr>
            <w:tcW w:w="1799" w:type="dxa"/>
          </w:tcPr>
          <w:p w14:paraId="219D9089">
            <w:pPr>
              <w:jc w:val="center"/>
              <w:outlineLvl w:val="9"/>
              <w:rPr>
                <w:rFonts w:ascii="宋体" w:hAnsi="宋体" w:cs="宋体"/>
              </w:rPr>
            </w:pPr>
            <w:r>
              <w:rPr>
                <w:rFonts w:hint="eastAsia" w:ascii="宋体" w:hAnsi="宋体" w:cs="宋体"/>
              </w:rPr>
              <w:t>varchar(500)</w:t>
            </w:r>
          </w:p>
        </w:tc>
        <w:tc>
          <w:tcPr>
            <w:tcW w:w="709" w:type="dxa"/>
          </w:tcPr>
          <w:p w14:paraId="5567EDB9">
            <w:pPr>
              <w:jc w:val="center"/>
              <w:outlineLvl w:val="9"/>
              <w:rPr>
                <w:rFonts w:ascii="宋体" w:hAnsi="宋体" w:cs="宋体"/>
              </w:rPr>
            </w:pPr>
            <w:r>
              <w:rPr>
                <w:rFonts w:hint="eastAsia" w:ascii="宋体" w:hAnsi="宋体" w:cs="宋体"/>
              </w:rPr>
              <w:t>否</w:t>
            </w:r>
          </w:p>
        </w:tc>
        <w:tc>
          <w:tcPr>
            <w:tcW w:w="709" w:type="dxa"/>
          </w:tcPr>
          <w:p w14:paraId="57BAA969">
            <w:pPr>
              <w:jc w:val="center"/>
              <w:outlineLvl w:val="9"/>
              <w:rPr>
                <w:rFonts w:ascii="宋体" w:hAnsi="宋体" w:cs="宋体"/>
              </w:rPr>
            </w:pPr>
            <w:r>
              <w:rPr>
                <w:rFonts w:hint="eastAsia" w:ascii="宋体" w:hAnsi="宋体" w:cs="宋体"/>
              </w:rPr>
              <w:t>否</w:t>
            </w:r>
          </w:p>
        </w:tc>
        <w:tc>
          <w:tcPr>
            <w:tcW w:w="2205" w:type="dxa"/>
          </w:tcPr>
          <w:p w14:paraId="13102957">
            <w:pPr>
              <w:jc w:val="center"/>
              <w:outlineLvl w:val="9"/>
              <w:rPr>
                <w:rFonts w:ascii="宋体" w:hAnsi="宋体" w:cs="宋体"/>
              </w:rPr>
            </w:pPr>
            <w:r>
              <w:rPr>
                <w:rFonts w:hint="eastAsia" w:ascii="宋体" w:hAnsi="宋体" w:cs="宋体"/>
              </w:rPr>
              <w:t>处理备注</w:t>
            </w:r>
          </w:p>
        </w:tc>
      </w:tr>
      <w:tr w14:paraId="150BB67D">
        <w:tblPrEx>
          <w:tblCellMar>
            <w:top w:w="0" w:type="dxa"/>
            <w:left w:w="108" w:type="dxa"/>
            <w:bottom w:w="0" w:type="dxa"/>
            <w:right w:w="108" w:type="dxa"/>
          </w:tblCellMar>
        </w:tblPrEx>
        <w:tc>
          <w:tcPr>
            <w:tcW w:w="663" w:type="dxa"/>
          </w:tcPr>
          <w:p w14:paraId="43631836">
            <w:pPr>
              <w:jc w:val="center"/>
              <w:outlineLvl w:val="9"/>
              <w:rPr>
                <w:rFonts w:ascii="宋体" w:hAnsi="宋体" w:cs="宋体"/>
              </w:rPr>
            </w:pPr>
            <w:r>
              <w:rPr>
                <w:rFonts w:hint="eastAsia" w:ascii="宋体" w:hAnsi="宋体" w:cs="宋体"/>
              </w:rPr>
              <w:t>13</w:t>
            </w:r>
          </w:p>
        </w:tc>
        <w:tc>
          <w:tcPr>
            <w:tcW w:w="2211" w:type="dxa"/>
          </w:tcPr>
          <w:p w14:paraId="17D104DC">
            <w:pPr>
              <w:jc w:val="center"/>
              <w:outlineLvl w:val="9"/>
              <w:rPr>
                <w:rFonts w:ascii="宋体" w:hAnsi="宋体" w:cs="宋体"/>
              </w:rPr>
            </w:pPr>
            <w:r>
              <w:rPr>
                <w:rFonts w:hint="eastAsia" w:ascii="宋体" w:hAnsi="宋体" w:cs="宋体"/>
              </w:rPr>
              <w:t>handle_man</w:t>
            </w:r>
          </w:p>
        </w:tc>
        <w:tc>
          <w:tcPr>
            <w:tcW w:w="1799" w:type="dxa"/>
          </w:tcPr>
          <w:p w14:paraId="1C121C85">
            <w:pPr>
              <w:jc w:val="center"/>
              <w:outlineLvl w:val="9"/>
              <w:rPr>
                <w:rFonts w:ascii="宋体" w:hAnsi="宋体" w:cs="宋体"/>
              </w:rPr>
            </w:pPr>
            <w:r>
              <w:rPr>
                <w:rFonts w:hint="eastAsia" w:ascii="宋体" w:hAnsi="宋体" w:cs="宋体"/>
              </w:rPr>
              <w:t>varchar(100)</w:t>
            </w:r>
          </w:p>
        </w:tc>
        <w:tc>
          <w:tcPr>
            <w:tcW w:w="709" w:type="dxa"/>
          </w:tcPr>
          <w:p w14:paraId="67DF673F">
            <w:pPr>
              <w:jc w:val="center"/>
              <w:outlineLvl w:val="9"/>
              <w:rPr>
                <w:rFonts w:ascii="宋体" w:hAnsi="宋体" w:cs="宋体"/>
              </w:rPr>
            </w:pPr>
            <w:r>
              <w:rPr>
                <w:rFonts w:hint="eastAsia" w:ascii="宋体" w:hAnsi="宋体" w:cs="宋体"/>
              </w:rPr>
              <w:t>否</w:t>
            </w:r>
          </w:p>
        </w:tc>
        <w:tc>
          <w:tcPr>
            <w:tcW w:w="709" w:type="dxa"/>
          </w:tcPr>
          <w:p w14:paraId="5ECEA31C">
            <w:pPr>
              <w:jc w:val="center"/>
              <w:outlineLvl w:val="9"/>
              <w:rPr>
                <w:rFonts w:ascii="宋体" w:hAnsi="宋体" w:cs="宋体"/>
              </w:rPr>
            </w:pPr>
            <w:r>
              <w:rPr>
                <w:rFonts w:hint="eastAsia" w:ascii="宋体" w:hAnsi="宋体" w:cs="宋体"/>
              </w:rPr>
              <w:t>否</w:t>
            </w:r>
          </w:p>
        </w:tc>
        <w:tc>
          <w:tcPr>
            <w:tcW w:w="2205" w:type="dxa"/>
          </w:tcPr>
          <w:p w14:paraId="3783A6C5">
            <w:pPr>
              <w:jc w:val="center"/>
              <w:outlineLvl w:val="9"/>
              <w:rPr>
                <w:rFonts w:ascii="宋体" w:hAnsi="宋体" w:cs="宋体"/>
              </w:rPr>
            </w:pPr>
            <w:r>
              <w:rPr>
                <w:rFonts w:hint="eastAsia" w:ascii="宋体" w:hAnsi="宋体" w:cs="宋体"/>
              </w:rPr>
              <w:t>处理人员</w:t>
            </w:r>
          </w:p>
        </w:tc>
      </w:tr>
      <w:tr w14:paraId="31CB5373">
        <w:tblPrEx>
          <w:tblCellMar>
            <w:top w:w="0" w:type="dxa"/>
            <w:left w:w="108" w:type="dxa"/>
            <w:bottom w:w="0" w:type="dxa"/>
            <w:right w:w="108" w:type="dxa"/>
          </w:tblCellMar>
        </w:tblPrEx>
        <w:tc>
          <w:tcPr>
            <w:tcW w:w="663" w:type="dxa"/>
          </w:tcPr>
          <w:p w14:paraId="4E19FBFA">
            <w:pPr>
              <w:jc w:val="center"/>
              <w:outlineLvl w:val="9"/>
              <w:rPr>
                <w:rFonts w:ascii="宋体" w:hAnsi="宋体" w:cs="宋体"/>
              </w:rPr>
            </w:pPr>
            <w:r>
              <w:rPr>
                <w:rFonts w:hint="eastAsia" w:ascii="宋体" w:hAnsi="宋体" w:cs="宋体"/>
              </w:rPr>
              <w:t>14</w:t>
            </w:r>
          </w:p>
        </w:tc>
        <w:tc>
          <w:tcPr>
            <w:tcW w:w="2211" w:type="dxa"/>
          </w:tcPr>
          <w:p w14:paraId="1A6A270B">
            <w:pPr>
              <w:jc w:val="center"/>
              <w:outlineLvl w:val="9"/>
              <w:rPr>
                <w:rFonts w:ascii="宋体" w:hAnsi="宋体" w:cs="宋体"/>
              </w:rPr>
            </w:pPr>
            <w:r>
              <w:rPr>
                <w:rFonts w:hint="eastAsia" w:ascii="宋体" w:hAnsi="宋体" w:cs="宋体"/>
              </w:rPr>
              <w:t>create_by</w:t>
            </w:r>
          </w:p>
        </w:tc>
        <w:tc>
          <w:tcPr>
            <w:tcW w:w="1799" w:type="dxa"/>
          </w:tcPr>
          <w:p w14:paraId="449CB0D2">
            <w:pPr>
              <w:jc w:val="center"/>
              <w:outlineLvl w:val="9"/>
              <w:rPr>
                <w:rFonts w:ascii="宋体" w:hAnsi="宋体" w:cs="宋体"/>
              </w:rPr>
            </w:pPr>
            <w:r>
              <w:rPr>
                <w:rFonts w:hint="eastAsia" w:ascii="宋体" w:hAnsi="宋体" w:cs="宋体"/>
              </w:rPr>
              <w:t>bigint(20)</w:t>
            </w:r>
          </w:p>
        </w:tc>
        <w:tc>
          <w:tcPr>
            <w:tcW w:w="709" w:type="dxa"/>
          </w:tcPr>
          <w:p w14:paraId="3D38C7F7">
            <w:pPr>
              <w:jc w:val="center"/>
              <w:outlineLvl w:val="9"/>
              <w:rPr>
                <w:rFonts w:ascii="宋体" w:hAnsi="宋体" w:cs="宋体"/>
              </w:rPr>
            </w:pPr>
            <w:r>
              <w:rPr>
                <w:rFonts w:hint="eastAsia" w:ascii="宋体" w:hAnsi="宋体" w:cs="宋体"/>
              </w:rPr>
              <w:t>否</w:t>
            </w:r>
          </w:p>
        </w:tc>
        <w:tc>
          <w:tcPr>
            <w:tcW w:w="709" w:type="dxa"/>
          </w:tcPr>
          <w:p w14:paraId="0713B8E8">
            <w:pPr>
              <w:jc w:val="center"/>
              <w:outlineLvl w:val="9"/>
              <w:rPr>
                <w:rFonts w:ascii="宋体" w:hAnsi="宋体" w:cs="宋体"/>
              </w:rPr>
            </w:pPr>
            <w:r>
              <w:rPr>
                <w:rFonts w:hint="eastAsia" w:ascii="宋体" w:hAnsi="宋体" w:cs="宋体"/>
              </w:rPr>
              <w:t>否</w:t>
            </w:r>
          </w:p>
        </w:tc>
        <w:tc>
          <w:tcPr>
            <w:tcW w:w="2205" w:type="dxa"/>
          </w:tcPr>
          <w:p w14:paraId="3F605557">
            <w:pPr>
              <w:jc w:val="center"/>
              <w:outlineLvl w:val="9"/>
              <w:rPr>
                <w:rFonts w:ascii="宋体" w:hAnsi="宋体" w:cs="宋体"/>
              </w:rPr>
            </w:pPr>
            <w:r>
              <w:rPr>
                <w:rFonts w:hint="eastAsia" w:ascii="宋体" w:hAnsi="宋体" w:cs="宋体"/>
              </w:rPr>
              <w:t>创建人</w:t>
            </w:r>
          </w:p>
        </w:tc>
      </w:tr>
      <w:tr w14:paraId="16D06B6A">
        <w:tblPrEx>
          <w:tblCellMar>
            <w:top w:w="0" w:type="dxa"/>
            <w:left w:w="108" w:type="dxa"/>
            <w:bottom w:w="0" w:type="dxa"/>
            <w:right w:w="108" w:type="dxa"/>
          </w:tblCellMar>
        </w:tblPrEx>
        <w:tc>
          <w:tcPr>
            <w:tcW w:w="663" w:type="dxa"/>
          </w:tcPr>
          <w:p w14:paraId="0F0D2549">
            <w:pPr>
              <w:jc w:val="center"/>
              <w:outlineLvl w:val="9"/>
              <w:rPr>
                <w:rFonts w:ascii="宋体" w:hAnsi="宋体" w:cs="宋体"/>
              </w:rPr>
            </w:pPr>
            <w:r>
              <w:rPr>
                <w:rFonts w:hint="eastAsia" w:ascii="宋体" w:hAnsi="宋体" w:cs="宋体"/>
              </w:rPr>
              <w:t>15</w:t>
            </w:r>
          </w:p>
        </w:tc>
        <w:tc>
          <w:tcPr>
            <w:tcW w:w="2211" w:type="dxa"/>
          </w:tcPr>
          <w:p w14:paraId="3AC2CFB8">
            <w:pPr>
              <w:jc w:val="center"/>
              <w:outlineLvl w:val="9"/>
              <w:rPr>
                <w:rFonts w:ascii="宋体" w:hAnsi="宋体" w:cs="宋体"/>
              </w:rPr>
            </w:pPr>
            <w:r>
              <w:rPr>
                <w:rFonts w:hint="eastAsia" w:ascii="宋体" w:hAnsi="宋体" w:cs="宋体"/>
              </w:rPr>
              <w:t>create_time</w:t>
            </w:r>
          </w:p>
        </w:tc>
        <w:tc>
          <w:tcPr>
            <w:tcW w:w="1799" w:type="dxa"/>
          </w:tcPr>
          <w:p w14:paraId="76C84FD3">
            <w:pPr>
              <w:jc w:val="center"/>
              <w:outlineLvl w:val="9"/>
              <w:rPr>
                <w:rFonts w:ascii="宋体" w:hAnsi="宋体" w:cs="宋体"/>
              </w:rPr>
            </w:pPr>
            <w:r>
              <w:rPr>
                <w:rFonts w:hint="eastAsia" w:ascii="宋体" w:hAnsi="宋体" w:cs="宋体"/>
              </w:rPr>
              <w:t>datetime(3)</w:t>
            </w:r>
          </w:p>
        </w:tc>
        <w:tc>
          <w:tcPr>
            <w:tcW w:w="709" w:type="dxa"/>
          </w:tcPr>
          <w:p w14:paraId="54F86B35">
            <w:pPr>
              <w:jc w:val="center"/>
              <w:outlineLvl w:val="9"/>
              <w:rPr>
                <w:rFonts w:ascii="宋体" w:hAnsi="宋体" w:cs="宋体"/>
              </w:rPr>
            </w:pPr>
            <w:r>
              <w:rPr>
                <w:rFonts w:hint="eastAsia" w:ascii="宋体" w:hAnsi="宋体" w:cs="宋体"/>
              </w:rPr>
              <w:t>否</w:t>
            </w:r>
          </w:p>
        </w:tc>
        <w:tc>
          <w:tcPr>
            <w:tcW w:w="709" w:type="dxa"/>
          </w:tcPr>
          <w:p w14:paraId="20F43344">
            <w:pPr>
              <w:jc w:val="center"/>
              <w:outlineLvl w:val="9"/>
              <w:rPr>
                <w:rFonts w:ascii="宋体" w:hAnsi="宋体" w:cs="宋体"/>
              </w:rPr>
            </w:pPr>
            <w:r>
              <w:rPr>
                <w:rFonts w:hint="eastAsia" w:ascii="宋体" w:hAnsi="宋体" w:cs="宋体"/>
              </w:rPr>
              <w:t>否</w:t>
            </w:r>
          </w:p>
        </w:tc>
        <w:tc>
          <w:tcPr>
            <w:tcW w:w="2205" w:type="dxa"/>
          </w:tcPr>
          <w:p w14:paraId="082097BE">
            <w:pPr>
              <w:jc w:val="center"/>
              <w:outlineLvl w:val="9"/>
              <w:rPr>
                <w:rFonts w:ascii="宋体" w:hAnsi="宋体" w:cs="宋体"/>
              </w:rPr>
            </w:pPr>
            <w:r>
              <w:rPr>
                <w:rFonts w:hint="eastAsia" w:ascii="宋体" w:hAnsi="宋体" w:cs="宋体"/>
              </w:rPr>
              <w:t>创建时间</w:t>
            </w:r>
          </w:p>
        </w:tc>
      </w:tr>
      <w:tr w14:paraId="1FBA1B43">
        <w:tblPrEx>
          <w:tblCellMar>
            <w:top w:w="0" w:type="dxa"/>
            <w:left w:w="108" w:type="dxa"/>
            <w:bottom w:w="0" w:type="dxa"/>
            <w:right w:w="108" w:type="dxa"/>
          </w:tblCellMar>
        </w:tblPrEx>
        <w:tc>
          <w:tcPr>
            <w:tcW w:w="663" w:type="dxa"/>
          </w:tcPr>
          <w:p w14:paraId="70782FCE">
            <w:pPr>
              <w:jc w:val="center"/>
              <w:outlineLvl w:val="9"/>
              <w:rPr>
                <w:rFonts w:ascii="宋体" w:hAnsi="宋体" w:cs="宋体"/>
              </w:rPr>
            </w:pPr>
            <w:r>
              <w:rPr>
                <w:rFonts w:hint="eastAsia" w:ascii="宋体" w:hAnsi="宋体" w:cs="宋体"/>
              </w:rPr>
              <w:t>16</w:t>
            </w:r>
          </w:p>
        </w:tc>
        <w:tc>
          <w:tcPr>
            <w:tcW w:w="2211" w:type="dxa"/>
          </w:tcPr>
          <w:p w14:paraId="263B58C9">
            <w:pPr>
              <w:jc w:val="center"/>
              <w:outlineLvl w:val="9"/>
              <w:rPr>
                <w:rFonts w:ascii="宋体" w:hAnsi="宋体" w:cs="宋体"/>
              </w:rPr>
            </w:pPr>
            <w:r>
              <w:rPr>
                <w:rFonts w:hint="eastAsia" w:ascii="宋体" w:hAnsi="宋体" w:cs="宋体"/>
              </w:rPr>
              <w:t>update_time</w:t>
            </w:r>
          </w:p>
        </w:tc>
        <w:tc>
          <w:tcPr>
            <w:tcW w:w="1799" w:type="dxa"/>
          </w:tcPr>
          <w:p w14:paraId="79C8A683">
            <w:pPr>
              <w:jc w:val="center"/>
              <w:outlineLvl w:val="9"/>
              <w:rPr>
                <w:rFonts w:ascii="宋体" w:hAnsi="宋体" w:cs="宋体"/>
              </w:rPr>
            </w:pPr>
            <w:r>
              <w:rPr>
                <w:rFonts w:hint="eastAsia" w:ascii="宋体" w:hAnsi="宋体" w:cs="宋体"/>
              </w:rPr>
              <w:t>datetime(3)</w:t>
            </w:r>
          </w:p>
        </w:tc>
        <w:tc>
          <w:tcPr>
            <w:tcW w:w="709" w:type="dxa"/>
          </w:tcPr>
          <w:p w14:paraId="2439B940">
            <w:pPr>
              <w:jc w:val="center"/>
              <w:outlineLvl w:val="9"/>
              <w:rPr>
                <w:rFonts w:ascii="宋体" w:hAnsi="宋体" w:cs="宋体"/>
              </w:rPr>
            </w:pPr>
            <w:r>
              <w:rPr>
                <w:rFonts w:hint="eastAsia" w:ascii="宋体" w:hAnsi="宋体" w:cs="宋体"/>
              </w:rPr>
              <w:t>否</w:t>
            </w:r>
          </w:p>
        </w:tc>
        <w:tc>
          <w:tcPr>
            <w:tcW w:w="709" w:type="dxa"/>
          </w:tcPr>
          <w:p w14:paraId="2F39517C">
            <w:pPr>
              <w:jc w:val="center"/>
              <w:outlineLvl w:val="9"/>
              <w:rPr>
                <w:rFonts w:ascii="宋体" w:hAnsi="宋体" w:cs="宋体"/>
              </w:rPr>
            </w:pPr>
            <w:r>
              <w:rPr>
                <w:rFonts w:hint="eastAsia" w:ascii="宋体" w:hAnsi="宋体" w:cs="宋体"/>
              </w:rPr>
              <w:t>否</w:t>
            </w:r>
          </w:p>
        </w:tc>
        <w:tc>
          <w:tcPr>
            <w:tcW w:w="2205" w:type="dxa"/>
          </w:tcPr>
          <w:p w14:paraId="60F1E90B">
            <w:pPr>
              <w:jc w:val="center"/>
              <w:outlineLvl w:val="9"/>
              <w:rPr>
                <w:rFonts w:ascii="宋体" w:hAnsi="宋体" w:cs="宋体"/>
              </w:rPr>
            </w:pPr>
            <w:r>
              <w:rPr>
                <w:rFonts w:hint="eastAsia" w:ascii="宋体" w:hAnsi="宋体" w:cs="宋体"/>
              </w:rPr>
              <w:t>修改时间</w:t>
            </w:r>
          </w:p>
        </w:tc>
      </w:tr>
      <w:tr w14:paraId="47AF374A">
        <w:tblPrEx>
          <w:tblCellMar>
            <w:top w:w="0" w:type="dxa"/>
            <w:left w:w="108" w:type="dxa"/>
            <w:bottom w:w="0" w:type="dxa"/>
            <w:right w:w="108" w:type="dxa"/>
          </w:tblCellMar>
        </w:tblPrEx>
        <w:tc>
          <w:tcPr>
            <w:tcW w:w="663" w:type="dxa"/>
          </w:tcPr>
          <w:p w14:paraId="24BED390">
            <w:pPr>
              <w:jc w:val="center"/>
              <w:outlineLvl w:val="9"/>
              <w:rPr>
                <w:rFonts w:ascii="宋体" w:hAnsi="宋体" w:cs="宋体"/>
              </w:rPr>
            </w:pPr>
            <w:r>
              <w:rPr>
                <w:rFonts w:hint="eastAsia" w:ascii="宋体" w:hAnsi="宋体" w:cs="宋体"/>
              </w:rPr>
              <w:t>17</w:t>
            </w:r>
          </w:p>
        </w:tc>
        <w:tc>
          <w:tcPr>
            <w:tcW w:w="2211" w:type="dxa"/>
          </w:tcPr>
          <w:p w14:paraId="47FA0EBA">
            <w:pPr>
              <w:jc w:val="center"/>
              <w:outlineLvl w:val="9"/>
              <w:rPr>
                <w:rFonts w:ascii="宋体" w:hAnsi="宋体" w:cs="宋体"/>
              </w:rPr>
            </w:pPr>
            <w:r>
              <w:rPr>
                <w:rFonts w:hint="eastAsia" w:ascii="宋体" w:hAnsi="宋体" w:cs="宋体"/>
              </w:rPr>
              <w:t>refund_wp_code</w:t>
            </w:r>
          </w:p>
        </w:tc>
        <w:tc>
          <w:tcPr>
            <w:tcW w:w="1799" w:type="dxa"/>
          </w:tcPr>
          <w:p w14:paraId="236398EF">
            <w:pPr>
              <w:jc w:val="center"/>
              <w:outlineLvl w:val="9"/>
              <w:rPr>
                <w:rFonts w:ascii="宋体" w:hAnsi="宋体" w:cs="宋体"/>
              </w:rPr>
            </w:pPr>
            <w:r>
              <w:rPr>
                <w:rFonts w:hint="eastAsia" w:ascii="宋体" w:hAnsi="宋体" w:cs="宋体"/>
              </w:rPr>
              <w:t>varchar(255)</w:t>
            </w:r>
          </w:p>
        </w:tc>
        <w:tc>
          <w:tcPr>
            <w:tcW w:w="709" w:type="dxa"/>
          </w:tcPr>
          <w:p w14:paraId="6DA1D9DB">
            <w:pPr>
              <w:jc w:val="center"/>
              <w:outlineLvl w:val="9"/>
              <w:rPr>
                <w:rFonts w:ascii="宋体" w:hAnsi="宋体" w:cs="宋体"/>
              </w:rPr>
            </w:pPr>
            <w:r>
              <w:rPr>
                <w:rFonts w:hint="eastAsia" w:ascii="宋体" w:hAnsi="宋体" w:cs="宋体"/>
              </w:rPr>
              <w:t>否</w:t>
            </w:r>
          </w:p>
        </w:tc>
        <w:tc>
          <w:tcPr>
            <w:tcW w:w="709" w:type="dxa"/>
          </w:tcPr>
          <w:p w14:paraId="3EC3D16C">
            <w:pPr>
              <w:jc w:val="center"/>
              <w:outlineLvl w:val="9"/>
              <w:rPr>
                <w:rFonts w:ascii="宋体" w:hAnsi="宋体" w:cs="宋体"/>
              </w:rPr>
            </w:pPr>
            <w:r>
              <w:rPr>
                <w:rFonts w:hint="eastAsia" w:ascii="宋体" w:hAnsi="宋体" w:cs="宋体"/>
              </w:rPr>
              <w:t>否</w:t>
            </w:r>
          </w:p>
        </w:tc>
        <w:tc>
          <w:tcPr>
            <w:tcW w:w="2205" w:type="dxa"/>
          </w:tcPr>
          <w:p w14:paraId="60B3A6F9">
            <w:pPr>
              <w:jc w:val="center"/>
              <w:outlineLvl w:val="9"/>
              <w:rPr>
                <w:rFonts w:ascii="宋体" w:hAnsi="宋体" w:cs="宋体"/>
              </w:rPr>
            </w:pPr>
            <w:r>
              <w:rPr>
                <w:rFonts w:hint="eastAsia" w:ascii="宋体" w:hAnsi="宋体" w:cs="宋体"/>
              </w:rPr>
              <w:t>退款快递公司</w:t>
            </w:r>
          </w:p>
        </w:tc>
      </w:tr>
      <w:tr w14:paraId="73206BE3">
        <w:tblPrEx>
          <w:tblCellMar>
            <w:top w:w="0" w:type="dxa"/>
            <w:left w:w="108" w:type="dxa"/>
            <w:bottom w:w="0" w:type="dxa"/>
            <w:right w:w="108" w:type="dxa"/>
          </w:tblCellMar>
        </w:tblPrEx>
        <w:tc>
          <w:tcPr>
            <w:tcW w:w="663" w:type="dxa"/>
          </w:tcPr>
          <w:p w14:paraId="4ADA619F">
            <w:pPr>
              <w:jc w:val="center"/>
              <w:outlineLvl w:val="9"/>
              <w:rPr>
                <w:rFonts w:ascii="宋体" w:hAnsi="宋体" w:cs="宋体"/>
              </w:rPr>
            </w:pPr>
            <w:r>
              <w:rPr>
                <w:rFonts w:hint="eastAsia" w:ascii="宋体" w:hAnsi="宋体" w:cs="宋体"/>
              </w:rPr>
              <w:t>18</w:t>
            </w:r>
          </w:p>
        </w:tc>
        <w:tc>
          <w:tcPr>
            <w:tcW w:w="2211" w:type="dxa"/>
          </w:tcPr>
          <w:p w14:paraId="5C9C3F8E">
            <w:pPr>
              <w:jc w:val="center"/>
              <w:outlineLvl w:val="9"/>
              <w:rPr>
                <w:rFonts w:ascii="宋体" w:hAnsi="宋体" w:cs="宋体"/>
              </w:rPr>
            </w:pPr>
            <w:r>
              <w:rPr>
                <w:rFonts w:hint="eastAsia" w:ascii="宋体" w:hAnsi="宋体" w:cs="宋体"/>
              </w:rPr>
              <w:t>refund_waybill_code</w:t>
            </w:r>
          </w:p>
        </w:tc>
        <w:tc>
          <w:tcPr>
            <w:tcW w:w="1799" w:type="dxa"/>
          </w:tcPr>
          <w:p w14:paraId="12CE5308">
            <w:pPr>
              <w:jc w:val="center"/>
              <w:outlineLvl w:val="9"/>
              <w:rPr>
                <w:rFonts w:ascii="宋体" w:hAnsi="宋体" w:cs="宋体"/>
              </w:rPr>
            </w:pPr>
            <w:r>
              <w:rPr>
                <w:rFonts w:hint="eastAsia" w:ascii="宋体" w:hAnsi="宋体" w:cs="宋体"/>
              </w:rPr>
              <w:t>varchar(255)</w:t>
            </w:r>
          </w:p>
        </w:tc>
        <w:tc>
          <w:tcPr>
            <w:tcW w:w="709" w:type="dxa"/>
          </w:tcPr>
          <w:p w14:paraId="7B10038D">
            <w:pPr>
              <w:jc w:val="center"/>
              <w:outlineLvl w:val="9"/>
              <w:rPr>
                <w:rFonts w:ascii="宋体" w:hAnsi="宋体" w:cs="宋体"/>
              </w:rPr>
            </w:pPr>
            <w:r>
              <w:rPr>
                <w:rFonts w:hint="eastAsia" w:ascii="宋体" w:hAnsi="宋体" w:cs="宋体"/>
              </w:rPr>
              <w:t>否</w:t>
            </w:r>
          </w:p>
        </w:tc>
        <w:tc>
          <w:tcPr>
            <w:tcW w:w="709" w:type="dxa"/>
          </w:tcPr>
          <w:p w14:paraId="4A5FA17D">
            <w:pPr>
              <w:jc w:val="center"/>
              <w:outlineLvl w:val="9"/>
              <w:rPr>
                <w:rFonts w:ascii="宋体" w:hAnsi="宋体" w:cs="宋体"/>
              </w:rPr>
            </w:pPr>
            <w:r>
              <w:rPr>
                <w:rFonts w:hint="eastAsia" w:ascii="宋体" w:hAnsi="宋体" w:cs="宋体"/>
              </w:rPr>
              <w:t>否</w:t>
            </w:r>
          </w:p>
        </w:tc>
        <w:tc>
          <w:tcPr>
            <w:tcW w:w="2205" w:type="dxa"/>
          </w:tcPr>
          <w:p w14:paraId="35AA315F">
            <w:pPr>
              <w:jc w:val="center"/>
              <w:outlineLvl w:val="9"/>
              <w:rPr>
                <w:rFonts w:ascii="宋体" w:hAnsi="宋体" w:cs="宋体"/>
              </w:rPr>
            </w:pPr>
            <w:r>
              <w:rPr>
                <w:rFonts w:hint="eastAsia" w:ascii="宋体" w:hAnsi="宋体" w:cs="宋体"/>
              </w:rPr>
              <w:t>退货快递号</w:t>
            </w:r>
          </w:p>
        </w:tc>
      </w:tr>
    </w:tbl>
    <w:p w14:paraId="191AECBF">
      <w:pPr>
        <w:pStyle w:val="143"/>
        <w:ind w:firstLine="482"/>
        <w:outlineLvl w:val="9"/>
        <w:rPr>
          <w:b/>
          <w:bCs/>
        </w:rPr>
      </w:pPr>
      <w:r>
        <w:rPr>
          <w:rFonts w:hint="eastAsia"/>
          <w:b/>
          <w:bCs/>
        </w:rPr>
        <w:t>3.3.4用户信息</w:t>
      </w:r>
    </w:p>
    <w:p w14:paraId="7220AA1A">
      <w:pPr>
        <w:pStyle w:val="140"/>
        <w:ind w:firstLine="480"/>
        <w:outlineLvl w:val="9"/>
        <w:rPr>
          <w:shd w:val="clear" w:color="auto" w:fill="FFFFFF"/>
        </w:rPr>
      </w:pPr>
      <w:r>
        <w:rPr>
          <w:rFonts w:hint="eastAsia"/>
          <w:shd w:val="clear" w:color="auto" w:fill="FFFFFF"/>
        </w:rPr>
        <w:t>下面这张表是系统权限管理模块中最基础也是最核心的实体表，主要用于存储系统内部管理员的身份档案和登录凭证。表结构设计上，首先通过用户ID作为主键唯一标识每一个系统账号，并通过用户账号（用户名）确保登录名的唯一性，配合加密存储的密码字段来保障系统的入口安全。在个人资料维度，不仅记录了用户的昵称、头像、性别等基础展示信息，还包含了邮箱和手机号等关键联系方式，这些信息通常用于接收系统通知或作为找回密码的验证手段。如表3-4所示。</w:t>
      </w:r>
    </w:p>
    <w:p w14:paraId="781A367F">
      <w:pPr>
        <w:pStyle w:val="146"/>
        <w:outlineLvl w:val="9"/>
      </w:pPr>
      <w:r>
        <w:rPr>
          <w:rFonts w:hint="eastAsia"/>
        </w:rPr>
        <w:t>表3-4</w:t>
      </w:r>
      <w:r>
        <w:t xml:space="preserve"> </w:t>
      </w:r>
      <w:r>
        <w:rPr>
          <w:rFonts w:hint="eastAsia"/>
        </w:rPr>
        <w:t>用户信息表</w:t>
      </w:r>
    </w:p>
    <w:tbl>
      <w:tblPr>
        <w:tblStyle w:val="35"/>
        <w:tblW w:w="0" w:type="auto"/>
        <w:tblInd w:w="0" w:type="dxa"/>
        <w:tblLayout w:type="autofit"/>
        <w:tblCellMar>
          <w:top w:w="0" w:type="dxa"/>
          <w:left w:w="108" w:type="dxa"/>
          <w:bottom w:w="0" w:type="dxa"/>
          <w:right w:w="108" w:type="dxa"/>
        </w:tblCellMar>
      </w:tblPr>
      <w:tblGrid>
        <w:gridCol w:w="704"/>
        <w:gridCol w:w="1559"/>
        <w:gridCol w:w="1701"/>
        <w:gridCol w:w="851"/>
        <w:gridCol w:w="850"/>
        <w:gridCol w:w="2631"/>
      </w:tblGrid>
      <w:tr w14:paraId="7418BA6B">
        <w:tblPrEx>
          <w:tblCellMar>
            <w:top w:w="0" w:type="dxa"/>
            <w:left w:w="108" w:type="dxa"/>
            <w:bottom w:w="0" w:type="dxa"/>
            <w:right w:w="108" w:type="dxa"/>
          </w:tblCellMar>
        </w:tblPrEx>
        <w:tc>
          <w:tcPr>
            <w:tcW w:w="704" w:type="dxa"/>
            <w:vAlign w:val="center"/>
          </w:tcPr>
          <w:p w14:paraId="35F2FB1F">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序号</w:t>
            </w:r>
          </w:p>
        </w:tc>
        <w:tc>
          <w:tcPr>
            <w:tcW w:w="1559" w:type="dxa"/>
            <w:vAlign w:val="center"/>
          </w:tcPr>
          <w:p w14:paraId="675F8181">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字段名</w:t>
            </w:r>
          </w:p>
        </w:tc>
        <w:tc>
          <w:tcPr>
            <w:tcW w:w="1701" w:type="dxa"/>
            <w:vAlign w:val="center"/>
          </w:tcPr>
          <w:p w14:paraId="36D70D46">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数据类型</w:t>
            </w:r>
          </w:p>
        </w:tc>
        <w:tc>
          <w:tcPr>
            <w:tcW w:w="851" w:type="dxa"/>
            <w:vAlign w:val="center"/>
          </w:tcPr>
          <w:p w14:paraId="3AFCF60D">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主键</w:t>
            </w:r>
          </w:p>
        </w:tc>
        <w:tc>
          <w:tcPr>
            <w:tcW w:w="850" w:type="dxa"/>
            <w:vAlign w:val="center"/>
          </w:tcPr>
          <w:p w14:paraId="6C545105">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非空</w:t>
            </w:r>
          </w:p>
        </w:tc>
        <w:tc>
          <w:tcPr>
            <w:tcW w:w="2631" w:type="dxa"/>
            <w:vAlign w:val="center"/>
          </w:tcPr>
          <w:p w14:paraId="19678189">
            <w:pPr>
              <w:widowControl/>
              <w:spacing w:line="160" w:lineRule="atLeast"/>
              <w:jc w:val="center"/>
              <w:outlineLvl w:val="9"/>
              <w:rPr>
                <w:rFonts w:ascii="宋体" w:hAnsi="宋体" w:cs="宋体"/>
                <w:color w:val="000000"/>
                <w:spacing w:val="10"/>
                <w:szCs w:val="21"/>
                <w:shd w:val="clear" w:color="auto" w:fill="FFFFFF"/>
              </w:rPr>
            </w:pPr>
            <w:r>
              <w:rPr>
                <w:rFonts w:hint="eastAsia" w:ascii="宋体" w:hAnsi="宋体" w:cs="宋体"/>
                <w:b/>
                <w:bCs/>
                <w:color w:val="212529"/>
                <w:kern w:val="0"/>
                <w:szCs w:val="21"/>
                <w:lang w:bidi="ar"/>
              </w:rPr>
              <w:t>描述</w:t>
            </w:r>
          </w:p>
        </w:tc>
      </w:tr>
      <w:tr w14:paraId="4DCEE6D8">
        <w:tblPrEx>
          <w:tblCellMar>
            <w:top w:w="0" w:type="dxa"/>
            <w:left w:w="108" w:type="dxa"/>
            <w:bottom w:w="0" w:type="dxa"/>
            <w:right w:w="108" w:type="dxa"/>
          </w:tblCellMar>
        </w:tblPrEx>
        <w:tc>
          <w:tcPr>
            <w:tcW w:w="704" w:type="dxa"/>
            <w:vAlign w:val="center"/>
          </w:tcPr>
          <w:p w14:paraId="1A6FF1D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1</w:t>
            </w:r>
          </w:p>
        </w:tc>
        <w:tc>
          <w:tcPr>
            <w:tcW w:w="1559" w:type="dxa"/>
            <w:vAlign w:val="center"/>
          </w:tcPr>
          <w:p w14:paraId="2073795D">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user_id</w:t>
            </w:r>
          </w:p>
        </w:tc>
        <w:tc>
          <w:tcPr>
            <w:tcW w:w="1701" w:type="dxa"/>
            <w:vAlign w:val="center"/>
          </w:tcPr>
          <w:p w14:paraId="081E028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bigint(20)</w:t>
            </w:r>
          </w:p>
        </w:tc>
        <w:tc>
          <w:tcPr>
            <w:tcW w:w="851" w:type="dxa"/>
            <w:vAlign w:val="center"/>
          </w:tcPr>
          <w:p w14:paraId="3ECED0E4">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是</w:t>
            </w:r>
          </w:p>
        </w:tc>
        <w:tc>
          <w:tcPr>
            <w:tcW w:w="850" w:type="dxa"/>
            <w:vAlign w:val="center"/>
          </w:tcPr>
          <w:p w14:paraId="4B8C0D3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是</w:t>
            </w:r>
          </w:p>
        </w:tc>
        <w:tc>
          <w:tcPr>
            <w:tcW w:w="2631" w:type="dxa"/>
            <w:vAlign w:val="center"/>
          </w:tcPr>
          <w:p w14:paraId="04152DD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用户ID</w:t>
            </w:r>
          </w:p>
        </w:tc>
      </w:tr>
      <w:tr w14:paraId="7C8091DA">
        <w:tblPrEx>
          <w:tblCellMar>
            <w:top w:w="0" w:type="dxa"/>
            <w:left w:w="108" w:type="dxa"/>
            <w:bottom w:w="0" w:type="dxa"/>
            <w:right w:w="108" w:type="dxa"/>
          </w:tblCellMar>
        </w:tblPrEx>
        <w:tc>
          <w:tcPr>
            <w:tcW w:w="704" w:type="dxa"/>
            <w:vAlign w:val="center"/>
          </w:tcPr>
          <w:p w14:paraId="27D8F06A">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2</w:t>
            </w:r>
          </w:p>
        </w:tc>
        <w:tc>
          <w:tcPr>
            <w:tcW w:w="1559" w:type="dxa"/>
            <w:vAlign w:val="center"/>
          </w:tcPr>
          <w:p w14:paraId="0D55148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dept_id</w:t>
            </w:r>
          </w:p>
        </w:tc>
        <w:tc>
          <w:tcPr>
            <w:tcW w:w="1701" w:type="dxa"/>
            <w:vAlign w:val="center"/>
          </w:tcPr>
          <w:p w14:paraId="3FA5D0F5">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bigint(20)</w:t>
            </w:r>
          </w:p>
        </w:tc>
        <w:tc>
          <w:tcPr>
            <w:tcW w:w="851" w:type="dxa"/>
            <w:vAlign w:val="center"/>
          </w:tcPr>
          <w:p w14:paraId="7E856884">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6377A6D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38E9C55B">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部门ID</w:t>
            </w:r>
          </w:p>
        </w:tc>
      </w:tr>
      <w:tr w14:paraId="213BC055">
        <w:tblPrEx>
          <w:tblCellMar>
            <w:top w:w="0" w:type="dxa"/>
            <w:left w:w="108" w:type="dxa"/>
            <w:bottom w:w="0" w:type="dxa"/>
            <w:right w:w="108" w:type="dxa"/>
          </w:tblCellMar>
        </w:tblPrEx>
        <w:tc>
          <w:tcPr>
            <w:tcW w:w="704" w:type="dxa"/>
            <w:vAlign w:val="center"/>
          </w:tcPr>
          <w:p w14:paraId="4BBDA97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3</w:t>
            </w:r>
          </w:p>
        </w:tc>
        <w:tc>
          <w:tcPr>
            <w:tcW w:w="1559" w:type="dxa"/>
            <w:vAlign w:val="center"/>
          </w:tcPr>
          <w:p w14:paraId="1C748E9E">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user_name</w:t>
            </w:r>
          </w:p>
        </w:tc>
        <w:tc>
          <w:tcPr>
            <w:tcW w:w="1701" w:type="dxa"/>
            <w:vAlign w:val="center"/>
          </w:tcPr>
          <w:p w14:paraId="0C501143">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varchar(30)</w:t>
            </w:r>
          </w:p>
        </w:tc>
        <w:tc>
          <w:tcPr>
            <w:tcW w:w="851" w:type="dxa"/>
            <w:vAlign w:val="center"/>
          </w:tcPr>
          <w:p w14:paraId="4F46E83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4FCB1747">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是</w:t>
            </w:r>
          </w:p>
        </w:tc>
        <w:tc>
          <w:tcPr>
            <w:tcW w:w="2631" w:type="dxa"/>
            <w:vAlign w:val="center"/>
          </w:tcPr>
          <w:p w14:paraId="718DD6D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用户账号</w:t>
            </w:r>
          </w:p>
        </w:tc>
      </w:tr>
      <w:tr w14:paraId="632D1ACB">
        <w:tblPrEx>
          <w:tblCellMar>
            <w:top w:w="0" w:type="dxa"/>
            <w:left w:w="108" w:type="dxa"/>
            <w:bottom w:w="0" w:type="dxa"/>
            <w:right w:w="108" w:type="dxa"/>
          </w:tblCellMar>
        </w:tblPrEx>
        <w:tc>
          <w:tcPr>
            <w:tcW w:w="704" w:type="dxa"/>
            <w:vAlign w:val="center"/>
          </w:tcPr>
          <w:p w14:paraId="1F8A2BDA">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4</w:t>
            </w:r>
          </w:p>
        </w:tc>
        <w:tc>
          <w:tcPr>
            <w:tcW w:w="1559" w:type="dxa"/>
            <w:vAlign w:val="center"/>
          </w:tcPr>
          <w:p w14:paraId="1A64EF43">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nick_name</w:t>
            </w:r>
          </w:p>
        </w:tc>
        <w:tc>
          <w:tcPr>
            <w:tcW w:w="1701" w:type="dxa"/>
            <w:vAlign w:val="center"/>
          </w:tcPr>
          <w:p w14:paraId="188CA18B">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varchar(30)</w:t>
            </w:r>
          </w:p>
        </w:tc>
        <w:tc>
          <w:tcPr>
            <w:tcW w:w="851" w:type="dxa"/>
            <w:vAlign w:val="center"/>
          </w:tcPr>
          <w:p w14:paraId="70A5CF86">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373C007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5475184C">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用户昵称</w:t>
            </w:r>
          </w:p>
        </w:tc>
      </w:tr>
      <w:tr w14:paraId="119343C1">
        <w:tblPrEx>
          <w:tblCellMar>
            <w:top w:w="0" w:type="dxa"/>
            <w:left w:w="108" w:type="dxa"/>
            <w:bottom w:w="0" w:type="dxa"/>
            <w:right w:w="108" w:type="dxa"/>
          </w:tblCellMar>
        </w:tblPrEx>
        <w:tc>
          <w:tcPr>
            <w:tcW w:w="704" w:type="dxa"/>
            <w:vAlign w:val="center"/>
          </w:tcPr>
          <w:p w14:paraId="2EAEA5BB">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5</w:t>
            </w:r>
          </w:p>
        </w:tc>
        <w:tc>
          <w:tcPr>
            <w:tcW w:w="1559" w:type="dxa"/>
            <w:vAlign w:val="center"/>
          </w:tcPr>
          <w:p w14:paraId="4440003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user_type</w:t>
            </w:r>
          </w:p>
        </w:tc>
        <w:tc>
          <w:tcPr>
            <w:tcW w:w="1701" w:type="dxa"/>
            <w:vAlign w:val="center"/>
          </w:tcPr>
          <w:p w14:paraId="76733A7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varchar(2)</w:t>
            </w:r>
          </w:p>
        </w:tc>
        <w:tc>
          <w:tcPr>
            <w:tcW w:w="851" w:type="dxa"/>
            <w:vAlign w:val="center"/>
          </w:tcPr>
          <w:p w14:paraId="4583C1C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57B78D5B">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71827B2B">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用户类型（00系统用户）</w:t>
            </w:r>
          </w:p>
        </w:tc>
      </w:tr>
      <w:tr w14:paraId="1AA2EAF7">
        <w:tblPrEx>
          <w:tblCellMar>
            <w:top w:w="0" w:type="dxa"/>
            <w:left w:w="108" w:type="dxa"/>
            <w:bottom w:w="0" w:type="dxa"/>
            <w:right w:w="108" w:type="dxa"/>
          </w:tblCellMar>
        </w:tblPrEx>
        <w:tc>
          <w:tcPr>
            <w:tcW w:w="704" w:type="dxa"/>
            <w:vAlign w:val="center"/>
          </w:tcPr>
          <w:p w14:paraId="6D673CD6">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6</w:t>
            </w:r>
          </w:p>
        </w:tc>
        <w:tc>
          <w:tcPr>
            <w:tcW w:w="1559" w:type="dxa"/>
            <w:vAlign w:val="center"/>
          </w:tcPr>
          <w:p w14:paraId="2A805CED">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email</w:t>
            </w:r>
          </w:p>
        </w:tc>
        <w:tc>
          <w:tcPr>
            <w:tcW w:w="1701" w:type="dxa"/>
            <w:vAlign w:val="center"/>
          </w:tcPr>
          <w:p w14:paraId="491BCFC7">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varchar(50)</w:t>
            </w:r>
          </w:p>
        </w:tc>
        <w:tc>
          <w:tcPr>
            <w:tcW w:w="851" w:type="dxa"/>
            <w:vAlign w:val="center"/>
          </w:tcPr>
          <w:p w14:paraId="067AF07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1F6F27DC">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10698BD0">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用户邮箱</w:t>
            </w:r>
          </w:p>
        </w:tc>
      </w:tr>
      <w:tr w14:paraId="5BCC068D">
        <w:tblPrEx>
          <w:tblCellMar>
            <w:top w:w="0" w:type="dxa"/>
            <w:left w:w="108" w:type="dxa"/>
            <w:bottom w:w="0" w:type="dxa"/>
            <w:right w:w="108" w:type="dxa"/>
          </w:tblCellMar>
        </w:tblPrEx>
        <w:tc>
          <w:tcPr>
            <w:tcW w:w="704" w:type="dxa"/>
            <w:vAlign w:val="center"/>
          </w:tcPr>
          <w:p w14:paraId="36B1103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7</w:t>
            </w:r>
          </w:p>
        </w:tc>
        <w:tc>
          <w:tcPr>
            <w:tcW w:w="1559" w:type="dxa"/>
            <w:vAlign w:val="center"/>
          </w:tcPr>
          <w:p w14:paraId="06B8BC1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phonenumber</w:t>
            </w:r>
          </w:p>
        </w:tc>
        <w:tc>
          <w:tcPr>
            <w:tcW w:w="1701" w:type="dxa"/>
            <w:vAlign w:val="center"/>
          </w:tcPr>
          <w:p w14:paraId="6EF10D3C">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varchar(11)</w:t>
            </w:r>
          </w:p>
        </w:tc>
        <w:tc>
          <w:tcPr>
            <w:tcW w:w="851" w:type="dxa"/>
            <w:vAlign w:val="center"/>
          </w:tcPr>
          <w:p w14:paraId="0E60BD07">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08283E69">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4B416E5D">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手机号码</w:t>
            </w:r>
          </w:p>
        </w:tc>
      </w:tr>
      <w:tr w14:paraId="165E31D2">
        <w:tblPrEx>
          <w:tblCellMar>
            <w:top w:w="0" w:type="dxa"/>
            <w:left w:w="108" w:type="dxa"/>
            <w:bottom w:w="0" w:type="dxa"/>
            <w:right w:w="108" w:type="dxa"/>
          </w:tblCellMar>
        </w:tblPrEx>
        <w:tc>
          <w:tcPr>
            <w:tcW w:w="704" w:type="dxa"/>
            <w:vAlign w:val="center"/>
          </w:tcPr>
          <w:p w14:paraId="1E985F1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8</w:t>
            </w:r>
          </w:p>
        </w:tc>
        <w:tc>
          <w:tcPr>
            <w:tcW w:w="1559" w:type="dxa"/>
            <w:vAlign w:val="center"/>
          </w:tcPr>
          <w:p w14:paraId="2993E9BE">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sex</w:t>
            </w:r>
          </w:p>
        </w:tc>
        <w:tc>
          <w:tcPr>
            <w:tcW w:w="1701" w:type="dxa"/>
            <w:vAlign w:val="center"/>
          </w:tcPr>
          <w:p w14:paraId="17D43E7A">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char(1)</w:t>
            </w:r>
          </w:p>
        </w:tc>
        <w:tc>
          <w:tcPr>
            <w:tcW w:w="851" w:type="dxa"/>
            <w:vAlign w:val="center"/>
          </w:tcPr>
          <w:p w14:paraId="6387C4F3">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6E77F8D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1ED173C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（0男 1女 2未知）</w:t>
            </w:r>
          </w:p>
        </w:tc>
      </w:tr>
    </w:tbl>
    <w:p w14:paraId="66F68E3C">
      <w:pPr>
        <w:jc w:val="center"/>
        <w:outlineLvl w:val="9"/>
        <w:rPr>
          <w:rFonts w:hint="eastAsia" w:eastAsiaTheme="minorEastAsia"/>
          <w:lang w:eastAsia="zh-CN"/>
        </w:rPr>
      </w:pPr>
      <w:r>
        <w:rPr>
          <w:rFonts w:hint="eastAsia"/>
        </w:rPr>
        <w:t>表3-4</w:t>
      </w:r>
      <w:r>
        <w:rPr>
          <w:rFonts w:hint="eastAsia"/>
          <w:lang w:eastAsia="zh-CN"/>
        </w:rPr>
        <w:t>（</w:t>
      </w:r>
      <w:r>
        <w:rPr>
          <w:rFonts w:hint="eastAsia"/>
          <w:lang w:val="en-US" w:eastAsia="zh-CN"/>
        </w:rPr>
        <w:t>续</w:t>
      </w:r>
      <w:r>
        <w:rPr>
          <w:rFonts w:hint="eastAsia"/>
          <w:lang w:eastAsia="zh-CN"/>
        </w:rPr>
        <w:t>）</w:t>
      </w:r>
    </w:p>
    <w:tbl>
      <w:tblPr>
        <w:tblStyle w:val="35"/>
        <w:tblW w:w="0" w:type="auto"/>
        <w:tblInd w:w="0" w:type="dxa"/>
        <w:tblLayout w:type="autofit"/>
        <w:tblCellMar>
          <w:top w:w="0" w:type="dxa"/>
          <w:left w:w="108" w:type="dxa"/>
          <w:bottom w:w="0" w:type="dxa"/>
          <w:right w:w="108" w:type="dxa"/>
        </w:tblCellMar>
      </w:tblPr>
      <w:tblGrid>
        <w:gridCol w:w="704"/>
        <w:gridCol w:w="1559"/>
        <w:gridCol w:w="1701"/>
        <w:gridCol w:w="851"/>
        <w:gridCol w:w="850"/>
        <w:gridCol w:w="2631"/>
      </w:tblGrid>
      <w:tr w14:paraId="780F16D8">
        <w:tc>
          <w:tcPr>
            <w:tcW w:w="704" w:type="dxa"/>
            <w:vAlign w:val="center"/>
          </w:tcPr>
          <w:p w14:paraId="298E772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9</w:t>
            </w:r>
          </w:p>
        </w:tc>
        <w:tc>
          <w:tcPr>
            <w:tcW w:w="1559" w:type="dxa"/>
            <w:vAlign w:val="center"/>
          </w:tcPr>
          <w:p w14:paraId="5E086955">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avatar</w:t>
            </w:r>
          </w:p>
        </w:tc>
        <w:tc>
          <w:tcPr>
            <w:tcW w:w="1701" w:type="dxa"/>
            <w:vAlign w:val="center"/>
          </w:tcPr>
          <w:p w14:paraId="5D2A92C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varchar(255)</w:t>
            </w:r>
          </w:p>
        </w:tc>
        <w:tc>
          <w:tcPr>
            <w:tcW w:w="851" w:type="dxa"/>
            <w:vAlign w:val="center"/>
          </w:tcPr>
          <w:p w14:paraId="7FBCC6F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00D81285">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1A3E7445">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头像地址</w:t>
            </w:r>
          </w:p>
        </w:tc>
      </w:tr>
      <w:tr w14:paraId="3ADF89F4">
        <w:tblPrEx>
          <w:tblCellMar>
            <w:top w:w="0" w:type="dxa"/>
            <w:left w:w="108" w:type="dxa"/>
            <w:bottom w:w="0" w:type="dxa"/>
            <w:right w:w="108" w:type="dxa"/>
          </w:tblCellMar>
        </w:tblPrEx>
        <w:tc>
          <w:tcPr>
            <w:tcW w:w="704" w:type="dxa"/>
            <w:vAlign w:val="center"/>
          </w:tcPr>
          <w:p w14:paraId="0FB508ED">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10</w:t>
            </w:r>
          </w:p>
        </w:tc>
        <w:tc>
          <w:tcPr>
            <w:tcW w:w="1559" w:type="dxa"/>
            <w:vAlign w:val="center"/>
          </w:tcPr>
          <w:p w14:paraId="3DE8E40E">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password</w:t>
            </w:r>
          </w:p>
        </w:tc>
        <w:tc>
          <w:tcPr>
            <w:tcW w:w="1701" w:type="dxa"/>
            <w:vAlign w:val="center"/>
          </w:tcPr>
          <w:p w14:paraId="2015E7B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varchar(100)</w:t>
            </w:r>
          </w:p>
        </w:tc>
        <w:tc>
          <w:tcPr>
            <w:tcW w:w="851" w:type="dxa"/>
            <w:vAlign w:val="center"/>
          </w:tcPr>
          <w:p w14:paraId="1C9EF91F">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1C64DE26">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48AD309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密码</w:t>
            </w:r>
          </w:p>
        </w:tc>
      </w:tr>
      <w:tr w14:paraId="2771E780">
        <w:tblPrEx>
          <w:tblCellMar>
            <w:top w:w="0" w:type="dxa"/>
            <w:left w:w="108" w:type="dxa"/>
            <w:bottom w:w="0" w:type="dxa"/>
            <w:right w:w="108" w:type="dxa"/>
          </w:tblCellMar>
        </w:tblPrEx>
        <w:tc>
          <w:tcPr>
            <w:tcW w:w="704" w:type="dxa"/>
            <w:vAlign w:val="center"/>
          </w:tcPr>
          <w:p w14:paraId="22AA32E2">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11</w:t>
            </w:r>
          </w:p>
        </w:tc>
        <w:tc>
          <w:tcPr>
            <w:tcW w:w="1559" w:type="dxa"/>
            <w:vAlign w:val="center"/>
          </w:tcPr>
          <w:p w14:paraId="50634BEE">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create_time</w:t>
            </w:r>
          </w:p>
        </w:tc>
        <w:tc>
          <w:tcPr>
            <w:tcW w:w="1701" w:type="dxa"/>
            <w:vAlign w:val="center"/>
          </w:tcPr>
          <w:p w14:paraId="545658C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datetime(3)</w:t>
            </w:r>
          </w:p>
        </w:tc>
        <w:tc>
          <w:tcPr>
            <w:tcW w:w="851" w:type="dxa"/>
            <w:vAlign w:val="center"/>
          </w:tcPr>
          <w:p w14:paraId="484FD70A">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25140869">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4C802A76">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创建时间</w:t>
            </w:r>
          </w:p>
        </w:tc>
      </w:tr>
      <w:tr w14:paraId="41123BC3">
        <w:tblPrEx>
          <w:tblCellMar>
            <w:top w:w="0" w:type="dxa"/>
            <w:left w:w="108" w:type="dxa"/>
            <w:bottom w:w="0" w:type="dxa"/>
            <w:right w:w="108" w:type="dxa"/>
          </w:tblCellMar>
        </w:tblPrEx>
        <w:tc>
          <w:tcPr>
            <w:tcW w:w="704" w:type="dxa"/>
            <w:vAlign w:val="center"/>
          </w:tcPr>
          <w:p w14:paraId="6AA2B263">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12</w:t>
            </w:r>
          </w:p>
        </w:tc>
        <w:tc>
          <w:tcPr>
            <w:tcW w:w="1559" w:type="dxa"/>
            <w:vAlign w:val="center"/>
          </w:tcPr>
          <w:p w14:paraId="4E0B9A91">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remark</w:t>
            </w:r>
          </w:p>
        </w:tc>
        <w:tc>
          <w:tcPr>
            <w:tcW w:w="1701" w:type="dxa"/>
            <w:vAlign w:val="center"/>
          </w:tcPr>
          <w:p w14:paraId="03FA8A20">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varchar(500)</w:t>
            </w:r>
          </w:p>
        </w:tc>
        <w:tc>
          <w:tcPr>
            <w:tcW w:w="851" w:type="dxa"/>
            <w:vAlign w:val="center"/>
          </w:tcPr>
          <w:p w14:paraId="2DED7A14">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850" w:type="dxa"/>
            <w:vAlign w:val="center"/>
          </w:tcPr>
          <w:p w14:paraId="24B3E0C7">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否</w:t>
            </w:r>
          </w:p>
        </w:tc>
        <w:tc>
          <w:tcPr>
            <w:tcW w:w="2631" w:type="dxa"/>
            <w:vAlign w:val="center"/>
          </w:tcPr>
          <w:p w14:paraId="61A12E88">
            <w:pPr>
              <w:widowControl/>
              <w:wordWrap w:val="0"/>
              <w:spacing w:line="220" w:lineRule="atLeast"/>
              <w:jc w:val="center"/>
              <w:textAlignment w:val="center"/>
              <w:outlineLvl w:val="9"/>
              <w:rPr>
                <w:rFonts w:ascii="宋体" w:hAnsi="宋体" w:cs="宋体"/>
                <w:color w:val="000000"/>
                <w:spacing w:val="10"/>
                <w:szCs w:val="21"/>
                <w:shd w:val="clear" w:color="auto" w:fill="FFFFFF"/>
              </w:rPr>
            </w:pPr>
            <w:r>
              <w:rPr>
                <w:rFonts w:hint="eastAsia" w:ascii="宋体" w:hAnsi="宋体" w:cs="宋体"/>
                <w:color w:val="212529"/>
                <w:spacing w:val="10"/>
                <w:kern w:val="0"/>
                <w:szCs w:val="21"/>
                <w:lang w:bidi="ar"/>
              </w:rPr>
              <w:t>备注</w:t>
            </w:r>
          </w:p>
        </w:tc>
      </w:tr>
    </w:tbl>
    <w:p w14:paraId="7FD53398">
      <w:pPr>
        <w:pStyle w:val="151"/>
        <w:outlineLvl w:val="9"/>
        <w:rPr>
          <w:rFonts w:ascii="宋体" w:hAnsi="宋体"/>
        </w:rPr>
      </w:pPr>
      <w:bookmarkStart w:id="69" w:name="_Toc32603"/>
      <w:r>
        <w:rPr>
          <w:rFonts w:ascii="宋体" w:hAnsi="宋体"/>
        </w:rPr>
        <w:t>4 系统功能及使用说明</w:t>
      </w:r>
      <w:bookmarkEnd w:id="69"/>
    </w:p>
    <w:p w14:paraId="514F6809">
      <w:pPr>
        <w:pStyle w:val="139"/>
        <w:ind w:firstLine="482"/>
        <w:outlineLvl w:val="9"/>
        <w:rPr>
          <w:b/>
          <w:bCs/>
        </w:rPr>
      </w:pPr>
      <w:bookmarkStart w:id="70" w:name="_Toc24781"/>
      <w:bookmarkStart w:id="71" w:name="OLE_LINK1"/>
      <w:r>
        <w:rPr>
          <w:b/>
          <w:bCs/>
        </w:rPr>
        <w:t>4.1</w:t>
      </w:r>
      <w:r>
        <w:rPr>
          <w:rFonts w:hint="eastAsia"/>
          <w:b/>
          <w:bCs/>
        </w:rPr>
        <w:t xml:space="preserve"> 系统功能</w:t>
      </w:r>
      <w:bookmarkEnd w:id="70"/>
    </w:p>
    <w:p w14:paraId="0D6273AC">
      <w:pPr>
        <w:pStyle w:val="143"/>
        <w:ind w:firstLine="482"/>
        <w:outlineLvl w:val="9"/>
        <w:rPr>
          <w:b/>
          <w:bCs/>
        </w:rPr>
      </w:pPr>
      <w:r>
        <w:rPr>
          <w:b/>
          <w:bCs/>
        </w:rPr>
        <w:t>4.1.1 商品管理模块</w:t>
      </w:r>
    </w:p>
    <w:p w14:paraId="1C451426">
      <w:pPr>
        <w:pStyle w:val="140"/>
        <w:ind w:firstLine="480"/>
        <w:outlineLvl w:val="9"/>
      </w:pPr>
      <w:r>
        <w:t>本运动服装商城管理系统深度整合了服装行业的精细化运营需求，构建了一个从商品源头到终端销售的全链路数字化管理平台，其核心后台功能设计旨在解决多属性商品管理、全渠道库存同步及复杂订单处理等关键业务挑战。在商品管理层面，系统提供了业界领先的多维度属性定义能力。管理员可为每一款服装精确定义其款式、颜色、尺码、材质及产地等属性，确保每件商品在数据库中的标识清晰无误。特别针对服装行业特点------同时，系统完整管理商品图片、多级价格体系、供应商信息及成本等，构建了完整的商品数字档案。</w:t>
      </w:r>
    </w:p>
    <w:p w14:paraId="054172CF">
      <w:pPr>
        <w:pStyle w:val="140"/>
        <w:ind w:firstLine="480"/>
        <w:outlineLvl w:val="9"/>
      </w:pPr>
      <w:r>
        <w:t>该商品后台编辑页面是运动服装管理系统的核心控制中枢之一，专为管理员实现商品的精细化、数字化管理而设计。它远非简单的信息记录工具，而是承担着为每一件商品创建完整数字身份、并据此驱动后续所有业务流程的战略起点。</w:t>
      </w:r>
      <w:r>
        <w:br w:type="textWrapping"/>
      </w:r>
      <w:r>
        <w:t>在商品档案创建与属性管理方面，页面提供了高度结构化的字段。管理员需精准录入基础售价、会员专享价及活动价等多层价格体系，设定实时库存数量，并从预设列表中选择或新建其所属的服装分类、品牌、材质与产地。尤为关键的是对"尺码"等变体属性的管理，这为后续系统自动生成唯一SKU（库存单位）奠定了基础，确保了"同款不同码"的商品在库存和销售中被独立、准确地追踪。在内容与体验管理层面，页面功能同样全面。管理员可通过直观的控件上传高清商品主图、细节图及场景图，构建丰富的视觉展示。内置的富文本编辑器支持对"服装详情"进行图文混排、格式定制，用于详尽展示产品特性、科技面料说明及穿搭指南。此外，系统还集成了"评论"管理模块，使管理员能够审阅、回复用户评价或处理不当内容，从而维护产品口碑并收集市场反馈。通过此页面完成的每一次商品信息维护，其影响都贯穿全局：准确的属性是前端分类筛选与搜索的依凭，精确的库存数据是销售订单得以确认的保障，而详尽的图文详情则是转化潜在客户的关键。因此，该后台编辑页面通过将纷繁复杂的商品信息转化为结构化的系统数据，为实现高效的库存控制、精准的营销推广以及优质的终端购物体验提供了至关重要的底层支持。</w:t>
      </w:r>
    </w:p>
    <w:p w14:paraId="785D70AC">
      <w:pPr>
        <w:pStyle w:val="140"/>
        <w:spacing w:line="240" w:lineRule="auto"/>
        <w:ind w:firstLine="480"/>
        <w:outlineLvl w:val="9"/>
        <w:rPr>
          <w:rFonts w:ascii="宋体" w:hAnsi="宋体" w:cs="宋体"/>
        </w:rPr>
      </w:pPr>
      <w:r>
        <w:rPr>
          <w:rFonts w:hint="eastAsia" w:ascii="宋体" w:hAnsi="宋体" w:cs="宋体"/>
        </w:rPr>
        <w:drawing>
          <wp:inline distT="0" distB="0" distL="0" distR="0">
            <wp:extent cx="4676775" cy="2492375"/>
            <wp:effectExtent l="0" t="0" r="9525" b="3175"/>
            <wp:docPr id="1756886153" name="图片 1756886153"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886153" name="图片 1756886153" descr="图表&#10;&#10;AI 生成的内容可能不正确。"/>
                    <pic:cNvPicPr>
                      <a:picLocks noChangeAspect="1"/>
                    </pic:cNvPicPr>
                  </pic:nvPicPr>
                  <pic:blipFill>
                    <a:blip r:embed="rId87" cstate="print">
                      <a:extLst>
                        <a:ext uri="{28A0092B-C50C-407E-A947-70E740481C1C}">
                          <a14:useLocalDpi xmlns:a14="http://schemas.microsoft.com/office/drawing/2010/main" val="0"/>
                        </a:ext>
                      </a:extLst>
                    </a:blip>
                    <a:srcRect l="5779" r="5550"/>
                    <a:stretch>
                      <a:fillRect/>
                    </a:stretch>
                  </pic:blipFill>
                  <pic:spPr>
                    <a:xfrm>
                      <a:off x="0" y="0"/>
                      <a:ext cx="4676775" cy="2492375"/>
                    </a:xfrm>
                    <a:prstGeom prst="rect">
                      <a:avLst/>
                    </a:prstGeom>
                    <a:ln>
                      <a:noFill/>
                    </a:ln>
                  </pic:spPr>
                </pic:pic>
              </a:graphicData>
            </a:graphic>
          </wp:inline>
        </w:drawing>
      </w:r>
    </w:p>
    <w:p w14:paraId="43E79216">
      <w:pPr>
        <w:pStyle w:val="140"/>
        <w:ind w:firstLine="420"/>
        <w:jc w:val="center"/>
        <w:outlineLvl w:val="9"/>
        <w:rPr>
          <w:rFonts w:ascii="宋体" w:hAnsi="宋体" w:cs="宋体"/>
          <w:sz w:val="21"/>
          <w:szCs w:val="21"/>
        </w:rPr>
      </w:pPr>
      <w:r>
        <w:rPr>
          <w:rFonts w:ascii="宋体" w:hAnsi="宋体" w:cs="宋体"/>
          <w:sz w:val="21"/>
          <w:szCs w:val="21"/>
        </w:rPr>
        <w:t>图4-3后台商品编辑页面图</w:t>
      </w:r>
    </w:p>
    <w:p w14:paraId="72A32ABD">
      <w:pPr>
        <w:pStyle w:val="140"/>
        <w:ind w:firstLine="480"/>
        <w:outlineLvl w:val="9"/>
      </w:pPr>
      <w:r>
        <w:t>该商品信息核心管理页面是整个运动服装商城管理系统的数据中心与运营基石，其设计旨在将物理世界的复杂服装商品，转化为可被系统精准识别、管理与分析的结构化数字资产，从而实现从传统经验化运营向数据化、精细化运营的关键跨越。在功能设计上，页面系统性地覆盖了商品全维度信息的管理需求。 管理员可在此集中录入与管理服装的"名称"、"品牌"、"分类"等基础身份信息，"颜色"、"产地"、"材质"、"尺码"等多重物理属性，以及"价格"、"库存"等核心商业变量。这种集成化管理模式，确保了商品信息的完整性与一致性，为前端的精准搜索、筛选与分类展示提供了可靠的数据底层。特别对于服装行业而言，对"颜色"和"尺码"等变体属性的细致管理，是支持同一款式生成多个独立库存单位（SKU）、实现库存精准追踪的前提。在内容与体验塑造层面，页面集成了强大的富文本编辑器。 这超越了基础属性的记录，允许管理员在"服装详情"区域通过图文混排、格式调整、甚至嵌入视频链接等方式，创建生动、详尽的商品描述与使用场景展示。这不仅能更有效地传递产品卖点、科技面料信息和穿搭指南，从而大幅提升前端的转化率，也使得该页面成为连接后端供应链管理与前端品牌营销的核心枢纽。因此，该页面远非一个简单的数据录入界面，而是一个支撑商品数字化生命周期的控制台。它确保了从采购入库、库存管理、多渠道上架到营销推广的整个业务流程，都建立在准确、丰富且结构化的商品信息之上，是实现库存优化、营销精准化和消费体验升级不可或缺的关键模块。</w:t>
      </w:r>
    </w:p>
    <w:p w14:paraId="7A838F81">
      <w:pPr>
        <w:ind w:firstLine="420" w:firstLineChars="200"/>
        <w:outlineLvl w:val="9"/>
        <w:rPr>
          <w:rFonts w:ascii="宋体" w:hAnsi="宋体"/>
          <w:bCs/>
          <w:sz w:val="24"/>
        </w:rPr>
      </w:pPr>
      <w:r>
        <w:rPr>
          <w:rFonts w:hint="eastAsia"/>
        </w:rPr>
        <w:drawing>
          <wp:inline distT="0" distB="0" distL="114300" distR="114300">
            <wp:extent cx="4559935" cy="2338070"/>
            <wp:effectExtent l="0" t="0" r="0" b="0"/>
            <wp:docPr id="43" name="图片 43" descr="微信图片_20251224160042_229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微信图片_20251224160042_229_70"/>
                    <pic:cNvPicPr>
                      <a:picLocks noChangeAspect="1"/>
                    </pic:cNvPicPr>
                  </pic:nvPicPr>
                  <pic:blipFill>
                    <a:blip r:embed="rId88"/>
                    <a:srcRect l="5690" r="5678"/>
                    <a:stretch>
                      <a:fillRect/>
                    </a:stretch>
                  </pic:blipFill>
                  <pic:spPr>
                    <a:xfrm>
                      <a:off x="0" y="0"/>
                      <a:ext cx="4559935" cy="2351396"/>
                    </a:xfrm>
                    <a:prstGeom prst="rect">
                      <a:avLst/>
                    </a:prstGeom>
                  </pic:spPr>
                </pic:pic>
              </a:graphicData>
            </a:graphic>
          </wp:inline>
        </w:drawing>
      </w:r>
    </w:p>
    <w:p w14:paraId="06C596AC">
      <w:pPr>
        <w:spacing w:line="440" w:lineRule="exact"/>
        <w:ind w:firstLine="420" w:firstLineChars="200"/>
        <w:jc w:val="center"/>
        <w:outlineLvl w:val="9"/>
        <w:rPr>
          <w:rFonts w:ascii="宋体" w:hAnsi="宋体" w:cs="宋体"/>
          <w:sz w:val="24"/>
        </w:rPr>
      </w:pPr>
      <w:r>
        <w:rPr>
          <w:rFonts w:hint="eastAsia" w:ascii="宋体" w:hAnsi="宋体" w:cs="宋体"/>
          <w:szCs w:val="21"/>
        </w:rPr>
        <w:t>图4-5</w:t>
      </w:r>
      <w:r>
        <w:rPr>
          <w:rFonts w:hint="eastAsia" w:ascii="宋体" w:hAnsi="宋体" w:cs="宋体"/>
          <w:sz w:val="24"/>
        </w:rPr>
        <w:t xml:space="preserve"> </w:t>
      </w:r>
      <w:r>
        <w:rPr>
          <w:rFonts w:ascii="Segoe UI" w:hAnsi="Segoe UI" w:cs="Segoe UI"/>
          <w:shd w:val="clear" w:color="auto" w:fill="FFFFFF"/>
        </w:rPr>
        <w:t>后台商品信息录入与管理页面图</w:t>
      </w:r>
    </w:p>
    <w:p w14:paraId="5A5D6A6D">
      <w:pPr>
        <w:pStyle w:val="143"/>
        <w:ind w:firstLine="482"/>
        <w:outlineLvl w:val="9"/>
        <w:rPr>
          <w:b/>
          <w:bCs/>
        </w:rPr>
      </w:pPr>
      <w:r>
        <w:rPr>
          <w:b/>
          <w:bCs/>
        </w:rPr>
        <w:t>4.1.2 库存与供应链管理模块</w:t>
      </w:r>
    </w:p>
    <w:p w14:paraId="30F54452">
      <w:pPr>
        <w:pStyle w:val="140"/>
        <w:ind w:firstLine="480"/>
        <w:outlineLvl w:val="9"/>
      </w:pPr>
      <w:r>
        <w:t>在库存与供应链管理方面，系统实现了真正的实时一体化库存。它能够无缝对接并同步任一渠道的销售出库、采购入库或仓间调拨操作都能即刻更新全局库存数量。系统标准化支持采购入库、销售出库、库存调拨与定期盘点等全套仓库作业流程，保障供应链高效运转。</w:t>
      </w:r>
    </w:p>
    <w:p w14:paraId="2B0E0891">
      <w:pPr>
        <w:pStyle w:val="143"/>
        <w:ind w:firstLine="482"/>
        <w:outlineLvl w:val="9"/>
        <w:rPr>
          <w:b/>
          <w:bCs/>
        </w:rPr>
      </w:pPr>
      <w:r>
        <w:rPr>
          <w:b/>
          <w:bCs/>
        </w:rPr>
        <w:t>4.1.3 订单处理与履约模块</w:t>
      </w:r>
    </w:p>
    <w:p w14:paraId="538CC706">
      <w:pPr>
        <w:pStyle w:val="140"/>
        <w:ind w:firstLine="480"/>
        <w:outlineLvl w:val="9"/>
      </w:pPr>
      <w:r>
        <w:t>在订单处理与履约环节，系统展现出强大的聚合与自动化能力。它能自动抓取并汇总来自不同电商平台（如淘宝、京东）及线下收银系统的订单，统一汇聚至中央订单池。极大提升了仓储物流的作业效率与准确性，确保消费者获得快速、流畅的购物体验。</w:t>
      </w:r>
    </w:p>
    <w:p w14:paraId="33CA553F">
      <w:pPr>
        <w:pStyle w:val="140"/>
        <w:ind w:firstLine="480"/>
        <w:outlineLvl w:val="9"/>
      </w:pPr>
      <w:r>
        <w:t>本系统是基于SpringBoot框架开发的一体化运动服装销售与后台管理平台，旨在为品牌方、零售商及终端门店提供集商品管理、订单处理、用户权限控制、数据分析于一体的数字化运营解决方案。在订单与商品管理方面，系统支持实时订单跟踪、状态更新、退货审批流程化处理，并能够根据门店、商品类型、时间等多维度生成销售报表与可视化图表，辅助管理者精准把握经营动态。</w:t>
      </w:r>
    </w:p>
    <w:p w14:paraId="353A1EF9">
      <w:pPr>
        <w:jc w:val="center"/>
        <w:outlineLvl w:val="9"/>
        <w:rPr>
          <w:rFonts w:ascii="宋体" w:hAnsi="宋体" w:cs="宋体"/>
          <w:sz w:val="24"/>
        </w:rPr>
      </w:pPr>
      <w:r>
        <w:rPr>
          <w:rFonts w:hint="eastAsia" w:ascii="宋体" w:hAnsi="宋体" w:cs="宋体"/>
          <w:sz w:val="24"/>
        </w:rPr>
        <w:t xml:space="preserve"> </w:t>
      </w:r>
      <w:r>
        <w:rPr>
          <w:rFonts w:hint="eastAsia"/>
        </w:rPr>
        <w:drawing>
          <wp:inline distT="0" distB="0" distL="114300" distR="114300">
            <wp:extent cx="5056505" cy="3025775"/>
            <wp:effectExtent l="0" t="0" r="10795" b="9525"/>
            <wp:docPr id="50" name="图片 50" descr="微信图片_20251224160521_246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51224160521_246_70"/>
                    <pic:cNvPicPr>
                      <a:picLocks noChangeAspect="1"/>
                    </pic:cNvPicPr>
                  </pic:nvPicPr>
                  <pic:blipFill>
                    <a:blip r:embed="rId89"/>
                    <a:srcRect l="6252" r="5763"/>
                    <a:stretch>
                      <a:fillRect/>
                    </a:stretch>
                  </pic:blipFill>
                  <pic:spPr>
                    <a:xfrm>
                      <a:off x="0" y="0"/>
                      <a:ext cx="5056505" cy="3025775"/>
                    </a:xfrm>
                    <a:prstGeom prst="rect">
                      <a:avLst/>
                    </a:prstGeom>
                  </pic:spPr>
                </pic:pic>
              </a:graphicData>
            </a:graphic>
          </wp:inline>
        </w:drawing>
      </w:r>
    </w:p>
    <w:p w14:paraId="2E726AB5">
      <w:pPr>
        <w:jc w:val="center"/>
        <w:outlineLvl w:val="9"/>
        <w:rPr>
          <w:rFonts w:ascii="宋体" w:hAnsi="宋体" w:cs="Segoe UI"/>
          <w:shd w:val="clear" w:color="auto" w:fill="FFFFFF"/>
        </w:rPr>
      </w:pPr>
      <w:r>
        <w:rPr>
          <w:rFonts w:hint="eastAsia" w:ascii="宋体" w:hAnsi="宋体"/>
        </w:rPr>
        <w:t>图4-8</w:t>
      </w:r>
      <w:r>
        <w:rPr>
          <w:rFonts w:ascii="宋体" w:hAnsi="宋体"/>
        </w:rPr>
        <w:t xml:space="preserve"> </w:t>
      </w:r>
      <w:r>
        <w:rPr>
          <w:rFonts w:ascii="宋体" w:hAnsi="宋体" w:cs="Segoe UI"/>
          <w:shd w:val="clear" w:color="auto" w:fill="FFFFFF"/>
        </w:rPr>
        <w:t>商品销量与订单列表页面图</w:t>
      </w:r>
    </w:p>
    <w:p w14:paraId="1CD1C82A">
      <w:pPr>
        <w:pStyle w:val="140"/>
        <w:ind w:firstLine="480"/>
        <w:outlineLvl w:val="9"/>
      </w:pPr>
      <w:r>
        <w:t>本系统是基于SpringBoot框架开发的一体化运动服装销售与后台管理平台，旨在为品牌方与零售商提供从订单处理、退货审核到经营决策的全流程数字化解决方案。系统以订单管理为核心，深度融合运营监控与数据分析，助力企业实现高效、精准的销售管理与服务提升。系统核心模块包括：订单管理、退货审核、数据报表与多门店协同。在订单管理模块，管理员可实时查看订单列表，进行订单详情查询、状态更新与流程跟踪，并支持按时间、门店等维度筛选与操作记录查看。退货审核模块提供标准化审批流程，涵盖申请提交、状态审核（通过/拒绝）、备注填写与结果反馈，确保售后处理规范及时。</w:t>
      </w:r>
    </w:p>
    <w:p w14:paraId="32DD7D40">
      <w:pPr>
        <w:pStyle w:val="151"/>
        <w:spacing w:line="240" w:lineRule="auto"/>
        <w:jc w:val="center"/>
        <w:outlineLvl w:val="9"/>
      </w:pPr>
      <w:r>
        <w:drawing>
          <wp:inline distT="0" distB="0" distL="114300" distR="114300">
            <wp:extent cx="4681855" cy="2620010"/>
            <wp:effectExtent l="0" t="0" r="4445" b="8890"/>
            <wp:docPr id="51" name="图片 51" descr="微信图片_20251224160526_251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微信图片_20251224160526_251_70"/>
                    <pic:cNvPicPr>
                      <a:picLocks noChangeAspect="1"/>
                    </pic:cNvPicPr>
                  </pic:nvPicPr>
                  <pic:blipFill>
                    <a:blip r:embed="rId90"/>
                    <a:srcRect l="5833" r="6181"/>
                    <a:stretch>
                      <a:fillRect/>
                    </a:stretch>
                  </pic:blipFill>
                  <pic:spPr>
                    <a:xfrm>
                      <a:off x="0" y="0"/>
                      <a:ext cx="4681855" cy="2620010"/>
                    </a:xfrm>
                    <a:prstGeom prst="rect">
                      <a:avLst/>
                    </a:prstGeom>
                  </pic:spPr>
                </pic:pic>
              </a:graphicData>
            </a:graphic>
          </wp:inline>
        </w:drawing>
      </w:r>
    </w:p>
    <w:p w14:paraId="59DC277D">
      <w:pPr>
        <w:pStyle w:val="146"/>
        <w:outlineLvl w:val="9"/>
      </w:pPr>
      <w:r>
        <w:rPr>
          <w:rFonts w:hint="eastAsia"/>
        </w:rPr>
        <w:t>图4-9</w:t>
      </w:r>
      <w:r>
        <w:t xml:space="preserve"> </w:t>
      </w:r>
      <w:r>
        <w:rPr>
          <w:rFonts w:ascii="Segoe UI" w:hAnsi="Segoe UI" w:cs="Segoe UI"/>
          <w:shd w:val="clear" w:color="auto" w:fill="FFFFFF"/>
        </w:rPr>
        <w:t>退货审核列表页面图</w:t>
      </w:r>
    </w:p>
    <w:p w14:paraId="6080F94A">
      <w:pPr>
        <w:pStyle w:val="143"/>
        <w:ind w:firstLine="482"/>
        <w:outlineLvl w:val="9"/>
        <w:rPr>
          <w:b/>
          <w:bCs/>
        </w:rPr>
      </w:pPr>
    </w:p>
    <w:p w14:paraId="1D754FD8">
      <w:pPr>
        <w:pStyle w:val="143"/>
        <w:ind w:firstLine="482"/>
        <w:outlineLvl w:val="9"/>
        <w:rPr>
          <w:b/>
          <w:bCs/>
        </w:rPr>
      </w:pPr>
      <w:r>
        <w:rPr>
          <w:b/>
          <w:bCs/>
        </w:rPr>
        <w:t>4.1.4 前台购物与用户交互模块</w:t>
      </w:r>
    </w:p>
    <w:p w14:paraId="26D72C7D">
      <w:pPr>
        <w:pStyle w:val="140"/>
        <w:ind w:firstLine="480"/>
        <w:outlineLvl w:val="9"/>
      </w:pPr>
      <w:r>
        <w:t>如下图所展示的是一个专为运动服装零售设计的现代化、用户友好的前端购物界面。它构建了一个集沉浸式商品探索、便捷分类检索与即时互动服务于一体的综合性在线购物门户，旨在为消费者提供流畅、高效且信息丰富的运动服饰数字化选购体验。界面视觉清晰、布局直观。顶部设置了综合搜索框与精细化的商品分类导航栏，允许用户通过关键词搜索或直接点选感兴趣的运动服饰类别（如跑步、训练、瑜伽等），快速锁定目标商品范围，极大缩短了信息查找路径。核心区域专注于多层次商品展示与品牌内容传播。系统不仅以图文并茂的网格或列表形式清晰呈现各类运动服装的款式、主图与关键信息，更设立了独立的"广告资讯"或品牌动态板块。此板块用于发布品牌故事、新品上市、穿搭指南或促销活动等丰富内容，将单纯的商品陈列升级为品牌文化与生活方式的传递，从而增强用户粘性与品牌认同感。此外，界面显著位置集成了实时在线客服与智能助手入口。用户在浏览或选购过程中，可随时发起咨询，获取关于产品细节、尺码推荐或售后政策的即时解答，有效模拟了线下门店的导购体验，降低了购买决策的疑虑与门槛。</w:t>
      </w:r>
    </w:p>
    <w:p w14:paraId="441386ED">
      <w:pPr>
        <w:jc w:val="center"/>
        <w:outlineLvl w:val="9"/>
        <w:rPr>
          <w:rFonts w:ascii="宋体" w:hAnsi="宋体"/>
          <w:bCs/>
          <w:sz w:val="24"/>
        </w:rPr>
      </w:pPr>
      <w:r>
        <w:rPr>
          <w:rFonts w:hint="eastAsia" w:ascii="宋体" w:hAnsi="宋体"/>
          <w:bCs/>
          <w:sz w:val="24"/>
        </w:rPr>
        <w:drawing>
          <wp:inline distT="0" distB="0" distL="0" distR="0">
            <wp:extent cx="4406900" cy="2276475"/>
            <wp:effectExtent l="0" t="0" r="0" b="0"/>
            <wp:docPr id="41" name="图片 41"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形用户界面, 网站&#10;&#10;AI 生成的内容可能不正确。"/>
                    <pic:cNvPicPr>
                      <a:picLocks noChangeAspect="1"/>
                    </pic:cNvPicPr>
                  </pic:nvPicPr>
                  <pic:blipFill>
                    <a:blip r:embed="rId91">
                      <a:extLst>
                        <a:ext uri="{28A0092B-C50C-407E-A947-70E740481C1C}">
                          <a14:useLocalDpi xmlns:a14="http://schemas.microsoft.com/office/drawing/2010/main" val="0"/>
                        </a:ext>
                      </a:extLst>
                    </a:blip>
                    <a:srcRect l="6269" r="5688"/>
                    <a:stretch>
                      <a:fillRect/>
                    </a:stretch>
                  </pic:blipFill>
                  <pic:spPr>
                    <a:xfrm>
                      <a:off x="0" y="0"/>
                      <a:ext cx="4409586" cy="2277687"/>
                    </a:xfrm>
                    <a:prstGeom prst="rect">
                      <a:avLst/>
                    </a:prstGeom>
                    <a:ln>
                      <a:noFill/>
                    </a:ln>
                  </pic:spPr>
                </pic:pic>
              </a:graphicData>
            </a:graphic>
          </wp:inline>
        </w:drawing>
      </w:r>
    </w:p>
    <w:p w14:paraId="567C4A5E">
      <w:pPr>
        <w:pStyle w:val="146"/>
        <w:outlineLvl w:val="9"/>
        <w:rPr>
          <w:bCs/>
          <w:sz w:val="24"/>
        </w:rPr>
      </w:pPr>
      <w:r>
        <w:rPr>
          <w:rFonts w:hint="eastAsia"/>
        </w:rPr>
        <w:t>图4-2</w:t>
      </w:r>
      <w:r>
        <w:t xml:space="preserve"> </w:t>
      </w:r>
      <w:r>
        <w:rPr>
          <w:rFonts w:ascii="Segoe UI" w:hAnsi="Segoe UI" w:cs="Segoe UI"/>
          <w:shd w:val="clear" w:color="auto" w:fill="FFFFFF"/>
        </w:rPr>
        <w:t>前台购物界面-公告资讯展示图</w:t>
      </w:r>
    </w:p>
    <w:p w14:paraId="20EF32DB">
      <w:pPr>
        <w:pStyle w:val="140"/>
        <w:ind w:firstLine="480"/>
        <w:outlineLvl w:val="9"/>
      </w:pPr>
      <w:r>
        <w:t>本系统是基于SpringBoot框架构建的一体化运动服装销售与用户服务平台，完整覆盖后台管理与前端用户交互两大维度，形成集用户中心、订单交易、商品运营与数据分析于一体的全链路数字化解决方案。在前端用户侧，系统设有完善的个人中心模块。用户可在此安全存储与管理个人信息，包括姓名、联系方式、邮箱、性别及账户余额等，并支持头像设置与资料更新。个人中心深度整合用户核心权益功能：用户可查看并追踪"我的订单"状态，管理"我的地址"实现快速配送，通过"我的收藏"关注心仪商品，并统一管理"我的优惠券"以优化购物决策。同时，"修改密码"功能保障账户安全，形成以用户为中心的闭环服务体验。</w:t>
      </w:r>
    </w:p>
    <w:p w14:paraId="5CDB5806">
      <w:pPr>
        <w:pStyle w:val="151"/>
        <w:spacing w:line="240" w:lineRule="auto"/>
        <w:jc w:val="center"/>
        <w:outlineLvl w:val="9"/>
      </w:pPr>
      <w:r>
        <w:t xml:space="preserve"> </w:t>
      </w:r>
      <w:r>
        <w:drawing>
          <wp:inline distT="0" distB="0" distL="114300" distR="114300">
            <wp:extent cx="5032375" cy="2610485"/>
            <wp:effectExtent l="0" t="0" r="9525" b="5715"/>
            <wp:docPr id="53" name="图片 53" descr="微信图片_20251224155400_213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微信图片_20251224155400_213_70"/>
                    <pic:cNvPicPr>
                      <a:picLocks noChangeAspect="1"/>
                    </pic:cNvPicPr>
                  </pic:nvPicPr>
                  <pic:blipFill>
                    <a:blip r:embed="rId92"/>
                    <a:stretch>
                      <a:fillRect/>
                    </a:stretch>
                  </pic:blipFill>
                  <pic:spPr>
                    <a:xfrm>
                      <a:off x="0" y="0"/>
                      <a:ext cx="5032375" cy="2610485"/>
                    </a:xfrm>
                    <a:prstGeom prst="rect">
                      <a:avLst/>
                    </a:prstGeom>
                  </pic:spPr>
                </pic:pic>
              </a:graphicData>
            </a:graphic>
          </wp:inline>
        </w:drawing>
      </w:r>
    </w:p>
    <w:p w14:paraId="2453AA34">
      <w:pPr>
        <w:pStyle w:val="146"/>
        <w:outlineLvl w:val="9"/>
      </w:pPr>
      <w:r>
        <w:rPr>
          <w:rFonts w:hint="eastAsia"/>
        </w:rPr>
        <w:t>图4-11</w:t>
      </w:r>
      <w:r>
        <w:t xml:space="preserve"> </w:t>
      </w:r>
      <w:r>
        <w:rPr>
          <w:rFonts w:ascii="Segoe UI" w:hAnsi="Segoe UI" w:cs="Segoe UI"/>
          <w:shd w:val="clear" w:color="auto" w:fill="FFFFFF"/>
        </w:rPr>
        <w:t>前台用户个人中心页面图</w:t>
      </w:r>
    </w:p>
    <w:p w14:paraId="3549DD60">
      <w:pPr>
        <w:pStyle w:val="143"/>
        <w:ind w:firstLine="482"/>
        <w:outlineLvl w:val="9"/>
        <w:rPr>
          <w:b/>
          <w:bCs/>
        </w:rPr>
      </w:pPr>
      <w:r>
        <w:rPr>
          <w:b/>
          <w:bCs/>
        </w:rPr>
        <w:t>4.1.5 用户与权限管理模块</w:t>
      </w:r>
    </w:p>
    <w:p w14:paraId="578D26F3">
      <w:pPr>
        <w:pStyle w:val="140"/>
        <w:ind w:firstLine="480"/>
        <w:outlineLvl w:val="9"/>
      </w:pPr>
      <w:r>
        <w:t>该用户管理后台页面是运动服装商城实现数字化客户运营与精细化服务的关键中枢。其设计核心在于将零散的客户信息转化为结构化、可查询、可操作的数据资产，从而赋能管理员进行全面高效的客户关系管理。首先，在数据检索与筛选层面，页面提供了多维度复合查询功能。管理员不仅可通过"用户名"进行精确查找，还能基于"姓名"进行模糊匹配，或通过"性别"等条件快速筛选特定用户群体。这种灵活的查询机制，使得在海量用户中快速定位目标个体（如特定会员）或分析群体特征（如性别分布）成为可能，为后续的精准营销或服务提供了初始入口。其次，在信息集中展示与洞察层面，系统采用清晰的表格视图，聚合展示每位用户的完整档案。这包括直观的"头像"、作为核心联系方式的"手机"与邮箱、以及至关重要的"是否会员"状态标识。这种集中呈现方式，使管理员能够迅速掌握用户的身份概览与价值分层，识别出高忠诚度的会员客户，为差异化服务策略的制定提供即时数据支持。最后，在动态管理与维护层面，页面直接集成"修改"与"删除"等核心操作功能。管理员可在此及时更新用户信息（如变更联系方式）、调整会员状态或清理无效账户，确保客户数据库的准确性与时效性。所有操作均在统一界面完成，极大提升了账户管理效率。本质上，该页面超越了一个简单的信息列表，它构建了一个动态的客户数据工作台。通过高效的"查、看、管"闭环流程，它将后台管理员与前端消费者紧密连接起来，是系统实现"以客户为中心"的运营、开展会员营销、提升服务响应速度及进行用户行为分析的基础设施。</w:t>
      </w:r>
    </w:p>
    <w:p w14:paraId="594A04AD">
      <w:pPr>
        <w:ind w:firstLine="840" w:firstLineChars="400"/>
        <w:outlineLvl w:val="9"/>
        <w:rPr>
          <w:rFonts w:ascii="宋体" w:hAnsi="宋体"/>
          <w:bCs/>
          <w:sz w:val="24"/>
        </w:rPr>
      </w:pPr>
      <w:r>
        <w:rPr>
          <w:rFonts w:hint="eastAsia"/>
        </w:rPr>
        <w:drawing>
          <wp:inline distT="0" distB="0" distL="114300" distR="114300">
            <wp:extent cx="4452620" cy="2294890"/>
            <wp:effectExtent l="0" t="0" r="0" b="0"/>
            <wp:docPr id="42" name="图片 42" descr="微信图片_20251224160036_225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微信图片_20251224160036_225_70"/>
                    <pic:cNvPicPr>
                      <a:picLocks noChangeAspect="1"/>
                    </pic:cNvPicPr>
                  </pic:nvPicPr>
                  <pic:blipFill>
                    <a:blip r:embed="rId93"/>
                    <a:srcRect l="6024" r="5797"/>
                    <a:stretch>
                      <a:fillRect/>
                    </a:stretch>
                  </pic:blipFill>
                  <pic:spPr>
                    <a:xfrm>
                      <a:off x="0" y="0"/>
                      <a:ext cx="4452620" cy="2294890"/>
                    </a:xfrm>
                    <a:prstGeom prst="rect">
                      <a:avLst/>
                    </a:prstGeom>
                  </pic:spPr>
                </pic:pic>
              </a:graphicData>
            </a:graphic>
          </wp:inline>
        </w:drawing>
      </w:r>
    </w:p>
    <w:p w14:paraId="37199679">
      <w:pPr>
        <w:spacing w:line="440" w:lineRule="exact"/>
        <w:ind w:firstLine="420" w:firstLineChars="200"/>
        <w:jc w:val="center"/>
        <w:outlineLvl w:val="9"/>
      </w:pPr>
      <w:r>
        <w:rPr>
          <w:rFonts w:hint="eastAsia" w:ascii="宋体" w:hAnsi="宋体"/>
          <w:bCs/>
          <w:szCs w:val="21"/>
        </w:rPr>
        <w:t>图4-4</w:t>
      </w:r>
      <w:r>
        <w:rPr>
          <w:rFonts w:ascii="宋体" w:hAnsi="宋体"/>
          <w:bCs/>
          <w:szCs w:val="21"/>
        </w:rPr>
        <w:t xml:space="preserve"> </w:t>
      </w:r>
      <w:r>
        <w:rPr>
          <w:rFonts w:ascii="Segoe UI" w:hAnsi="Segoe UI" w:cs="Segoe UI"/>
          <w:shd w:val="clear" w:color="auto" w:fill="FFFFFF"/>
        </w:rPr>
        <w:t>后台用户管理列表页面图</w:t>
      </w:r>
    </w:p>
    <w:p w14:paraId="41E18724">
      <w:pPr>
        <w:pStyle w:val="143"/>
        <w:ind w:firstLine="482"/>
        <w:outlineLvl w:val="9"/>
        <w:rPr>
          <w:b/>
          <w:bCs/>
        </w:rPr>
      </w:pPr>
      <w:r>
        <w:rPr>
          <w:b/>
          <w:bCs/>
        </w:rPr>
        <w:t>4.1.6 营销与内容管理模块</w:t>
      </w:r>
    </w:p>
    <w:p w14:paraId="24CB721E">
      <w:pPr>
        <w:pStyle w:val="140"/>
        <w:ind w:firstLine="480"/>
        <w:outlineLvl w:val="9"/>
      </w:pPr>
      <w:r>
        <w:rPr>
          <w:rFonts w:hint="eastAsia"/>
        </w:rPr>
        <w:t>本</w:t>
      </w:r>
      <w:r>
        <w:t>运动系统同时整合了内容中心，用于营销资讯与品牌故事的发布。后台公告资讯发布编辑页面支持图文混排编辑，用于品牌宣传和活动推广，有效提升用户粘性与网站活跃度。</w:t>
      </w:r>
    </w:p>
    <w:p w14:paraId="2BA7E0CD">
      <w:pPr>
        <w:jc w:val="center"/>
        <w:outlineLvl w:val="9"/>
        <w:rPr>
          <w:rFonts w:ascii="宋体" w:hAnsi="宋体" w:cs="宋体"/>
          <w:bCs/>
          <w:sz w:val="24"/>
        </w:rPr>
      </w:pPr>
      <w:r>
        <w:rPr>
          <w:rFonts w:hint="eastAsia"/>
        </w:rPr>
        <w:drawing>
          <wp:inline distT="0" distB="0" distL="114300" distR="114300">
            <wp:extent cx="4444365" cy="2286000"/>
            <wp:effectExtent l="0" t="0" r="0" b="0"/>
            <wp:docPr id="44" name="图片 44" descr="微信图片_20251224160046_231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微信图片_20251224160046_231_70"/>
                    <pic:cNvPicPr>
                      <a:picLocks noChangeAspect="1"/>
                    </pic:cNvPicPr>
                  </pic:nvPicPr>
                  <pic:blipFill>
                    <a:blip r:embed="rId94"/>
                    <a:srcRect l="5884" r="5745"/>
                    <a:stretch>
                      <a:fillRect/>
                    </a:stretch>
                  </pic:blipFill>
                  <pic:spPr>
                    <a:xfrm>
                      <a:off x="0" y="0"/>
                      <a:ext cx="4444365" cy="2286000"/>
                    </a:xfrm>
                    <a:prstGeom prst="rect">
                      <a:avLst/>
                    </a:prstGeom>
                  </pic:spPr>
                </pic:pic>
              </a:graphicData>
            </a:graphic>
          </wp:inline>
        </w:drawing>
      </w:r>
    </w:p>
    <w:p w14:paraId="0785D996">
      <w:pPr>
        <w:spacing w:line="440" w:lineRule="exact"/>
        <w:ind w:firstLine="420" w:firstLineChars="200"/>
        <w:jc w:val="center"/>
        <w:outlineLvl w:val="9"/>
        <w:rPr>
          <w:rFonts w:ascii="宋体" w:hAnsi="宋体"/>
          <w:bCs/>
          <w:sz w:val="24"/>
        </w:rPr>
      </w:pPr>
      <w:r>
        <w:rPr>
          <w:rStyle w:val="147"/>
          <w:rFonts w:hint="eastAsia"/>
        </w:rPr>
        <w:t>图4-6</w:t>
      </w:r>
      <w:r>
        <w:rPr>
          <w:rStyle w:val="147"/>
        </w:rPr>
        <w:t xml:space="preserve"> </w:t>
      </w:r>
      <w:r>
        <w:rPr>
          <w:rFonts w:ascii="Segoe UI" w:hAnsi="Segoe UI" w:cs="Segoe UI"/>
          <w:shd w:val="clear" w:color="auto" w:fill="FFFFFF"/>
        </w:rPr>
        <w:t>后台公告资讯发布编辑页面图</w:t>
      </w:r>
    </w:p>
    <w:p w14:paraId="405B5073">
      <w:pPr>
        <w:pStyle w:val="140"/>
        <w:ind w:firstLine="480"/>
        <w:outlineLvl w:val="9"/>
      </w:pPr>
      <w:r>
        <w:t>系统还集成了优惠券活动管理功能，支持创建、发放、使用状态追踪及积分兑换设置，为精准营销提供工具。</w:t>
      </w:r>
    </w:p>
    <w:p w14:paraId="04208169">
      <w:pPr>
        <w:jc w:val="center"/>
        <w:outlineLvl w:val="9"/>
        <w:rPr>
          <w:b/>
          <w:bCs/>
          <w:sz w:val="28"/>
          <w:szCs w:val="28"/>
        </w:rPr>
      </w:pPr>
      <w:r>
        <w:drawing>
          <wp:inline distT="0" distB="0" distL="0" distR="0">
            <wp:extent cx="5120640" cy="2443480"/>
            <wp:effectExtent l="0" t="0" r="0" b="0"/>
            <wp:docPr id="49" name="图片 49" descr="电脑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电脑屏幕截图&#10;&#10;AI 生成的内容可能不正确。"/>
                    <pic:cNvPicPr>
                      <a:picLocks noChangeAspect="1"/>
                    </pic:cNvPicPr>
                  </pic:nvPicPr>
                  <pic:blipFill>
                    <a:blip r:embed="rId95">
                      <a:extLst>
                        <a:ext uri="{28A0092B-C50C-407E-A947-70E740481C1C}">
                          <a14:useLocalDpi xmlns:a14="http://schemas.microsoft.com/office/drawing/2010/main" val="0"/>
                        </a:ext>
                      </a:extLst>
                    </a:blip>
                    <a:srcRect b="3146"/>
                    <a:stretch>
                      <a:fillRect/>
                    </a:stretch>
                  </pic:blipFill>
                  <pic:spPr>
                    <a:xfrm>
                      <a:off x="0" y="0"/>
                      <a:ext cx="5120640" cy="2443480"/>
                    </a:xfrm>
                    <a:prstGeom prst="rect">
                      <a:avLst/>
                    </a:prstGeom>
                  </pic:spPr>
                </pic:pic>
              </a:graphicData>
            </a:graphic>
          </wp:inline>
        </w:drawing>
      </w:r>
    </w:p>
    <w:p w14:paraId="7F9F6747">
      <w:pPr>
        <w:pStyle w:val="146"/>
        <w:spacing w:line="440" w:lineRule="exact"/>
        <w:outlineLvl w:val="9"/>
      </w:pPr>
      <w:r>
        <w:t xml:space="preserve">  图4-7 </w:t>
      </w:r>
      <w:r>
        <w:rPr>
          <w:rFonts w:ascii="Segoe UI" w:hAnsi="Segoe UI" w:cs="Segoe UI"/>
          <w:shd w:val="clear" w:color="auto" w:fill="FFFFFF"/>
        </w:rPr>
        <w:t>后台优惠券活动管理列表页面图</w:t>
      </w:r>
    </w:p>
    <w:p w14:paraId="0122E1EE">
      <w:pPr>
        <w:pStyle w:val="143"/>
        <w:ind w:firstLine="482"/>
        <w:outlineLvl w:val="9"/>
        <w:rPr>
          <w:b/>
          <w:bCs/>
        </w:rPr>
      </w:pPr>
      <w:r>
        <w:rPr>
          <w:b/>
          <w:bCs/>
        </w:rPr>
        <w:t>4.1.7 数据统计与报表模块</w:t>
      </w:r>
    </w:p>
    <w:p w14:paraId="038785CD">
      <w:pPr>
        <w:pStyle w:val="140"/>
        <w:ind w:firstLine="480"/>
        <w:outlineLvl w:val="9"/>
      </w:pPr>
      <w:r>
        <w:rPr>
          <w:rFonts w:hint="eastAsia"/>
        </w:rPr>
        <w:t>本</w:t>
      </w:r>
      <w:r>
        <w:t>运动同时，系统集成丰富的数据可视化功能，支持通过"日期图""月报图"等多维度图表直观展示销售趋势、发货情况及经营关键指标，帮助管理者快速掌握运营状况，制定科学策略。系统具备实时监控商品销量、订单状态、门店业绩等功能，并通过可视化报表展示销售趋势与经营状况，助力管理者做出科学决策。</w:t>
      </w:r>
    </w:p>
    <w:p w14:paraId="16005FFA">
      <w:pPr>
        <w:pStyle w:val="143"/>
        <w:ind w:firstLine="482"/>
        <w:outlineLvl w:val="9"/>
        <w:rPr>
          <w:b/>
          <w:bCs/>
        </w:rPr>
      </w:pPr>
      <w:r>
        <w:rPr>
          <w:b/>
          <w:bCs/>
        </w:rPr>
        <w:t>4.1.8 系统登录与安全模块</w:t>
      </w:r>
    </w:p>
    <w:p w14:paraId="21426E0B">
      <w:pPr>
        <w:pStyle w:val="140"/>
        <w:ind w:firstLine="480"/>
        <w:outlineLvl w:val="9"/>
      </w:pPr>
      <w:r>
        <w:rPr>
          <w:rFonts w:hint="eastAsia"/>
        </w:rPr>
        <w:t>本</w:t>
      </w:r>
      <w:r>
        <w:t>运动系统入口采用规范化的用户登录与身份验证机制，支持账号密码安全登录，并具备用户注册与权限分级功能，确保不同角色（如管理员、门店经理、普通员工）在权限范围内操作系统相应模块。</w:t>
      </w:r>
    </w:p>
    <w:p w14:paraId="5C1FAF09">
      <w:pPr>
        <w:pStyle w:val="151"/>
        <w:spacing w:line="240" w:lineRule="auto"/>
        <w:jc w:val="center"/>
        <w:outlineLvl w:val="9"/>
      </w:pPr>
      <w:r>
        <w:drawing>
          <wp:inline distT="0" distB="0" distL="114300" distR="114300">
            <wp:extent cx="5164455" cy="2674620"/>
            <wp:effectExtent l="0" t="0" r="0" b="0"/>
            <wp:docPr id="52" name="图片 52" descr="微信图片_20251224155149_211_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微信图片_20251224155149_211_70"/>
                    <pic:cNvPicPr>
                      <a:picLocks noChangeAspect="1"/>
                    </pic:cNvPicPr>
                  </pic:nvPicPr>
                  <pic:blipFill>
                    <a:blip r:embed="rId96"/>
                    <a:srcRect r="331"/>
                    <a:stretch>
                      <a:fillRect/>
                    </a:stretch>
                  </pic:blipFill>
                  <pic:spPr>
                    <a:xfrm>
                      <a:off x="0" y="0"/>
                      <a:ext cx="5164455" cy="2674620"/>
                    </a:xfrm>
                    <a:prstGeom prst="rect">
                      <a:avLst/>
                    </a:prstGeom>
                  </pic:spPr>
                </pic:pic>
              </a:graphicData>
            </a:graphic>
          </wp:inline>
        </w:drawing>
      </w:r>
    </w:p>
    <w:p w14:paraId="71566A74">
      <w:pPr>
        <w:pStyle w:val="146"/>
        <w:outlineLvl w:val="9"/>
      </w:pPr>
      <w:r>
        <w:rPr>
          <w:rFonts w:hint="eastAsia"/>
        </w:rPr>
        <w:t>图4-10</w:t>
      </w:r>
      <w:r>
        <w:t xml:space="preserve"> </w:t>
      </w:r>
      <w:r>
        <w:rPr>
          <w:rFonts w:ascii="Segoe UI" w:hAnsi="Segoe UI" w:cs="Segoe UI"/>
          <w:shd w:val="clear" w:color="auto" w:fill="FFFFFF"/>
        </w:rPr>
        <w:t>系统登录注册页面图</w:t>
      </w:r>
    </w:p>
    <w:p w14:paraId="29BC7E11">
      <w:pPr>
        <w:pStyle w:val="143"/>
        <w:ind w:firstLine="482"/>
        <w:outlineLvl w:val="9"/>
        <w:rPr>
          <w:b/>
          <w:bCs/>
        </w:rPr>
      </w:pPr>
      <w:r>
        <w:rPr>
          <w:b/>
          <w:bCs/>
        </w:rPr>
        <w:t>4.1.9 系统整体架构与集成概述</w:t>
      </w:r>
    </w:p>
    <w:p w14:paraId="41484A9A">
      <w:pPr>
        <w:pStyle w:val="140"/>
        <w:ind w:firstLine="480"/>
        <w:outlineLvl w:val="9"/>
      </w:pPr>
      <w:r>
        <w:rPr>
          <w:rFonts w:hint="eastAsia"/>
        </w:rPr>
        <w:t>本</w:t>
      </w:r>
      <w:r>
        <w:t>运动本系统是一个基于SpringBoot框架构建的、面向现代电商业务的运动服装全链路数字化管理平台。它并非单一功能的简单叠加，而是通过技术整合与业务重构，构建了一个从前端消费者触点延伸到后端供应链管理的一体化运营中枢。在技术架构与后端核心，SpringBoot框架为系统提供了稳健、高效且易于扩展的开发基础。在此之上，平台深度集成了五大核心管理模块：商品中心（支持款式、颜色、尺码等多维度属性与精细化库存管理）、用户中心（实现会员体系与客户信息数字化）、内容中心（用于品牌资讯与营销活动的发布）、服务中心（集成在线客服与智能助手）以及订单与物流中心。这些模块在一个统一的后台管理界面中互联互通，数据实时同步，使得管理员能够高效地管理商品上架、处理全域订单、分析用户行为并维护客户关系，实现了运营流程的全面数字化。在前端与消费者体验侧，系统同时提供了一个设计美观、交互流畅的前端购物界面。该界面与后端数据无缝对接，能够清晰展示来自商品中心的多样化产品、来自内容中心的品牌故事，并提供来自服务中心的即时沟通渠道。这种前后端一体化的设计，确保了管理端每一次商品更新或营销设置，都能即时、准确地呈现在消费者面前。综上所述，该平台的最终目标是双向赋能：一方面，通过集成化、自动化的后台极大提升商家的运营管理效率与决策精准度；另一方面，通过友好、丰富且响应迅速的前端界面，显著优化消费者的浏览、咨询与购买体验，从而在整体上驱动运动服装电商业务的可持续增长。</w:t>
      </w:r>
    </w:p>
    <w:p w14:paraId="5637C9DD">
      <w:pPr>
        <w:pStyle w:val="146"/>
        <w:outlineLvl w:val="9"/>
      </w:pPr>
      <w:r>
        <w:rPr>
          <w:rFonts w:hint="eastAsia"/>
        </w:rPr>
        <w:drawing>
          <wp:inline distT="0" distB="0" distL="0" distR="0">
            <wp:extent cx="4462780" cy="2293620"/>
            <wp:effectExtent l="0" t="0" r="0" b="0"/>
            <wp:docPr id="115" name="图片 115"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图形用户界面&#10;&#10;AI 生成的内容可能不正确。"/>
                    <pic:cNvPicPr>
                      <a:picLocks noChangeAspect="1"/>
                    </pic:cNvPicPr>
                  </pic:nvPicPr>
                  <pic:blipFill>
                    <a:blip r:embed="rId97">
                      <a:extLst>
                        <a:ext uri="{28A0092B-C50C-407E-A947-70E740481C1C}">
                          <a14:useLocalDpi xmlns:a14="http://schemas.microsoft.com/office/drawing/2010/main" val="0"/>
                        </a:ext>
                      </a:extLst>
                    </a:blip>
                    <a:srcRect l="5677" r="5924"/>
                    <a:stretch>
                      <a:fillRect/>
                    </a:stretch>
                  </pic:blipFill>
                  <pic:spPr>
                    <a:xfrm>
                      <a:off x="0" y="0"/>
                      <a:ext cx="4462818" cy="2293620"/>
                    </a:xfrm>
                    <a:prstGeom prst="rect">
                      <a:avLst/>
                    </a:prstGeom>
                    <a:ln>
                      <a:noFill/>
                    </a:ln>
                  </pic:spPr>
                </pic:pic>
              </a:graphicData>
            </a:graphic>
          </wp:inline>
        </w:drawing>
      </w:r>
    </w:p>
    <w:p w14:paraId="7BBB2D30">
      <w:pPr>
        <w:pStyle w:val="146"/>
        <w:outlineLvl w:val="9"/>
      </w:pPr>
      <w:r>
        <w:rPr>
          <w:rFonts w:hint="eastAsia"/>
        </w:rPr>
        <w:t>图4-1</w:t>
      </w:r>
      <w:r>
        <w:t xml:space="preserve"> </w:t>
      </w:r>
      <w:r>
        <w:rPr>
          <w:rFonts w:ascii="Segoe UI" w:hAnsi="Segoe UI" w:cs="Segoe UI"/>
          <w:shd w:val="clear" w:color="auto" w:fill="FFFFFF"/>
        </w:rPr>
        <w:t>系统简介与友情链接页面图</w:t>
      </w:r>
    </w:p>
    <w:p w14:paraId="3FC607F2">
      <w:pPr>
        <w:pStyle w:val="140"/>
        <w:ind w:firstLine="480"/>
        <w:outlineLvl w:val="9"/>
      </w:pPr>
      <w:r>
        <w:t>本系统是一个基于SpringBoot框架构建的、面向新零售时代的全渠道运动服装销售与运营管理平台。它通过模块化设计与深度业务整合，将线上商城、线下门店及可能连接的第三方电商平台数据流与业务流彻底打通，构建了一个覆盖产品、客户、销售与服务全生命周期的一体化智能运营中心。在技术底座与业务架构层面，SpringBoot为系统提供了稳定、灵活且易于维护的微服务架构基础。在此之上，平台并非孤立功能的堆砌，而是将商品中心（支持多属性、多SKU及组合SKU的精细化管理）、用户中心（会员体系与全景客户档案）、订单中心（聚合处理、状态跟踪与自动化履约）、物流中心（实时轨迹同步）、内容中心（营销资讯与品牌故事）以及服务中心（智能客服）等核心模块有机融合。这些模块在统一的后台管理界面中数据同源、实时联动，使管理员能够从单一入口掌控全局运营：从新品的多渠同步上架、全域订单的集中处理与发货，到用户群体的分层分析与精准触达，实现了运营流程的全面数字化与协同化。其"全渠道"与"精细化"特性体现在业务闭环的每个环节。 系统能同步管理各渠道库存，避免超卖；聚合所有来源订单，统一处理；并追踪从下单到收货的完整服务链路。对于管理者，这意味着可以基于准确的全局数据进行销售分析、库存优化和营销决策（精细化运营）；对于消费者，则意味着无论从哪个渠道购物，都能获得一致的品牌体验、可靠的产品信息和连贯的售后服务。因此，该平台的核心价值在于构建了一个强大的数字化中枢。它不仅极大地提升了企业内部的跨部门协作效率与管理透明度，降低了运营成本，更重要的是通过数据驱动和流程优化，直接赋能销售增长与客户满意度提升，为运动服装品牌在激烈的市场竞争中构建起坚实的数字化护城河。</w:t>
      </w:r>
    </w:p>
    <w:p w14:paraId="238F2024">
      <w:pPr>
        <w:pStyle w:val="140"/>
        <w:ind w:firstLine="480"/>
        <w:outlineLvl w:val="9"/>
      </w:pPr>
      <w:r>
        <w:t>本系统是基于SpringBoot框架设计与实现的运动服装销售管理平台，旨在为运动服装品牌提供高效、智能的线上线下一体化销售管理解决方案。系统涵盖商品管理、订单处理、门店运营、销售数据分析等核心功能，支持多门店统一管理与数据协同。系统具备实时监控商品销量、订单状态、门店业绩等功能，并通过可视化报表展示销售趋势与经营状况，助力管理者做出科学决策。将复杂的服装商品管理、跨渠道库存统筹及多来源订单处理流程标准化、自动化，为运动服装品牌或零售商提供了提升运营效率、降低管理成本、实现数据驱动决策的强大核心工具用户可便捷查询商品信息、处理订单流程，实现库存动态更新与配送分流优化，提升运营效率与客户满意度。系统架构轻量、响应迅速，支持高并发访问与模块化扩展，适用于各类运动服装销售场景，助力企业实现数字化转型与精细化运营。</w:t>
      </w:r>
    </w:p>
    <w:p w14:paraId="0C71E512">
      <w:pPr>
        <w:pStyle w:val="140"/>
        <w:ind w:firstLine="480"/>
        <w:outlineLvl w:val="9"/>
      </w:pPr>
      <w:r>
        <w:t>本系统是基于SpringBoot框架开发的一体化运动服装销售与后台管理平台，旨在为品牌方、零售商及终端门店提供集商品管理、订单处理、用户权限控制、数据分析于一体的数字化运营解决方案。系统以安全、高效、可扩展为核心设计理念，支持多角色、多层级用户协同操作，助力企业实现全流程销售管理与决策优化。系统架构基于SpringBoot开发，具备良好的可维护性、高并发处理能力及模块化扩展性，可灵活适配各类运动服装企业的业务规模与发展需求。通过将销售数据、用户行为与运营流程全面数字化，本系统不仅提升了内部管理效率，也为消费者提供了更流畅、透明的购物与服务体验，是推动运动服装行业向智能化、精细化运营转型的重要支撑平台。</w:t>
      </w:r>
    </w:p>
    <w:p w14:paraId="2B553759">
      <w:pPr>
        <w:pStyle w:val="140"/>
        <w:ind w:firstLine="480"/>
        <w:outlineLvl w:val="9"/>
      </w:pPr>
      <w:r>
        <w:t>在后台管理侧，系统为运营人员提供多维度管理工具，涵盖商品上下架、库存监控、多门店订单处理、退货审核流程、销售数据可视化分析等功能。管理员可通过系统实时掌握各门店销售表现、商品销量排行与经营趋势，实现精细化运营与快速决策。系统架构基于SpringBoot开发，具备模块化、可扩展性强与高并发处理能力，支持Web端多角色协同操作。通过打通用户端与管理端的业务流与数据流，本系统不仅提升了企业内部的运营效率与管控水平，也显著优化了消费者的购物流程与售后服务体验，是运动服装品牌实现全渠道销售管理与用户关系深度维护的一体化智能平台。</w:t>
      </w:r>
    </w:p>
    <w:bookmarkEnd w:id="71"/>
    <w:p w14:paraId="642C4A61">
      <w:pPr>
        <w:pStyle w:val="151"/>
        <w:outlineLvl w:val="9"/>
        <w:rPr>
          <w:rFonts w:ascii="宋体" w:hAnsi="宋体"/>
        </w:rPr>
      </w:pPr>
      <w:bookmarkStart w:id="72" w:name="_Toc26469"/>
      <w:r>
        <w:rPr>
          <w:rFonts w:ascii="宋体" w:hAnsi="宋体"/>
        </w:rPr>
        <w:t>5 系统测试</w:t>
      </w:r>
      <w:bookmarkEnd w:id="72"/>
    </w:p>
    <w:p w14:paraId="41C9C9CE">
      <w:pPr>
        <w:pStyle w:val="139"/>
        <w:ind w:firstLine="562"/>
        <w:outlineLvl w:val="9"/>
        <w:rPr>
          <w:b/>
          <w:bCs/>
          <w:sz w:val="28"/>
          <w:szCs w:val="28"/>
        </w:rPr>
      </w:pPr>
      <w:bookmarkStart w:id="73" w:name="_Toc8074"/>
      <w:r>
        <w:rPr>
          <w:rFonts w:hint="eastAsia"/>
          <w:b/>
          <w:bCs/>
          <w:sz w:val="28"/>
          <w:szCs w:val="28"/>
        </w:rPr>
        <w:t>5.1登录注册模块测试</w:t>
      </w:r>
      <w:bookmarkEnd w:id="73"/>
    </w:p>
    <w:p w14:paraId="2F91B065">
      <w:pPr>
        <w:pStyle w:val="140"/>
        <w:ind w:firstLine="480"/>
        <w:outlineLvl w:val="9"/>
      </w:pPr>
      <w:r>
        <w:rPr>
          <w:rFonts w:hint="eastAsia"/>
        </w:rPr>
        <w:t>对登录注册功能模块进行测试，测试结果如表5-1所示。</w:t>
      </w:r>
    </w:p>
    <w:p w14:paraId="76D47BDB">
      <w:pPr>
        <w:spacing w:line="440" w:lineRule="exact"/>
        <w:jc w:val="center"/>
        <w:outlineLvl w:val="9"/>
        <w:rPr>
          <w:rFonts w:ascii="宋体" w:hAnsi="宋体" w:cs="宋体"/>
        </w:rPr>
      </w:pPr>
      <w:r>
        <w:rPr>
          <w:rFonts w:hint="eastAsia" w:ascii="宋体" w:hAnsi="宋体" w:cs="宋体"/>
        </w:rPr>
        <w:t>表5-1 注册登陆页面测试表</w:t>
      </w:r>
    </w:p>
    <w:tbl>
      <w:tblPr>
        <w:tblStyle w:val="35"/>
        <w:tblW w:w="0" w:type="auto"/>
        <w:tblInd w:w="0" w:type="dxa"/>
        <w:tblLayout w:type="autofit"/>
        <w:tblCellMar>
          <w:top w:w="0" w:type="dxa"/>
          <w:left w:w="108" w:type="dxa"/>
          <w:bottom w:w="0" w:type="dxa"/>
          <w:right w:w="108" w:type="dxa"/>
        </w:tblCellMar>
      </w:tblPr>
      <w:tblGrid>
        <w:gridCol w:w="1520"/>
        <w:gridCol w:w="2624"/>
        <w:gridCol w:w="2073"/>
        <w:gridCol w:w="2073"/>
      </w:tblGrid>
      <w:tr w14:paraId="5E3B2E0F">
        <w:tblPrEx>
          <w:tblCellMar>
            <w:top w:w="0" w:type="dxa"/>
            <w:left w:w="108" w:type="dxa"/>
            <w:bottom w:w="0" w:type="dxa"/>
            <w:right w:w="108" w:type="dxa"/>
          </w:tblCellMar>
        </w:tblPrEx>
        <w:trPr>
          <w:trHeight w:val="529" w:hRule="atLeast"/>
        </w:trPr>
        <w:tc>
          <w:tcPr>
            <w:tcW w:w="1520" w:type="dxa"/>
            <w:vAlign w:val="center"/>
          </w:tcPr>
          <w:p w14:paraId="4448DC9F">
            <w:pPr>
              <w:jc w:val="center"/>
              <w:outlineLvl w:val="9"/>
              <w:rPr>
                <w:rFonts w:ascii="宋体" w:hAnsi="宋体" w:cs="Verdana"/>
                <w:bCs/>
                <w:kern w:val="0"/>
                <w:szCs w:val="21"/>
              </w:rPr>
            </w:pPr>
            <w:r>
              <w:rPr>
                <w:rFonts w:hint="eastAsia" w:ascii="宋体" w:hAnsi="宋体" w:cs="Verdana"/>
                <w:bCs/>
                <w:kern w:val="0"/>
                <w:szCs w:val="21"/>
              </w:rPr>
              <w:t>编号</w:t>
            </w:r>
          </w:p>
        </w:tc>
        <w:tc>
          <w:tcPr>
            <w:tcW w:w="2624" w:type="dxa"/>
            <w:vAlign w:val="center"/>
          </w:tcPr>
          <w:p w14:paraId="4D8D52B1">
            <w:pPr>
              <w:jc w:val="center"/>
              <w:outlineLvl w:val="9"/>
              <w:rPr>
                <w:rFonts w:ascii="宋体" w:hAnsi="宋体" w:cs="Verdana"/>
                <w:bCs/>
                <w:kern w:val="0"/>
                <w:szCs w:val="21"/>
              </w:rPr>
            </w:pPr>
            <w:r>
              <w:rPr>
                <w:rFonts w:hint="eastAsia" w:ascii="宋体" w:hAnsi="宋体" w:cs="Verdana"/>
                <w:bCs/>
                <w:kern w:val="0"/>
                <w:szCs w:val="21"/>
              </w:rPr>
              <w:t>操作</w:t>
            </w:r>
          </w:p>
        </w:tc>
        <w:tc>
          <w:tcPr>
            <w:tcW w:w="2073" w:type="dxa"/>
            <w:vAlign w:val="center"/>
          </w:tcPr>
          <w:p w14:paraId="7745974D">
            <w:pPr>
              <w:jc w:val="center"/>
              <w:outlineLvl w:val="9"/>
              <w:rPr>
                <w:rFonts w:ascii="宋体" w:hAnsi="宋体" w:cs="Verdana"/>
                <w:bCs/>
                <w:kern w:val="0"/>
                <w:szCs w:val="21"/>
              </w:rPr>
            </w:pPr>
            <w:r>
              <w:rPr>
                <w:rFonts w:hint="eastAsia" w:ascii="宋体" w:hAnsi="宋体" w:cs="Verdana"/>
                <w:bCs/>
                <w:kern w:val="0"/>
                <w:szCs w:val="21"/>
              </w:rPr>
              <w:t>预期结果</w:t>
            </w:r>
          </w:p>
        </w:tc>
        <w:tc>
          <w:tcPr>
            <w:tcW w:w="2073" w:type="dxa"/>
            <w:vAlign w:val="center"/>
          </w:tcPr>
          <w:p w14:paraId="02CB83DF">
            <w:pPr>
              <w:jc w:val="center"/>
              <w:outlineLvl w:val="9"/>
              <w:rPr>
                <w:rFonts w:ascii="宋体" w:hAnsi="宋体" w:cs="Verdana"/>
                <w:bCs/>
                <w:kern w:val="0"/>
                <w:szCs w:val="21"/>
              </w:rPr>
            </w:pPr>
            <w:r>
              <w:rPr>
                <w:rFonts w:hint="eastAsia" w:ascii="宋体" w:hAnsi="宋体" w:cs="Verdana"/>
                <w:bCs/>
                <w:kern w:val="0"/>
                <w:szCs w:val="21"/>
              </w:rPr>
              <w:t>测试结果</w:t>
            </w:r>
          </w:p>
        </w:tc>
      </w:tr>
      <w:tr w14:paraId="6DD38B08">
        <w:tblPrEx>
          <w:tblCellMar>
            <w:top w:w="0" w:type="dxa"/>
            <w:left w:w="108" w:type="dxa"/>
            <w:bottom w:w="0" w:type="dxa"/>
            <w:right w:w="108" w:type="dxa"/>
          </w:tblCellMar>
        </w:tblPrEx>
        <w:tc>
          <w:tcPr>
            <w:tcW w:w="1520" w:type="dxa"/>
            <w:vAlign w:val="center"/>
          </w:tcPr>
          <w:p w14:paraId="79164132">
            <w:pPr>
              <w:jc w:val="center"/>
              <w:outlineLvl w:val="9"/>
              <w:rPr>
                <w:rFonts w:ascii="宋体" w:hAnsi="宋体" w:cs="Verdana"/>
                <w:bCs/>
                <w:kern w:val="0"/>
                <w:szCs w:val="21"/>
              </w:rPr>
            </w:pPr>
            <w:r>
              <w:rPr>
                <w:rFonts w:hint="eastAsia" w:ascii="宋体" w:hAnsi="宋体" w:cs="Verdana"/>
                <w:bCs/>
                <w:kern w:val="0"/>
                <w:szCs w:val="21"/>
              </w:rPr>
              <w:t>1</w:t>
            </w:r>
          </w:p>
        </w:tc>
        <w:tc>
          <w:tcPr>
            <w:tcW w:w="2624" w:type="dxa"/>
            <w:vAlign w:val="center"/>
          </w:tcPr>
          <w:p w14:paraId="6C595339">
            <w:pPr>
              <w:jc w:val="center"/>
              <w:outlineLvl w:val="9"/>
              <w:rPr>
                <w:rFonts w:ascii="宋体" w:hAnsi="宋体" w:cs="Verdana"/>
                <w:bCs/>
                <w:kern w:val="0"/>
                <w:szCs w:val="21"/>
              </w:rPr>
            </w:pPr>
            <w:r>
              <w:rPr>
                <w:rFonts w:hint="eastAsia" w:ascii="宋体" w:hAnsi="宋体" w:cs="Verdana"/>
                <w:bCs/>
                <w:kern w:val="0"/>
                <w:szCs w:val="21"/>
              </w:rPr>
              <w:t>点击注册，输入新的用户名密码</w:t>
            </w:r>
          </w:p>
        </w:tc>
        <w:tc>
          <w:tcPr>
            <w:tcW w:w="2073" w:type="dxa"/>
            <w:vAlign w:val="center"/>
          </w:tcPr>
          <w:p w14:paraId="3606E2E2">
            <w:pPr>
              <w:jc w:val="center"/>
              <w:outlineLvl w:val="9"/>
              <w:rPr>
                <w:rFonts w:ascii="宋体" w:hAnsi="宋体" w:cs="Verdana"/>
                <w:bCs/>
                <w:kern w:val="0"/>
                <w:szCs w:val="21"/>
              </w:rPr>
            </w:pPr>
            <w:r>
              <w:rPr>
                <w:rFonts w:hint="eastAsia" w:ascii="宋体" w:hAnsi="宋体" w:cs="Verdana"/>
                <w:bCs/>
                <w:kern w:val="0"/>
                <w:szCs w:val="21"/>
              </w:rPr>
              <w:t>注册成功</w:t>
            </w:r>
          </w:p>
        </w:tc>
        <w:tc>
          <w:tcPr>
            <w:tcW w:w="2073" w:type="dxa"/>
            <w:vAlign w:val="center"/>
          </w:tcPr>
          <w:p w14:paraId="62A339A5">
            <w:pPr>
              <w:jc w:val="center"/>
              <w:outlineLvl w:val="9"/>
              <w:rPr>
                <w:rFonts w:ascii="宋体" w:hAnsi="宋体" w:cs="Verdana"/>
                <w:bCs/>
                <w:kern w:val="0"/>
                <w:szCs w:val="21"/>
              </w:rPr>
            </w:pPr>
            <w:r>
              <w:rPr>
                <w:rFonts w:hint="eastAsia" w:ascii="宋体" w:hAnsi="宋体" w:cs="Verdana"/>
                <w:bCs/>
                <w:kern w:val="0"/>
                <w:szCs w:val="21"/>
              </w:rPr>
              <w:t>注册成功</w:t>
            </w:r>
          </w:p>
        </w:tc>
      </w:tr>
      <w:tr w14:paraId="70E6A9B5">
        <w:tblPrEx>
          <w:tblCellMar>
            <w:top w:w="0" w:type="dxa"/>
            <w:left w:w="108" w:type="dxa"/>
            <w:bottom w:w="0" w:type="dxa"/>
            <w:right w:w="108" w:type="dxa"/>
          </w:tblCellMar>
        </w:tblPrEx>
        <w:trPr>
          <w:trHeight w:val="951" w:hRule="atLeast"/>
        </w:trPr>
        <w:tc>
          <w:tcPr>
            <w:tcW w:w="1520" w:type="dxa"/>
            <w:vAlign w:val="center"/>
          </w:tcPr>
          <w:p w14:paraId="34B02EA1">
            <w:pPr>
              <w:jc w:val="center"/>
              <w:outlineLvl w:val="9"/>
              <w:rPr>
                <w:rFonts w:ascii="宋体" w:hAnsi="宋体" w:cs="Verdana"/>
                <w:bCs/>
                <w:kern w:val="0"/>
                <w:szCs w:val="21"/>
              </w:rPr>
            </w:pPr>
            <w:r>
              <w:rPr>
                <w:rFonts w:hint="eastAsia" w:ascii="宋体" w:hAnsi="宋体" w:cs="Verdana"/>
                <w:bCs/>
                <w:kern w:val="0"/>
                <w:szCs w:val="21"/>
              </w:rPr>
              <w:t>2</w:t>
            </w:r>
          </w:p>
        </w:tc>
        <w:tc>
          <w:tcPr>
            <w:tcW w:w="2624" w:type="dxa"/>
            <w:vAlign w:val="center"/>
          </w:tcPr>
          <w:p w14:paraId="47011714">
            <w:pPr>
              <w:jc w:val="center"/>
              <w:outlineLvl w:val="9"/>
              <w:rPr>
                <w:rFonts w:ascii="宋体" w:hAnsi="宋体" w:cs="Verdana"/>
                <w:bCs/>
                <w:kern w:val="0"/>
                <w:szCs w:val="21"/>
              </w:rPr>
            </w:pPr>
            <w:r>
              <w:rPr>
                <w:rFonts w:hint="eastAsia" w:ascii="宋体" w:hAnsi="宋体" w:cs="Verdana"/>
                <w:bCs/>
                <w:kern w:val="0"/>
                <w:szCs w:val="21"/>
              </w:rPr>
              <w:t>用注册成功的用户名进行登录</w:t>
            </w:r>
          </w:p>
        </w:tc>
        <w:tc>
          <w:tcPr>
            <w:tcW w:w="2073" w:type="dxa"/>
            <w:vAlign w:val="center"/>
          </w:tcPr>
          <w:p w14:paraId="0F6C5D3C">
            <w:pPr>
              <w:jc w:val="center"/>
              <w:outlineLvl w:val="9"/>
              <w:rPr>
                <w:rFonts w:ascii="宋体" w:hAnsi="宋体" w:cs="Verdana"/>
                <w:bCs/>
                <w:kern w:val="0"/>
                <w:szCs w:val="21"/>
              </w:rPr>
            </w:pPr>
            <w:r>
              <w:rPr>
                <w:rFonts w:hint="eastAsia" w:ascii="宋体" w:hAnsi="宋体" w:cs="Verdana"/>
                <w:bCs/>
                <w:kern w:val="0"/>
                <w:szCs w:val="21"/>
              </w:rPr>
              <w:t>登陆成功</w:t>
            </w:r>
          </w:p>
        </w:tc>
        <w:tc>
          <w:tcPr>
            <w:tcW w:w="2073" w:type="dxa"/>
            <w:vAlign w:val="center"/>
          </w:tcPr>
          <w:p w14:paraId="59D067E2">
            <w:pPr>
              <w:jc w:val="center"/>
              <w:outlineLvl w:val="9"/>
              <w:rPr>
                <w:rFonts w:ascii="宋体" w:hAnsi="宋体" w:cs="Verdana"/>
                <w:bCs/>
                <w:kern w:val="0"/>
                <w:szCs w:val="21"/>
              </w:rPr>
            </w:pPr>
            <w:r>
              <w:rPr>
                <w:rFonts w:hint="eastAsia" w:ascii="宋体" w:hAnsi="宋体" w:cs="Verdana"/>
                <w:bCs/>
                <w:kern w:val="0"/>
                <w:szCs w:val="21"/>
              </w:rPr>
              <w:t>登录成功</w:t>
            </w:r>
          </w:p>
        </w:tc>
      </w:tr>
      <w:tr w14:paraId="7FF95AE0">
        <w:tblPrEx>
          <w:tblCellMar>
            <w:top w:w="0" w:type="dxa"/>
            <w:left w:w="108" w:type="dxa"/>
            <w:bottom w:w="0" w:type="dxa"/>
            <w:right w:w="108" w:type="dxa"/>
          </w:tblCellMar>
        </w:tblPrEx>
        <w:trPr>
          <w:trHeight w:val="975" w:hRule="atLeast"/>
        </w:trPr>
        <w:tc>
          <w:tcPr>
            <w:tcW w:w="1520" w:type="dxa"/>
            <w:vAlign w:val="center"/>
          </w:tcPr>
          <w:p w14:paraId="7DEA0350">
            <w:pPr>
              <w:jc w:val="center"/>
              <w:outlineLvl w:val="9"/>
              <w:rPr>
                <w:rFonts w:ascii="宋体" w:hAnsi="宋体" w:cs="Verdana"/>
                <w:bCs/>
                <w:kern w:val="0"/>
                <w:szCs w:val="21"/>
              </w:rPr>
            </w:pPr>
            <w:r>
              <w:rPr>
                <w:rFonts w:hint="eastAsia" w:ascii="宋体" w:hAnsi="宋体" w:cs="Verdana"/>
                <w:bCs/>
                <w:kern w:val="0"/>
                <w:szCs w:val="21"/>
              </w:rPr>
              <w:t>3</w:t>
            </w:r>
          </w:p>
        </w:tc>
        <w:tc>
          <w:tcPr>
            <w:tcW w:w="2624" w:type="dxa"/>
            <w:vAlign w:val="center"/>
          </w:tcPr>
          <w:p w14:paraId="231AC1A1">
            <w:pPr>
              <w:jc w:val="center"/>
              <w:outlineLvl w:val="9"/>
              <w:rPr>
                <w:rFonts w:ascii="宋体" w:hAnsi="宋体" w:cs="Verdana"/>
                <w:bCs/>
                <w:kern w:val="0"/>
                <w:szCs w:val="21"/>
              </w:rPr>
            </w:pPr>
            <w:r>
              <w:rPr>
                <w:rFonts w:hint="eastAsia" w:ascii="宋体" w:hAnsi="宋体" w:cs="Verdana"/>
                <w:bCs/>
                <w:kern w:val="0"/>
                <w:szCs w:val="21"/>
              </w:rPr>
              <w:t>使用错误用户名登录</w:t>
            </w:r>
          </w:p>
        </w:tc>
        <w:tc>
          <w:tcPr>
            <w:tcW w:w="2073" w:type="dxa"/>
            <w:vAlign w:val="center"/>
          </w:tcPr>
          <w:p w14:paraId="525E0EE7">
            <w:pPr>
              <w:jc w:val="center"/>
              <w:outlineLvl w:val="9"/>
              <w:rPr>
                <w:rFonts w:ascii="宋体" w:hAnsi="宋体" w:cs="Verdana"/>
                <w:bCs/>
                <w:kern w:val="0"/>
                <w:szCs w:val="21"/>
              </w:rPr>
            </w:pPr>
            <w:r>
              <w:rPr>
                <w:rFonts w:hint="eastAsia" w:ascii="宋体" w:hAnsi="宋体" w:cs="Verdana"/>
                <w:bCs/>
                <w:kern w:val="0"/>
                <w:szCs w:val="21"/>
              </w:rPr>
              <w:t>显示账号或密码错误</w:t>
            </w:r>
          </w:p>
        </w:tc>
        <w:tc>
          <w:tcPr>
            <w:tcW w:w="2073" w:type="dxa"/>
            <w:vAlign w:val="center"/>
          </w:tcPr>
          <w:p w14:paraId="3D7233B7">
            <w:pPr>
              <w:jc w:val="center"/>
              <w:outlineLvl w:val="9"/>
              <w:rPr>
                <w:rFonts w:ascii="宋体" w:hAnsi="宋体" w:cs="Verdana"/>
                <w:bCs/>
                <w:kern w:val="0"/>
                <w:szCs w:val="21"/>
              </w:rPr>
            </w:pPr>
            <w:r>
              <w:rPr>
                <w:rFonts w:hint="eastAsia" w:ascii="宋体" w:hAnsi="宋体" w:cs="Verdana"/>
                <w:bCs/>
                <w:kern w:val="0"/>
                <w:szCs w:val="21"/>
              </w:rPr>
              <w:t>提示“账号或密码错误”</w:t>
            </w:r>
          </w:p>
        </w:tc>
      </w:tr>
      <w:tr w14:paraId="171C1372">
        <w:tblPrEx>
          <w:tblCellMar>
            <w:top w:w="0" w:type="dxa"/>
            <w:left w:w="108" w:type="dxa"/>
            <w:bottom w:w="0" w:type="dxa"/>
            <w:right w:w="108" w:type="dxa"/>
          </w:tblCellMar>
        </w:tblPrEx>
        <w:trPr>
          <w:trHeight w:val="997" w:hRule="atLeast"/>
        </w:trPr>
        <w:tc>
          <w:tcPr>
            <w:tcW w:w="1520" w:type="dxa"/>
            <w:vAlign w:val="center"/>
          </w:tcPr>
          <w:p w14:paraId="3646FAA3">
            <w:pPr>
              <w:jc w:val="center"/>
              <w:outlineLvl w:val="9"/>
              <w:rPr>
                <w:rFonts w:ascii="宋体" w:hAnsi="宋体" w:cs="Verdana"/>
                <w:bCs/>
                <w:kern w:val="0"/>
                <w:szCs w:val="21"/>
              </w:rPr>
            </w:pPr>
            <w:r>
              <w:rPr>
                <w:rFonts w:hint="eastAsia" w:ascii="宋体" w:hAnsi="宋体" w:cs="Verdana"/>
                <w:bCs/>
                <w:kern w:val="0"/>
                <w:szCs w:val="21"/>
              </w:rPr>
              <w:t>4</w:t>
            </w:r>
          </w:p>
        </w:tc>
        <w:tc>
          <w:tcPr>
            <w:tcW w:w="2624" w:type="dxa"/>
            <w:vAlign w:val="center"/>
          </w:tcPr>
          <w:p w14:paraId="14F894D8">
            <w:pPr>
              <w:jc w:val="center"/>
              <w:outlineLvl w:val="9"/>
              <w:rPr>
                <w:rFonts w:ascii="宋体" w:hAnsi="宋体" w:cs="Verdana"/>
                <w:bCs/>
                <w:kern w:val="0"/>
                <w:szCs w:val="21"/>
              </w:rPr>
            </w:pPr>
            <w:r>
              <w:rPr>
                <w:rFonts w:hint="eastAsia" w:ascii="宋体" w:hAnsi="宋体" w:cs="Verdana"/>
                <w:bCs/>
                <w:kern w:val="0"/>
                <w:szCs w:val="21"/>
              </w:rPr>
              <w:t>用户名为空时进行登录</w:t>
            </w:r>
          </w:p>
        </w:tc>
        <w:tc>
          <w:tcPr>
            <w:tcW w:w="2073" w:type="dxa"/>
            <w:vAlign w:val="center"/>
          </w:tcPr>
          <w:p w14:paraId="21D08F6B">
            <w:pPr>
              <w:jc w:val="center"/>
              <w:outlineLvl w:val="9"/>
              <w:rPr>
                <w:rFonts w:ascii="宋体" w:hAnsi="宋体" w:cs="Verdana"/>
                <w:bCs/>
                <w:kern w:val="0"/>
                <w:szCs w:val="21"/>
              </w:rPr>
            </w:pPr>
            <w:r>
              <w:rPr>
                <w:rFonts w:hint="eastAsia" w:ascii="宋体" w:hAnsi="宋体" w:cs="Verdana"/>
                <w:bCs/>
                <w:kern w:val="0"/>
                <w:szCs w:val="21"/>
              </w:rPr>
              <w:t>显示用户名不能为空</w:t>
            </w:r>
          </w:p>
        </w:tc>
        <w:tc>
          <w:tcPr>
            <w:tcW w:w="2073" w:type="dxa"/>
            <w:vAlign w:val="center"/>
          </w:tcPr>
          <w:p w14:paraId="34B8D670">
            <w:pPr>
              <w:jc w:val="center"/>
              <w:outlineLvl w:val="9"/>
              <w:rPr>
                <w:rFonts w:ascii="宋体" w:hAnsi="宋体" w:cs="Verdana"/>
                <w:bCs/>
                <w:kern w:val="0"/>
                <w:szCs w:val="21"/>
              </w:rPr>
            </w:pPr>
            <w:r>
              <w:rPr>
                <w:rFonts w:hint="eastAsia" w:ascii="宋体" w:hAnsi="宋体" w:cs="Verdana"/>
                <w:bCs/>
                <w:kern w:val="0"/>
                <w:szCs w:val="21"/>
              </w:rPr>
              <w:t>提示“用户名不能为空”</w:t>
            </w:r>
          </w:p>
        </w:tc>
      </w:tr>
    </w:tbl>
    <w:p w14:paraId="359D3E2F">
      <w:pPr>
        <w:pStyle w:val="139"/>
        <w:ind w:firstLine="562"/>
        <w:outlineLvl w:val="9"/>
        <w:rPr>
          <w:b/>
          <w:bCs/>
          <w:sz w:val="28"/>
          <w:szCs w:val="28"/>
        </w:rPr>
      </w:pPr>
      <w:bookmarkStart w:id="74" w:name="_Toc27970"/>
      <w:r>
        <w:rPr>
          <w:rFonts w:hint="eastAsia"/>
          <w:b/>
          <w:bCs/>
          <w:sz w:val="28"/>
          <w:szCs w:val="28"/>
        </w:rPr>
        <w:t>5</w:t>
      </w:r>
      <w:r>
        <w:rPr>
          <w:b/>
          <w:bCs/>
          <w:sz w:val="28"/>
          <w:szCs w:val="28"/>
        </w:rPr>
        <w:t>.2 商品管理模块测试</w:t>
      </w:r>
      <w:bookmarkEnd w:id="74"/>
    </w:p>
    <w:p w14:paraId="1FEBA191">
      <w:pPr>
        <w:pStyle w:val="140"/>
        <w:ind w:firstLine="480"/>
        <w:outlineLvl w:val="9"/>
      </w:pPr>
      <w:r>
        <w:t>商品管理模块是系统核心业务模块之一，涵盖商品添加、编辑、查询、上下架等功能，需确保商品信息录入准确、展示正常、库存同步及时。测试用例如表 5-2 所示。</w:t>
      </w:r>
    </w:p>
    <w:p w14:paraId="21F25866">
      <w:pPr>
        <w:pStyle w:val="140"/>
        <w:ind w:firstLine="0" w:firstLineChars="0"/>
        <w:jc w:val="center"/>
        <w:outlineLvl w:val="9"/>
        <w:rPr>
          <w:rFonts w:ascii="宋体" w:hAnsi="宋体" w:cs="宋体"/>
          <w:sz w:val="21"/>
          <w:szCs w:val="21"/>
        </w:rPr>
      </w:pPr>
      <w:r>
        <w:rPr>
          <w:rFonts w:ascii="宋体" w:hAnsi="宋体" w:cs="Segoe UI"/>
          <w:sz w:val="21"/>
          <w:szCs w:val="21"/>
          <w:shd w:val="clear" w:color="auto" w:fill="FFFFFF"/>
        </w:rPr>
        <w:t>表 5-2 商品管理模块测试表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88"/>
        <w:gridCol w:w="1842"/>
        <w:gridCol w:w="1701"/>
        <w:gridCol w:w="1418"/>
        <w:gridCol w:w="2268"/>
      </w:tblGrid>
      <w:tr w14:paraId="4B685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7" w:hRule="atLeast"/>
          <w:tblHeader/>
          <w:jc w:val="center"/>
        </w:trPr>
        <w:tc>
          <w:tcPr>
            <w:tcW w:w="988" w:type="dxa"/>
            <w:tcMar>
              <w:top w:w="180" w:type="dxa"/>
              <w:left w:w="270" w:type="dxa"/>
              <w:bottom w:w="180" w:type="dxa"/>
              <w:right w:w="270" w:type="dxa"/>
            </w:tcMar>
            <w:vAlign w:val="center"/>
          </w:tcPr>
          <w:p w14:paraId="20D5919D">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编号</w:t>
            </w:r>
          </w:p>
        </w:tc>
        <w:tc>
          <w:tcPr>
            <w:tcW w:w="1842" w:type="dxa"/>
            <w:tcMar>
              <w:top w:w="180" w:type="dxa"/>
              <w:left w:w="270" w:type="dxa"/>
              <w:bottom w:w="180" w:type="dxa"/>
              <w:right w:w="270" w:type="dxa"/>
            </w:tcMar>
            <w:vAlign w:val="center"/>
          </w:tcPr>
          <w:p w14:paraId="60BFB8C7">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测试场景</w:t>
            </w:r>
          </w:p>
        </w:tc>
        <w:tc>
          <w:tcPr>
            <w:tcW w:w="1701" w:type="dxa"/>
            <w:tcMar>
              <w:top w:w="180" w:type="dxa"/>
              <w:left w:w="270" w:type="dxa"/>
              <w:bottom w:w="180" w:type="dxa"/>
              <w:right w:w="270" w:type="dxa"/>
            </w:tcMar>
            <w:vAlign w:val="center"/>
          </w:tcPr>
          <w:p w14:paraId="507D50A6">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操作步骤</w:t>
            </w:r>
          </w:p>
        </w:tc>
        <w:tc>
          <w:tcPr>
            <w:tcW w:w="1418" w:type="dxa"/>
            <w:tcMar>
              <w:top w:w="180" w:type="dxa"/>
              <w:left w:w="270" w:type="dxa"/>
              <w:bottom w:w="180" w:type="dxa"/>
              <w:right w:w="270" w:type="dxa"/>
            </w:tcMar>
            <w:vAlign w:val="center"/>
          </w:tcPr>
          <w:p w14:paraId="5602C81F">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预期结果</w:t>
            </w:r>
          </w:p>
        </w:tc>
        <w:tc>
          <w:tcPr>
            <w:tcW w:w="2268" w:type="dxa"/>
            <w:tcMar>
              <w:top w:w="180" w:type="dxa"/>
              <w:left w:w="270" w:type="dxa"/>
              <w:bottom w:w="180" w:type="dxa"/>
              <w:right w:w="270" w:type="dxa"/>
            </w:tcMar>
            <w:vAlign w:val="center"/>
          </w:tcPr>
          <w:p w14:paraId="525DF2D8">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测试结果</w:t>
            </w:r>
          </w:p>
        </w:tc>
      </w:tr>
      <w:tr w14:paraId="1AAC1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23" w:hRule="atLeast"/>
          <w:jc w:val="center"/>
        </w:trPr>
        <w:tc>
          <w:tcPr>
            <w:tcW w:w="988" w:type="dxa"/>
            <w:tcMar>
              <w:top w:w="180" w:type="dxa"/>
              <w:left w:w="270" w:type="dxa"/>
              <w:bottom w:w="180" w:type="dxa"/>
              <w:right w:w="270" w:type="dxa"/>
            </w:tcMar>
            <w:vAlign w:val="center"/>
          </w:tcPr>
          <w:p w14:paraId="23FDFEE1">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1</w:t>
            </w:r>
          </w:p>
        </w:tc>
        <w:tc>
          <w:tcPr>
            <w:tcW w:w="1842" w:type="dxa"/>
            <w:tcMar>
              <w:top w:w="180" w:type="dxa"/>
              <w:left w:w="270" w:type="dxa"/>
              <w:bottom w:w="180" w:type="dxa"/>
              <w:right w:w="270" w:type="dxa"/>
            </w:tcMar>
            <w:vAlign w:val="center"/>
          </w:tcPr>
          <w:p w14:paraId="323CAE35">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管理员添加商品</w:t>
            </w:r>
          </w:p>
        </w:tc>
        <w:tc>
          <w:tcPr>
            <w:tcW w:w="1701" w:type="dxa"/>
            <w:tcMar>
              <w:top w:w="180" w:type="dxa"/>
              <w:left w:w="270" w:type="dxa"/>
              <w:bottom w:w="180" w:type="dxa"/>
              <w:right w:w="270" w:type="dxa"/>
            </w:tcMar>
            <w:vAlign w:val="center"/>
          </w:tcPr>
          <w:p w14:paraId="1F7D71C5">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填写完整商品信息，上传合规图片，提交保存</w:t>
            </w:r>
          </w:p>
        </w:tc>
        <w:tc>
          <w:tcPr>
            <w:tcW w:w="1418" w:type="dxa"/>
            <w:tcMar>
              <w:top w:w="180" w:type="dxa"/>
              <w:left w:w="270" w:type="dxa"/>
              <w:bottom w:w="180" w:type="dxa"/>
              <w:right w:w="270" w:type="dxa"/>
            </w:tcMar>
            <w:vAlign w:val="center"/>
          </w:tcPr>
          <w:p w14:paraId="5FF38EEE">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商品添加成功，前后端同步展示</w:t>
            </w:r>
          </w:p>
        </w:tc>
        <w:tc>
          <w:tcPr>
            <w:tcW w:w="2268" w:type="dxa"/>
            <w:tcMar>
              <w:top w:w="180" w:type="dxa"/>
              <w:left w:w="270" w:type="dxa"/>
              <w:bottom w:w="180" w:type="dxa"/>
              <w:right w:w="270" w:type="dxa"/>
            </w:tcMar>
            <w:vAlign w:val="center"/>
          </w:tcPr>
          <w:p w14:paraId="3F92A40F">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7093B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08" w:hRule="atLeast"/>
          <w:jc w:val="center"/>
        </w:trPr>
        <w:tc>
          <w:tcPr>
            <w:tcW w:w="988" w:type="dxa"/>
            <w:tcMar>
              <w:top w:w="180" w:type="dxa"/>
              <w:left w:w="270" w:type="dxa"/>
              <w:bottom w:w="180" w:type="dxa"/>
              <w:right w:w="270" w:type="dxa"/>
            </w:tcMar>
            <w:vAlign w:val="center"/>
          </w:tcPr>
          <w:p w14:paraId="7AB94124">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2</w:t>
            </w:r>
          </w:p>
        </w:tc>
        <w:tc>
          <w:tcPr>
            <w:tcW w:w="1842" w:type="dxa"/>
            <w:tcMar>
              <w:top w:w="180" w:type="dxa"/>
              <w:left w:w="270" w:type="dxa"/>
              <w:bottom w:w="180" w:type="dxa"/>
              <w:right w:w="270" w:type="dxa"/>
            </w:tcMar>
            <w:vAlign w:val="center"/>
          </w:tcPr>
          <w:p w14:paraId="098CB922">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添加商品必填项为空</w:t>
            </w:r>
          </w:p>
        </w:tc>
        <w:tc>
          <w:tcPr>
            <w:tcW w:w="1701" w:type="dxa"/>
            <w:tcMar>
              <w:top w:w="180" w:type="dxa"/>
              <w:left w:w="270" w:type="dxa"/>
              <w:bottom w:w="180" w:type="dxa"/>
              <w:right w:w="270" w:type="dxa"/>
            </w:tcMar>
            <w:vAlign w:val="center"/>
          </w:tcPr>
          <w:p w14:paraId="1CDFA7BB">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不填商品名称，其他信息正常提交</w:t>
            </w:r>
          </w:p>
        </w:tc>
        <w:tc>
          <w:tcPr>
            <w:tcW w:w="1418" w:type="dxa"/>
            <w:tcMar>
              <w:top w:w="180" w:type="dxa"/>
              <w:left w:w="270" w:type="dxa"/>
              <w:bottom w:w="180" w:type="dxa"/>
              <w:right w:w="270" w:type="dxa"/>
            </w:tcMar>
            <w:vAlign w:val="center"/>
          </w:tcPr>
          <w:p w14:paraId="6F8990DA">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提示 “商品名称不能为空”，添加失败</w:t>
            </w:r>
          </w:p>
        </w:tc>
        <w:tc>
          <w:tcPr>
            <w:tcW w:w="2268" w:type="dxa"/>
            <w:tcMar>
              <w:top w:w="180" w:type="dxa"/>
              <w:left w:w="270" w:type="dxa"/>
              <w:bottom w:w="180" w:type="dxa"/>
              <w:right w:w="270" w:type="dxa"/>
            </w:tcMar>
            <w:vAlign w:val="center"/>
          </w:tcPr>
          <w:p w14:paraId="6482E89F">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33C1C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23" w:hRule="atLeast"/>
          <w:jc w:val="center"/>
        </w:trPr>
        <w:tc>
          <w:tcPr>
            <w:tcW w:w="988" w:type="dxa"/>
            <w:tcMar>
              <w:top w:w="180" w:type="dxa"/>
              <w:left w:w="270" w:type="dxa"/>
              <w:bottom w:w="180" w:type="dxa"/>
              <w:right w:w="270" w:type="dxa"/>
            </w:tcMar>
            <w:vAlign w:val="center"/>
          </w:tcPr>
          <w:p w14:paraId="4D2EF0AD">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3</w:t>
            </w:r>
          </w:p>
        </w:tc>
        <w:tc>
          <w:tcPr>
            <w:tcW w:w="1842" w:type="dxa"/>
            <w:tcMar>
              <w:top w:w="180" w:type="dxa"/>
              <w:left w:w="270" w:type="dxa"/>
              <w:bottom w:w="180" w:type="dxa"/>
              <w:right w:w="270" w:type="dxa"/>
            </w:tcMar>
            <w:vAlign w:val="center"/>
          </w:tcPr>
          <w:p w14:paraId="7F53A253">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商品上下架操作</w:t>
            </w:r>
          </w:p>
        </w:tc>
        <w:tc>
          <w:tcPr>
            <w:tcW w:w="1701" w:type="dxa"/>
            <w:tcMar>
              <w:top w:w="180" w:type="dxa"/>
              <w:left w:w="270" w:type="dxa"/>
              <w:bottom w:w="180" w:type="dxa"/>
              <w:right w:w="270" w:type="dxa"/>
            </w:tcMar>
            <w:vAlign w:val="center"/>
          </w:tcPr>
          <w:p w14:paraId="19357CA6">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选择商品点击 “下架” “上架”，确认操作</w:t>
            </w:r>
          </w:p>
        </w:tc>
        <w:tc>
          <w:tcPr>
            <w:tcW w:w="1418" w:type="dxa"/>
            <w:tcMar>
              <w:top w:w="180" w:type="dxa"/>
              <w:left w:w="270" w:type="dxa"/>
              <w:bottom w:w="180" w:type="dxa"/>
              <w:right w:w="270" w:type="dxa"/>
            </w:tcMar>
            <w:vAlign w:val="center"/>
          </w:tcPr>
          <w:p w14:paraId="561D90C6">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状态更新，前端同步隐藏 / 展示商品</w:t>
            </w:r>
          </w:p>
        </w:tc>
        <w:tc>
          <w:tcPr>
            <w:tcW w:w="2268" w:type="dxa"/>
            <w:tcMar>
              <w:top w:w="180" w:type="dxa"/>
              <w:left w:w="270" w:type="dxa"/>
              <w:bottom w:w="180" w:type="dxa"/>
              <w:right w:w="270" w:type="dxa"/>
            </w:tcMar>
            <w:vAlign w:val="center"/>
          </w:tcPr>
          <w:p w14:paraId="32B5467A">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7EA75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88" w:type="dxa"/>
            <w:tcMar>
              <w:top w:w="180" w:type="dxa"/>
              <w:left w:w="270" w:type="dxa"/>
              <w:bottom w:w="180" w:type="dxa"/>
              <w:right w:w="270" w:type="dxa"/>
            </w:tcMar>
            <w:vAlign w:val="center"/>
          </w:tcPr>
          <w:p w14:paraId="482EA73E">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4</w:t>
            </w:r>
          </w:p>
        </w:tc>
        <w:tc>
          <w:tcPr>
            <w:tcW w:w="1842" w:type="dxa"/>
            <w:tcMar>
              <w:top w:w="180" w:type="dxa"/>
              <w:left w:w="270" w:type="dxa"/>
              <w:bottom w:w="180" w:type="dxa"/>
              <w:right w:w="270" w:type="dxa"/>
            </w:tcMar>
            <w:vAlign w:val="center"/>
          </w:tcPr>
          <w:p w14:paraId="6EEE6078">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商品库存为 0</w:t>
            </w:r>
          </w:p>
        </w:tc>
        <w:tc>
          <w:tcPr>
            <w:tcW w:w="1701" w:type="dxa"/>
            <w:tcMar>
              <w:top w:w="180" w:type="dxa"/>
              <w:left w:w="270" w:type="dxa"/>
              <w:bottom w:w="180" w:type="dxa"/>
              <w:right w:w="270" w:type="dxa"/>
            </w:tcMar>
            <w:vAlign w:val="center"/>
          </w:tcPr>
          <w:p w14:paraId="7F5F3864">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编辑商品将库存改为 0，查看前端展示</w:t>
            </w:r>
          </w:p>
        </w:tc>
        <w:tc>
          <w:tcPr>
            <w:tcW w:w="1418" w:type="dxa"/>
            <w:tcMar>
              <w:top w:w="180" w:type="dxa"/>
              <w:left w:w="270" w:type="dxa"/>
              <w:bottom w:w="180" w:type="dxa"/>
              <w:right w:w="270" w:type="dxa"/>
            </w:tcMar>
            <w:vAlign w:val="center"/>
          </w:tcPr>
          <w:p w14:paraId="12493D5B">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显示 “库存不足”，下单按钮置灰</w:t>
            </w:r>
          </w:p>
        </w:tc>
        <w:tc>
          <w:tcPr>
            <w:tcW w:w="2268" w:type="dxa"/>
            <w:tcMar>
              <w:top w:w="180" w:type="dxa"/>
              <w:left w:w="270" w:type="dxa"/>
              <w:bottom w:w="180" w:type="dxa"/>
              <w:right w:w="270" w:type="dxa"/>
            </w:tcMar>
            <w:vAlign w:val="center"/>
          </w:tcPr>
          <w:p w14:paraId="27734301">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1B75E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88" w:type="dxa"/>
            <w:tcMar>
              <w:top w:w="180" w:type="dxa"/>
              <w:left w:w="270" w:type="dxa"/>
              <w:bottom w:w="180" w:type="dxa"/>
              <w:right w:w="270" w:type="dxa"/>
            </w:tcMar>
            <w:vAlign w:val="center"/>
          </w:tcPr>
          <w:p w14:paraId="47EB2C57">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5</w:t>
            </w:r>
          </w:p>
        </w:tc>
        <w:tc>
          <w:tcPr>
            <w:tcW w:w="1842" w:type="dxa"/>
            <w:tcMar>
              <w:top w:w="180" w:type="dxa"/>
              <w:left w:w="270" w:type="dxa"/>
              <w:bottom w:w="180" w:type="dxa"/>
              <w:right w:w="270" w:type="dxa"/>
            </w:tcMar>
            <w:vAlign w:val="center"/>
          </w:tcPr>
          <w:p w14:paraId="423A2F7F">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商品模糊查询</w:t>
            </w:r>
          </w:p>
        </w:tc>
        <w:tc>
          <w:tcPr>
            <w:tcW w:w="1701" w:type="dxa"/>
            <w:tcMar>
              <w:top w:w="180" w:type="dxa"/>
              <w:left w:w="270" w:type="dxa"/>
              <w:bottom w:w="180" w:type="dxa"/>
              <w:right w:w="270" w:type="dxa"/>
            </w:tcMar>
            <w:vAlign w:val="center"/>
          </w:tcPr>
          <w:p w14:paraId="594D2D7E">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输入商品关键词，点击查询</w:t>
            </w:r>
          </w:p>
        </w:tc>
        <w:tc>
          <w:tcPr>
            <w:tcW w:w="1418" w:type="dxa"/>
            <w:tcMar>
              <w:top w:w="180" w:type="dxa"/>
              <w:left w:w="270" w:type="dxa"/>
              <w:bottom w:w="180" w:type="dxa"/>
              <w:right w:w="270" w:type="dxa"/>
            </w:tcMar>
            <w:vAlign w:val="center"/>
          </w:tcPr>
          <w:p w14:paraId="74AC87E3">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显示匹配商品，结果准确</w:t>
            </w:r>
          </w:p>
        </w:tc>
        <w:tc>
          <w:tcPr>
            <w:tcW w:w="2268" w:type="dxa"/>
            <w:tcMar>
              <w:top w:w="180" w:type="dxa"/>
              <w:left w:w="270" w:type="dxa"/>
              <w:bottom w:w="180" w:type="dxa"/>
              <w:right w:w="270" w:type="dxa"/>
            </w:tcMar>
            <w:vAlign w:val="center"/>
          </w:tcPr>
          <w:p w14:paraId="40CF5D83">
            <w:pPr>
              <w:widowControl/>
              <w:spacing w:line="420" w:lineRule="atLeast"/>
              <w:jc w:val="center"/>
              <w:outlineLvl w:val="9"/>
              <w:rPr>
                <w:rFonts w:ascii="宋体" w:hAnsi="宋体" w:cs="Segoe UI"/>
                <w:color w:val="000000"/>
                <w:kern w:val="0"/>
                <w:szCs w:val="21"/>
              </w:rPr>
            </w:pPr>
            <w:r>
              <w:rPr>
                <w:rFonts w:ascii="宋体" w:hAnsi="宋体" w:cs="Segoe UI"/>
                <w:color w:val="000000"/>
                <w:kern w:val="0"/>
                <w:szCs w:val="21"/>
              </w:rPr>
              <w:t>符合预期</w:t>
            </w:r>
          </w:p>
        </w:tc>
      </w:tr>
    </w:tbl>
    <w:p w14:paraId="3FC931CC">
      <w:pPr>
        <w:pStyle w:val="140"/>
        <w:spacing w:line="240" w:lineRule="auto"/>
        <w:ind w:firstLine="0" w:firstLineChars="0"/>
        <w:outlineLvl w:val="9"/>
      </w:pPr>
    </w:p>
    <w:p w14:paraId="4C3D632D">
      <w:pPr>
        <w:pStyle w:val="139"/>
        <w:ind w:firstLine="562"/>
        <w:outlineLvl w:val="9"/>
        <w:rPr>
          <w:b/>
          <w:bCs/>
          <w:sz w:val="28"/>
          <w:szCs w:val="28"/>
        </w:rPr>
      </w:pPr>
      <w:bookmarkStart w:id="75" w:name="_Toc21461"/>
      <w:r>
        <w:rPr>
          <w:rFonts w:hint="eastAsia"/>
          <w:b/>
          <w:bCs/>
          <w:sz w:val="28"/>
          <w:szCs w:val="28"/>
        </w:rPr>
        <w:t>5</w:t>
      </w:r>
      <w:r>
        <w:rPr>
          <w:b/>
          <w:bCs/>
          <w:sz w:val="28"/>
          <w:szCs w:val="28"/>
        </w:rPr>
        <w:t>.3 订单管理模块测试</w:t>
      </w:r>
      <w:bookmarkEnd w:id="75"/>
    </w:p>
    <w:p w14:paraId="1B488F46">
      <w:pPr>
        <w:pStyle w:val="140"/>
        <w:ind w:firstLine="480"/>
        <w:outlineLvl w:val="9"/>
      </w:pPr>
      <w:r>
        <w:t>订单管理模块涵盖订单创建、支付、发货、退款、取消等全流程，需确保订单数据准确、状态流转正常、库存同步及时。测试用例如表 5-3 所示</w:t>
      </w:r>
      <w:r>
        <w:rPr>
          <w:rFonts w:hint="eastAsia"/>
        </w:rPr>
        <w:t>。</w:t>
      </w:r>
    </w:p>
    <w:p w14:paraId="735D2B23">
      <w:pPr>
        <w:pStyle w:val="140"/>
        <w:ind w:firstLine="0" w:firstLineChars="0"/>
        <w:jc w:val="center"/>
        <w:outlineLvl w:val="9"/>
        <w:rPr>
          <w:rFonts w:ascii="宋体" w:hAnsi="宋体" w:cs="宋体"/>
          <w:sz w:val="21"/>
          <w:szCs w:val="21"/>
        </w:rPr>
      </w:pPr>
      <w:r>
        <w:rPr>
          <w:rFonts w:ascii="宋体" w:hAnsi="宋体" w:cs="Segoe UI"/>
          <w:sz w:val="21"/>
          <w:szCs w:val="21"/>
          <w:shd w:val="clear" w:color="auto" w:fill="FFFFFF"/>
        </w:rPr>
        <w:t>表 5-3 订单管理模块测试表</w:t>
      </w:r>
    </w:p>
    <w:tbl>
      <w:tblPr>
        <w:tblStyle w:val="35"/>
        <w:tblW w:w="8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93"/>
        <w:gridCol w:w="1751"/>
        <w:gridCol w:w="1609"/>
        <w:gridCol w:w="3050"/>
        <w:gridCol w:w="1003"/>
      </w:tblGrid>
      <w:tr w14:paraId="78618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893" w:type="dxa"/>
            <w:tcMar>
              <w:top w:w="180" w:type="dxa"/>
              <w:left w:w="270" w:type="dxa"/>
              <w:bottom w:w="180" w:type="dxa"/>
              <w:right w:w="270" w:type="dxa"/>
            </w:tcMar>
            <w:vAlign w:val="center"/>
          </w:tcPr>
          <w:p w14:paraId="0BB58C0F">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编号</w:t>
            </w:r>
          </w:p>
        </w:tc>
        <w:tc>
          <w:tcPr>
            <w:tcW w:w="1751" w:type="dxa"/>
            <w:tcMar>
              <w:top w:w="180" w:type="dxa"/>
              <w:left w:w="270" w:type="dxa"/>
              <w:bottom w:w="180" w:type="dxa"/>
              <w:right w:w="270" w:type="dxa"/>
            </w:tcMar>
            <w:vAlign w:val="center"/>
          </w:tcPr>
          <w:p w14:paraId="3507267D">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测试场景</w:t>
            </w:r>
          </w:p>
        </w:tc>
        <w:tc>
          <w:tcPr>
            <w:tcW w:w="1609" w:type="dxa"/>
            <w:tcMar>
              <w:top w:w="180" w:type="dxa"/>
              <w:left w:w="270" w:type="dxa"/>
              <w:bottom w:w="180" w:type="dxa"/>
              <w:right w:w="270" w:type="dxa"/>
            </w:tcMar>
            <w:vAlign w:val="center"/>
          </w:tcPr>
          <w:p w14:paraId="7DE0250A">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操作步骤</w:t>
            </w:r>
          </w:p>
        </w:tc>
        <w:tc>
          <w:tcPr>
            <w:tcW w:w="3050" w:type="dxa"/>
            <w:tcMar>
              <w:top w:w="180" w:type="dxa"/>
              <w:left w:w="270" w:type="dxa"/>
              <w:bottom w:w="180" w:type="dxa"/>
              <w:right w:w="270" w:type="dxa"/>
            </w:tcMar>
            <w:vAlign w:val="center"/>
          </w:tcPr>
          <w:p w14:paraId="71EB8C7C">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预期结果</w:t>
            </w:r>
          </w:p>
        </w:tc>
        <w:tc>
          <w:tcPr>
            <w:tcW w:w="1003" w:type="dxa"/>
            <w:tcMar>
              <w:top w:w="180" w:type="dxa"/>
              <w:left w:w="270" w:type="dxa"/>
              <w:bottom w:w="180" w:type="dxa"/>
              <w:right w:w="270" w:type="dxa"/>
            </w:tcMar>
            <w:vAlign w:val="center"/>
          </w:tcPr>
          <w:p w14:paraId="07F9D747">
            <w:pPr>
              <w:widowControl/>
              <w:spacing w:line="420" w:lineRule="atLeast"/>
              <w:jc w:val="center"/>
              <w:outlineLvl w:val="9"/>
              <w:rPr>
                <w:rFonts w:ascii="宋体" w:hAnsi="宋体" w:cs="Segoe UI"/>
                <w:bCs/>
                <w:color w:val="000000"/>
                <w:kern w:val="0"/>
                <w:szCs w:val="21"/>
              </w:rPr>
            </w:pPr>
            <w:r>
              <w:rPr>
                <w:rFonts w:ascii="宋体" w:hAnsi="宋体" w:cs="Segoe UI"/>
                <w:bCs/>
                <w:color w:val="000000"/>
                <w:kern w:val="0"/>
                <w:szCs w:val="21"/>
              </w:rPr>
              <w:t>测试结果</w:t>
            </w:r>
          </w:p>
        </w:tc>
      </w:tr>
      <w:tr w14:paraId="18C1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41" w:hRule="atLeast"/>
          <w:jc w:val="center"/>
        </w:trPr>
        <w:tc>
          <w:tcPr>
            <w:tcW w:w="893" w:type="dxa"/>
            <w:tcMar>
              <w:top w:w="180" w:type="dxa"/>
              <w:left w:w="270" w:type="dxa"/>
              <w:bottom w:w="180" w:type="dxa"/>
              <w:right w:w="270" w:type="dxa"/>
            </w:tcMar>
            <w:vAlign w:val="center"/>
          </w:tcPr>
          <w:p w14:paraId="07D1737C">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1</w:t>
            </w:r>
          </w:p>
        </w:tc>
        <w:tc>
          <w:tcPr>
            <w:tcW w:w="1751" w:type="dxa"/>
            <w:tcMar>
              <w:top w:w="180" w:type="dxa"/>
              <w:left w:w="270" w:type="dxa"/>
              <w:bottom w:w="180" w:type="dxa"/>
              <w:right w:w="270" w:type="dxa"/>
            </w:tcMar>
            <w:vAlign w:val="center"/>
          </w:tcPr>
          <w:p w14:paraId="6292ED95">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立即购买商品（库存充足）</w:t>
            </w:r>
          </w:p>
        </w:tc>
        <w:tc>
          <w:tcPr>
            <w:tcW w:w="1609" w:type="dxa"/>
            <w:tcMar>
              <w:top w:w="180" w:type="dxa"/>
              <w:left w:w="270" w:type="dxa"/>
              <w:bottom w:w="180" w:type="dxa"/>
              <w:right w:w="270" w:type="dxa"/>
            </w:tcMar>
            <w:vAlign w:val="center"/>
          </w:tcPr>
          <w:p w14:paraId="0A5DBD19">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选择商品、地址、支付方式，完成支付</w:t>
            </w:r>
          </w:p>
        </w:tc>
        <w:tc>
          <w:tcPr>
            <w:tcW w:w="3050" w:type="dxa"/>
            <w:tcMar>
              <w:top w:w="180" w:type="dxa"/>
              <w:left w:w="270" w:type="dxa"/>
              <w:bottom w:w="180" w:type="dxa"/>
              <w:right w:w="270" w:type="dxa"/>
            </w:tcMar>
            <w:vAlign w:val="center"/>
          </w:tcPr>
          <w:p w14:paraId="510E7873">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订单创建成功，库存扣减</w:t>
            </w:r>
          </w:p>
        </w:tc>
        <w:tc>
          <w:tcPr>
            <w:tcW w:w="1003" w:type="dxa"/>
            <w:tcMar>
              <w:top w:w="180" w:type="dxa"/>
              <w:left w:w="270" w:type="dxa"/>
              <w:bottom w:w="180" w:type="dxa"/>
              <w:right w:w="270" w:type="dxa"/>
            </w:tcMar>
            <w:vAlign w:val="center"/>
          </w:tcPr>
          <w:p w14:paraId="3DFE4AD5">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符合预期</w:t>
            </w:r>
          </w:p>
        </w:tc>
      </w:tr>
      <w:tr w14:paraId="5ACD6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93" w:type="dxa"/>
            <w:tcMar>
              <w:top w:w="180" w:type="dxa"/>
              <w:left w:w="270" w:type="dxa"/>
              <w:bottom w:w="180" w:type="dxa"/>
              <w:right w:w="270" w:type="dxa"/>
            </w:tcMar>
            <w:vAlign w:val="center"/>
          </w:tcPr>
          <w:p w14:paraId="7200A39D">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2</w:t>
            </w:r>
          </w:p>
        </w:tc>
        <w:tc>
          <w:tcPr>
            <w:tcW w:w="1751" w:type="dxa"/>
            <w:tcMar>
              <w:top w:w="180" w:type="dxa"/>
              <w:left w:w="270" w:type="dxa"/>
              <w:bottom w:w="180" w:type="dxa"/>
              <w:right w:w="270" w:type="dxa"/>
            </w:tcMar>
            <w:vAlign w:val="center"/>
          </w:tcPr>
          <w:p w14:paraId="0D5DE43D">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购买商品库存不足</w:t>
            </w:r>
          </w:p>
        </w:tc>
        <w:tc>
          <w:tcPr>
            <w:tcW w:w="1609" w:type="dxa"/>
            <w:tcMar>
              <w:top w:w="180" w:type="dxa"/>
              <w:left w:w="270" w:type="dxa"/>
              <w:bottom w:w="180" w:type="dxa"/>
              <w:right w:w="270" w:type="dxa"/>
            </w:tcMar>
            <w:vAlign w:val="center"/>
          </w:tcPr>
          <w:p w14:paraId="245C4A62">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修改购买数量超过库存，提交订单</w:t>
            </w:r>
          </w:p>
        </w:tc>
        <w:tc>
          <w:tcPr>
            <w:tcW w:w="3050" w:type="dxa"/>
            <w:tcMar>
              <w:top w:w="180" w:type="dxa"/>
              <w:left w:w="270" w:type="dxa"/>
              <w:bottom w:w="180" w:type="dxa"/>
              <w:right w:w="270" w:type="dxa"/>
            </w:tcMar>
            <w:vAlign w:val="center"/>
          </w:tcPr>
          <w:p w14:paraId="418C486D">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提示 “库存不足”，订单创建失败</w:t>
            </w:r>
          </w:p>
        </w:tc>
        <w:tc>
          <w:tcPr>
            <w:tcW w:w="1003" w:type="dxa"/>
            <w:tcMar>
              <w:top w:w="180" w:type="dxa"/>
              <w:left w:w="270" w:type="dxa"/>
              <w:bottom w:w="180" w:type="dxa"/>
              <w:right w:w="270" w:type="dxa"/>
            </w:tcMar>
            <w:vAlign w:val="center"/>
          </w:tcPr>
          <w:p w14:paraId="453A5C33">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符合预期</w:t>
            </w:r>
          </w:p>
        </w:tc>
      </w:tr>
      <w:tr w14:paraId="6A820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93" w:type="dxa"/>
            <w:tcMar>
              <w:top w:w="180" w:type="dxa"/>
              <w:left w:w="270" w:type="dxa"/>
              <w:bottom w:w="180" w:type="dxa"/>
              <w:right w:w="270" w:type="dxa"/>
            </w:tcMar>
            <w:vAlign w:val="center"/>
          </w:tcPr>
          <w:p w14:paraId="6F82A0BD">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3</w:t>
            </w:r>
          </w:p>
        </w:tc>
        <w:tc>
          <w:tcPr>
            <w:tcW w:w="1751" w:type="dxa"/>
            <w:tcMar>
              <w:top w:w="180" w:type="dxa"/>
              <w:left w:w="270" w:type="dxa"/>
              <w:bottom w:w="180" w:type="dxa"/>
              <w:right w:w="270" w:type="dxa"/>
            </w:tcMar>
            <w:vAlign w:val="center"/>
          </w:tcPr>
          <w:p w14:paraId="0FD8538C">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管理员处理发货</w:t>
            </w:r>
          </w:p>
        </w:tc>
        <w:tc>
          <w:tcPr>
            <w:tcW w:w="1609" w:type="dxa"/>
            <w:tcMar>
              <w:top w:w="180" w:type="dxa"/>
              <w:left w:w="270" w:type="dxa"/>
              <w:bottom w:w="180" w:type="dxa"/>
              <w:right w:w="270" w:type="dxa"/>
            </w:tcMar>
            <w:vAlign w:val="center"/>
          </w:tcPr>
          <w:p w14:paraId="54907072">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选择待发货订单，输入物流信息提交</w:t>
            </w:r>
          </w:p>
        </w:tc>
        <w:tc>
          <w:tcPr>
            <w:tcW w:w="3050" w:type="dxa"/>
            <w:tcMar>
              <w:top w:w="180" w:type="dxa"/>
              <w:left w:w="270" w:type="dxa"/>
              <w:bottom w:w="180" w:type="dxa"/>
              <w:right w:w="270" w:type="dxa"/>
            </w:tcMar>
            <w:vAlign w:val="center"/>
          </w:tcPr>
          <w:p w14:paraId="1809EDD2">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订单状态变为 “已发货”，用户端同步</w:t>
            </w:r>
          </w:p>
        </w:tc>
        <w:tc>
          <w:tcPr>
            <w:tcW w:w="1003" w:type="dxa"/>
            <w:tcMar>
              <w:top w:w="180" w:type="dxa"/>
              <w:left w:w="270" w:type="dxa"/>
              <w:bottom w:w="180" w:type="dxa"/>
              <w:right w:w="270" w:type="dxa"/>
            </w:tcMar>
            <w:vAlign w:val="center"/>
          </w:tcPr>
          <w:p w14:paraId="5C600A86">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符合预期</w:t>
            </w:r>
          </w:p>
        </w:tc>
      </w:tr>
      <w:tr w14:paraId="3FD5E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93" w:type="dxa"/>
            <w:tcMar>
              <w:top w:w="180" w:type="dxa"/>
              <w:left w:w="270" w:type="dxa"/>
              <w:bottom w:w="180" w:type="dxa"/>
              <w:right w:w="270" w:type="dxa"/>
            </w:tcMar>
            <w:vAlign w:val="center"/>
          </w:tcPr>
          <w:p w14:paraId="506C5490">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4</w:t>
            </w:r>
          </w:p>
        </w:tc>
        <w:tc>
          <w:tcPr>
            <w:tcW w:w="1751" w:type="dxa"/>
            <w:tcMar>
              <w:top w:w="180" w:type="dxa"/>
              <w:left w:w="270" w:type="dxa"/>
              <w:bottom w:w="180" w:type="dxa"/>
              <w:right w:w="270" w:type="dxa"/>
            </w:tcMar>
            <w:vAlign w:val="center"/>
          </w:tcPr>
          <w:p w14:paraId="49E1C823">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用户申请退款</w:t>
            </w:r>
          </w:p>
        </w:tc>
        <w:tc>
          <w:tcPr>
            <w:tcW w:w="1609" w:type="dxa"/>
            <w:tcMar>
              <w:top w:w="180" w:type="dxa"/>
              <w:left w:w="270" w:type="dxa"/>
              <w:bottom w:w="180" w:type="dxa"/>
              <w:right w:w="270" w:type="dxa"/>
            </w:tcMar>
            <w:vAlign w:val="center"/>
          </w:tcPr>
          <w:p w14:paraId="62BF12B7">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选择订单提交退款申请，管理员审核通过</w:t>
            </w:r>
          </w:p>
        </w:tc>
        <w:tc>
          <w:tcPr>
            <w:tcW w:w="3050" w:type="dxa"/>
            <w:tcMar>
              <w:top w:w="180" w:type="dxa"/>
              <w:left w:w="270" w:type="dxa"/>
              <w:bottom w:w="180" w:type="dxa"/>
              <w:right w:w="270" w:type="dxa"/>
            </w:tcMar>
            <w:vAlign w:val="center"/>
          </w:tcPr>
          <w:p w14:paraId="201461EE">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退款成功，库存恢复，订单状态更新</w:t>
            </w:r>
          </w:p>
        </w:tc>
        <w:tc>
          <w:tcPr>
            <w:tcW w:w="1003" w:type="dxa"/>
            <w:tcMar>
              <w:top w:w="180" w:type="dxa"/>
              <w:left w:w="270" w:type="dxa"/>
              <w:bottom w:w="180" w:type="dxa"/>
              <w:right w:w="270" w:type="dxa"/>
            </w:tcMar>
            <w:vAlign w:val="center"/>
          </w:tcPr>
          <w:p w14:paraId="7FB59F9D">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符合预期</w:t>
            </w:r>
          </w:p>
        </w:tc>
      </w:tr>
      <w:tr w14:paraId="27F1D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93" w:type="dxa"/>
            <w:tcMar>
              <w:top w:w="180" w:type="dxa"/>
              <w:left w:w="270" w:type="dxa"/>
              <w:bottom w:w="180" w:type="dxa"/>
              <w:right w:w="270" w:type="dxa"/>
            </w:tcMar>
            <w:vAlign w:val="center"/>
          </w:tcPr>
          <w:p w14:paraId="26DF8FA9">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5</w:t>
            </w:r>
          </w:p>
        </w:tc>
        <w:tc>
          <w:tcPr>
            <w:tcW w:w="1751" w:type="dxa"/>
            <w:tcMar>
              <w:top w:w="180" w:type="dxa"/>
              <w:left w:w="270" w:type="dxa"/>
              <w:bottom w:w="180" w:type="dxa"/>
              <w:right w:w="270" w:type="dxa"/>
            </w:tcMar>
            <w:vAlign w:val="center"/>
          </w:tcPr>
          <w:p w14:paraId="37073F70">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取消未支付订单</w:t>
            </w:r>
          </w:p>
        </w:tc>
        <w:tc>
          <w:tcPr>
            <w:tcW w:w="1609" w:type="dxa"/>
            <w:tcMar>
              <w:top w:w="180" w:type="dxa"/>
              <w:left w:w="270" w:type="dxa"/>
              <w:bottom w:w="180" w:type="dxa"/>
              <w:right w:w="270" w:type="dxa"/>
            </w:tcMar>
            <w:vAlign w:val="center"/>
          </w:tcPr>
          <w:p w14:paraId="57BB0D64">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待支付订单点击 “取消”，确认操作</w:t>
            </w:r>
          </w:p>
        </w:tc>
        <w:tc>
          <w:tcPr>
            <w:tcW w:w="3050" w:type="dxa"/>
            <w:tcMar>
              <w:top w:w="180" w:type="dxa"/>
              <w:left w:w="270" w:type="dxa"/>
              <w:bottom w:w="180" w:type="dxa"/>
              <w:right w:w="270" w:type="dxa"/>
            </w:tcMar>
            <w:vAlign w:val="center"/>
          </w:tcPr>
          <w:p w14:paraId="1D1A7222">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订单取消，库存恢复</w:t>
            </w:r>
          </w:p>
        </w:tc>
        <w:tc>
          <w:tcPr>
            <w:tcW w:w="1003" w:type="dxa"/>
            <w:tcMar>
              <w:top w:w="180" w:type="dxa"/>
              <w:left w:w="270" w:type="dxa"/>
              <w:bottom w:w="180" w:type="dxa"/>
              <w:right w:w="270" w:type="dxa"/>
            </w:tcMar>
            <w:vAlign w:val="center"/>
          </w:tcPr>
          <w:p w14:paraId="0AC8E4D8">
            <w:pPr>
              <w:widowControl/>
              <w:spacing w:line="420" w:lineRule="atLeast"/>
              <w:jc w:val="left"/>
              <w:outlineLvl w:val="9"/>
              <w:rPr>
                <w:rFonts w:ascii="宋体" w:hAnsi="宋体" w:cs="Segoe UI"/>
                <w:color w:val="000000"/>
                <w:kern w:val="0"/>
                <w:szCs w:val="21"/>
              </w:rPr>
            </w:pPr>
            <w:r>
              <w:rPr>
                <w:rFonts w:ascii="宋体" w:hAnsi="宋体" w:cs="Segoe UI"/>
                <w:color w:val="000000"/>
                <w:kern w:val="0"/>
                <w:szCs w:val="21"/>
              </w:rPr>
              <w:t>符合预期</w:t>
            </w:r>
          </w:p>
        </w:tc>
      </w:tr>
    </w:tbl>
    <w:p w14:paraId="1A08D4D8">
      <w:pPr>
        <w:pStyle w:val="139"/>
        <w:ind w:firstLine="562"/>
        <w:outlineLvl w:val="9"/>
        <w:rPr>
          <w:b/>
          <w:bCs/>
          <w:sz w:val="28"/>
          <w:szCs w:val="28"/>
        </w:rPr>
      </w:pPr>
      <w:bookmarkStart w:id="76" w:name="_Toc23129"/>
      <w:r>
        <w:rPr>
          <w:rFonts w:hint="eastAsia"/>
          <w:b/>
          <w:bCs/>
          <w:sz w:val="28"/>
          <w:szCs w:val="28"/>
        </w:rPr>
        <w:t>5</w:t>
      </w:r>
      <w:r>
        <w:rPr>
          <w:b/>
          <w:bCs/>
          <w:sz w:val="28"/>
          <w:szCs w:val="28"/>
        </w:rPr>
        <w:t>.4 用户中心模块测试</w:t>
      </w:r>
      <w:bookmarkEnd w:id="76"/>
    </w:p>
    <w:p w14:paraId="78861A34">
      <w:pPr>
        <w:pStyle w:val="140"/>
        <w:ind w:firstLine="480"/>
        <w:outlineLvl w:val="9"/>
      </w:pPr>
      <w:r>
        <w:t>用户中心模块涵盖个人信息管理、地址管理、订单查询、收藏管理等功能，需确保用户信息修改安全、地址操作便捷、订单查询准确。测试用例如表 5-4 所示。</w:t>
      </w:r>
    </w:p>
    <w:p w14:paraId="15B12498">
      <w:pPr>
        <w:pStyle w:val="140"/>
        <w:ind w:firstLine="0" w:firstLineChars="0"/>
        <w:jc w:val="center"/>
        <w:outlineLvl w:val="9"/>
        <w:rPr>
          <w:rFonts w:ascii="宋体" w:hAnsi="宋体" w:cs="Segoe UI"/>
          <w:sz w:val="21"/>
          <w:szCs w:val="21"/>
          <w:shd w:val="clear" w:color="auto" w:fill="FFFFFF"/>
        </w:rPr>
      </w:pPr>
      <w:r>
        <w:rPr>
          <w:rFonts w:ascii="宋体" w:hAnsi="宋体" w:cs="Segoe UI"/>
          <w:sz w:val="21"/>
          <w:szCs w:val="21"/>
          <w:shd w:val="clear" w:color="auto" w:fill="FFFFFF"/>
        </w:rPr>
        <w:t>表 5-4 用户中心模块测试表</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18"/>
        <w:gridCol w:w="1616"/>
        <w:gridCol w:w="2777"/>
        <w:gridCol w:w="2271"/>
        <w:gridCol w:w="1040"/>
      </w:tblGrid>
      <w:tr w14:paraId="4F01A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818" w:type="dxa"/>
            <w:tcMar>
              <w:top w:w="180" w:type="dxa"/>
              <w:left w:w="270" w:type="dxa"/>
              <w:bottom w:w="180" w:type="dxa"/>
              <w:right w:w="270" w:type="dxa"/>
            </w:tcMar>
            <w:vAlign w:val="center"/>
          </w:tcPr>
          <w:p w14:paraId="55AC7B0C">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编号</w:t>
            </w:r>
          </w:p>
        </w:tc>
        <w:tc>
          <w:tcPr>
            <w:tcW w:w="1616" w:type="dxa"/>
            <w:tcMar>
              <w:top w:w="180" w:type="dxa"/>
              <w:left w:w="270" w:type="dxa"/>
              <w:bottom w:w="180" w:type="dxa"/>
              <w:right w:w="270" w:type="dxa"/>
            </w:tcMar>
            <w:vAlign w:val="center"/>
          </w:tcPr>
          <w:p w14:paraId="55104948">
            <w:pPr>
              <w:widowControl/>
              <w:snapToGrid w:val="0"/>
              <w:jc w:val="center"/>
              <w:outlineLvl w:val="9"/>
              <w:rPr>
                <w:rFonts w:ascii="宋体" w:hAnsi="宋体" w:cs="Segoe UI"/>
                <w:color w:val="000000"/>
                <w:kern w:val="0"/>
                <w:szCs w:val="21"/>
              </w:rPr>
            </w:pPr>
            <w:r>
              <w:rPr>
                <w:rFonts w:ascii="宋体" w:hAnsi="宋体" w:cs="Segoe UI"/>
                <w:color w:val="000000"/>
                <w:kern w:val="0"/>
                <w:szCs w:val="21"/>
              </w:rPr>
              <w:t>测试场景</w:t>
            </w:r>
          </w:p>
        </w:tc>
        <w:tc>
          <w:tcPr>
            <w:tcW w:w="2777" w:type="dxa"/>
            <w:tcMar>
              <w:top w:w="180" w:type="dxa"/>
              <w:left w:w="270" w:type="dxa"/>
              <w:bottom w:w="180" w:type="dxa"/>
              <w:right w:w="270" w:type="dxa"/>
            </w:tcMar>
            <w:vAlign w:val="center"/>
          </w:tcPr>
          <w:p w14:paraId="3F702967">
            <w:pPr>
              <w:widowControl/>
              <w:snapToGrid w:val="0"/>
              <w:jc w:val="center"/>
              <w:outlineLvl w:val="9"/>
              <w:rPr>
                <w:rFonts w:ascii="宋体" w:hAnsi="宋体" w:cs="Segoe UI"/>
                <w:color w:val="000000"/>
                <w:kern w:val="0"/>
                <w:szCs w:val="21"/>
              </w:rPr>
            </w:pPr>
            <w:r>
              <w:rPr>
                <w:rFonts w:ascii="宋体" w:hAnsi="宋体" w:cs="Segoe UI"/>
                <w:color w:val="000000"/>
                <w:kern w:val="0"/>
                <w:szCs w:val="21"/>
              </w:rPr>
              <w:t>操作步骤</w:t>
            </w:r>
          </w:p>
        </w:tc>
        <w:tc>
          <w:tcPr>
            <w:tcW w:w="2271" w:type="dxa"/>
            <w:tcMar>
              <w:top w:w="180" w:type="dxa"/>
              <w:left w:w="270" w:type="dxa"/>
              <w:bottom w:w="180" w:type="dxa"/>
              <w:right w:w="270" w:type="dxa"/>
            </w:tcMar>
            <w:vAlign w:val="center"/>
          </w:tcPr>
          <w:p w14:paraId="3313BCEE">
            <w:pPr>
              <w:widowControl/>
              <w:snapToGrid w:val="0"/>
              <w:jc w:val="center"/>
              <w:outlineLvl w:val="9"/>
              <w:rPr>
                <w:rFonts w:ascii="宋体" w:hAnsi="宋体" w:cs="Segoe UI"/>
                <w:color w:val="000000"/>
                <w:kern w:val="0"/>
                <w:szCs w:val="21"/>
              </w:rPr>
            </w:pPr>
            <w:r>
              <w:rPr>
                <w:rFonts w:ascii="宋体" w:hAnsi="宋体" w:cs="Segoe UI"/>
                <w:color w:val="000000"/>
                <w:kern w:val="0"/>
                <w:szCs w:val="21"/>
              </w:rPr>
              <w:t>预期结果</w:t>
            </w:r>
          </w:p>
        </w:tc>
        <w:tc>
          <w:tcPr>
            <w:tcW w:w="1040" w:type="dxa"/>
            <w:tcMar>
              <w:top w:w="180" w:type="dxa"/>
              <w:left w:w="270" w:type="dxa"/>
              <w:bottom w:w="180" w:type="dxa"/>
              <w:right w:w="270" w:type="dxa"/>
            </w:tcMar>
            <w:vAlign w:val="center"/>
          </w:tcPr>
          <w:p w14:paraId="2F5E0F9D">
            <w:pPr>
              <w:widowControl/>
              <w:snapToGrid w:val="0"/>
              <w:jc w:val="center"/>
              <w:outlineLvl w:val="9"/>
              <w:rPr>
                <w:rFonts w:ascii="宋体" w:hAnsi="宋体" w:cs="Segoe UI"/>
                <w:color w:val="000000"/>
                <w:kern w:val="0"/>
                <w:szCs w:val="21"/>
              </w:rPr>
            </w:pPr>
            <w:r>
              <w:rPr>
                <w:rFonts w:ascii="宋体" w:hAnsi="宋体" w:cs="Segoe UI"/>
                <w:color w:val="000000"/>
                <w:kern w:val="0"/>
                <w:szCs w:val="21"/>
              </w:rPr>
              <w:t>测试结果</w:t>
            </w:r>
          </w:p>
        </w:tc>
      </w:tr>
      <w:tr w14:paraId="6771A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18" w:type="dxa"/>
            <w:tcMar>
              <w:top w:w="180" w:type="dxa"/>
              <w:left w:w="270" w:type="dxa"/>
              <w:bottom w:w="180" w:type="dxa"/>
              <w:right w:w="270" w:type="dxa"/>
            </w:tcMar>
            <w:vAlign w:val="center"/>
          </w:tcPr>
          <w:p w14:paraId="5836B955">
            <w:pPr>
              <w:widowControl/>
              <w:snapToGrid w:val="0"/>
              <w:jc w:val="center"/>
              <w:outlineLvl w:val="9"/>
              <w:rPr>
                <w:rFonts w:ascii="宋体" w:hAnsi="宋体" w:cs="Segoe UI"/>
                <w:color w:val="000000"/>
                <w:kern w:val="0"/>
                <w:szCs w:val="21"/>
              </w:rPr>
            </w:pPr>
            <w:r>
              <w:rPr>
                <w:rFonts w:ascii="宋体" w:hAnsi="宋体" w:cs="Segoe UI"/>
                <w:color w:val="000000"/>
                <w:kern w:val="0"/>
                <w:szCs w:val="21"/>
              </w:rPr>
              <w:t>1</w:t>
            </w:r>
          </w:p>
        </w:tc>
        <w:tc>
          <w:tcPr>
            <w:tcW w:w="1616" w:type="dxa"/>
            <w:tcMar>
              <w:top w:w="180" w:type="dxa"/>
              <w:left w:w="270" w:type="dxa"/>
              <w:bottom w:w="180" w:type="dxa"/>
              <w:right w:w="270" w:type="dxa"/>
            </w:tcMar>
            <w:vAlign w:val="center"/>
          </w:tcPr>
          <w:p w14:paraId="7337DCFA">
            <w:pPr>
              <w:widowControl/>
              <w:snapToGrid w:val="0"/>
              <w:jc w:val="left"/>
              <w:outlineLvl w:val="9"/>
              <w:rPr>
                <w:rFonts w:ascii="宋体" w:hAnsi="宋体" w:cs="Segoe UI"/>
                <w:color w:val="000000"/>
                <w:kern w:val="0"/>
                <w:szCs w:val="21"/>
              </w:rPr>
            </w:pPr>
            <w:r>
              <w:rPr>
                <w:rFonts w:ascii="宋体" w:hAnsi="宋体" w:cs="Segoe UI"/>
                <w:color w:val="000000"/>
                <w:kern w:val="0"/>
                <w:szCs w:val="21"/>
              </w:rPr>
              <w:t>修改个人信息</w:t>
            </w:r>
          </w:p>
        </w:tc>
        <w:tc>
          <w:tcPr>
            <w:tcW w:w="2777" w:type="dxa"/>
            <w:tcMar>
              <w:top w:w="180" w:type="dxa"/>
              <w:left w:w="270" w:type="dxa"/>
              <w:bottom w:w="180" w:type="dxa"/>
              <w:right w:w="270" w:type="dxa"/>
            </w:tcMar>
            <w:vAlign w:val="center"/>
          </w:tcPr>
          <w:p w14:paraId="5D52D497">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编辑姓名、邮箱、头像，保存修改</w:t>
            </w:r>
          </w:p>
        </w:tc>
        <w:tc>
          <w:tcPr>
            <w:tcW w:w="2271" w:type="dxa"/>
            <w:tcMar>
              <w:top w:w="180" w:type="dxa"/>
              <w:left w:w="270" w:type="dxa"/>
              <w:bottom w:w="180" w:type="dxa"/>
              <w:right w:w="270" w:type="dxa"/>
            </w:tcMar>
            <w:vAlign w:val="center"/>
          </w:tcPr>
          <w:p w14:paraId="5DB975CF">
            <w:pPr>
              <w:widowControl/>
              <w:snapToGrid w:val="0"/>
              <w:jc w:val="left"/>
              <w:outlineLvl w:val="9"/>
              <w:rPr>
                <w:rFonts w:ascii="宋体" w:hAnsi="宋体" w:cs="Segoe UI"/>
                <w:color w:val="000000"/>
                <w:kern w:val="0"/>
                <w:szCs w:val="21"/>
              </w:rPr>
            </w:pPr>
            <w:r>
              <w:rPr>
                <w:rFonts w:ascii="宋体" w:hAnsi="宋体" w:cs="Segoe UI"/>
                <w:color w:val="000000"/>
                <w:kern w:val="0"/>
                <w:szCs w:val="21"/>
              </w:rPr>
              <w:t>信息更新成功，页面同步展示</w:t>
            </w:r>
          </w:p>
        </w:tc>
        <w:tc>
          <w:tcPr>
            <w:tcW w:w="1040" w:type="dxa"/>
            <w:tcMar>
              <w:top w:w="180" w:type="dxa"/>
              <w:left w:w="270" w:type="dxa"/>
              <w:bottom w:w="180" w:type="dxa"/>
              <w:right w:w="270" w:type="dxa"/>
            </w:tcMar>
            <w:vAlign w:val="center"/>
          </w:tcPr>
          <w:p w14:paraId="559FA5FD">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6951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18" w:type="dxa"/>
            <w:tcMar>
              <w:top w:w="180" w:type="dxa"/>
              <w:left w:w="270" w:type="dxa"/>
              <w:bottom w:w="180" w:type="dxa"/>
              <w:right w:w="270" w:type="dxa"/>
            </w:tcMar>
            <w:vAlign w:val="center"/>
          </w:tcPr>
          <w:p w14:paraId="762C2A0B">
            <w:pPr>
              <w:widowControl/>
              <w:snapToGrid w:val="0"/>
              <w:jc w:val="center"/>
              <w:outlineLvl w:val="9"/>
              <w:rPr>
                <w:rFonts w:ascii="宋体" w:hAnsi="宋体" w:cs="Segoe UI"/>
                <w:color w:val="000000"/>
                <w:kern w:val="0"/>
                <w:szCs w:val="21"/>
              </w:rPr>
            </w:pPr>
            <w:r>
              <w:rPr>
                <w:rFonts w:ascii="宋体" w:hAnsi="宋体" w:cs="Segoe UI"/>
                <w:color w:val="000000"/>
                <w:kern w:val="0"/>
                <w:szCs w:val="21"/>
              </w:rPr>
              <w:t>2</w:t>
            </w:r>
          </w:p>
        </w:tc>
        <w:tc>
          <w:tcPr>
            <w:tcW w:w="1616" w:type="dxa"/>
            <w:tcMar>
              <w:top w:w="180" w:type="dxa"/>
              <w:left w:w="270" w:type="dxa"/>
              <w:bottom w:w="180" w:type="dxa"/>
              <w:right w:w="270" w:type="dxa"/>
            </w:tcMar>
            <w:vAlign w:val="center"/>
          </w:tcPr>
          <w:p w14:paraId="44249E57">
            <w:pPr>
              <w:widowControl/>
              <w:snapToGrid w:val="0"/>
              <w:jc w:val="left"/>
              <w:outlineLvl w:val="9"/>
              <w:rPr>
                <w:rFonts w:ascii="宋体" w:hAnsi="宋体" w:cs="Segoe UI"/>
                <w:color w:val="000000"/>
                <w:kern w:val="0"/>
                <w:szCs w:val="21"/>
              </w:rPr>
            </w:pPr>
            <w:r>
              <w:rPr>
                <w:rFonts w:ascii="宋体" w:hAnsi="宋体" w:cs="Segoe UI"/>
                <w:color w:val="000000"/>
                <w:kern w:val="0"/>
                <w:szCs w:val="21"/>
              </w:rPr>
              <w:t>修改密码</w:t>
            </w:r>
          </w:p>
        </w:tc>
        <w:tc>
          <w:tcPr>
            <w:tcW w:w="2777" w:type="dxa"/>
            <w:tcMar>
              <w:top w:w="180" w:type="dxa"/>
              <w:left w:w="270" w:type="dxa"/>
              <w:bottom w:w="180" w:type="dxa"/>
              <w:right w:w="270" w:type="dxa"/>
            </w:tcMar>
            <w:vAlign w:val="center"/>
          </w:tcPr>
          <w:p w14:paraId="3F4980E8">
            <w:pPr>
              <w:widowControl/>
              <w:snapToGrid w:val="0"/>
              <w:jc w:val="center"/>
              <w:outlineLvl w:val="9"/>
              <w:rPr>
                <w:rFonts w:ascii="宋体" w:hAnsi="宋体" w:cs="Segoe UI"/>
                <w:color w:val="000000"/>
                <w:kern w:val="0"/>
                <w:szCs w:val="21"/>
              </w:rPr>
            </w:pPr>
            <w:r>
              <w:rPr>
                <w:rFonts w:ascii="宋体" w:hAnsi="宋体" w:cs="Segoe UI"/>
                <w:color w:val="000000"/>
                <w:kern w:val="0"/>
                <w:szCs w:val="21"/>
              </w:rPr>
              <w:t>输入原密码及新密码，提交保存</w:t>
            </w:r>
          </w:p>
        </w:tc>
        <w:tc>
          <w:tcPr>
            <w:tcW w:w="2271" w:type="dxa"/>
            <w:tcMar>
              <w:top w:w="180" w:type="dxa"/>
              <w:left w:w="270" w:type="dxa"/>
              <w:bottom w:w="180" w:type="dxa"/>
              <w:right w:w="270" w:type="dxa"/>
            </w:tcMar>
            <w:vAlign w:val="center"/>
          </w:tcPr>
          <w:p w14:paraId="2CFFA63E">
            <w:pPr>
              <w:widowControl/>
              <w:snapToGrid w:val="0"/>
              <w:jc w:val="left"/>
              <w:outlineLvl w:val="9"/>
              <w:rPr>
                <w:rFonts w:ascii="宋体" w:hAnsi="宋体" w:cs="Segoe UI"/>
                <w:color w:val="000000"/>
                <w:kern w:val="0"/>
                <w:szCs w:val="21"/>
              </w:rPr>
            </w:pPr>
            <w:r>
              <w:rPr>
                <w:rFonts w:ascii="宋体" w:hAnsi="宋体" w:cs="Segoe UI"/>
                <w:color w:val="000000"/>
                <w:kern w:val="0"/>
                <w:szCs w:val="21"/>
              </w:rPr>
              <w:t>密码修改成功，原密码失效</w:t>
            </w:r>
          </w:p>
        </w:tc>
        <w:tc>
          <w:tcPr>
            <w:tcW w:w="1040" w:type="dxa"/>
            <w:tcMar>
              <w:top w:w="180" w:type="dxa"/>
              <w:left w:w="270" w:type="dxa"/>
              <w:bottom w:w="180" w:type="dxa"/>
              <w:right w:w="270" w:type="dxa"/>
            </w:tcMar>
            <w:vAlign w:val="center"/>
          </w:tcPr>
          <w:p w14:paraId="439A4294">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61B28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18" w:type="dxa"/>
            <w:tcMar>
              <w:top w:w="180" w:type="dxa"/>
              <w:left w:w="270" w:type="dxa"/>
              <w:bottom w:w="180" w:type="dxa"/>
              <w:right w:w="270" w:type="dxa"/>
            </w:tcMar>
            <w:vAlign w:val="center"/>
          </w:tcPr>
          <w:p w14:paraId="1520A658">
            <w:pPr>
              <w:widowControl/>
              <w:snapToGrid w:val="0"/>
              <w:jc w:val="center"/>
              <w:outlineLvl w:val="9"/>
              <w:rPr>
                <w:rFonts w:ascii="宋体" w:hAnsi="宋体" w:cs="Segoe UI"/>
                <w:color w:val="000000"/>
                <w:kern w:val="0"/>
                <w:szCs w:val="21"/>
              </w:rPr>
            </w:pPr>
            <w:r>
              <w:rPr>
                <w:rFonts w:ascii="宋体" w:hAnsi="宋体" w:cs="Segoe UI"/>
                <w:color w:val="000000"/>
                <w:kern w:val="0"/>
                <w:szCs w:val="21"/>
              </w:rPr>
              <w:t>3</w:t>
            </w:r>
          </w:p>
        </w:tc>
        <w:tc>
          <w:tcPr>
            <w:tcW w:w="1616" w:type="dxa"/>
            <w:tcMar>
              <w:top w:w="180" w:type="dxa"/>
              <w:left w:w="270" w:type="dxa"/>
              <w:bottom w:w="180" w:type="dxa"/>
              <w:right w:w="270" w:type="dxa"/>
            </w:tcMar>
            <w:vAlign w:val="center"/>
          </w:tcPr>
          <w:p w14:paraId="607D3E05">
            <w:pPr>
              <w:widowControl/>
              <w:snapToGrid w:val="0"/>
              <w:jc w:val="left"/>
              <w:outlineLvl w:val="9"/>
              <w:rPr>
                <w:rFonts w:ascii="宋体" w:hAnsi="宋体" w:cs="Segoe UI"/>
                <w:color w:val="000000"/>
                <w:kern w:val="0"/>
                <w:szCs w:val="21"/>
              </w:rPr>
            </w:pPr>
            <w:r>
              <w:rPr>
                <w:rFonts w:ascii="宋体" w:hAnsi="宋体" w:cs="Segoe UI"/>
                <w:color w:val="000000"/>
                <w:kern w:val="0"/>
                <w:szCs w:val="21"/>
              </w:rPr>
              <w:t>添加收货地址</w:t>
            </w:r>
          </w:p>
        </w:tc>
        <w:tc>
          <w:tcPr>
            <w:tcW w:w="2777" w:type="dxa"/>
            <w:tcMar>
              <w:top w:w="180" w:type="dxa"/>
              <w:left w:w="270" w:type="dxa"/>
              <w:bottom w:w="180" w:type="dxa"/>
              <w:right w:w="270" w:type="dxa"/>
            </w:tcMar>
            <w:vAlign w:val="center"/>
          </w:tcPr>
          <w:p w14:paraId="4E6DF1CF">
            <w:pPr>
              <w:widowControl/>
              <w:snapToGrid w:val="0"/>
              <w:jc w:val="center"/>
              <w:outlineLvl w:val="9"/>
              <w:rPr>
                <w:rFonts w:ascii="宋体" w:hAnsi="宋体" w:cs="Segoe UI"/>
                <w:color w:val="000000"/>
                <w:kern w:val="0"/>
                <w:szCs w:val="21"/>
              </w:rPr>
            </w:pPr>
            <w:r>
              <w:rPr>
                <w:rFonts w:ascii="宋体" w:hAnsi="宋体" w:cs="Segoe UI"/>
                <w:color w:val="000000"/>
                <w:kern w:val="0"/>
                <w:szCs w:val="21"/>
              </w:rPr>
              <w:t>填写完整地址信息，设为默认地址</w:t>
            </w:r>
          </w:p>
        </w:tc>
        <w:tc>
          <w:tcPr>
            <w:tcW w:w="2271" w:type="dxa"/>
            <w:tcMar>
              <w:top w:w="180" w:type="dxa"/>
              <w:left w:w="270" w:type="dxa"/>
              <w:bottom w:w="180" w:type="dxa"/>
              <w:right w:w="270" w:type="dxa"/>
            </w:tcMar>
            <w:vAlign w:val="center"/>
          </w:tcPr>
          <w:p w14:paraId="69491EF2">
            <w:pPr>
              <w:widowControl/>
              <w:snapToGrid w:val="0"/>
              <w:jc w:val="left"/>
              <w:outlineLvl w:val="9"/>
              <w:rPr>
                <w:rFonts w:ascii="宋体" w:hAnsi="宋体" w:cs="Segoe UI"/>
                <w:color w:val="000000"/>
                <w:kern w:val="0"/>
                <w:szCs w:val="21"/>
              </w:rPr>
            </w:pPr>
            <w:r>
              <w:rPr>
                <w:rFonts w:ascii="宋体" w:hAnsi="宋体" w:cs="Segoe UI"/>
                <w:color w:val="000000"/>
                <w:kern w:val="0"/>
                <w:szCs w:val="21"/>
              </w:rPr>
              <w:t>地址添加成功，列表显示默认标识</w:t>
            </w:r>
          </w:p>
        </w:tc>
        <w:tc>
          <w:tcPr>
            <w:tcW w:w="1040" w:type="dxa"/>
            <w:tcMar>
              <w:top w:w="180" w:type="dxa"/>
              <w:left w:w="270" w:type="dxa"/>
              <w:bottom w:w="180" w:type="dxa"/>
              <w:right w:w="270" w:type="dxa"/>
            </w:tcMar>
            <w:vAlign w:val="center"/>
          </w:tcPr>
          <w:p w14:paraId="524687BE">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18E1C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18" w:type="dxa"/>
            <w:tcMar>
              <w:top w:w="180" w:type="dxa"/>
              <w:left w:w="270" w:type="dxa"/>
              <w:bottom w:w="180" w:type="dxa"/>
              <w:right w:w="270" w:type="dxa"/>
            </w:tcMar>
            <w:vAlign w:val="center"/>
          </w:tcPr>
          <w:p w14:paraId="7CD38523">
            <w:pPr>
              <w:widowControl/>
              <w:snapToGrid w:val="0"/>
              <w:jc w:val="center"/>
              <w:outlineLvl w:val="9"/>
              <w:rPr>
                <w:rFonts w:ascii="宋体" w:hAnsi="宋体" w:cs="Segoe UI"/>
                <w:color w:val="000000"/>
                <w:kern w:val="0"/>
                <w:szCs w:val="21"/>
              </w:rPr>
            </w:pPr>
            <w:r>
              <w:rPr>
                <w:rFonts w:ascii="宋体" w:hAnsi="宋体" w:cs="Segoe UI"/>
                <w:color w:val="000000"/>
                <w:kern w:val="0"/>
                <w:szCs w:val="21"/>
              </w:rPr>
              <w:t>4</w:t>
            </w:r>
          </w:p>
        </w:tc>
        <w:tc>
          <w:tcPr>
            <w:tcW w:w="1616" w:type="dxa"/>
            <w:tcMar>
              <w:top w:w="180" w:type="dxa"/>
              <w:left w:w="270" w:type="dxa"/>
              <w:bottom w:w="180" w:type="dxa"/>
              <w:right w:w="270" w:type="dxa"/>
            </w:tcMar>
            <w:vAlign w:val="center"/>
          </w:tcPr>
          <w:p w14:paraId="0B112143">
            <w:pPr>
              <w:widowControl/>
              <w:snapToGrid w:val="0"/>
              <w:jc w:val="left"/>
              <w:outlineLvl w:val="9"/>
              <w:rPr>
                <w:rFonts w:ascii="宋体" w:hAnsi="宋体" w:cs="Segoe UI"/>
                <w:color w:val="000000"/>
                <w:kern w:val="0"/>
                <w:szCs w:val="21"/>
              </w:rPr>
            </w:pPr>
            <w:r>
              <w:rPr>
                <w:rFonts w:ascii="宋体" w:hAnsi="宋体" w:cs="Segoe UI"/>
                <w:color w:val="000000"/>
                <w:kern w:val="0"/>
                <w:szCs w:val="21"/>
              </w:rPr>
              <w:t>收藏 / 取消收藏商品</w:t>
            </w:r>
          </w:p>
        </w:tc>
        <w:tc>
          <w:tcPr>
            <w:tcW w:w="2777" w:type="dxa"/>
            <w:tcMar>
              <w:top w:w="180" w:type="dxa"/>
              <w:left w:w="270" w:type="dxa"/>
              <w:bottom w:w="180" w:type="dxa"/>
              <w:right w:w="270" w:type="dxa"/>
            </w:tcMar>
            <w:vAlign w:val="center"/>
          </w:tcPr>
          <w:p w14:paraId="209C7833">
            <w:pPr>
              <w:widowControl/>
              <w:snapToGrid w:val="0"/>
              <w:jc w:val="center"/>
              <w:outlineLvl w:val="9"/>
              <w:rPr>
                <w:rFonts w:ascii="宋体" w:hAnsi="宋体" w:cs="Segoe UI"/>
                <w:color w:val="000000"/>
                <w:kern w:val="0"/>
                <w:szCs w:val="21"/>
              </w:rPr>
            </w:pPr>
            <w:r>
              <w:rPr>
                <w:rFonts w:ascii="宋体" w:hAnsi="宋体" w:cs="Segoe UI"/>
                <w:color w:val="000000"/>
                <w:kern w:val="0"/>
                <w:szCs w:val="21"/>
              </w:rPr>
              <w:t>商品详情页点击 “收藏”/“取消收藏”</w:t>
            </w:r>
          </w:p>
        </w:tc>
        <w:tc>
          <w:tcPr>
            <w:tcW w:w="2271" w:type="dxa"/>
            <w:tcMar>
              <w:top w:w="180" w:type="dxa"/>
              <w:left w:w="270" w:type="dxa"/>
              <w:bottom w:w="180" w:type="dxa"/>
              <w:right w:w="270" w:type="dxa"/>
            </w:tcMar>
            <w:vAlign w:val="center"/>
          </w:tcPr>
          <w:p w14:paraId="21559E60">
            <w:pPr>
              <w:widowControl/>
              <w:snapToGrid w:val="0"/>
              <w:jc w:val="left"/>
              <w:outlineLvl w:val="9"/>
              <w:rPr>
                <w:rFonts w:ascii="宋体" w:hAnsi="宋体" w:cs="Segoe UI"/>
                <w:color w:val="000000"/>
                <w:kern w:val="0"/>
                <w:szCs w:val="21"/>
              </w:rPr>
            </w:pPr>
            <w:r>
              <w:rPr>
                <w:rFonts w:ascii="宋体" w:hAnsi="宋体" w:cs="Segoe UI"/>
                <w:color w:val="000000"/>
                <w:kern w:val="0"/>
                <w:szCs w:val="21"/>
              </w:rPr>
              <w:t>收藏状态切换，“我的收藏” 同步</w:t>
            </w:r>
          </w:p>
        </w:tc>
        <w:tc>
          <w:tcPr>
            <w:tcW w:w="1040" w:type="dxa"/>
            <w:tcMar>
              <w:top w:w="180" w:type="dxa"/>
              <w:left w:w="270" w:type="dxa"/>
              <w:bottom w:w="180" w:type="dxa"/>
              <w:right w:w="270" w:type="dxa"/>
            </w:tcMar>
            <w:vAlign w:val="center"/>
          </w:tcPr>
          <w:p w14:paraId="4DF092B0">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72ABF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18" w:type="dxa"/>
            <w:tcMar>
              <w:top w:w="180" w:type="dxa"/>
              <w:left w:w="270" w:type="dxa"/>
              <w:bottom w:w="180" w:type="dxa"/>
              <w:right w:w="270" w:type="dxa"/>
            </w:tcMar>
            <w:vAlign w:val="center"/>
          </w:tcPr>
          <w:p w14:paraId="7AD798A7">
            <w:pPr>
              <w:widowControl/>
              <w:snapToGrid w:val="0"/>
              <w:jc w:val="center"/>
              <w:outlineLvl w:val="9"/>
              <w:rPr>
                <w:rFonts w:ascii="宋体" w:hAnsi="宋体" w:cs="Segoe UI"/>
                <w:color w:val="000000"/>
                <w:kern w:val="0"/>
                <w:szCs w:val="21"/>
              </w:rPr>
            </w:pPr>
            <w:r>
              <w:rPr>
                <w:rFonts w:ascii="宋体" w:hAnsi="宋体" w:cs="Segoe UI"/>
                <w:color w:val="000000"/>
                <w:kern w:val="0"/>
                <w:szCs w:val="21"/>
              </w:rPr>
              <w:t>5</w:t>
            </w:r>
          </w:p>
        </w:tc>
        <w:tc>
          <w:tcPr>
            <w:tcW w:w="1616" w:type="dxa"/>
            <w:tcMar>
              <w:top w:w="180" w:type="dxa"/>
              <w:left w:w="270" w:type="dxa"/>
              <w:bottom w:w="180" w:type="dxa"/>
              <w:right w:w="270" w:type="dxa"/>
            </w:tcMar>
            <w:vAlign w:val="center"/>
          </w:tcPr>
          <w:p w14:paraId="5F0A2ED5">
            <w:pPr>
              <w:widowControl/>
              <w:snapToGrid w:val="0"/>
              <w:jc w:val="left"/>
              <w:outlineLvl w:val="9"/>
              <w:rPr>
                <w:rFonts w:ascii="宋体" w:hAnsi="宋体" w:cs="Segoe UI"/>
                <w:color w:val="000000"/>
                <w:kern w:val="0"/>
                <w:szCs w:val="21"/>
              </w:rPr>
            </w:pPr>
            <w:r>
              <w:rPr>
                <w:rFonts w:ascii="宋体" w:hAnsi="宋体" w:cs="Segoe UI"/>
                <w:color w:val="000000"/>
                <w:kern w:val="0"/>
                <w:szCs w:val="21"/>
              </w:rPr>
              <w:t>查询我的订单</w:t>
            </w:r>
          </w:p>
        </w:tc>
        <w:tc>
          <w:tcPr>
            <w:tcW w:w="2777" w:type="dxa"/>
            <w:tcMar>
              <w:top w:w="180" w:type="dxa"/>
              <w:left w:w="270" w:type="dxa"/>
              <w:bottom w:w="180" w:type="dxa"/>
              <w:right w:w="270" w:type="dxa"/>
            </w:tcMar>
            <w:vAlign w:val="center"/>
          </w:tcPr>
          <w:p w14:paraId="42F9BB1B">
            <w:pPr>
              <w:widowControl/>
              <w:snapToGrid w:val="0"/>
              <w:jc w:val="center"/>
              <w:outlineLvl w:val="9"/>
              <w:rPr>
                <w:rFonts w:ascii="宋体" w:hAnsi="宋体" w:cs="Segoe UI"/>
                <w:color w:val="000000"/>
                <w:kern w:val="0"/>
                <w:szCs w:val="21"/>
              </w:rPr>
            </w:pPr>
            <w:r>
              <w:rPr>
                <w:rFonts w:ascii="宋体" w:hAnsi="宋体" w:cs="Segoe UI"/>
                <w:color w:val="000000"/>
                <w:kern w:val="0"/>
                <w:szCs w:val="21"/>
              </w:rPr>
              <w:t>输入订单关键词或筛选状态，查询订单</w:t>
            </w:r>
          </w:p>
        </w:tc>
        <w:tc>
          <w:tcPr>
            <w:tcW w:w="2271" w:type="dxa"/>
            <w:tcMar>
              <w:top w:w="180" w:type="dxa"/>
              <w:left w:w="270" w:type="dxa"/>
              <w:bottom w:w="180" w:type="dxa"/>
              <w:right w:w="270" w:type="dxa"/>
            </w:tcMar>
            <w:vAlign w:val="center"/>
          </w:tcPr>
          <w:p w14:paraId="02F9ACA7">
            <w:pPr>
              <w:widowControl/>
              <w:snapToGrid w:val="0"/>
              <w:jc w:val="left"/>
              <w:outlineLvl w:val="9"/>
              <w:rPr>
                <w:rFonts w:ascii="宋体" w:hAnsi="宋体" w:cs="Segoe UI"/>
                <w:color w:val="000000"/>
                <w:kern w:val="0"/>
                <w:szCs w:val="21"/>
              </w:rPr>
            </w:pPr>
            <w:r>
              <w:rPr>
                <w:rFonts w:ascii="宋体" w:hAnsi="宋体" w:cs="Segoe UI"/>
                <w:color w:val="000000"/>
                <w:kern w:val="0"/>
                <w:szCs w:val="21"/>
              </w:rPr>
              <w:t>显示匹配订单，详情可查</w:t>
            </w:r>
          </w:p>
        </w:tc>
        <w:tc>
          <w:tcPr>
            <w:tcW w:w="1040" w:type="dxa"/>
            <w:tcMar>
              <w:top w:w="180" w:type="dxa"/>
              <w:left w:w="270" w:type="dxa"/>
              <w:bottom w:w="180" w:type="dxa"/>
              <w:right w:w="270" w:type="dxa"/>
            </w:tcMar>
            <w:vAlign w:val="center"/>
          </w:tcPr>
          <w:p w14:paraId="77D8BD7F">
            <w:pPr>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bl>
    <w:p w14:paraId="6ACE3AA1">
      <w:pPr>
        <w:pStyle w:val="139"/>
        <w:ind w:firstLine="562"/>
        <w:outlineLvl w:val="9"/>
        <w:rPr>
          <w:b/>
          <w:bCs/>
          <w:sz w:val="28"/>
          <w:szCs w:val="28"/>
        </w:rPr>
      </w:pPr>
      <w:bookmarkStart w:id="77" w:name="_Toc23494"/>
      <w:r>
        <w:rPr>
          <w:rFonts w:hint="eastAsia"/>
          <w:b/>
          <w:bCs/>
          <w:sz w:val="28"/>
          <w:szCs w:val="28"/>
        </w:rPr>
        <w:t>5</w:t>
      </w:r>
      <w:r>
        <w:rPr>
          <w:b/>
          <w:bCs/>
          <w:sz w:val="28"/>
          <w:szCs w:val="28"/>
        </w:rPr>
        <w:t>.5 营销管理模块测试</w:t>
      </w:r>
      <w:bookmarkEnd w:id="77"/>
    </w:p>
    <w:p w14:paraId="3A51D932">
      <w:pPr>
        <w:pStyle w:val="140"/>
        <w:ind w:firstLine="480"/>
        <w:outlineLvl w:val="9"/>
      </w:pPr>
      <w:r>
        <w:t>营销管理模块涵盖优惠券管理、公告资讯发布等功能</w:t>
      </w:r>
      <w:r>
        <w:rPr>
          <w:rFonts w:hint="eastAsia"/>
        </w:rPr>
        <w:t>。</w:t>
      </w:r>
      <w:r>
        <w:t>测试用例如</w:t>
      </w:r>
      <w:r>
        <w:rPr>
          <w:rFonts w:hint="eastAsia"/>
        </w:rPr>
        <w:t>下</w:t>
      </w:r>
      <w:r>
        <w:t>所示。</w:t>
      </w:r>
    </w:p>
    <w:p w14:paraId="0D95ACD2">
      <w:pPr>
        <w:pStyle w:val="137"/>
        <w:outlineLvl w:val="9"/>
        <w:rPr>
          <w:shd w:val="clear" w:color="auto" w:fill="FFFFFF"/>
        </w:rPr>
      </w:pPr>
      <w:r>
        <w:rPr>
          <w:shd w:val="clear" w:color="auto" w:fill="FFFFFF"/>
        </w:rPr>
        <w:t>表 5-5 营销管理模块测试表</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04"/>
        <w:gridCol w:w="1418"/>
        <w:gridCol w:w="2976"/>
        <w:gridCol w:w="2268"/>
        <w:gridCol w:w="1156"/>
      </w:tblGrid>
      <w:tr w14:paraId="1D659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704" w:type="dxa"/>
            <w:tcMar>
              <w:top w:w="180" w:type="dxa"/>
              <w:left w:w="270" w:type="dxa"/>
              <w:bottom w:w="180" w:type="dxa"/>
              <w:right w:w="270" w:type="dxa"/>
            </w:tcMar>
            <w:vAlign w:val="center"/>
          </w:tcPr>
          <w:p w14:paraId="635F4154">
            <w:pPr>
              <w:outlineLvl w:val="9"/>
            </w:pPr>
            <w:r>
              <w:t>编号</w:t>
            </w:r>
          </w:p>
        </w:tc>
        <w:tc>
          <w:tcPr>
            <w:tcW w:w="1418" w:type="dxa"/>
            <w:tcMar>
              <w:top w:w="180" w:type="dxa"/>
              <w:left w:w="270" w:type="dxa"/>
              <w:bottom w:w="180" w:type="dxa"/>
              <w:right w:w="270" w:type="dxa"/>
            </w:tcMar>
            <w:vAlign w:val="center"/>
          </w:tcPr>
          <w:p w14:paraId="4256F612">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测试场景</w:t>
            </w:r>
          </w:p>
        </w:tc>
        <w:tc>
          <w:tcPr>
            <w:tcW w:w="2976" w:type="dxa"/>
            <w:tcMar>
              <w:top w:w="180" w:type="dxa"/>
              <w:left w:w="270" w:type="dxa"/>
              <w:bottom w:w="180" w:type="dxa"/>
              <w:right w:w="270" w:type="dxa"/>
            </w:tcMar>
            <w:vAlign w:val="center"/>
          </w:tcPr>
          <w:p w14:paraId="3CB6E296">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操作步骤</w:t>
            </w:r>
          </w:p>
        </w:tc>
        <w:tc>
          <w:tcPr>
            <w:tcW w:w="2268" w:type="dxa"/>
            <w:tcMar>
              <w:top w:w="180" w:type="dxa"/>
              <w:left w:w="270" w:type="dxa"/>
              <w:bottom w:w="180" w:type="dxa"/>
              <w:right w:w="270" w:type="dxa"/>
            </w:tcMar>
            <w:vAlign w:val="center"/>
          </w:tcPr>
          <w:p w14:paraId="7EE2D88A">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预期结果</w:t>
            </w:r>
          </w:p>
        </w:tc>
        <w:tc>
          <w:tcPr>
            <w:tcW w:w="1156" w:type="dxa"/>
            <w:tcMar>
              <w:top w:w="180" w:type="dxa"/>
              <w:left w:w="270" w:type="dxa"/>
              <w:bottom w:w="180" w:type="dxa"/>
              <w:right w:w="270" w:type="dxa"/>
            </w:tcMar>
            <w:vAlign w:val="center"/>
          </w:tcPr>
          <w:p w14:paraId="77BE8932">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测试结果</w:t>
            </w:r>
          </w:p>
        </w:tc>
      </w:tr>
      <w:tr w14:paraId="7E06C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Mar>
              <w:top w:w="180" w:type="dxa"/>
              <w:left w:w="270" w:type="dxa"/>
              <w:bottom w:w="180" w:type="dxa"/>
              <w:right w:w="270" w:type="dxa"/>
            </w:tcMar>
            <w:vAlign w:val="center"/>
          </w:tcPr>
          <w:p w14:paraId="598BA0EE">
            <w:pPr>
              <w:outlineLvl w:val="9"/>
            </w:pPr>
            <w:r>
              <w:t>1</w:t>
            </w:r>
          </w:p>
        </w:tc>
        <w:tc>
          <w:tcPr>
            <w:tcW w:w="1418" w:type="dxa"/>
            <w:tcMar>
              <w:top w:w="180" w:type="dxa"/>
              <w:left w:w="270" w:type="dxa"/>
              <w:bottom w:w="180" w:type="dxa"/>
              <w:right w:w="270" w:type="dxa"/>
            </w:tcMar>
            <w:vAlign w:val="center"/>
          </w:tcPr>
          <w:p w14:paraId="4AB4432C">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创建全场优惠券</w:t>
            </w:r>
          </w:p>
        </w:tc>
        <w:tc>
          <w:tcPr>
            <w:tcW w:w="2976" w:type="dxa"/>
            <w:tcMar>
              <w:top w:w="180" w:type="dxa"/>
              <w:left w:w="270" w:type="dxa"/>
              <w:bottom w:w="180" w:type="dxa"/>
              <w:right w:w="270" w:type="dxa"/>
            </w:tcMar>
            <w:vAlign w:val="center"/>
          </w:tcPr>
          <w:p w14:paraId="5053400A">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填写优惠券信息，选择 “全场通用” 提交</w:t>
            </w:r>
          </w:p>
        </w:tc>
        <w:tc>
          <w:tcPr>
            <w:tcW w:w="2268" w:type="dxa"/>
            <w:tcMar>
              <w:top w:w="180" w:type="dxa"/>
              <w:left w:w="270" w:type="dxa"/>
              <w:bottom w:w="180" w:type="dxa"/>
              <w:right w:w="270" w:type="dxa"/>
            </w:tcMar>
            <w:vAlign w:val="center"/>
          </w:tcPr>
          <w:p w14:paraId="5C404D0C">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优惠券创建成功，用户可领取</w:t>
            </w:r>
          </w:p>
        </w:tc>
        <w:tc>
          <w:tcPr>
            <w:tcW w:w="1156" w:type="dxa"/>
            <w:tcMar>
              <w:top w:w="180" w:type="dxa"/>
              <w:left w:w="270" w:type="dxa"/>
              <w:bottom w:w="180" w:type="dxa"/>
              <w:right w:w="270" w:type="dxa"/>
            </w:tcMar>
            <w:vAlign w:val="center"/>
          </w:tcPr>
          <w:p w14:paraId="6E40B451">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742CB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Mar>
              <w:top w:w="180" w:type="dxa"/>
              <w:left w:w="270" w:type="dxa"/>
              <w:bottom w:w="180" w:type="dxa"/>
              <w:right w:w="270" w:type="dxa"/>
            </w:tcMar>
            <w:vAlign w:val="center"/>
          </w:tcPr>
          <w:p w14:paraId="02B24440">
            <w:pPr>
              <w:outlineLvl w:val="9"/>
            </w:pPr>
            <w:r>
              <w:t>2</w:t>
            </w:r>
          </w:p>
        </w:tc>
        <w:tc>
          <w:tcPr>
            <w:tcW w:w="1418" w:type="dxa"/>
            <w:tcMar>
              <w:top w:w="180" w:type="dxa"/>
              <w:left w:w="270" w:type="dxa"/>
              <w:bottom w:w="180" w:type="dxa"/>
              <w:right w:w="270" w:type="dxa"/>
            </w:tcMar>
            <w:vAlign w:val="center"/>
          </w:tcPr>
          <w:p w14:paraId="7216847F">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用户领取并使用优惠券</w:t>
            </w:r>
          </w:p>
        </w:tc>
        <w:tc>
          <w:tcPr>
            <w:tcW w:w="2976" w:type="dxa"/>
            <w:tcMar>
              <w:top w:w="180" w:type="dxa"/>
              <w:left w:w="270" w:type="dxa"/>
              <w:bottom w:w="180" w:type="dxa"/>
              <w:right w:w="270" w:type="dxa"/>
            </w:tcMar>
            <w:vAlign w:val="center"/>
          </w:tcPr>
          <w:p w14:paraId="43B12947">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领取优惠券，下单满足使用条件</w:t>
            </w:r>
          </w:p>
        </w:tc>
        <w:tc>
          <w:tcPr>
            <w:tcW w:w="2268" w:type="dxa"/>
            <w:tcMar>
              <w:top w:w="180" w:type="dxa"/>
              <w:left w:w="270" w:type="dxa"/>
              <w:bottom w:w="180" w:type="dxa"/>
              <w:right w:w="270" w:type="dxa"/>
            </w:tcMar>
            <w:vAlign w:val="center"/>
          </w:tcPr>
          <w:p w14:paraId="6AF48AB2">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优惠券抵扣成功，实付金额减少</w:t>
            </w:r>
          </w:p>
        </w:tc>
        <w:tc>
          <w:tcPr>
            <w:tcW w:w="1156" w:type="dxa"/>
            <w:tcMar>
              <w:top w:w="180" w:type="dxa"/>
              <w:left w:w="270" w:type="dxa"/>
              <w:bottom w:w="180" w:type="dxa"/>
              <w:right w:w="270" w:type="dxa"/>
            </w:tcMar>
            <w:vAlign w:val="center"/>
          </w:tcPr>
          <w:p w14:paraId="510D7003">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30FC7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Mar>
              <w:top w:w="180" w:type="dxa"/>
              <w:left w:w="270" w:type="dxa"/>
              <w:bottom w:w="180" w:type="dxa"/>
              <w:right w:w="270" w:type="dxa"/>
            </w:tcMar>
            <w:vAlign w:val="center"/>
          </w:tcPr>
          <w:p w14:paraId="257B01F8">
            <w:pPr>
              <w:outlineLvl w:val="9"/>
            </w:pPr>
            <w:r>
              <w:t>3</w:t>
            </w:r>
          </w:p>
        </w:tc>
        <w:tc>
          <w:tcPr>
            <w:tcW w:w="1418" w:type="dxa"/>
            <w:tcMar>
              <w:top w:w="180" w:type="dxa"/>
              <w:left w:w="270" w:type="dxa"/>
              <w:bottom w:w="180" w:type="dxa"/>
              <w:right w:w="270" w:type="dxa"/>
            </w:tcMar>
            <w:vAlign w:val="center"/>
          </w:tcPr>
          <w:p w14:paraId="135701E7">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发布公告资讯</w:t>
            </w:r>
          </w:p>
        </w:tc>
        <w:tc>
          <w:tcPr>
            <w:tcW w:w="2976" w:type="dxa"/>
            <w:tcMar>
              <w:top w:w="180" w:type="dxa"/>
              <w:left w:w="270" w:type="dxa"/>
              <w:bottom w:w="180" w:type="dxa"/>
              <w:right w:w="270" w:type="dxa"/>
            </w:tcMar>
            <w:vAlign w:val="center"/>
          </w:tcPr>
          <w:p w14:paraId="083FD3D7">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填写标题、内容，上传封面图提交</w:t>
            </w:r>
          </w:p>
        </w:tc>
        <w:tc>
          <w:tcPr>
            <w:tcW w:w="2268" w:type="dxa"/>
            <w:tcMar>
              <w:top w:w="180" w:type="dxa"/>
              <w:left w:w="270" w:type="dxa"/>
              <w:bottom w:w="180" w:type="dxa"/>
              <w:right w:w="270" w:type="dxa"/>
            </w:tcMar>
            <w:vAlign w:val="center"/>
          </w:tcPr>
          <w:p w14:paraId="55878267">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资讯发布成功，前端展示完整内容</w:t>
            </w:r>
          </w:p>
        </w:tc>
        <w:tc>
          <w:tcPr>
            <w:tcW w:w="1156" w:type="dxa"/>
            <w:tcMar>
              <w:top w:w="180" w:type="dxa"/>
              <w:left w:w="270" w:type="dxa"/>
              <w:bottom w:w="180" w:type="dxa"/>
              <w:right w:w="270" w:type="dxa"/>
            </w:tcMar>
            <w:vAlign w:val="center"/>
          </w:tcPr>
          <w:p w14:paraId="7CF395F6">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r w14:paraId="07111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Mar>
              <w:top w:w="180" w:type="dxa"/>
              <w:left w:w="270" w:type="dxa"/>
              <w:bottom w:w="180" w:type="dxa"/>
              <w:right w:w="270" w:type="dxa"/>
            </w:tcMar>
            <w:vAlign w:val="center"/>
          </w:tcPr>
          <w:p w14:paraId="33F8E126">
            <w:pPr>
              <w:outlineLvl w:val="9"/>
            </w:pPr>
            <w:r>
              <w:t>4</w:t>
            </w:r>
          </w:p>
        </w:tc>
        <w:tc>
          <w:tcPr>
            <w:tcW w:w="1418" w:type="dxa"/>
            <w:tcMar>
              <w:top w:w="180" w:type="dxa"/>
              <w:left w:w="270" w:type="dxa"/>
              <w:bottom w:w="180" w:type="dxa"/>
              <w:right w:w="270" w:type="dxa"/>
            </w:tcMar>
            <w:vAlign w:val="center"/>
          </w:tcPr>
          <w:p w14:paraId="671D69FF">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编辑 / 删除资讯</w:t>
            </w:r>
          </w:p>
        </w:tc>
        <w:tc>
          <w:tcPr>
            <w:tcW w:w="2976" w:type="dxa"/>
            <w:tcMar>
              <w:top w:w="180" w:type="dxa"/>
              <w:left w:w="270" w:type="dxa"/>
              <w:bottom w:w="180" w:type="dxa"/>
              <w:right w:w="270" w:type="dxa"/>
            </w:tcMar>
            <w:vAlign w:val="center"/>
          </w:tcPr>
          <w:p w14:paraId="29E4A9B9">
            <w:pPr>
              <w:keepNext/>
              <w:widowControl/>
              <w:snapToGrid w:val="0"/>
              <w:jc w:val="left"/>
              <w:outlineLvl w:val="9"/>
              <w:rPr>
                <w:rFonts w:ascii="宋体" w:hAnsi="宋体" w:cs="Segoe UI"/>
                <w:color w:val="000000"/>
                <w:kern w:val="0"/>
                <w:szCs w:val="21"/>
              </w:rPr>
            </w:pPr>
            <w:r>
              <w:rPr>
                <w:rFonts w:ascii="宋体" w:hAnsi="宋体" w:cs="Segoe UI"/>
                <w:color w:val="000000"/>
                <w:kern w:val="0"/>
                <w:szCs w:val="21"/>
              </w:rPr>
              <w:t>选择资讯点击 “编辑”/“删除”，提交操作</w:t>
            </w:r>
          </w:p>
        </w:tc>
        <w:tc>
          <w:tcPr>
            <w:tcW w:w="2268" w:type="dxa"/>
            <w:tcMar>
              <w:top w:w="180" w:type="dxa"/>
              <w:left w:w="270" w:type="dxa"/>
              <w:bottom w:w="180" w:type="dxa"/>
              <w:right w:w="270" w:type="dxa"/>
            </w:tcMar>
            <w:vAlign w:val="center"/>
          </w:tcPr>
          <w:p w14:paraId="56570EBA">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资讯更新 / 删除，前端同步</w:t>
            </w:r>
          </w:p>
        </w:tc>
        <w:tc>
          <w:tcPr>
            <w:tcW w:w="1156" w:type="dxa"/>
            <w:tcMar>
              <w:top w:w="180" w:type="dxa"/>
              <w:left w:w="270" w:type="dxa"/>
              <w:bottom w:w="180" w:type="dxa"/>
              <w:right w:w="270" w:type="dxa"/>
            </w:tcMar>
            <w:vAlign w:val="center"/>
          </w:tcPr>
          <w:p w14:paraId="79D41631">
            <w:pPr>
              <w:keepNext/>
              <w:widowControl/>
              <w:snapToGrid w:val="0"/>
              <w:jc w:val="center"/>
              <w:outlineLvl w:val="9"/>
              <w:rPr>
                <w:rFonts w:ascii="宋体" w:hAnsi="宋体" w:cs="Segoe UI"/>
                <w:color w:val="000000"/>
                <w:kern w:val="0"/>
                <w:szCs w:val="21"/>
              </w:rPr>
            </w:pPr>
            <w:r>
              <w:rPr>
                <w:rFonts w:ascii="宋体" w:hAnsi="宋体" w:cs="Segoe UI"/>
                <w:color w:val="000000"/>
                <w:kern w:val="0"/>
                <w:szCs w:val="21"/>
              </w:rPr>
              <w:t>符合预期</w:t>
            </w:r>
          </w:p>
        </w:tc>
      </w:tr>
    </w:tbl>
    <w:p w14:paraId="3F4376D7">
      <w:pPr>
        <w:pStyle w:val="151"/>
        <w:outlineLvl w:val="9"/>
      </w:pPr>
      <w:bookmarkStart w:id="78" w:name="_Toc3459"/>
      <w:r>
        <w:t>6 总结</w:t>
      </w:r>
      <w:bookmarkEnd w:id="78"/>
    </w:p>
    <w:p w14:paraId="2C72738F">
      <w:pPr>
        <w:spacing w:line="440" w:lineRule="exact"/>
        <w:ind w:firstLine="480" w:firstLineChars="200"/>
        <w:outlineLvl w:val="9"/>
        <w:rPr>
          <w:rFonts w:ascii="宋体" w:hAnsi="宋体" w:cs="宋体"/>
          <w:sz w:val="24"/>
        </w:rPr>
      </w:pPr>
      <w:r>
        <w:rPr>
          <w:rFonts w:hint="eastAsia" w:ascii="宋体" w:hAnsi="宋体" w:cs="宋体"/>
          <w:sz w:val="24"/>
        </w:rPr>
        <w:t>本</w:t>
      </w:r>
      <w:r>
        <w:rPr>
          <w:rFonts w:ascii="宋体" w:hAnsi="宋体" w:cs="宋体"/>
          <w:sz w:val="24"/>
        </w:rPr>
        <w:t>系统是一个基于SpringBoot技术栈构建的、面向现代电商业务的全渠道运动服装销售管理平台。项目旨在通过一体化的数字解决方案，打通服装销售前端的商品展示、在线选购与后端的精细化运营管理，全面提升商家的运营效率与消费者的购物体验。</w:t>
      </w:r>
    </w:p>
    <w:p w14:paraId="2C8624A3">
      <w:pPr>
        <w:spacing w:line="440" w:lineRule="exact"/>
        <w:ind w:firstLine="480" w:firstLineChars="200"/>
        <w:outlineLvl w:val="9"/>
        <w:rPr>
          <w:rFonts w:ascii="宋体" w:hAnsi="宋体" w:cs="宋体"/>
          <w:sz w:val="24"/>
        </w:rPr>
      </w:pPr>
      <w:r>
        <w:rPr>
          <w:rFonts w:ascii="宋体" w:hAnsi="宋体" w:cs="宋体"/>
          <w:sz w:val="24"/>
        </w:rPr>
        <w:t>在技术架构上，系统后端采用成熟的SpringBoot框架，确保了开发的便捷性、系统的稳定性和良好的可扩展性。前端与后端通过清晰的接口进行数据交互，共同构成了一个响应迅速、维护方便的全栈应用</w:t>
      </w:r>
      <w:r>
        <w:rPr>
          <w:rFonts w:hint="eastAsia" w:ascii="宋体" w:hAnsi="宋体" w:cs="宋体"/>
          <w:sz w:val="24"/>
        </w:rPr>
        <w:t>。</w:t>
      </w:r>
    </w:p>
    <w:p w14:paraId="5FAE4B3D">
      <w:pPr>
        <w:spacing w:line="440" w:lineRule="exact"/>
        <w:ind w:firstLine="480" w:firstLineChars="200"/>
        <w:outlineLvl w:val="9"/>
        <w:rPr>
          <w:rFonts w:ascii="宋体" w:hAnsi="宋体" w:cs="宋体"/>
          <w:sz w:val="24"/>
        </w:rPr>
      </w:pPr>
      <w:r>
        <w:rPr>
          <w:rFonts w:ascii="宋体" w:hAnsi="宋体" w:cs="宋体"/>
          <w:sz w:val="24"/>
        </w:rPr>
        <w:t>系统的核心功能模块设计全面，覆盖了电商运营的关键环节：</w:t>
      </w:r>
    </w:p>
    <w:p w14:paraId="752A4F3F">
      <w:pPr>
        <w:spacing w:line="440" w:lineRule="exact"/>
        <w:ind w:firstLine="480" w:firstLineChars="200"/>
        <w:outlineLvl w:val="9"/>
        <w:rPr>
          <w:rFonts w:ascii="宋体" w:hAnsi="宋体" w:cs="宋体"/>
          <w:sz w:val="24"/>
        </w:rPr>
      </w:pPr>
      <w:r>
        <w:rPr>
          <w:rFonts w:ascii="宋体" w:hAnsi="宋体" w:cs="宋体"/>
          <w:sz w:val="24"/>
        </w:rPr>
        <w:t>全链条商品管理：实现了对运动服装多维度属性（如品牌、分类、材质、尺码、颜色）的精细化管理，支持从创建、上架、库存维护到详情富文本编辑的完整生命周期管理。</w:t>
      </w:r>
    </w:p>
    <w:p w14:paraId="2378A159">
      <w:pPr>
        <w:spacing w:line="440" w:lineRule="exact"/>
        <w:ind w:firstLine="480" w:firstLineChars="200"/>
        <w:outlineLvl w:val="9"/>
        <w:rPr>
          <w:rFonts w:ascii="宋体" w:hAnsi="宋体" w:cs="宋体"/>
          <w:sz w:val="24"/>
        </w:rPr>
      </w:pPr>
      <w:r>
        <w:rPr>
          <w:rFonts w:ascii="宋体" w:hAnsi="宋体" w:cs="宋体"/>
          <w:sz w:val="24"/>
        </w:rPr>
        <w:t>一体化订单与物流中心：集成了订单创建、状态跟踪（待支付、已完成、已取消等）、物流信息同步与详情查看功能，形成了从销售到履约的闭环管理。</w:t>
      </w:r>
    </w:p>
    <w:p w14:paraId="10DFCA30">
      <w:pPr>
        <w:spacing w:line="440" w:lineRule="exact"/>
        <w:ind w:firstLine="480" w:firstLineChars="200"/>
        <w:outlineLvl w:val="9"/>
        <w:rPr>
          <w:rFonts w:ascii="宋体" w:hAnsi="宋体" w:cs="宋体"/>
          <w:sz w:val="24"/>
        </w:rPr>
      </w:pPr>
      <w:r>
        <w:rPr>
          <w:rFonts w:ascii="宋体" w:hAnsi="宋体" w:cs="宋体"/>
          <w:sz w:val="24"/>
        </w:rPr>
        <w:t>数字化客户运营：提供用户信息管理、会员身份标识与筛选功能，为用户画像分析和精准营销奠定数据基础。</w:t>
      </w:r>
    </w:p>
    <w:p w14:paraId="03547F16">
      <w:pPr>
        <w:spacing w:line="440" w:lineRule="exact"/>
        <w:ind w:firstLine="480" w:firstLineChars="200"/>
        <w:outlineLvl w:val="9"/>
        <w:rPr>
          <w:rFonts w:ascii="宋体" w:hAnsi="宋体" w:cs="宋体"/>
          <w:sz w:val="24"/>
        </w:rPr>
      </w:pPr>
      <w:r>
        <w:rPr>
          <w:rFonts w:ascii="宋体" w:hAnsi="宋体" w:cs="宋体"/>
          <w:sz w:val="24"/>
        </w:rPr>
        <w:t>多形态内容管理：具备独立的资讯与公告发布系统，支持图文编辑，用于品牌宣传和活动推广，有效提升用户粘性与网站活跃度。</w:t>
      </w:r>
    </w:p>
    <w:p w14:paraId="68B5FF65">
      <w:pPr>
        <w:spacing w:line="440" w:lineRule="exact"/>
        <w:ind w:firstLine="480" w:firstLineChars="200"/>
        <w:outlineLvl w:val="9"/>
        <w:rPr>
          <w:rFonts w:ascii="宋体" w:hAnsi="宋体" w:cs="宋体"/>
          <w:sz w:val="24"/>
        </w:rPr>
      </w:pPr>
      <w:r>
        <w:rPr>
          <w:rFonts w:ascii="宋体" w:hAnsi="宋体" w:cs="宋体"/>
          <w:sz w:val="24"/>
        </w:rPr>
        <w:t>即时沟通与辅助：集成在线客服与智能助手模块，能够及时响应客户咨询，提升售前售后服务质量。</w:t>
      </w:r>
    </w:p>
    <w:p w14:paraId="30ABAD70">
      <w:pPr>
        <w:spacing w:line="440" w:lineRule="exact"/>
        <w:ind w:firstLine="480" w:firstLineChars="200"/>
        <w:outlineLvl w:val="9"/>
        <w:rPr>
          <w:rFonts w:ascii="宋体" w:hAnsi="宋体"/>
          <w:sz w:val="24"/>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ascii="宋体" w:hAnsi="宋体" w:cs="宋体"/>
          <w:sz w:val="24"/>
        </w:rPr>
        <w:t>本项目成功将分散的业务流程整合至一个统一的数字化平台之中。其价值不仅在于实现了商品、订单、用户等核心要素的标准化与线上化管理，降低了人工出错率；更在于通过数据流的汇聚，为经营者提供了清晰的业务全景视图，支持其做出更快速、更精准的库存、营销与服务决策。系统界面清晰、操作逻辑贴合业务实际，兼具功能性与实用性，是一个能够切实支撑运动服装品牌或零售商进行电商化转型与日常高效运营的综合性解决方案</w:t>
      </w:r>
    </w:p>
    <w:p w14:paraId="4ADCEFBA">
      <w:pPr>
        <w:pStyle w:val="3"/>
        <w:bidi w:val="0"/>
        <w:rPr>
          <w:rFonts w:hint="eastAsia"/>
        </w:rPr>
      </w:pPr>
      <w:bookmarkStart w:id="79" w:name="_Toc14185"/>
      <w:bookmarkStart w:id="80" w:name="_Toc16230"/>
      <w:bookmarkStart w:id="81" w:name="_Toc201520865"/>
      <w:bookmarkStart w:id="82" w:name="_Toc201589138"/>
      <w:r>
        <w:rPr>
          <w:rFonts w:hint="eastAsia"/>
          <w:lang w:val="en-US" w:eastAsia="zh-CN"/>
        </w:rPr>
        <w:t>3.</w:t>
      </w:r>
      <w:r>
        <w:rPr>
          <w:rFonts w:hint="eastAsia"/>
        </w:rPr>
        <w:t>基于Spring Boot+Vue.js的医享智联平台的设计与实现</w:t>
      </w:r>
      <w:bookmarkEnd w:id="79"/>
      <w:bookmarkEnd w:id="80"/>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4992F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jc w:val="center"/>
        </w:trPr>
        <w:tc>
          <w:tcPr>
            <w:tcW w:w="8522" w:type="dxa"/>
            <w:vAlign w:val="center"/>
          </w:tcPr>
          <w:p w14:paraId="39660134">
            <w:pPr>
              <w:jc w:val="left"/>
              <w:outlineLvl w:val="1"/>
              <w:rPr>
                <w:rFonts w:ascii="Calibri" w:hAnsi="Calibri" w:eastAsia="黑体" w:cs="Times New Roman"/>
                <w:szCs w:val="21"/>
              </w:rPr>
            </w:pPr>
            <w:bookmarkStart w:id="83" w:name="_Toc6356"/>
            <w:bookmarkStart w:id="84" w:name="_Toc9329"/>
            <w:r>
              <w:rPr>
                <w:rFonts w:hint="eastAsia" w:ascii="Calibri" w:hAnsi="Calibri" w:eastAsia="黑体" w:cs="Times New Roman"/>
                <w:sz w:val="24"/>
              </w:rPr>
              <w:t>项目主题：</w:t>
            </w:r>
            <w:bookmarkEnd w:id="81"/>
            <w:bookmarkEnd w:id="82"/>
            <w:r>
              <w:rPr>
                <w:rFonts w:hint="eastAsia" w:ascii="Calibri" w:hAnsi="Calibri" w:eastAsia="黑体" w:cs="Times New Roman"/>
                <w:sz w:val="24"/>
              </w:rPr>
              <w:t>基于Spring Boot+Vue.js的医享智联平台的设计与实现</w:t>
            </w:r>
            <w:bookmarkEnd w:id="83"/>
            <w:bookmarkEnd w:id="84"/>
          </w:p>
        </w:tc>
      </w:tr>
      <w:tr w14:paraId="3823F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EA51961">
            <w:pPr>
              <w:jc w:val="left"/>
              <w:rPr>
                <w:rFonts w:ascii="Calibri" w:hAnsi="Calibri" w:eastAsia="黑体" w:cs="Times New Roman"/>
                <w:sz w:val="24"/>
              </w:rPr>
            </w:pPr>
            <w:r>
              <w:rPr>
                <w:rFonts w:hint="eastAsia" w:ascii="Calibri" w:hAnsi="Calibri" w:eastAsia="黑体" w:cs="Times New Roman"/>
                <w:sz w:val="24"/>
              </w:rPr>
              <w:t>班    级：23软件本科2班</w:t>
            </w:r>
          </w:p>
        </w:tc>
      </w:tr>
      <w:tr w14:paraId="15C3C0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7377125">
            <w:pPr>
              <w:jc w:val="left"/>
              <w:rPr>
                <w:rFonts w:ascii="Calibri" w:hAnsi="Calibri" w:eastAsia="黑体" w:cs="Times New Roman"/>
                <w:szCs w:val="21"/>
              </w:rPr>
            </w:pPr>
            <w:r>
              <w:rPr>
                <w:rFonts w:hint="eastAsia" w:ascii="Calibri" w:hAnsi="Calibri" w:eastAsia="黑体" w:cs="Times New Roman"/>
                <w:sz w:val="24"/>
              </w:rPr>
              <w:t>学生姓名：李鑫阳 袁雷育 吴桐 吴子煜    指导教师：蔡子诚 罗远辉</w:t>
            </w:r>
          </w:p>
        </w:tc>
      </w:tr>
    </w:tbl>
    <w:p w14:paraId="3F6CFCC7">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eastAsia"/>
          <w:b/>
          <w:bCs/>
          <w:sz w:val="28"/>
          <w:szCs w:val="28"/>
        </w:rPr>
      </w:pPr>
      <w:bookmarkStart w:id="85" w:name="_Toc16882"/>
      <w:r>
        <w:rPr>
          <w:rFonts w:hint="eastAsia"/>
          <w:b/>
          <w:bCs/>
          <w:sz w:val="28"/>
          <w:szCs w:val="28"/>
        </w:rPr>
        <w:t>1 项目概述</w:t>
      </w:r>
      <w:bookmarkEnd w:id="85"/>
    </w:p>
    <w:p w14:paraId="3625C938">
      <w:pPr>
        <w:pStyle w:val="129"/>
        <w:outlineLvl w:val="9"/>
        <w:rPr>
          <w:rFonts w:hint="eastAsia"/>
        </w:rPr>
      </w:pPr>
      <w:bookmarkStart w:id="86" w:name="_Toc218085433"/>
      <w:r>
        <w:rPr>
          <w:rFonts w:hint="eastAsia"/>
        </w:rPr>
        <w:t>1.1 项目介绍</w:t>
      </w:r>
      <w:bookmarkEnd w:id="86"/>
    </w:p>
    <w:p w14:paraId="154F1C7B">
      <w:pPr>
        <w:pStyle w:val="129"/>
        <w:outlineLvl w:val="9"/>
        <w:rPr>
          <w:rFonts w:ascii="宋体" w:hAnsi="宋体" w:cs="宋体"/>
        </w:rPr>
      </w:pPr>
      <w:r>
        <w:rPr>
          <w:rFonts w:hint="eastAsia"/>
        </w:rPr>
        <w:t>医享智联平台，整合优质医疗资源，高效连接医生与患者，致力于提供高效、便捷、可信赖的线上线下一体化医疗健康服务。平台立足技术赋能，优化医疗资源配置效率，升级医患沟通体验，面向广大患者、执业医生及各类医疗机构，打造专业的第三方医疗服务平台，平台提供从轻问诊、复诊开药、预约挂号，到健康管理、医生执业工具、医疗机构赋能的全链路解决方案，致力成为大众的综合性健康管理伙伴，助力推进 “健康中国” 战略落地。</w:t>
      </w:r>
    </w:p>
    <w:p w14:paraId="63C76F9F">
      <w:pPr>
        <w:pStyle w:val="129"/>
        <w:outlineLvl w:val="9"/>
        <w:rPr>
          <w:rFonts w:hint="eastAsia"/>
        </w:rPr>
      </w:pPr>
      <w:bookmarkStart w:id="87" w:name="_Toc218085434"/>
      <w:r>
        <w:rPr>
          <w:rFonts w:hint="eastAsia"/>
        </w:rPr>
        <w:t>1.2 项目开发环境</w:t>
      </w:r>
      <w:bookmarkEnd w:id="87"/>
    </w:p>
    <w:p w14:paraId="60DEFD9D">
      <w:pPr>
        <w:pStyle w:val="129"/>
        <w:outlineLvl w:val="9"/>
        <w:rPr>
          <w:rFonts w:ascii="宋体" w:hAnsi="宋体" w:cs="宋体"/>
        </w:rPr>
      </w:pPr>
      <w:r>
        <w:rPr>
          <w:rFonts w:hint="eastAsia" w:ascii="宋体" w:hAnsi="宋体" w:cs="宋体"/>
        </w:rPr>
        <w:t>技术栈选择：后端使用Spring Boot 2.2.4作为核心框架，MyBatis Plus 3.1.1作为ORM框架，MySQL 5.7+作为关系型数据库，JWT 3.4.0用于身份认证，阿里云通义千问提供AI智能引擎。前端使用Vue.js 2.6作为前端框架，Element UI 2.15作为UI组件库，Axios 0.21处理HTTP请求，ECharts 4.8实现数据可视化。开发环境：操作系统包括Windows、Linux、macOS；开发工具使用IntelliJ IDEA（后端）和VSCode（前端）；构建工具为Maven（后端）和npm（前端）；版本控制使用Git。数据库设计：包括用户表、挂号单表等；AI相关表有section_keyword。关键依赖和工具：AI服务使用阿里云通义千问API；文档工具包括Markdown和数据库设计工具；测试工具使用Postman和JUnit。</w:t>
      </w:r>
    </w:p>
    <w:p w14:paraId="377CE82E">
      <w:pPr>
        <w:pStyle w:val="129"/>
        <w:outlineLvl w:val="9"/>
        <w:rPr>
          <w:rFonts w:hint="eastAsia"/>
        </w:rPr>
      </w:pPr>
      <w:bookmarkStart w:id="88" w:name="_Toc218085435"/>
      <w:r>
        <w:rPr>
          <w:rFonts w:hint="eastAsia"/>
        </w:rPr>
        <w:t>1.3 小组人员及分工</w:t>
      </w:r>
      <w:bookmarkEnd w:id="88"/>
    </w:p>
    <w:p w14:paraId="11EB5742">
      <w:pPr>
        <w:ind w:firstLine="480" w:firstLineChars="200"/>
        <w:outlineLvl w:val="9"/>
        <w:rPr>
          <w:rFonts w:ascii="宋体" w:hAnsi="宋体" w:cs="宋体"/>
          <w:sz w:val="24"/>
        </w:rPr>
      </w:pPr>
      <w:r>
        <w:rPr>
          <w:rFonts w:hint="eastAsia" w:ascii="宋体" w:hAnsi="宋体" w:cs="宋体"/>
          <w:sz w:val="24"/>
        </w:rPr>
        <w:t>小组成员分工如表1-1所示：</w:t>
      </w:r>
    </w:p>
    <w:p w14:paraId="2E621AD3">
      <w:pPr>
        <w:pStyle w:val="122"/>
        <w:spacing w:line="240" w:lineRule="auto"/>
        <w:ind w:firstLine="420"/>
        <w:outlineLvl w:val="9"/>
      </w:pPr>
      <w:r>
        <w:rPr>
          <w:rFonts w:hint="eastAsia"/>
          <w:sz w:val="21"/>
          <w:szCs w:val="21"/>
        </w:rPr>
        <w:t>表1-1小组成员分工</w:t>
      </w:r>
    </w:p>
    <w:tbl>
      <w:tblPr>
        <w:tblStyle w:val="35"/>
        <w:tblpPr w:leftFromText="180" w:rightFromText="180" w:vertAnchor="text" w:tblpXSpec="right" w:tblpY="1"/>
        <w:tblOverlap w:val="never"/>
        <w:tblW w:w="0" w:type="auto"/>
        <w:tblInd w:w="0" w:type="dxa"/>
        <w:tblLayout w:type="autofit"/>
        <w:tblCellMar>
          <w:top w:w="0" w:type="dxa"/>
          <w:left w:w="108" w:type="dxa"/>
          <w:bottom w:w="0" w:type="dxa"/>
          <w:right w:w="108" w:type="dxa"/>
        </w:tblCellMar>
      </w:tblPr>
      <w:tblGrid>
        <w:gridCol w:w="1809"/>
        <w:gridCol w:w="6551"/>
      </w:tblGrid>
      <w:tr w14:paraId="4958B1D3">
        <w:tblPrEx>
          <w:tblCellMar>
            <w:top w:w="0" w:type="dxa"/>
            <w:left w:w="108" w:type="dxa"/>
            <w:bottom w:w="0" w:type="dxa"/>
            <w:right w:w="108" w:type="dxa"/>
          </w:tblCellMar>
        </w:tblPrEx>
        <w:tc>
          <w:tcPr>
            <w:tcW w:w="1809" w:type="dxa"/>
          </w:tcPr>
          <w:p w14:paraId="6448AB40">
            <w:pPr>
              <w:pStyle w:val="118"/>
              <w:spacing w:line="240" w:lineRule="auto"/>
              <w:ind w:firstLine="0" w:firstLineChars="0"/>
              <w:jc w:val="center"/>
              <w:outlineLvl w:val="9"/>
              <w:rPr>
                <w:sz w:val="21"/>
                <w:szCs w:val="21"/>
              </w:rPr>
            </w:pPr>
            <w:r>
              <w:rPr>
                <w:sz w:val="21"/>
                <w:szCs w:val="21"/>
              </w:rPr>
              <w:t>成员</w:t>
            </w:r>
          </w:p>
        </w:tc>
        <w:tc>
          <w:tcPr>
            <w:tcW w:w="6551" w:type="dxa"/>
          </w:tcPr>
          <w:p w14:paraId="2C64DFC7">
            <w:pPr>
              <w:pStyle w:val="118"/>
              <w:spacing w:line="240" w:lineRule="auto"/>
              <w:ind w:firstLine="0" w:firstLineChars="0"/>
              <w:jc w:val="center"/>
              <w:outlineLvl w:val="9"/>
              <w:rPr>
                <w:sz w:val="21"/>
                <w:szCs w:val="21"/>
              </w:rPr>
            </w:pPr>
            <w:r>
              <w:rPr>
                <w:sz w:val="21"/>
                <w:szCs w:val="21"/>
              </w:rPr>
              <w:t>分工</w:t>
            </w:r>
          </w:p>
        </w:tc>
      </w:tr>
      <w:tr w14:paraId="527943BF">
        <w:tblPrEx>
          <w:tblCellMar>
            <w:top w:w="0" w:type="dxa"/>
            <w:left w:w="108" w:type="dxa"/>
            <w:bottom w:w="0" w:type="dxa"/>
            <w:right w:w="108" w:type="dxa"/>
          </w:tblCellMar>
        </w:tblPrEx>
        <w:trPr>
          <w:trHeight w:val="635" w:hRule="atLeast"/>
        </w:trPr>
        <w:tc>
          <w:tcPr>
            <w:tcW w:w="1809" w:type="dxa"/>
          </w:tcPr>
          <w:p w14:paraId="47E6F25E">
            <w:pPr>
              <w:pStyle w:val="120"/>
              <w:spacing w:line="240" w:lineRule="auto"/>
              <w:jc w:val="center"/>
              <w:outlineLvl w:val="9"/>
              <w:rPr>
                <w:sz w:val="21"/>
                <w:szCs w:val="21"/>
              </w:rPr>
            </w:pPr>
            <w:r>
              <w:rPr>
                <w:sz w:val="21"/>
                <w:szCs w:val="21"/>
              </w:rPr>
              <w:t>李鑫阳</w:t>
            </w:r>
          </w:p>
          <w:p w14:paraId="6F0B60FF">
            <w:pPr>
              <w:pStyle w:val="120"/>
              <w:spacing w:line="240" w:lineRule="auto"/>
              <w:jc w:val="center"/>
              <w:outlineLvl w:val="9"/>
              <w:rPr>
                <w:sz w:val="21"/>
                <w:szCs w:val="21"/>
              </w:rPr>
            </w:pPr>
            <w:r>
              <w:rPr>
                <w:sz w:val="21"/>
                <w:szCs w:val="21"/>
              </w:rPr>
              <w:t>（项目负责人）</w:t>
            </w:r>
          </w:p>
        </w:tc>
        <w:tc>
          <w:tcPr>
            <w:tcW w:w="6551" w:type="dxa"/>
          </w:tcPr>
          <w:p w14:paraId="7C72B0F6">
            <w:pPr>
              <w:pStyle w:val="114"/>
              <w:spacing w:line="240" w:lineRule="auto"/>
              <w:ind w:firstLine="0"/>
              <w:jc w:val="left"/>
              <w:outlineLvl w:val="9"/>
              <w:rPr>
                <w:sz w:val="21"/>
                <w:szCs w:val="21"/>
              </w:rPr>
            </w:pPr>
            <w:r>
              <w:rPr>
                <w:sz w:val="21"/>
                <w:szCs w:val="21"/>
              </w:rPr>
              <w:t>制定计划、跟踪进度、沟通</w:t>
            </w:r>
            <w:r>
              <w:rPr>
                <w:rFonts w:hint="eastAsia"/>
                <w:sz w:val="21"/>
                <w:szCs w:val="21"/>
              </w:rPr>
              <w:t>、</w:t>
            </w:r>
            <w:r>
              <w:rPr>
                <w:sz w:val="21"/>
                <w:szCs w:val="21"/>
              </w:rPr>
              <w:t>汇总并决策核心功能与需求优先级。协调内部分工，解决跨角色问题，确保目标一致。</w:t>
            </w:r>
          </w:p>
        </w:tc>
      </w:tr>
      <w:tr w14:paraId="01101CA0">
        <w:tblPrEx>
          <w:tblCellMar>
            <w:top w:w="0" w:type="dxa"/>
            <w:left w:w="108" w:type="dxa"/>
            <w:bottom w:w="0" w:type="dxa"/>
            <w:right w:w="108" w:type="dxa"/>
          </w:tblCellMar>
        </w:tblPrEx>
        <w:trPr>
          <w:trHeight w:val="701" w:hRule="atLeast"/>
        </w:trPr>
        <w:tc>
          <w:tcPr>
            <w:tcW w:w="1809" w:type="dxa"/>
          </w:tcPr>
          <w:p w14:paraId="7006F625">
            <w:pPr>
              <w:pStyle w:val="120"/>
              <w:spacing w:line="240" w:lineRule="auto"/>
              <w:jc w:val="center"/>
              <w:outlineLvl w:val="9"/>
              <w:rPr>
                <w:sz w:val="21"/>
                <w:szCs w:val="21"/>
              </w:rPr>
            </w:pPr>
            <w:r>
              <w:rPr>
                <w:sz w:val="21"/>
                <w:szCs w:val="21"/>
              </w:rPr>
              <w:t>吴子煜</w:t>
            </w:r>
          </w:p>
          <w:p w14:paraId="0C2ED1F5">
            <w:pPr>
              <w:pStyle w:val="120"/>
              <w:spacing w:line="240" w:lineRule="auto"/>
              <w:jc w:val="center"/>
              <w:outlineLvl w:val="9"/>
              <w:rPr>
                <w:sz w:val="21"/>
                <w:szCs w:val="21"/>
              </w:rPr>
            </w:pPr>
            <w:r>
              <w:rPr>
                <w:sz w:val="21"/>
                <w:szCs w:val="21"/>
              </w:rPr>
              <w:t>（</w:t>
            </w:r>
            <w:r>
              <w:rPr>
                <w:rFonts w:hint="eastAsia"/>
                <w:sz w:val="21"/>
                <w:szCs w:val="21"/>
              </w:rPr>
              <w:t>架构与测试</w:t>
            </w:r>
            <w:r>
              <w:rPr>
                <w:sz w:val="21"/>
                <w:szCs w:val="21"/>
              </w:rPr>
              <w:t>）</w:t>
            </w:r>
          </w:p>
        </w:tc>
        <w:tc>
          <w:tcPr>
            <w:tcW w:w="6551" w:type="dxa"/>
          </w:tcPr>
          <w:p w14:paraId="34A77E98">
            <w:pPr>
              <w:pStyle w:val="118"/>
              <w:spacing w:line="240" w:lineRule="auto"/>
              <w:ind w:firstLine="0" w:firstLineChars="0"/>
              <w:jc w:val="left"/>
              <w:outlineLvl w:val="9"/>
              <w:rPr>
                <w:sz w:val="21"/>
                <w:szCs w:val="21"/>
              </w:rPr>
            </w:pPr>
            <w:r>
              <w:rPr>
                <w:sz w:val="21"/>
                <w:szCs w:val="21"/>
              </w:rPr>
              <w:t>设计整体技术方案、选型、确保可扩展性与安全性。制定核心模块的实现方案。建立测试体系，负责系统测试、性能测试与安全审计。</w:t>
            </w:r>
          </w:p>
        </w:tc>
      </w:tr>
      <w:tr w14:paraId="3FE54E42">
        <w:tblPrEx>
          <w:tblCellMar>
            <w:top w:w="0" w:type="dxa"/>
            <w:left w:w="108" w:type="dxa"/>
            <w:bottom w:w="0" w:type="dxa"/>
            <w:right w:w="108" w:type="dxa"/>
          </w:tblCellMar>
        </w:tblPrEx>
        <w:tc>
          <w:tcPr>
            <w:tcW w:w="1809" w:type="dxa"/>
          </w:tcPr>
          <w:p w14:paraId="6C7C4124">
            <w:pPr>
              <w:pStyle w:val="120"/>
              <w:spacing w:line="240" w:lineRule="auto"/>
              <w:jc w:val="center"/>
              <w:outlineLvl w:val="9"/>
              <w:rPr>
                <w:sz w:val="21"/>
                <w:szCs w:val="21"/>
              </w:rPr>
            </w:pPr>
            <w:r>
              <w:rPr>
                <w:sz w:val="21"/>
                <w:szCs w:val="21"/>
              </w:rPr>
              <w:t>袁雷育</w:t>
            </w:r>
          </w:p>
          <w:p w14:paraId="633D870C">
            <w:pPr>
              <w:pStyle w:val="120"/>
              <w:spacing w:line="240" w:lineRule="auto"/>
              <w:jc w:val="center"/>
              <w:outlineLvl w:val="9"/>
              <w:rPr>
                <w:sz w:val="21"/>
                <w:szCs w:val="21"/>
              </w:rPr>
            </w:pPr>
            <w:r>
              <w:rPr>
                <w:sz w:val="21"/>
                <w:szCs w:val="21"/>
              </w:rPr>
              <w:t>（</w:t>
            </w:r>
            <w:r>
              <w:rPr>
                <w:rFonts w:hint="eastAsia"/>
                <w:sz w:val="21"/>
                <w:szCs w:val="21"/>
              </w:rPr>
              <w:t>功能</w:t>
            </w:r>
            <w:r>
              <w:rPr>
                <w:sz w:val="21"/>
                <w:szCs w:val="21"/>
              </w:rPr>
              <w:t>实现）</w:t>
            </w:r>
          </w:p>
        </w:tc>
        <w:tc>
          <w:tcPr>
            <w:tcW w:w="6551" w:type="dxa"/>
          </w:tcPr>
          <w:p w14:paraId="67C996D6">
            <w:pPr>
              <w:pStyle w:val="118"/>
              <w:spacing w:line="240" w:lineRule="auto"/>
              <w:ind w:firstLine="0" w:firstLineChars="0"/>
              <w:jc w:val="left"/>
              <w:outlineLvl w:val="9"/>
              <w:rPr>
                <w:sz w:val="21"/>
                <w:szCs w:val="21"/>
              </w:rPr>
            </w:pPr>
            <w:r>
              <w:rPr>
                <w:sz w:val="21"/>
                <w:szCs w:val="21"/>
              </w:rPr>
              <w:t>实现服务器端业务逻辑、数据库交互、API接口开发。实现用户界面与交互（或协同前端团队）。根据技术方案，进行高质量编码和单元测试。</w:t>
            </w:r>
          </w:p>
        </w:tc>
      </w:tr>
      <w:tr w14:paraId="5138B7D2">
        <w:tblPrEx>
          <w:tblCellMar>
            <w:top w:w="0" w:type="dxa"/>
            <w:left w:w="108" w:type="dxa"/>
            <w:bottom w:w="0" w:type="dxa"/>
            <w:right w:w="108" w:type="dxa"/>
          </w:tblCellMar>
        </w:tblPrEx>
        <w:tc>
          <w:tcPr>
            <w:tcW w:w="1809" w:type="dxa"/>
          </w:tcPr>
          <w:p w14:paraId="6A87F342">
            <w:pPr>
              <w:pStyle w:val="120"/>
              <w:spacing w:line="240" w:lineRule="auto"/>
              <w:jc w:val="center"/>
              <w:outlineLvl w:val="9"/>
              <w:rPr>
                <w:sz w:val="21"/>
                <w:szCs w:val="21"/>
              </w:rPr>
            </w:pPr>
            <w:r>
              <w:rPr>
                <w:sz w:val="21"/>
                <w:szCs w:val="21"/>
              </w:rPr>
              <w:t>吴桐</w:t>
            </w:r>
          </w:p>
          <w:p w14:paraId="36D8FED4">
            <w:pPr>
              <w:pStyle w:val="120"/>
              <w:spacing w:line="240" w:lineRule="auto"/>
              <w:jc w:val="center"/>
              <w:outlineLvl w:val="9"/>
              <w:rPr>
                <w:sz w:val="21"/>
                <w:szCs w:val="21"/>
              </w:rPr>
            </w:pPr>
            <w:r>
              <w:rPr>
                <w:sz w:val="21"/>
                <w:szCs w:val="21"/>
              </w:rPr>
              <w:t>（文档整理）</w:t>
            </w:r>
          </w:p>
        </w:tc>
        <w:tc>
          <w:tcPr>
            <w:tcW w:w="6551" w:type="dxa"/>
          </w:tcPr>
          <w:p w14:paraId="718DDAD5">
            <w:pPr>
              <w:pStyle w:val="118"/>
              <w:spacing w:line="240" w:lineRule="auto"/>
              <w:ind w:firstLine="0" w:firstLineChars="0"/>
              <w:jc w:val="left"/>
              <w:outlineLvl w:val="9"/>
              <w:rPr>
                <w:sz w:val="21"/>
                <w:szCs w:val="21"/>
              </w:rPr>
            </w:pPr>
            <w:r>
              <w:rPr>
                <w:sz w:val="21"/>
                <w:szCs w:val="21"/>
              </w:rPr>
              <w:t>撰写、维护用户手册、API文档、部署文档等所有项目文档。协助整理、管理项目文件、确保团队信息同步。</w:t>
            </w:r>
          </w:p>
        </w:tc>
      </w:tr>
    </w:tbl>
    <w:p w14:paraId="2BD68077">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eastAsia"/>
          <w:b/>
          <w:bCs/>
          <w:sz w:val="28"/>
          <w:szCs w:val="28"/>
        </w:rPr>
      </w:pPr>
      <w:bookmarkStart w:id="89" w:name="_Toc24169"/>
      <w:bookmarkStart w:id="90" w:name="_Toc218085436"/>
      <w:r>
        <w:rPr>
          <w:rFonts w:hint="eastAsia"/>
          <w:b/>
          <w:bCs/>
          <w:sz w:val="28"/>
          <w:szCs w:val="28"/>
        </w:rPr>
        <w:t>2 需求分析</w:t>
      </w:r>
      <w:bookmarkEnd w:id="89"/>
      <w:bookmarkEnd w:id="90"/>
    </w:p>
    <w:p w14:paraId="48382B90">
      <w:pPr>
        <w:pStyle w:val="129"/>
        <w:outlineLvl w:val="9"/>
        <w:rPr>
          <w:rFonts w:hint="eastAsia"/>
        </w:rPr>
      </w:pPr>
      <w:bookmarkStart w:id="91" w:name="_Toc218085437"/>
      <w:r>
        <w:rPr>
          <w:rFonts w:hint="eastAsia"/>
        </w:rPr>
        <w:t>2.1 系统需求分析</w:t>
      </w:r>
      <w:bookmarkEnd w:id="91"/>
    </w:p>
    <w:p w14:paraId="1D33B67A">
      <w:pPr>
        <w:pStyle w:val="129"/>
        <w:outlineLvl w:val="9"/>
      </w:pPr>
      <w:r>
        <w:rPr>
          <w:rFonts w:hint="eastAsia"/>
        </w:rPr>
        <w:t>本系统有三种角色可以使用，分别是患者、医生和管理员。进入系统前需要通过账号以及密码进行登入，用户没有账号可以先去注册，登入成功后则根据他们各自身份进入到相应的界面。</w:t>
      </w:r>
    </w:p>
    <w:p w14:paraId="0C03FDA5">
      <w:pPr>
        <w:pStyle w:val="129"/>
        <w:outlineLvl w:val="9"/>
        <w:rPr>
          <w:rFonts w:hint="eastAsia"/>
        </w:rPr>
      </w:pPr>
      <w:r>
        <w:rPr>
          <w:rFonts w:hint="eastAsia"/>
        </w:rPr>
        <w:t>2.1.1功能性需求</w:t>
      </w:r>
    </w:p>
    <w:p w14:paraId="7F59332B">
      <w:pPr>
        <w:pStyle w:val="129"/>
        <w:outlineLvl w:val="9"/>
        <w:rPr>
          <w:rFonts w:ascii="宋体" w:hAnsi="宋体" w:cs="宋体"/>
        </w:rPr>
      </w:pPr>
      <w:r>
        <w:rPr>
          <w:rFonts w:hint="eastAsia" w:ascii="宋体" w:hAnsi="宋体" w:cs="宋体"/>
        </w:rPr>
        <w:t>用户注册与登录方式便捷化：采用用户常用的注册方式，简化注册流程，降低用户的注册操作成本，提升注册体验。</w:t>
      </w:r>
    </w:p>
    <w:p w14:paraId="2B53E5DE">
      <w:pPr>
        <w:pStyle w:val="129"/>
        <w:outlineLvl w:val="9"/>
        <w:rPr>
          <w:rFonts w:ascii="宋体" w:hAnsi="宋体" w:cs="宋体"/>
        </w:rPr>
      </w:pPr>
      <w:r>
        <w:rPr>
          <w:rFonts w:hint="eastAsia" w:ascii="宋体" w:hAnsi="宋体" w:cs="宋体"/>
        </w:rPr>
        <w:t>登录验证及账号记忆功能：用户完成账号与密码的输入后，需通过验证码验证完成登录操作，双重验证保障账号安全；成功登录后系统将自动保存用户的登录信息，再次进入登录界面时可直接调取，有效减少用户重复登录的操作时长，提升使用便捷性。</w:t>
      </w:r>
    </w:p>
    <w:p w14:paraId="4AE7B54B">
      <w:pPr>
        <w:pStyle w:val="129"/>
        <w:outlineLvl w:val="9"/>
        <w:rPr>
          <w:rFonts w:ascii="宋体" w:hAnsi="宋体" w:cs="宋体"/>
        </w:rPr>
      </w:pPr>
      <w:r>
        <w:rPr>
          <w:rFonts w:hint="eastAsia" w:ascii="宋体" w:hAnsi="宋体" w:cs="宋体"/>
        </w:rPr>
        <w:t>患者用户登录成功后，可在系统中按需操作预约挂号、我的挂号、住院申请、住院信息查询、AI 问诊、个人信息管理等功能。患者可先通过 AI 问诊初步了解自身症状情况，再进一步对接专业医生问诊，形成高效的问诊流程。如图 2-1 所示。</w:t>
      </w:r>
    </w:p>
    <w:p w14:paraId="474B0532">
      <w:pPr>
        <w:pStyle w:val="116"/>
        <w:spacing w:line="240" w:lineRule="auto"/>
        <w:jc w:val="center"/>
        <w:outlineLvl w:val="9"/>
      </w:pPr>
      <w:r>
        <w:rPr>
          <w:rFonts w:hint="eastAsia"/>
        </w:rPr>
        <w:drawing>
          <wp:inline distT="0" distB="0" distL="114300" distR="114300">
            <wp:extent cx="2193925" cy="2994025"/>
            <wp:effectExtent l="0" t="0" r="15875" b="15875"/>
            <wp:docPr id="157344213" name="图片 1" descr="C:/Users/lenovo/Desktop/新建文件夹/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4213" name="图片 1" descr="C:/Users/lenovo/Desktop/新建文件夹/1.jpg1"/>
                    <pic:cNvPicPr>
                      <a:picLocks noChangeAspect="1"/>
                    </pic:cNvPicPr>
                  </pic:nvPicPr>
                  <pic:blipFill>
                    <a:blip r:embed="rId98"/>
                    <a:srcRect t="14" b="14"/>
                    <a:stretch>
                      <a:fillRect/>
                    </a:stretch>
                  </pic:blipFill>
                  <pic:spPr>
                    <a:xfrm>
                      <a:off x="0" y="0"/>
                      <a:ext cx="2193925" cy="2994025"/>
                    </a:xfrm>
                    <a:prstGeom prst="rect">
                      <a:avLst/>
                    </a:prstGeom>
                  </pic:spPr>
                </pic:pic>
              </a:graphicData>
            </a:graphic>
          </wp:inline>
        </w:drawing>
      </w:r>
    </w:p>
    <w:p w14:paraId="706C8F6D">
      <w:pPr>
        <w:pStyle w:val="131"/>
        <w:outlineLvl w:val="9"/>
      </w:pPr>
      <w:r>
        <w:rPr>
          <w:rFonts w:hint="eastAsia"/>
        </w:rPr>
        <w:t>图2-1</w:t>
      </w:r>
      <w:r>
        <w:t>患者用户用例图</w:t>
      </w:r>
    </w:p>
    <w:p w14:paraId="52208145">
      <w:pPr>
        <w:pStyle w:val="129"/>
        <w:outlineLvl w:val="9"/>
      </w:pPr>
      <w:r>
        <w:rPr>
          <w:rFonts w:hint="eastAsia" w:ascii="宋体" w:hAnsi="宋体" w:cs="宋体"/>
        </w:rPr>
        <w:t>医生在进行注册登录后，可以查看今日挂号、历史挂号、住院审核、住院管理、个人信息与我的评价。如图2-2所示。</w:t>
      </w:r>
    </w:p>
    <w:p w14:paraId="006B0401">
      <w:pPr>
        <w:jc w:val="center"/>
        <w:outlineLvl w:val="9"/>
      </w:pPr>
      <w:r>
        <w:rPr>
          <w:rFonts w:hint="eastAsia"/>
        </w:rPr>
        <w:drawing>
          <wp:inline distT="0" distB="0" distL="114300" distR="114300">
            <wp:extent cx="1951990" cy="2630805"/>
            <wp:effectExtent l="0" t="0" r="10160" b="17145"/>
            <wp:docPr id="45" name="图片 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2"/>
                    <pic:cNvPicPr>
                      <a:picLocks noChangeAspect="1"/>
                    </pic:cNvPicPr>
                  </pic:nvPicPr>
                  <pic:blipFill>
                    <a:blip r:embed="rId99"/>
                    <a:stretch>
                      <a:fillRect/>
                    </a:stretch>
                  </pic:blipFill>
                  <pic:spPr>
                    <a:xfrm>
                      <a:off x="0" y="0"/>
                      <a:ext cx="1951990" cy="2630805"/>
                    </a:xfrm>
                    <a:prstGeom prst="rect">
                      <a:avLst/>
                    </a:prstGeom>
                  </pic:spPr>
                </pic:pic>
              </a:graphicData>
            </a:graphic>
          </wp:inline>
        </w:drawing>
      </w:r>
    </w:p>
    <w:p w14:paraId="1039F7C5">
      <w:pPr>
        <w:pStyle w:val="131"/>
        <w:outlineLvl w:val="9"/>
      </w:pPr>
      <w:r>
        <w:t>图</w:t>
      </w:r>
      <w:r>
        <w:rPr>
          <w:rFonts w:hint="eastAsia"/>
        </w:rPr>
        <w:t>2-2</w:t>
      </w:r>
      <w:r>
        <w:t>医生用户用例图</w:t>
      </w:r>
    </w:p>
    <w:p w14:paraId="06279AE4">
      <w:pPr>
        <w:pStyle w:val="129"/>
        <w:outlineLvl w:val="9"/>
        <w:rPr>
          <w:rFonts w:ascii="宋体" w:hAnsi="宋体" w:cs="宋体"/>
        </w:rPr>
      </w:pPr>
      <w:r>
        <w:rPr>
          <w:rFonts w:hint="eastAsia" w:ascii="宋体" w:hAnsi="宋体" w:cs="宋体"/>
        </w:rPr>
        <w:t>管理员登入后其权限涵盖多个模块，其中患者管理可执行添加、删除、修改、查看患者信息的操作；病床管理支持添加、删除病床；公告管理能进行添加、查看、删除、修改公告的操作；同时还包含医生管理、挂号管理、药物管理、检查项目、排班管理、科室管理等功能模块。如图2-3用例图所示。</w:t>
      </w:r>
    </w:p>
    <w:p w14:paraId="74A51029">
      <w:pPr>
        <w:pStyle w:val="116"/>
        <w:spacing w:line="240" w:lineRule="auto"/>
        <w:outlineLvl w:val="9"/>
      </w:pPr>
    </w:p>
    <w:p w14:paraId="272419DB">
      <w:pPr>
        <w:pStyle w:val="116"/>
        <w:spacing w:line="240" w:lineRule="auto"/>
        <w:jc w:val="center"/>
        <w:outlineLvl w:val="9"/>
      </w:pPr>
      <w:r>
        <w:rPr>
          <w:rFonts w:hint="eastAsia"/>
        </w:rPr>
        <w:drawing>
          <wp:inline distT="0" distB="0" distL="114300" distR="114300">
            <wp:extent cx="2827020" cy="2737485"/>
            <wp:effectExtent l="0" t="0" r="11430" b="5715"/>
            <wp:docPr id="46" name="图片 4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3"/>
                    <pic:cNvPicPr>
                      <a:picLocks noChangeAspect="1"/>
                    </pic:cNvPicPr>
                  </pic:nvPicPr>
                  <pic:blipFill>
                    <a:blip r:embed="rId100"/>
                    <a:stretch>
                      <a:fillRect/>
                    </a:stretch>
                  </pic:blipFill>
                  <pic:spPr>
                    <a:xfrm>
                      <a:off x="0" y="0"/>
                      <a:ext cx="2827020" cy="2737485"/>
                    </a:xfrm>
                    <a:prstGeom prst="rect">
                      <a:avLst/>
                    </a:prstGeom>
                  </pic:spPr>
                </pic:pic>
              </a:graphicData>
            </a:graphic>
          </wp:inline>
        </w:drawing>
      </w:r>
    </w:p>
    <w:p w14:paraId="6CA0AE14">
      <w:pPr>
        <w:pStyle w:val="131"/>
        <w:outlineLvl w:val="9"/>
      </w:pPr>
      <w:r>
        <w:t>图</w:t>
      </w:r>
      <w:r>
        <w:rPr>
          <w:rFonts w:hint="eastAsia"/>
        </w:rPr>
        <w:t>2-3管理员</w:t>
      </w:r>
      <w:r>
        <w:t>用例图</w:t>
      </w:r>
    </w:p>
    <w:p w14:paraId="57299DBC">
      <w:pPr>
        <w:pStyle w:val="129"/>
        <w:outlineLvl w:val="9"/>
        <w:rPr>
          <w:rFonts w:ascii="宋体" w:hAnsi="宋体" w:cs="宋体"/>
        </w:rPr>
      </w:pPr>
      <w:r>
        <w:rPr>
          <w:rFonts w:hint="eastAsia" w:ascii="宋体" w:hAnsi="宋体" w:cs="宋体"/>
        </w:rPr>
        <w:t>（1）看病流程与AI问诊</w:t>
      </w:r>
    </w:p>
    <w:p w14:paraId="66AD401E">
      <w:pPr>
        <w:pStyle w:val="129"/>
        <w:outlineLvl w:val="9"/>
        <w:rPr>
          <w:rFonts w:ascii="宋体" w:hAnsi="宋体" w:cs="宋体"/>
        </w:rPr>
      </w:pPr>
      <w:r>
        <w:rPr>
          <w:rFonts w:hint="eastAsia" w:ascii="宋体" w:hAnsi="宋体" w:cs="宋体"/>
        </w:rPr>
        <w:t>平台提供更加方便的看病流程，患者可执行预约挂号、查看个人挂号记录、提交住院申请及查看住院信息、，同时能管理个人信息，覆盖了患者就医全流程的自主操作需求。</w:t>
      </w:r>
    </w:p>
    <w:p w14:paraId="111F845A">
      <w:pPr>
        <w:pStyle w:val="129"/>
        <w:outlineLvl w:val="9"/>
        <w:rPr>
          <w:rFonts w:ascii="宋体" w:hAnsi="宋体" w:cs="宋体"/>
        </w:rPr>
      </w:pPr>
      <w:r>
        <w:rPr>
          <w:rFonts w:hint="eastAsia" w:ascii="宋体" w:hAnsi="宋体" w:cs="宋体"/>
        </w:rPr>
        <w:t>看病流程的引导性，可以通过AI问诊结合自己的身体状况了解大概的病情，从而达到更加高效的看病流程。</w:t>
      </w:r>
    </w:p>
    <w:p w14:paraId="6E37AC3A">
      <w:pPr>
        <w:pStyle w:val="129"/>
        <w:outlineLvl w:val="9"/>
        <w:rPr>
          <w:rFonts w:ascii="宋体" w:hAnsi="宋体" w:cs="宋体"/>
        </w:rPr>
      </w:pPr>
      <w:r>
        <w:rPr>
          <w:rFonts w:hint="eastAsia" w:ascii="宋体" w:hAnsi="宋体" w:cs="宋体"/>
        </w:rPr>
        <w:t>（2）住院管理与挂号</w:t>
      </w:r>
    </w:p>
    <w:p w14:paraId="7322B30D">
      <w:pPr>
        <w:pStyle w:val="129"/>
        <w:outlineLvl w:val="9"/>
        <w:rPr>
          <w:rFonts w:ascii="宋体" w:hAnsi="宋体" w:cs="宋体"/>
        </w:rPr>
      </w:pPr>
      <w:r>
        <w:rPr>
          <w:rFonts w:hint="eastAsia" w:ascii="宋体" w:hAnsi="宋体" w:cs="宋体"/>
        </w:rPr>
        <w:t>医生可查看今日及历史挂号信息，对住院申请进行审核、管理住院相关事务，还能维护个人信息、查看患者对自己的评价，支撑了医生的日常诊疗及信息管理工作。</w:t>
      </w:r>
    </w:p>
    <w:p w14:paraId="3A91CB0D">
      <w:pPr>
        <w:pStyle w:val="129"/>
        <w:outlineLvl w:val="9"/>
        <w:rPr>
          <w:rFonts w:ascii="宋体" w:hAnsi="宋体" w:cs="宋体"/>
        </w:rPr>
      </w:pPr>
      <w:r>
        <w:rPr>
          <w:rFonts w:hint="eastAsia" w:ascii="宋体" w:hAnsi="宋体" w:cs="宋体"/>
        </w:rPr>
        <w:t>（3）管理后台</w:t>
      </w:r>
    </w:p>
    <w:p w14:paraId="23E568D5">
      <w:pPr>
        <w:pStyle w:val="129"/>
        <w:outlineLvl w:val="9"/>
        <w:rPr>
          <w:rFonts w:ascii="宋体" w:hAnsi="宋体" w:cs="宋体"/>
        </w:rPr>
      </w:pPr>
      <w:r>
        <w:rPr>
          <w:rFonts w:hint="eastAsia" w:ascii="宋体" w:hAnsi="宋体" w:cs="宋体"/>
        </w:rPr>
        <w:t>管理员权限涵盖多模块管理，包括医生、患者、挂号、药物、检查项目、病床、排班、科室的管理，同时能对公告进行增删改查操作，负责系统的整体运维与信息管控。</w:t>
      </w:r>
    </w:p>
    <w:p w14:paraId="03EF4046">
      <w:pPr>
        <w:pStyle w:val="129"/>
        <w:outlineLvl w:val="9"/>
        <w:rPr>
          <w:rFonts w:hint="eastAsia"/>
        </w:rPr>
      </w:pPr>
      <w:r>
        <w:rPr>
          <w:rFonts w:hint="eastAsia"/>
        </w:rPr>
        <w:t>2.1.2非功能性需求</w:t>
      </w:r>
    </w:p>
    <w:p w14:paraId="350BDF22">
      <w:pPr>
        <w:pStyle w:val="129"/>
        <w:numPr>
          <w:ilvl w:val="0"/>
          <w:numId w:val="1"/>
        </w:numPr>
        <w:outlineLvl w:val="9"/>
      </w:pPr>
      <w:r>
        <w:rPr>
          <w:rFonts w:hint="eastAsia"/>
        </w:rPr>
        <w:t>普适性</w:t>
      </w:r>
    </w:p>
    <w:p w14:paraId="277D6997">
      <w:pPr>
        <w:pStyle w:val="129"/>
        <w:outlineLvl w:val="9"/>
      </w:pPr>
      <w:r>
        <w:rPr>
          <w:rFonts w:hint="eastAsia"/>
        </w:rPr>
        <w:t>页面简洁，且除了系统功能外没有其它元素，界面也符合大部分人审美，关键操作按钮醒目，操作过程较为容易。</w:t>
      </w:r>
    </w:p>
    <w:p w14:paraId="0ABB0044">
      <w:pPr>
        <w:pStyle w:val="129"/>
        <w:numPr>
          <w:ilvl w:val="0"/>
          <w:numId w:val="1"/>
        </w:numPr>
        <w:outlineLvl w:val="9"/>
      </w:pPr>
      <w:r>
        <w:rPr>
          <w:rFonts w:hint="eastAsia"/>
        </w:rPr>
        <w:t>兼容性</w:t>
      </w:r>
    </w:p>
    <w:p w14:paraId="179907E6">
      <w:pPr>
        <w:pStyle w:val="129"/>
        <w:outlineLvl w:val="9"/>
        <w:rPr>
          <w:rFonts w:ascii="宋体" w:hAnsi="宋体" w:cs="宋体"/>
        </w:rPr>
      </w:pPr>
      <w:r>
        <w:rPr>
          <w:rFonts w:hint="eastAsia" w:ascii="宋体" w:hAnsi="宋体" w:cs="宋体"/>
        </w:rPr>
        <w:t>网页支持多种主流浏览器人如edge、Google等主流浏览器。</w:t>
      </w:r>
    </w:p>
    <w:p w14:paraId="4FA0DD94">
      <w:pPr>
        <w:pStyle w:val="129"/>
        <w:numPr>
          <w:ilvl w:val="0"/>
          <w:numId w:val="1"/>
        </w:numPr>
        <w:outlineLvl w:val="9"/>
      </w:pPr>
      <w:r>
        <w:rPr>
          <w:rFonts w:hint="eastAsia"/>
        </w:rPr>
        <w:t>可维护性</w:t>
      </w:r>
    </w:p>
    <w:p w14:paraId="524238E3">
      <w:pPr>
        <w:pStyle w:val="129"/>
        <w:outlineLvl w:val="9"/>
      </w:pPr>
      <w:r>
        <w:t>采用模块化设计结构，配备完整的日志跟踪系统，支持自动化监控，便于系统维护和升级，增强系统的稳定性和扩展能力。</w:t>
      </w:r>
    </w:p>
    <w:p w14:paraId="5DCF6313">
      <w:pPr>
        <w:pStyle w:val="129"/>
        <w:outlineLvl w:val="9"/>
        <w:rPr>
          <w:rFonts w:hint="eastAsia"/>
        </w:rPr>
      </w:pPr>
      <w:bookmarkStart w:id="92" w:name="_Toc218085438"/>
      <w:r>
        <w:rPr>
          <w:rFonts w:hint="eastAsia"/>
        </w:rPr>
        <w:t>2.2 可行性分析</w:t>
      </w:r>
      <w:bookmarkEnd w:id="92"/>
    </w:p>
    <w:p w14:paraId="4E5221D9">
      <w:pPr>
        <w:pStyle w:val="129"/>
        <w:outlineLvl w:val="9"/>
        <w:rPr>
          <w:rFonts w:hint="eastAsia"/>
        </w:rPr>
      </w:pPr>
      <w:r>
        <w:rPr>
          <w:rFonts w:hint="eastAsia"/>
        </w:rPr>
        <w:t>2.2.1技术可行性</w:t>
      </w:r>
    </w:p>
    <w:p w14:paraId="4C536AD8">
      <w:pPr>
        <w:pStyle w:val="129"/>
        <w:outlineLvl w:val="9"/>
        <w:rPr>
          <w:rFonts w:ascii="宋体" w:hAnsi="宋体" w:cs="宋体"/>
        </w:rPr>
      </w:pPr>
      <w:r>
        <w:rPr>
          <w:rFonts w:hint="eastAsia" w:ascii="宋体" w:hAnsi="宋体" w:cs="宋体"/>
        </w:rPr>
        <w:t>系统采用Spring Boot 2.2.4作为核心框架，MyBatis Plus 3.1.1作为ORM框架，MySQL 5.7+作为关系型数据库，JWT 3.4.0用于身份认证，阿里云通义千问提供AI智能引擎。前端使用Vue.js 2.6作为前端框架，Element UI 2.15作为UI组件库，Axios 0.21处理HTTP请求，ECharts 4.8实现数据可视化。</w:t>
      </w:r>
    </w:p>
    <w:p w14:paraId="5FABB6AC">
      <w:pPr>
        <w:pStyle w:val="129"/>
        <w:outlineLvl w:val="9"/>
        <w:rPr>
          <w:rFonts w:hint="eastAsia"/>
        </w:rPr>
      </w:pPr>
      <w:r>
        <w:rPr>
          <w:rFonts w:hint="eastAsia"/>
        </w:rPr>
        <w:t>2.2.2操作可行性</w:t>
      </w:r>
    </w:p>
    <w:p w14:paraId="1F70D3B8">
      <w:pPr>
        <w:pStyle w:val="129"/>
        <w:outlineLvl w:val="9"/>
      </w:pPr>
      <w:r>
        <w:t>医享智联平台的设计理念聚焦高效协同与人性化服务，界面布局分角色清晰划分，操作流程贴合医疗场景的实际需求。如：患者端提供直观的功能入口，支持一键预约挂号（可按科室、医生职称、就诊时间灵活筛选）、在线查看检查报告与电子病历、发起文</w:t>
      </w:r>
      <w:r>
        <w:rPr>
          <w:rFonts w:hint="eastAsia"/>
        </w:rPr>
        <w:t>字</w:t>
      </w:r>
      <w:r>
        <w:t>问诊；无论是老年患者（适配大字体、简化操作步骤）还是年轻用户，都能快速完成就诊相关操作，从使用体验来看便捷且友好。</w:t>
      </w:r>
    </w:p>
    <w:p w14:paraId="41719B24">
      <w:pPr>
        <w:pStyle w:val="129"/>
        <w:outlineLvl w:val="9"/>
      </w:pPr>
      <w:r>
        <w:t>系统后台则针对医护与管理角色提供精准功能模块：医生可高效处理患者预约、在线接诊，实时同步患者的历史就诊数据；管理员能通过后台完成科室配置、医护人员权限管理、诊疗数据统计分析、医疗资源调度等工作，既满足了临床诊疗的高效性，也契合医疗机构的运营管理需求。</w:t>
      </w:r>
    </w:p>
    <w:p w14:paraId="1458B013">
      <w:pPr>
        <w:pStyle w:val="129"/>
        <w:outlineLvl w:val="9"/>
        <w:rPr>
          <w:rFonts w:hint="eastAsia"/>
        </w:rPr>
      </w:pPr>
      <w:bookmarkStart w:id="93" w:name="_Toc218085439"/>
      <w:r>
        <w:rPr>
          <w:rFonts w:hint="eastAsia"/>
        </w:rPr>
        <w:t>2.3 功能分析</w:t>
      </w:r>
      <w:bookmarkEnd w:id="93"/>
      <w:r>
        <w:rPr>
          <w:rFonts w:hint="eastAsia"/>
        </w:rPr>
        <w:t xml:space="preserve"> </w:t>
      </w:r>
    </w:p>
    <w:p w14:paraId="44F13039">
      <w:pPr>
        <w:pStyle w:val="116"/>
        <w:outlineLvl w:val="9"/>
      </w:pPr>
      <w:r>
        <w:rPr>
          <w:rFonts w:hint="eastAsia"/>
        </w:rPr>
        <w:t>（1）用户管理</w:t>
      </w:r>
    </w:p>
    <w:p w14:paraId="15DE3535">
      <w:pPr>
        <w:pStyle w:val="129"/>
        <w:outlineLvl w:val="9"/>
      </w:pPr>
      <w:r>
        <w:t>支持多角色注册登录（手机号、第三方授权），患者可完善个人健康档案，医护人员补充职业资质信息；支持密码修改、角色权限配置（如区分普通患者、医生、管理员权限）</w:t>
      </w:r>
    </w:p>
    <w:p w14:paraId="7EC18E86">
      <w:pPr>
        <w:pStyle w:val="116"/>
        <w:numPr>
          <w:ilvl w:val="0"/>
          <w:numId w:val="2"/>
        </w:numPr>
        <w:outlineLvl w:val="9"/>
      </w:pPr>
      <w:r>
        <w:rPr>
          <w:rFonts w:hint="eastAsia"/>
        </w:rPr>
        <w:t>患者管理</w:t>
      </w:r>
    </w:p>
    <w:p w14:paraId="32E5BB71">
      <w:pPr>
        <w:pStyle w:val="129"/>
        <w:outlineLvl w:val="9"/>
      </w:pPr>
      <w:r>
        <w:rPr>
          <w:rFonts w:hint="eastAsia"/>
        </w:rPr>
        <w:t>医生可在后台创建患者电子病例、编辑病例信息，支持病例的审核归档、调阅查看，也可根据诊疗需求对已归档病例进行补充更新。</w:t>
      </w:r>
    </w:p>
    <w:p w14:paraId="65606801">
      <w:pPr>
        <w:pStyle w:val="116"/>
        <w:numPr>
          <w:ilvl w:val="0"/>
          <w:numId w:val="2"/>
        </w:numPr>
        <w:outlineLvl w:val="9"/>
      </w:pPr>
      <w:r>
        <w:t>就诊预约与评价</w:t>
      </w:r>
    </w:p>
    <w:p w14:paraId="09D666AC">
      <w:pPr>
        <w:pStyle w:val="129"/>
        <w:outlineLvl w:val="9"/>
      </w:pPr>
      <w:r>
        <w:t>允许患者对医生发起就诊预约，并可对诊疗服务进行评价；方便患者管理就诊安排，也为其他用户选择诊疗服务提供参考。</w:t>
      </w:r>
    </w:p>
    <w:p w14:paraId="2FA14A0D">
      <w:pPr>
        <w:pStyle w:val="116"/>
        <w:numPr>
          <w:ilvl w:val="0"/>
          <w:numId w:val="2"/>
        </w:numPr>
        <w:outlineLvl w:val="9"/>
      </w:pPr>
      <w:r>
        <w:rPr>
          <w:rFonts w:hint="eastAsia"/>
        </w:rPr>
        <w:t>AI问诊</w:t>
      </w:r>
    </w:p>
    <w:p w14:paraId="57B0F68F">
      <w:pPr>
        <w:pStyle w:val="129"/>
        <w:outlineLvl w:val="9"/>
        <w:rPr>
          <w:rFonts w:ascii="宋体" w:hAnsi="宋体" w:cs="宋体"/>
        </w:rPr>
      </w:pPr>
      <w:r>
        <w:rPr>
          <w:rFonts w:hint="eastAsia" w:ascii="宋体" w:hAnsi="宋体" w:cs="宋体"/>
        </w:rPr>
        <w:t>为提升诊疗效率，系统提供AI问诊功能，支持患者与AI大模型通过文字形式沟通，便于医患实时交互病情信息。</w:t>
      </w:r>
    </w:p>
    <w:p w14:paraId="164C4239">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b/>
          <w:bCs/>
          <w:sz w:val="28"/>
          <w:szCs w:val="28"/>
        </w:rPr>
      </w:pPr>
      <w:bookmarkStart w:id="94" w:name="_Toc445"/>
      <w:bookmarkStart w:id="95" w:name="_Toc218085440"/>
      <w:r>
        <w:rPr>
          <w:rFonts w:hint="eastAsia"/>
          <w:b/>
          <w:bCs/>
          <w:sz w:val="28"/>
          <w:szCs w:val="28"/>
        </w:rPr>
        <w:t>3系统设计</w:t>
      </w:r>
      <w:bookmarkEnd w:id="94"/>
      <w:bookmarkEnd w:id="95"/>
    </w:p>
    <w:p w14:paraId="76DE409C">
      <w:pPr>
        <w:pStyle w:val="129"/>
        <w:outlineLvl w:val="9"/>
        <w:rPr>
          <w:rFonts w:hint="eastAsia"/>
        </w:rPr>
      </w:pPr>
      <w:bookmarkStart w:id="96" w:name="_Toc218085441"/>
      <w:r>
        <w:rPr>
          <w:rFonts w:hint="eastAsia"/>
        </w:rPr>
        <w:t>3.1 系统结构设计</w:t>
      </w:r>
      <w:bookmarkEnd w:id="96"/>
    </w:p>
    <w:p w14:paraId="63C686BC">
      <w:pPr>
        <w:pStyle w:val="129"/>
        <w:outlineLvl w:val="9"/>
      </w:pPr>
      <w:r>
        <w:rPr>
          <w:rFonts w:hint="eastAsia" w:ascii="宋体" w:hAnsi="宋体" w:cs="宋体"/>
        </w:rPr>
        <w:t>医享智联平台采用Spring Boot 2.2.4作为后端核心框架，搭配MyBatis Plus 3.1.1简化数据持久化操作，基于MySQL 5.7+实现业务数据的稳定存储，通过JWT 3.4.0构建无状态的安全身份认证机制，并集成阿里云通义千问提供智能 AI 能力支撑；前端则以Vue.js 2.6为基础框架，采用Element UI 2.15搭建高效美观的界面组件，依托Axios 0.21完成前后端数据交互，借助ECharts 4.8实现业务数据的多维度可视化展示。</w:t>
      </w:r>
    </w:p>
    <w:p w14:paraId="5448BF39">
      <w:pPr>
        <w:pStyle w:val="129"/>
        <w:outlineLvl w:val="9"/>
        <w:rPr>
          <w:rFonts w:hint="eastAsia"/>
        </w:rPr>
      </w:pPr>
      <w:bookmarkStart w:id="97" w:name="_Toc218085442"/>
      <w:r>
        <w:rPr>
          <w:rFonts w:hint="eastAsia"/>
        </w:rPr>
        <w:t>3.2系统数据库模块</w:t>
      </w:r>
      <w:bookmarkEnd w:id="97"/>
    </w:p>
    <w:p w14:paraId="13800EA9">
      <w:pPr>
        <w:pStyle w:val="116"/>
        <w:outlineLvl w:val="9"/>
      </w:pPr>
      <w:r>
        <w:rPr>
          <w:rFonts w:hint="eastAsia"/>
        </w:rPr>
        <w:t>系统数据库设计图如图3-1所示。</w:t>
      </w:r>
    </w:p>
    <w:p w14:paraId="55E3DB49">
      <w:pPr>
        <w:pStyle w:val="116"/>
        <w:tabs>
          <w:tab w:val="left" w:pos="495"/>
        </w:tabs>
        <w:spacing w:line="240" w:lineRule="auto"/>
        <w:ind w:firstLine="0"/>
        <w:jc w:val="center"/>
        <w:outlineLvl w:val="9"/>
      </w:pPr>
      <w:r>
        <w:drawing>
          <wp:inline distT="0" distB="0" distL="114300" distR="114300">
            <wp:extent cx="4928870" cy="2336800"/>
            <wp:effectExtent l="0" t="0" r="508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1"/>
                    <a:srcRect l="2805" t="8536" r="3361" b="12341"/>
                    <a:stretch>
                      <a:fillRect/>
                    </a:stretch>
                  </pic:blipFill>
                  <pic:spPr>
                    <a:xfrm>
                      <a:off x="0" y="0"/>
                      <a:ext cx="4928870" cy="2336800"/>
                    </a:xfrm>
                    <a:prstGeom prst="rect">
                      <a:avLst/>
                    </a:prstGeom>
                    <a:noFill/>
                    <a:ln>
                      <a:noFill/>
                    </a:ln>
                  </pic:spPr>
                </pic:pic>
              </a:graphicData>
            </a:graphic>
          </wp:inline>
        </w:drawing>
      </w:r>
    </w:p>
    <w:p w14:paraId="7D808B8D">
      <w:pPr>
        <w:pStyle w:val="131"/>
        <w:outlineLvl w:val="9"/>
      </w:pPr>
      <w:r>
        <w:rPr>
          <w:rFonts w:hint="eastAsia"/>
        </w:rPr>
        <w:t>图3-1数据库设计图</w:t>
      </w:r>
    </w:p>
    <w:p w14:paraId="54B3EEAF">
      <w:pPr>
        <w:pStyle w:val="129"/>
        <w:outlineLvl w:val="9"/>
        <w:rPr>
          <w:rFonts w:hint="eastAsia"/>
        </w:rPr>
      </w:pPr>
      <w:bookmarkStart w:id="98" w:name="_Toc218085443"/>
      <w:r>
        <w:rPr>
          <w:rFonts w:hint="eastAsia"/>
        </w:rPr>
        <w:t>3.3 系统结构图</w:t>
      </w:r>
      <w:bookmarkEnd w:id="98"/>
    </w:p>
    <w:p w14:paraId="185C8561">
      <w:pPr>
        <w:ind w:firstLine="420" w:firstLineChars="200"/>
        <w:outlineLvl w:val="9"/>
      </w:pPr>
      <w:r>
        <w:drawing>
          <wp:inline distT="0" distB="0" distL="114300" distR="114300">
            <wp:extent cx="4709160" cy="3298825"/>
            <wp:effectExtent l="0" t="0" r="15240" b="1587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02"/>
                    <a:stretch>
                      <a:fillRect/>
                    </a:stretch>
                  </pic:blipFill>
                  <pic:spPr>
                    <a:xfrm>
                      <a:off x="0" y="0"/>
                      <a:ext cx="4709160" cy="3298825"/>
                    </a:xfrm>
                    <a:prstGeom prst="rect">
                      <a:avLst/>
                    </a:prstGeom>
                    <a:noFill/>
                    <a:ln>
                      <a:noFill/>
                    </a:ln>
                  </pic:spPr>
                </pic:pic>
              </a:graphicData>
            </a:graphic>
          </wp:inline>
        </w:drawing>
      </w:r>
    </w:p>
    <w:p w14:paraId="6FBA5E5A">
      <w:pPr>
        <w:pStyle w:val="131"/>
        <w:outlineLvl w:val="9"/>
      </w:pPr>
      <w:r>
        <w:rPr>
          <w:rFonts w:hint="eastAsia"/>
        </w:rPr>
        <w:t>图3-2系统结构设计图</w:t>
      </w:r>
    </w:p>
    <w:p w14:paraId="76E52F35">
      <w:pPr>
        <w:pStyle w:val="129"/>
        <w:outlineLvl w:val="9"/>
        <w:rPr>
          <w:rFonts w:ascii="宋体" w:hAnsi="宋体" w:cs="宋体"/>
        </w:rPr>
      </w:pPr>
      <w:r>
        <w:rPr>
          <w:rFonts w:hint="eastAsia" w:ascii="宋体" w:hAnsi="宋体" w:cs="宋体"/>
        </w:rPr>
        <w:t>注册登录:用户输入信息后，后端进行验证，验证通过后记录用户登录状态，实现下次快捷登录。</w:t>
      </w:r>
    </w:p>
    <w:p w14:paraId="1E22AC1A">
      <w:pPr>
        <w:pStyle w:val="129"/>
        <w:outlineLvl w:val="9"/>
        <w:rPr>
          <w:rFonts w:ascii="宋体" w:hAnsi="宋体" w:cs="宋体"/>
        </w:rPr>
      </w:pPr>
      <w:r>
        <w:rPr>
          <w:rFonts w:hint="eastAsia" w:ascii="宋体" w:hAnsi="宋体" w:cs="宋体"/>
        </w:rPr>
        <w:t>个人信息管理:用户可编辑个人资料，包括姓名、联系方式等。</w:t>
      </w:r>
    </w:p>
    <w:p w14:paraId="1FDEB623">
      <w:pPr>
        <w:pStyle w:val="129"/>
        <w:outlineLvl w:val="9"/>
        <w:rPr>
          <w:rFonts w:hint="eastAsia"/>
        </w:rPr>
      </w:pPr>
      <w:r>
        <w:rPr>
          <w:rFonts w:hint="eastAsia"/>
        </w:rPr>
        <w:t>3.3.1医生模块</w:t>
      </w:r>
    </w:p>
    <w:p w14:paraId="5349DEC9">
      <w:pPr>
        <w:pStyle w:val="129"/>
        <w:outlineLvl w:val="9"/>
        <w:rPr>
          <w:rFonts w:ascii="宋体" w:hAnsi="宋体" w:cs="宋体"/>
        </w:rPr>
      </w:pPr>
      <w:r>
        <w:rPr>
          <w:rFonts w:hint="eastAsia" w:ascii="宋体" w:hAnsi="宋体" w:cs="宋体"/>
        </w:rPr>
        <w:t>医生登录后，录入自己信息，后台管理员进行审核信息是否通过，未通过需重新完善，通过后可以查看挂号情况以及是不是同意住院请求，不符合的继续筛选，符合住院要求的患者通过后管理员那安排床位，如果线下查看后符合出院条件的话就可以办理出院，医生模块的流程如图3-3所示。</w:t>
      </w:r>
    </w:p>
    <w:p w14:paraId="7AFBAF89">
      <w:pPr>
        <w:pStyle w:val="116"/>
        <w:spacing w:line="240" w:lineRule="auto"/>
        <w:jc w:val="center"/>
        <w:outlineLvl w:val="9"/>
      </w:pPr>
      <w:r>
        <w:rPr>
          <w:rFonts w:hint="eastAsia"/>
        </w:rPr>
        <w:drawing>
          <wp:inline distT="0" distB="0" distL="114300" distR="114300">
            <wp:extent cx="5273675" cy="5447030"/>
            <wp:effectExtent l="0" t="0" r="3175" b="1270"/>
            <wp:docPr id="6" name="图片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
                    <pic:cNvPicPr>
                      <a:picLocks noChangeAspect="1"/>
                    </pic:cNvPicPr>
                  </pic:nvPicPr>
                  <pic:blipFill>
                    <a:blip r:embed="rId103"/>
                    <a:stretch>
                      <a:fillRect/>
                    </a:stretch>
                  </pic:blipFill>
                  <pic:spPr>
                    <a:xfrm>
                      <a:off x="0" y="0"/>
                      <a:ext cx="5273675" cy="5447030"/>
                    </a:xfrm>
                    <a:prstGeom prst="rect">
                      <a:avLst/>
                    </a:prstGeom>
                  </pic:spPr>
                </pic:pic>
              </a:graphicData>
            </a:graphic>
          </wp:inline>
        </w:drawing>
      </w:r>
    </w:p>
    <w:p w14:paraId="0A2D0C40">
      <w:pPr>
        <w:pStyle w:val="131"/>
        <w:outlineLvl w:val="9"/>
      </w:pPr>
      <w:r>
        <w:rPr>
          <w:rFonts w:hint="eastAsia"/>
        </w:rPr>
        <w:t>图3-3医生管理流程图</w:t>
      </w:r>
    </w:p>
    <w:p w14:paraId="1E80269C">
      <w:pPr>
        <w:pStyle w:val="129"/>
        <w:outlineLvl w:val="9"/>
        <w:rPr>
          <w:rFonts w:hint="eastAsia"/>
        </w:rPr>
      </w:pPr>
      <w:r>
        <w:rPr>
          <w:rFonts w:hint="eastAsia"/>
        </w:rPr>
        <w:t>3.3.2评价反馈</w:t>
      </w:r>
    </w:p>
    <w:p w14:paraId="78E691A4">
      <w:pPr>
        <w:pStyle w:val="129"/>
        <w:outlineLvl w:val="9"/>
      </w:pPr>
      <w:r>
        <w:rPr>
          <w:rFonts w:hint="eastAsia"/>
        </w:rPr>
        <w:t>在预约挂号后整个流程结束后患者可以对该医生进行打评分评分过后在预约挂号时候可以看到已经被评价过的医生评分。</w:t>
      </w:r>
    </w:p>
    <w:p w14:paraId="39C5672A">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b/>
          <w:bCs/>
          <w:sz w:val="28"/>
          <w:szCs w:val="28"/>
        </w:rPr>
      </w:pPr>
      <w:bookmarkStart w:id="99" w:name="_Toc218085444"/>
      <w:bookmarkStart w:id="100" w:name="_Toc11527"/>
      <w:r>
        <w:rPr>
          <w:rFonts w:hint="eastAsia"/>
          <w:b/>
          <w:bCs/>
          <w:sz w:val="28"/>
          <w:szCs w:val="28"/>
        </w:rPr>
        <w:t>4 系统功能及使用说明</w:t>
      </w:r>
      <w:bookmarkEnd w:id="99"/>
      <w:bookmarkEnd w:id="100"/>
    </w:p>
    <w:p w14:paraId="268D1867">
      <w:pPr>
        <w:pStyle w:val="129"/>
        <w:outlineLvl w:val="9"/>
      </w:pPr>
      <w:r>
        <w:rPr>
          <w:rFonts w:hint="eastAsia"/>
        </w:rPr>
        <w:t>本系统为医享智联平台，实现医疗服务全流程线上化管理，支持患者、医生、管理员三类角色的注册登录、诊疗服务、机构管理及数据统计等功能。</w:t>
      </w:r>
    </w:p>
    <w:p w14:paraId="44DCE6D9">
      <w:pPr>
        <w:pStyle w:val="129"/>
        <w:outlineLvl w:val="9"/>
        <w:rPr>
          <w:rFonts w:hint="eastAsia"/>
        </w:rPr>
      </w:pPr>
      <w:bookmarkStart w:id="101" w:name="_Toc218085445"/>
      <w:r>
        <w:rPr>
          <w:rFonts w:hint="eastAsia"/>
        </w:rPr>
        <w:t>4.1用户端功能使用说明</w:t>
      </w:r>
      <w:bookmarkEnd w:id="101"/>
    </w:p>
    <w:p w14:paraId="0447960F">
      <w:pPr>
        <w:pStyle w:val="129"/>
        <w:outlineLvl w:val="9"/>
        <w:rPr>
          <w:rFonts w:hint="eastAsia"/>
        </w:rPr>
      </w:pPr>
      <w:r>
        <w:rPr>
          <w:rFonts w:hint="eastAsia"/>
        </w:rPr>
        <w:t>4.1.1注册与登录</w:t>
      </w:r>
    </w:p>
    <w:p w14:paraId="4C593C6C">
      <w:pPr>
        <w:pStyle w:val="130"/>
        <w:outlineLvl w:val="9"/>
        <w:rPr>
          <w:rFonts w:hint="default" w:ascii="宋体" w:hAnsi="宋体" w:cs="宋体"/>
        </w:rPr>
      </w:pPr>
      <w:r>
        <w:rPr>
          <w:rFonts w:ascii="宋体" w:hAnsi="宋体" w:cs="宋体"/>
        </w:rPr>
        <w:t>功能描述:提供账号密码的注册方式将账号的注册变的更加简洁明了，增加注册的普适性，使用更多的用户群体能够接受，提升访问便捷性。如图4-1所示。</w:t>
      </w:r>
    </w:p>
    <w:p w14:paraId="52C51D2F">
      <w:pPr>
        <w:pStyle w:val="130"/>
        <w:outlineLvl w:val="9"/>
        <w:rPr>
          <w:rFonts w:hint="default" w:ascii="宋体" w:hAnsi="宋体" w:cs="宋体"/>
        </w:rPr>
      </w:pPr>
      <w:r>
        <w:rPr>
          <w:rFonts w:ascii="宋体" w:hAnsi="宋体" w:cs="宋体"/>
        </w:rPr>
        <w:t>注册使用账号密码之间注册，已有的账号的直接输入账号密码以及验证码后登录。</w:t>
      </w:r>
    </w:p>
    <w:p w14:paraId="2F8BE78F">
      <w:pPr>
        <w:jc w:val="center"/>
        <w:outlineLvl w:val="9"/>
      </w:pPr>
      <w:r>
        <w:drawing>
          <wp:inline distT="0" distB="0" distL="114300" distR="114300">
            <wp:extent cx="4502150" cy="2643505"/>
            <wp:effectExtent l="0" t="0" r="12700" b="444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4"/>
                    <a:stretch>
                      <a:fillRect/>
                    </a:stretch>
                  </pic:blipFill>
                  <pic:spPr>
                    <a:xfrm>
                      <a:off x="0" y="0"/>
                      <a:ext cx="4502150" cy="2643505"/>
                    </a:xfrm>
                    <a:prstGeom prst="rect">
                      <a:avLst/>
                    </a:prstGeom>
                    <a:noFill/>
                    <a:ln>
                      <a:noFill/>
                    </a:ln>
                  </pic:spPr>
                </pic:pic>
              </a:graphicData>
            </a:graphic>
          </wp:inline>
        </w:drawing>
      </w:r>
    </w:p>
    <w:p w14:paraId="3E7CA1DD">
      <w:pPr>
        <w:pStyle w:val="131"/>
        <w:outlineLvl w:val="9"/>
      </w:pPr>
      <w:r>
        <w:rPr>
          <w:rFonts w:hint="eastAsia"/>
        </w:rPr>
        <w:t>图4</w:t>
      </w:r>
      <w:r>
        <w:t>-1</w:t>
      </w:r>
      <w:r>
        <w:rPr>
          <w:rFonts w:hint="eastAsia"/>
        </w:rPr>
        <w:t>登录页面</w:t>
      </w:r>
    </w:p>
    <w:p w14:paraId="420D50B5">
      <w:pPr>
        <w:pStyle w:val="129"/>
        <w:outlineLvl w:val="9"/>
        <w:rPr>
          <w:rFonts w:hint="eastAsia"/>
        </w:rPr>
      </w:pPr>
      <w:r>
        <w:rPr>
          <w:rFonts w:hint="eastAsia"/>
        </w:rPr>
        <w:t>4.1.2预约挂号与我的挂号</w:t>
      </w:r>
    </w:p>
    <w:p w14:paraId="13F96239">
      <w:pPr>
        <w:pStyle w:val="129"/>
        <w:outlineLvl w:val="9"/>
        <w:rPr>
          <w:rFonts w:ascii="宋体" w:hAnsi="宋体" w:cs="宋体"/>
        </w:rPr>
      </w:pPr>
      <w:r>
        <w:rPr>
          <w:rFonts w:hint="eastAsia" w:ascii="宋体" w:hAnsi="宋体" w:cs="宋体"/>
        </w:rPr>
        <w:t>功能描述：提供预约挂号功能可以通过筛选不同科室医生挂号，而且医生附带患者对其的评分能更加方便筛选较好的医生。我的挂号里面可以查看自己的历史挂号情况包括挂号的医生、费用、时间等。</w:t>
      </w:r>
    </w:p>
    <w:p w14:paraId="31E94420">
      <w:pPr>
        <w:pStyle w:val="129"/>
        <w:outlineLvl w:val="9"/>
      </w:pPr>
      <w:r>
        <w:rPr>
          <w:rFonts w:hint="eastAsia" w:ascii="宋体" w:hAnsi="宋体" w:cs="宋体"/>
        </w:rPr>
        <w:t>使用步骤：点击预约挂号模块就可以选择对应的医生进行挂号，如图4-2所示。点击我的挂号可以查看之前挂号情况。如图4-3所示。</w:t>
      </w:r>
    </w:p>
    <w:p w14:paraId="455066B6">
      <w:pPr>
        <w:jc w:val="center"/>
        <w:outlineLvl w:val="9"/>
      </w:pPr>
      <w:r>
        <w:drawing>
          <wp:inline distT="0" distB="0" distL="0" distR="0">
            <wp:extent cx="4775200" cy="2402205"/>
            <wp:effectExtent l="0" t="0" r="6350" b="171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5"/>
                    <a:stretch>
                      <a:fillRect/>
                    </a:stretch>
                  </pic:blipFill>
                  <pic:spPr>
                    <a:xfrm>
                      <a:off x="0" y="0"/>
                      <a:ext cx="4775200" cy="2402205"/>
                    </a:xfrm>
                    <a:prstGeom prst="rect">
                      <a:avLst/>
                    </a:prstGeom>
                  </pic:spPr>
                </pic:pic>
              </a:graphicData>
            </a:graphic>
          </wp:inline>
        </w:drawing>
      </w:r>
    </w:p>
    <w:p w14:paraId="74294E76">
      <w:pPr>
        <w:pStyle w:val="131"/>
        <w:outlineLvl w:val="9"/>
      </w:pPr>
      <w:r>
        <w:rPr>
          <w:rFonts w:hint="eastAsia"/>
        </w:rPr>
        <w:t>图4</w:t>
      </w:r>
      <w:r>
        <w:t>-2</w:t>
      </w:r>
      <w:r>
        <w:rPr>
          <w:rFonts w:hint="eastAsia"/>
        </w:rPr>
        <w:t>预约挂号界面</w:t>
      </w:r>
    </w:p>
    <w:p w14:paraId="626BAC77">
      <w:pPr>
        <w:jc w:val="center"/>
        <w:outlineLvl w:val="9"/>
      </w:pPr>
      <w:r>
        <w:drawing>
          <wp:inline distT="0" distB="0" distL="0" distR="0">
            <wp:extent cx="4714240" cy="2143125"/>
            <wp:effectExtent l="0" t="0" r="1016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6"/>
                    <a:stretch>
                      <a:fillRect/>
                    </a:stretch>
                  </pic:blipFill>
                  <pic:spPr>
                    <a:xfrm>
                      <a:off x="0" y="0"/>
                      <a:ext cx="4714240" cy="2143125"/>
                    </a:xfrm>
                    <a:prstGeom prst="rect">
                      <a:avLst/>
                    </a:prstGeom>
                  </pic:spPr>
                </pic:pic>
              </a:graphicData>
            </a:graphic>
          </wp:inline>
        </w:drawing>
      </w:r>
    </w:p>
    <w:p w14:paraId="243EB24C">
      <w:pPr>
        <w:pStyle w:val="131"/>
        <w:outlineLvl w:val="9"/>
      </w:pPr>
      <w:r>
        <w:rPr>
          <w:rFonts w:hint="eastAsia" w:ascii="宋体" w:hAnsi="宋体" w:cs="宋体"/>
        </w:rPr>
        <w:t>图4-3我的挂号界面</w:t>
      </w:r>
    </w:p>
    <w:p w14:paraId="60EC3C2C">
      <w:pPr>
        <w:pStyle w:val="129"/>
        <w:outlineLvl w:val="9"/>
        <w:rPr>
          <w:rFonts w:hint="eastAsia"/>
        </w:rPr>
      </w:pPr>
      <w:r>
        <w:rPr>
          <w:rFonts w:hint="eastAsia"/>
        </w:rPr>
        <w:t>4.1.3住院申请与住院信息</w:t>
      </w:r>
    </w:p>
    <w:p w14:paraId="6DFA913E">
      <w:pPr>
        <w:pStyle w:val="116"/>
        <w:outlineLvl w:val="9"/>
      </w:pPr>
      <w:r>
        <w:rPr>
          <w:rFonts w:hint="eastAsia"/>
        </w:rPr>
        <w:t>点击住院申请后填写申请科室医生和原因，提交申请后会进入审核。如图4</w:t>
      </w:r>
      <w:r>
        <w:t>-4</w:t>
      </w:r>
      <w:r>
        <w:rPr>
          <w:rFonts w:hint="eastAsia"/>
        </w:rPr>
        <w:t>所示，点击住院信息后可以查看住院记录当时的时间和主治医生和床位都有提示。如图4</w:t>
      </w:r>
      <w:r>
        <w:t>-5</w:t>
      </w:r>
      <w:r>
        <w:rPr>
          <w:rFonts w:hint="eastAsia"/>
        </w:rPr>
        <w:t>所示</w:t>
      </w:r>
    </w:p>
    <w:p w14:paraId="1AFF770D">
      <w:pPr>
        <w:jc w:val="center"/>
        <w:outlineLvl w:val="9"/>
        <w:rPr>
          <w:rStyle w:val="117"/>
        </w:rPr>
      </w:pPr>
      <w:r>
        <w:drawing>
          <wp:inline distT="0" distB="0" distL="0" distR="0">
            <wp:extent cx="5274310" cy="2977515"/>
            <wp:effectExtent l="0" t="0" r="2540"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7"/>
                    <a:stretch>
                      <a:fillRect/>
                    </a:stretch>
                  </pic:blipFill>
                  <pic:spPr>
                    <a:xfrm>
                      <a:off x="0" y="0"/>
                      <a:ext cx="5274310" cy="2977515"/>
                    </a:xfrm>
                    <a:prstGeom prst="rect">
                      <a:avLst/>
                    </a:prstGeom>
                  </pic:spPr>
                </pic:pic>
              </a:graphicData>
            </a:graphic>
          </wp:inline>
        </w:drawing>
      </w:r>
    </w:p>
    <w:p w14:paraId="12329F92">
      <w:pPr>
        <w:pStyle w:val="131"/>
        <w:outlineLvl w:val="9"/>
      </w:pPr>
      <w:r>
        <w:rPr>
          <w:rFonts w:hint="eastAsia"/>
        </w:rPr>
        <w:t>图4</w:t>
      </w:r>
      <w:r>
        <w:t>-4</w:t>
      </w:r>
      <w:r>
        <w:rPr>
          <w:rFonts w:hint="eastAsia"/>
        </w:rPr>
        <w:t>住院申请界面</w:t>
      </w:r>
    </w:p>
    <w:p w14:paraId="00C7A544">
      <w:pPr>
        <w:jc w:val="center"/>
        <w:outlineLvl w:val="9"/>
      </w:pPr>
      <w:r>
        <w:drawing>
          <wp:inline distT="0" distB="0" distL="0" distR="0">
            <wp:extent cx="5274310" cy="2966720"/>
            <wp:effectExtent l="0" t="0" r="254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8"/>
                    <a:stretch>
                      <a:fillRect/>
                    </a:stretch>
                  </pic:blipFill>
                  <pic:spPr>
                    <a:xfrm>
                      <a:off x="0" y="0"/>
                      <a:ext cx="5274310" cy="2966720"/>
                    </a:xfrm>
                    <a:prstGeom prst="rect">
                      <a:avLst/>
                    </a:prstGeom>
                  </pic:spPr>
                </pic:pic>
              </a:graphicData>
            </a:graphic>
          </wp:inline>
        </w:drawing>
      </w:r>
    </w:p>
    <w:p w14:paraId="4BD7E64F">
      <w:pPr>
        <w:pStyle w:val="131"/>
        <w:outlineLvl w:val="9"/>
      </w:pPr>
      <w:r>
        <w:rPr>
          <w:rFonts w:hint="eastAsia"/>
        </w:rPr>
        <w:t>图4</w:t>
      </w:r>
      <w:r>
        <w:t>-5</w:t>
      </w:r>
      <w:r>
        <w:rPr>
          <w:rFonts w:hint="eastAsia"/>
        </w:rPr>
        <w:t>住院信息界面</w:t>
      </w:r>
    </w:p>
    <w:p w14:paraId="2D4E2A9C">
      <w:pPr>
        <w:pStyle w:val="129"/>
        <w:outlineLvl w:val="9"/>
        <w:rPr>
          <w:rFonts w:hint="eastAsia"/>
        </w:rPr>
      </w:pPr>
      <w:r>
        <w:rPr>
          <w:rFonts w:hint="eastAsia"/>
        </w:rPr>
        <w:t>4.1.4AI问诊与个人信息</w:t>
      </w:r>
    </w:p>
    <w:p w14:paraId="19AB7D0A">
      <w:pPr>
        <w:pStyle w:val="116"/>
        <w:outlineLvl w:val="9"/>
      </w:pPr>
      <w:r>
        <w:rPr>
          <w:rFonts w:hint="eastAsia"/>
        </w:rPr>
        <w:t>在点击</w:t>
      </w:r>
      <w:r>
        <w:t>AI</w:t>
      </w:r>
      <w:r>
        <w:rPr>
          <w:rFonts w:hint="eastAsia"/>
        </w:rPr>
        <w:t>问诊后可以通过提出自己身体问题，A</w:t>
      </w:r>
      <w:r>
        <w:t>I</w:t>
      </w:r>
      <w:r>
        <w:rPr>
          <w:rFonts w:hint="eastAsia"/>
        </w:rPr>
        <w:t>会利用大数据搜索相应的状况，并且会通过搜索出来的状况弹出对应疾病相关的医生提供更加精确的答案。如图4</w:t>
      </w:r>
      <w:r>
        <w:t>-6</w:t>
      </w:r>
      <w:r>
        <w:rPr>
          <w:rFonts w:hint="eastAsia"/>
        </w:rPr>
        <w:t>所示。点击个人信息后可以查看自己现在的实名信息。如图4</w:t>
      </w:r>
      <w:r>
        <w:t>-7</w:t>
      </w:r>
      <w:r>
        <w:rPr>
          <w:rFonts w:hint="eastAsia"/>
        </w:rPr>
        <w:t>所示</w:t>
      </w:r>
    </w:p>
    <w:p w14:paraId="5077565B">
      <w:pPr>
        <w:outlineLvl w:val="9"/>
      </w:pPr>
      <w:r>
        <w:drawing>
          <wp:inline distT="0" distB="0" distL="0" distR="0">
            <wp:extent cx="5274310" cy="2971165"/>
            <wp:effectExtent l="0" t="0" r="254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09"/>
                    <a:stretch>
                      <a:fillRect/>
                    </a:stretch>
                  </pic:blipFill>
                  <pic:spPr>
                    <a:xfrm>
                      <a:off x="0" y="0"/>
                      <a:ext cx="5274310" cy="2971165"/>
                    </a:xfrm>
                    <a:prstGeom prst="rect">
                      <a:avLst/>
                    </a:prstGeom>
                  </pic:spPr>
                </pic:pic>
              </a:graphicData>
            </a:graphic>
          </wp:inline>
        </w:drawing>
      </w:r>
    </w:p>
    <w:p w14:paraId="1E80438A">
      <w:pPr>
        <w:pStyle w:val="131"/>
        <w:outlineLvl w:val="9"/>
      </w:pPr>
      <w:r>
        <w:rPr>
          <w:rFonts w:hint="eastAsia"/>
        </w:rPr>
        <w:t>图4</w:t>
      </w:r>
      <w:r>
        <w:t>-6</w:t>
      </w:r>
      <w:r>
        <w:rPr>
          <w:rFonts w:hint="eastAsia"/>
        </w:rPr>
        <w:t xml:space="preserve"> </w:t>
      </w:r>
      <w:r>
        <w:t>AI</w:t>
      </w:r>
      <w:r>
        <w:rPr>
          <w:rFonts w:hint="eastAsia"/>
        </w:rPr>
        <w:t>问诊界面</w:t>
      </w:r>
    </w:p>
    <w:p w14:paraId="0348C58F">
      <w:pPr>
        <w:outlineLvl w:val="9"/>
      </w:pPr>
      <w:r>
        <w:drawing>
          <wp:inline distT="0" distB="0" distL="0" distR="0">
            <wp:extent cx="5274310" cy="2515870"/>
            <wp:effectExtent l="0" t="0" r="2540"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0"/>
                    <a:stretch>
                      <a:fillRect/>
                    </a:stretch>
                  </pic:blipFill>
                  <pic:spPr>
                    <a:xfrm>
                      <a:off x="0" y="0"/>
                      <a:ext cx="5274310" cy="2515870"/>
                    </a:xfrm>
                    <a:prstGeom prst="rect">
                      <a:avLst/>
                    </a:prstGeom>
                  </pic:spPr>
                </pic:pic>
              </a:graphicData>
            </a:graphic>
          </wp:inline>
        </w:drawing>
      </w:r>
    </w:p>
    <w:p w14:paraId="0C175F19">
      <w:pPr>
        <w:pStyle w:val="131"/>
        <w:outlineLvl w:val="9"/>
      </w:pPr>
      <w:r>
        <w:rPr>
          <w:rFonts w:hint="eastAsia"/>
        </w:rPr>
        <w:t>图4</w:t>
      </w:r>
      <w:r>
        <w:t>-7</w:t>
      </w:r>
      <w:r>
        <w:rPr>
          <w:rFonts w:hint="eastAsia"/>
        </w:rPr>
        <w:t>个人信息界面</w:t>
      </w:r>
    </w:p>
    <w:p w14:paraId="001E0276">
      <w:pPr>
        <w:pStyle w:val="129"/>
        <w:outlineLvl w:val="9"/>
        <w:rPr>
          <w:rFonts w:hint="eastAsia"/>
        </w:rPr>
      </w:pPr>
      <w:bookmarkStart w:id="102" w:name="_Toc218085446"/>
      <w:r>
        <w:rPr>
          <w:rFonts w:hint="eastAsia"/>
        </w:rPr>
        <w:t>4.2医生端功能使用说明</w:t>
      </w:r>
      <w:bookmarkEnd w:id="102"/>
    </w:p>
    <w:p w14:paraId="73C836F2">
      <w:pPr>
        <w:pStyle w:val="129"/>
        <w:outlineLvl w:val="9"/>
        <w:rPr>
          <w:rFonts w:hint="eastAsia"/>
        </w:rPr>
      </w:pPr>
      <w:r>
        <w:rPr>
          <w:rFonts w:hint="eastAsia"/>
        </w:rPr>
        <w:t>4.2.1今日挂号与历史挂号</w:t>
      </w:r>
    </w:p>
    <w:p w14:paraId="139A1F72">
      <w:pPr>
        <w:pStyle w:val="116"/>
        <w:outlineLvl w:val="9"/>
      </w:pPr>
      <w:r>
        <w:rPr>
          <w:rFonts w:hint="eastAsia"/>
        </w:rPr>
        <w:t>在用医生端进入后可以查看今日挂入自己的挂号情况可以查看病人信息后选择接诊。如图4</w:t>
      </w:r>
      <w:r>
        <w:t>-8</w:t>
      </w:r>
      <w:r>
        <w:rPr>
          <w:rFonts w:hint="eastAsia"/>
        </w:rPr>
        <w:t>所示。点击历史挂号后可以查询历史挂号情况可以查看是否缴费以及进行追诊如图4</w:t>
      </w:r>
      <w:r>
        <w:t>-9</w:t>
      </w:r>
      <w:r>
        <w:rPr>
          <w:rFonts w:hint="eastAsia"/>
        </w:rPr>
        <w:t>所示。</w:t>
      </w:r>
    </w:p>
    <w:p w14:paraId="342F0FE8">
      <w:pPr>
        <w:jc w:val="center"/>
        <w:outlineLvl w:val="9"/>
      </w:pPr>
      <w:r>
        <w:drawing>
          <wp:inline distT="0" distB="0" distL="0" distR="0">
            <wp:extent cx="5274310" cy="2946400"/>
            <wp:effectExtent l="0" t="0" r="254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1"/>
                    <a:stretch>
                      <a:fillRect/>
                    </a:stretch>
                  </pic:blipFill>
                  <pic:spPr>
                    <a:xfrm>
                      <a:off x="0" y="0"/>
                      <a:ext cx="5274310" cy="2946400"/>
                    </a:xfrm>
                    <a:prstGeom prst="rect">
                      <a:avLst/>
                    </a:prstGeom>
                  </pic:spPr>
                </pic:pic>
              </a:graphicData>
            </a:graphic>
          </wp:inline>
        </w:drawing>
      </w:r>
    </w:p>
    <w:p w14:paraId="21730C77">
      <w:pPr>
        <w:pStyle w:val="131"/>
        <w:outlineLvl w:val="9"/>
      </w:pPr>
      <w:r>
        <w:rPr>
          <w:rFonts w:hint="eastAsia"/>
        </w:rPr>
        <w:t>图4</w:t>
      </w:r>
      <w:r>
        <w:t>-8</w:t>
      </w:r>
      <w:r>
        <w:rPr>
          <w:rFonts w:hint="eastAsia"/>
        </w:rPr>
        <w:t>今日挂号界面</w:t>
      </w:r>
    </w:p>
    <w:p w14:paraId="72E39DE3">
      <w:pPr>
        <w:jc w:val="center"/>
        <w:outlineLvl w:val="9"/>
      </w:pPr>
      <w:r>
        <w:drawing>
          <wp:inline distT="0" distB="0" distL="0" distR="0">
            <wp:extent cx="5274310" cy="2942590"/>
            <wp:effectExtent l="0" t="0" r="2540" b="1016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2"/>
                    <a:stretch>
                      <a:fillRect/>
                    </a:stretch>
                  </pic:blipFill>
                  <pic:spPr>
                    <a:xfrm>
                      <a:off x="0" y="0"/>
                      <a:ext cx="5274310" cy="2942590"/>
                    </a:xfrm>
                    <a:prstGeom prst="rect">
                      <a:avLst/>
                    </a:prstGeom>
                  </pic:spPr>
                </pic:pic>
              </a:graphicData>
            </a:graphic>
          </wp:inline>
        </w:drawing>
      </w:r>
    </w:p>
    <w:p w14:paraId="2AC2EDAE">
      <w:pPr>
        <w:pStyle w:val="131"/>
        <w:outlineLvl w:val="9"/>
      </w:pPr>
      <w:r>
        <w:rPr>
          <w:rFonts w:hint="eastAsia"/>
        </w:rPr>
        <w:t>图4</w:t>
      </w:r>
      <w:r>
        <w:t>-9</w:t>
      </w:r>
      <w:r>
        <w:rPr>
          <w:rFonts w:hint="eastAsia"/>
        </w:rPr>
        <w:t>历史挂号页面</w:t>
      </w:r>
    </w:p>
    <w:p w14:paraId="51353201">
      <w:pPr>
        <w:pStyle w:val="129"/>
        <w:outlineLvl w:val="9"/>
        <w:rPr>
          <w:rFonts w:hint="eastAsia"/>
        </w:rPr>
      </w:pPr>
      <w:r>
        <w:rPr>
          <w:rFonts w:hint="eastAsia"/>
        </w:rPr>
        <w:t>4.2.2住院审核与住院管理</w:t>
      </w:r>
    </w:p>
    <w:p w14:paraId="02E31F4D">
      <w:pPr>
        <w:pStyle w:val="116"/>
        <w:outlineLvl w:val="9"/>
      </w:pPr>
      <w:r>
        <w:rPr>
          <w:rFonts w:hint="eastAsia"/>
        </w:rPr>
        <w:t>点击住院审核后可以查看对于患者的住院申请以及申请理由如果身体情况需要住院可以直接通过不需要可以拒绝。如图4</w:t>
      </w:r>
      <w:r>
        <w:t>-10</w:t>
      </w:r>
      <w:r>
        <w:rPr>
          <w:rFonts w:hint="eastAsia"/>
        </w:rPr>
        <w:t>所示。点击住院管理后可以查看到对应患者的住院情况可以线下查看身体状况后选择是不是办理出院手续如图4</w:t>
      </w:r>
      <w:r>
        <w:t>-11</w:t>
      </w:r>
      <w:r>
        <w:rPr>
          <w:rFonts w:hint="eastAsia"/>
        </w:rPr>
        <w:t>所示</w:t>
      </w:r>
    </w:p>
    <w:p w14:paraId="435C9441">
      <w:pPr>
        <w:outlineLvl w:val="9"/>
      </w:pPr>
      <w:r>
        <w:drawing>
          <wp:inline distT="0" distB="0" distL="0" distR="0">
            <wp:extent cx="5274310" cy="2939415"/>
            <wp:effectExtent l="0" t="0" r="2540" b="133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3"/>
                    <a:stretch>
                      <a:fillRect/>
                    </a:stretch>
                  </pic:blipFill>
                  <pic:spPr>
                    <a:xfrm>
                      <a:off x="0" y="0"/>
                      <a:ext cx="5274310" cy="2939415"/>
                    </a:xfrm>
                    <a:prstGeom prst="rect">
                      <a:avLst/>
                    </a:prstGeom>
                  </pic:spPr>
                </pic:pic>
              </a:graphicData>
            </a:graphic>
          </wp:inline>
        </w:drawing>
      </w:r>
    </w:p>
    <w:p w14:paraId="08BB502D">
      <w:pPr>
        <w:pStyle w:val="122"/>
        <w:ind w:firstLine="420"/>
        <w:outlineLvl w:val="9"/>
        <w:rPr>
          <w:sz w:val="21"/>
          <w:szCs w:val="21"/>
        </w:rPr>
      </w:pPr>
      <w:r>
        <w:rPr>
          <w:rFonts w:hint="eastAsia"/>
          <w:sz w:val="21"/>
          <w:szCs w:val="21"/>
        </w:rPr>
        <w:t>图4</w:t>
      </w:r>
      <w:r>
        <w:rPr>
          <w:sz w:val="21"/>
          <w:szCs w:val="21"/>
        </w:rPr>
        <w:t>-10</w:t>
      </w:r>
      <w:r>
        <w:rPr>
          <w:rFonts w:hint="eastAsia"/>
          <w:sz w:val="21"/>
          <w:szCs w:val="21"/>
        </w:rPr>
        <w:t>住院审核页面</w:t>
      </w:r>
    </w:p>
    <w:p w14:paraId="73D087C0">
      <w:pPr>
        <w:jc w:val="center"/>
        <w:outlineLvl w:val="9"/>
      </w:pPr>
      <w:r>
        <w:drawing>
          <wp:inline distT="0" distB="0" distL="0" distR="0">
            <wp:extent cx="5274310" cy="2955925"/>
            <wp:effectExtent l="0" t="0" r="2540" b="158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14"/>
                    <a:stretch>
                      <a:fillRect/>
                    </a:stretch>
                  </pic:blipFill>
                  <pic:spPr>
                    <a:xfrm>
                      <a:off x="0" y="0"/>
                      <a:ext cx="5274310" cy="2955925"/>
                    </a:xfrm>
                    <a:prstGeom prst="rect">
                      <a:avLst/>
                    </a:prstGeom>
                  </pic:spPr>
                </pic:pic>
              </a:graphicData>
            </a:graphic>
          </wp:inline>
        </w:drawing>
      </w:r>
    </w:p>
    <w:p w14:paraId="7030A658">
      <w:pPr>
        <w:pStyle w:val="122"/>
        <w:ind w:firstLine="420"/>
        <w:outlineLvl w:val="9"/>
      </w:pPr>
      <w:r>
        <w:rPr>
          <w:rFonts w:hint="eastAsia"/>
          <w:sz w:val="21"/>
          <w:szCs w:val="21"/>
        </w:rPr>
        <w:t>图4</w:t>
      </w:r>
      <w:r>
        <w:rPr>
          <w:sz w:val="21"/>
          <w:szCs w:val="21"/>
        </w:rPr>
        <w:t>-11</w:t>
      </w:r>
      <w:r>
        <w:rPr>
          <w:rFonts w:hint="eastAsia"/>
          <w:sz w:val="21"/>
          <w:szCs w:val="21"/>
        </w:rPr>
        <w:t>住院管理页面</w:t>
      </w:r>
    </w:p>
    <w:p w14:paraId="6F9B38EB">
      <w:pPr>
        <w:pStyle w:val="129"/>
        <w:outlineLvl w:val="9"/>
        <w:rPr>
          <w:rFonts w:hint="eastAsia"/>
        </w:rPr>
      </w:pPr>
      <w:r>
        <w:rPr>
          <w:rFonts w:hint="eastAsia"/>
        </w:rPr>
        <w:t>4.2.3个人信息与我的评价</w:t>
      </w:r>
    </w:p>
    <w:p w14:paraId="718FEE38">
      <w:pPr>
        <w:pStyle w:val="129"/>
        <w:outlineLvl w:val="9"/>
        <w:rPr>
          <w:rFonts w:ascii="宋体" w:hAnsi="宋体" w:cs="宋体"/>
        </w:rPr>
      </w:pPr>
      <w:r>
        <w:rPr>
          <w:rFonts w:hint="eastAsia" w:ascii="宋体" w:hAnsi="宋体" w:cs="宋体"/>
        </w:rPr>
        <w:t>点击个人信息后可以查看自己信息自己的对于科室以及自身实名状况如图4-12所示。点击我的评价后可以查看患者对自己的评价如图4-13所示。</w:t>
      </w:r>
    </w:p>
    <w:p w14:paraId="0BECCDCE">
      <w:pPr>
        <w:jc w:val="center"/>
        <w:outlineLvl w:val="9"/>
      </w:pPr>
      <w:r>
        <w:drawing>
          <wp:inline distT="0" distB="0" distL="0" distR="0">
            <wp:extent cx="5274310" cy="2969895"/>
            <wp:effectExtent l="0" t="0" r="254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15"/>
                    <a:stretch>
                      <a:fillRect/>
                    </a:stretch>
                  </pic:blipFill>
                  <pic:spPr>
                    <a:xfrm>
                      <a:off x="0" y="0"/>
                      <a:ext cx="5274310" cy="2969895"/>
                    </a:xfrm>
                    <a:prstGeom prst="rect">
                      <a:avLst/>
                    </a:prstGeom>
                  </pic:spPr>
                </pic:pic>
              </a:graphicData>
            </a:graphic>
          </wp:inline>
        </w:drawing>
      </w:r>
    </w:p>
    <w:p w14:paraId="25F1B742">
      <w:pPr>
        <w:pStyle w:val="131"/>
        <w:outlineLvl w:val="9"/>
      </w:pPr>
      <w:r>
        <w:rPr>
          <w:rFonts w:hint="eastAsia"/>
        </w:rPr>
        <w:t>图4</w:t>
      </w:r>
      <w:r>
        <w:t>-12</w:t>
      </w:r>
      <w:r>
        <w:rPr>
          <w:rFonts w:hint="eastAsia"/>
        </w:rPr>
        <w:t>个人信息页面</w:t>
      </w:r>
    </w:p>
    <w:p w14:paraId="2AD9E77A">
      <w:pPr>
        <w:jc w:val="center"/>
        <w:outlineLvl w:val="9"/>
      </w:pPr>
      <w:r>
        <w:drawing>
          <wp:inline distT="0" distB="0" distL="0" distR="0">
            <wp:extent cx="5274310" cy="2964180"/>
            <wp:effectExtent l="0" t="0" r="254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16"/>
                    <a:stretch>
                      <a:fillRect/>
                    </a:stretch>
                  </pic:blipFill>
                  <pic:spPr>
                    <a:xfrm>
                      <a:off x="0" y="0"/>
                      <a:ext cx="5274310" cy="2964180"/>
                    </a:xfrm>
                    <a:prstGeom prst="rect">
                      <a:avLst/>
                    </a:prstGeom>
                  </pic:spPr>
                </pic:pic>
              </a:graphicData>
            </a:graphic>
          </wp:inline>
        </w:drawing>
      </w:r>
    </w:p>
    <w:p w14:paraId="1AB21E75">
      <w:pPr>
        <w:pStyle w:val="131"/>
        <w:outlineLvl w:val="9"/>
      </w:pPr>
      <w:r>
        <w:rPr>
          <w:rFonts w:hint="eastAsia"/>
        </w:rPr>
        <w:t>图4</w:t>
      </w:r>
      <w:r>
        <w:t>-13</w:t>
      </w:r>
      <w:r>
        <w:rPr>
          <w:rFonts w:hint="eastAsia"/>
        </w:rPr>
        <w:t>我的评价页面</w:t>
      </w:r>
    </w:p>
    <w:p w14:paraId="1D29F685">
      <w:pPr>
        <w:pStyle w:val="129"/>
        <w:outlineLvl w:val="9"/>
        <w:rPr>
          <w:rFonts w:hint="eastAsia"/>
        </w:rPr>
      </w:pPr>
      <w:bookmarkStart w:id="103" w:name="_Toc218085447"/>
      <w:r>
        <w:rPr>
          <w:rFonts w:hint="eastAsia"/>
        </w:rPr>
        <w:t>4.3系统核心功能</w:t>
      </w:r>
      <w:bookmarkEnd w:id="103"/>
    </w:p>
    <w:p w14:paraId="679FAAF3">
      <w:pPr>
        <w:pStyle w:val="129"/>
        <w:outlineLvl w:val="9"/>
        <w:rPr>
          <w:rFonts w:hint="eastAsia"/>
        </w:rPr>
      </w:pPr>
      <w:r>
        <w:rPr>
          <w:rFonts w:hint="eastAsia"/>
        </w:rPr>
        <w:t>4.3.1挂号功能</w:t>
      </w:r>
    </w:p>
    <w:p w14:paraId="265780DA">
      <w:pPr>
        <w:pStyle w:val="129"/>
        <w:outlineLvl w:val="9"/>
        <w:rPr>
          <w:rFonts w:ascii="宋体" w:hAnsi="宋体" w:cs="宋体"/>
        </w:rPr>
      </w:pPr>
      <w:r>
        <w:rPr>
          <w:rFonts w:hint="eastAsia" w:ascii="宋体" w:hAnsi="宋体" w:cs="宋体"/>
        </w:rPr>
        <w:t>如图4-14、4-15、4-16所示为挂号功能完整流程首先需要管理员先对医生进行排班如图4-14所示，进行排班后患者可以选择已经排班的医生进行预约，如图4-15所示，对应的医生那才会收到患者预约如图4-16所示。</w:t>
      </w:r>
    </w:p>
    <w:p w14:paraId="5AC2E285">
      <w:pPr>
        <w:jc w:val="center"/>
        <w:outlineLvl w:val="9"/>
      </w:pPr>
      <w:r>
        <w:drawing>
          <wp:inline distT="0" distB="0" distL="0" distR="0">
            <wp:extent cx="5274310" cy="2966720"/>
            <wp:effectExtent l="0" t="0" r="254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17"/>
                    <a:stretch>
                      <a:fillRect/>
                    </a:stretch>
                  </pic:blipFill>
                  <pic:spPr>
                    <a:xfrm>
                      <a:off x="0" y="0"/>
                      <a:ext cx="5274310" cy="2966720"/>
                    </a:xfrm>
                    <a:prstGeom prst="rect">
                      <a:avLst/>
                    </a:prstGeom>
                  </pic:spPr>
                </pic:pic>
              </a:graphicData>
            </a:graphic>
          </wp:inline>
        </w:drawing>
      </w:r>
    </w:p>
    <w:p w14:paraId="4E02371D">
      <w:pPr>
        <w:pStyle w:val="131"/>
        <w:outlineLvl w:val="9"/>
      </w:pPr>
      <w:r>
        <w:t>图</w:t>
      </w:r>
      <w:r>
        <w:rPr>
          <w:rFonts w:hint="eastAsia"/>
        </w:rPr>
        <w:t>4</w:t>
      </w:r>
      <w:r>
        <w:t>-14排班页面</w:t>
      </w:r>
    </w:p>
    <w:p w14:paraId="6B1F19A5">
      <w:pPr>
        <w:jc w:val="center"/>
        <w:outlineLvl w:val="9"/>
      </w:pPr>
      <w:r>
        <w:drawing>
          <wp:inline distT="0" distB="0" distL="0" distR="0">
            <wp:extent cx="5274310" cy="2653030"/>
            <wp:effectExtent l="0" t="0" r="2540" b="139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05"/>
                    <a:stretch>
                      <a:fillRect/>
                    </a:stretch>
                  </pic:blipFill>
                  <pic:spPr>
                    <a:xfrm>
                      <a:off x="0" y="0"/>
                      <a:ext cx="5274310" cy="2653243"/>
                    </a:xfrm>
                    <a:prstGeom prst="rect">
                      <a:avLst/>
                    </a:prstGeom>
                  </pic:spPr>
                </pic:pic>
              </a:graphicData>
            </a:graphic>
          </wp:inline>
        </w:drawing>
      </w:r>
    </w:p>
    <w:p w14:paraId="5A75587B">
      <w:pPr>
        <w:pStyle w:val="131"/>
        <w:outlineLvl w:val="9"/>
      </w:pPr>
      <w:r>
        <w:t>图</w:t>
      </w:r>
      <w:r>
        <w:rPr>
          <w:rFonts w:hint="eastAsia"/>
        </w:rPr>
        <w:t>4</w:t>
      </w:r>
      <w:r>
        <w:t>-15预约页面</w:t>
      </w:r>
    </w:p>
    <w:p w14:paraId="1211EBF3">
      <w:pPr>
        <w:jc w:val="center"/>
        <w:outlineLvl w:val="9"/>
      </w:pPr>
      <w:r>
        <w:drawing>
          <wp:inline distT="0" distB="0" distL="0" distR="0">
            <wp:extent cx="5274310" cy="2946400"/>
            <wp:effectExtent l="0" t="0" r="254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11"/>
                    <a:stretch>
                      <a:fillRect/>
                    </a:stretch>
                  </pic:blipFill>
                  <pic:spPr>
                    <a:xfrm>
                      <a:off x="0" y="0"/>
                      <a:ext cx="5274310" cy="2946400"/>
                    </a:xfrm>
                    <a:prstGeom prst="rect">
                      <a:avLst/>
                    </a:prstGeom>
                  </pic:spPr>
                </pic:pic>
              </a:graphicData>
            </a:graphic>
          </wp:inline>
        </w:drawing>
      </w:r>
    </w:p>
    <w:p w14:paraId="4722F3FB">
      <w:pPr>
        <w:pStyle w:val="131"/>
        <w:outlineLvl w:val="9"/>
      </w:pPr>
      <w:r>
        <w:rPr>
          <w:rFonts w:hint="eastAsia"/>
        </w:rPr>
        <w:t>图4</w:t>
      </w:r>
      <w:r>
        <w:t>-16</w:t>
      </w:r>
      <w:r>
        <w:rPr>
          <w:rFonts w:hint="eastAsia"/>
        </w:rPr>
        <w:t>今日挂号页面</w:t>
      </w:r>
    </w:p>
    <w:p w14:paraId="6E5DA167">
      <w:pPr>
        <w:pStyle w:val="129"/>
        <w:outlineLvl w:val="9"/>
        <w:rPr>
          <w:rFonts w:hint="eastAsia"/>
        </w:rPr>
      </w:pPr>
      <w:r>
        <w:rPr>
          <w:rFonts w:hint="eastAsia"/>
        </w:rPr>
        <w:t>4.3.2住院功能</w:t>
      </w:r>
    </w:p>
    <w:p w14:paraId="7800BFE4">
      <w:pPr>
        <w:pStyle w:val="129"/>
        <w:outlineLvl w:val="9"/>
      </w:pPr>
      <w:r>
        <w:rPr>
          <w:rFonts w:hint="eastAsia"/>
        </w:rPr>
        <w:t>如图4</w:t>
      </w:r>
      <w:r>
        <w:t>-17</w:t>
      </w:r>
      <w:r>
        <w:rPr>
          <w:rFonts w:hint="eastAsia"/>
        </w:rPr>
        <w:t>、4</w:t>
      </w:r>
      <w:r>
        <w:t>-18</w:t>
      </w:r>
      <w:r>
        <w:rPr>
          <w:rFonts w:hint="eastAsia"/>
        </w:rPr>
        <w:t>、4</w:t>
      </w:r>
      <w:r>
        <w:t>-19</w:t>
      </w:r>
      <w:r>
        <w:rPr>
          <w:rFonts w:hint="eastAsia"/>
        </w:rPr>
        <w:t>、4</w:t>
      </w:r>
      <w:r>
        <w:t>-20</w:t>
      </w:r>
      <w:r>
        <w:rPr>
          <w:rFonts w:hint="eastAsia"/>
        </w:rPr>
        <w:t>所示为住院功能完整流程首先需要患者进行住院申请如图4</w:t>
      </w:r>
      <w:r>
        <w:t>-17</w:t>
      </w:r>
      <w:r>
        <w:rPr>
          <w:rFonts w:hint="eastAsia"/>
        </w:rPr>
        <w:t>所示，进行申请后医生可以选择是否同意住院，如图4</w:t>
      </w:r>
      <w:r>
        <w:t>-18</w:t>
      </w:r>
      <w:r>
        <w:rPr>
          <w:rFonts w:hint="eastAsia"/>
        </w:rPr>
        <w:t>所示，对应的管理员那才会对患者床位安排如图4</w:t>
      </w:r>
      <w:r>
        <w:t>-19</w:t>
      </w:r>
      <w:r>
        <w:rPr>
          <w:rFonts w:hint="eastAsia"/>
        </w:rPr>
        <w:t>所示。当身体状况可以出院后医生可以对其办理出院如图4</w:t>
      </w:r>
      <w:r>
        <w:t>-20</w:t>
      </w:r>
      <w:r>
        <w:rPr>
          <w:rFonts w:hint="eastAsia"/>
        </w:rPr>
        <w:t>所示。</w:t>
      </w:r>
    </w:p>
    <w:p w14:paraId="58C32761">
      <w:pPr>
        <w:jc w:val="center"/>
        <w:outlineLvl w:val="9"/>
      </w:pPr>
      <w:r>
        <w:drawing>
          <wp:inline distT="0" distB="0" distL="0" distR="0">
            <wp:extent cx="5274310" cy="2977515"/>
            <wp:effectExtent l="0" t="0" r="2540" b="133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7"/>
                    <a:stretch>
                      <a:fillRect/>
                    </a:stretch>
                  </pic:blipFill>
                  <pic:spPr>
                    <a:xfrm>
                      <a:off x="0" y="0"/>
                      <a:ext cx="5274310" cy="2977515"/>
                    </a:xfrm>
                    <a:prstGeom prst="rect">
                      <a:avLst/>
                    </a:prstGeom>
                  </pic:spPr>
                </pic:pic>
              </a:graphicData>
            </a:graphic>
          </wp:inline>
        </w:drawing>
      </w:r>
    </w:p>
    <w:p w14:paraId="0ADBB82F">
      <w:pPr>
        <w:pStyle w:val="131"/>
        <w:outlineLvl w:val="9"/>
      </w:pPr>
      <w:r>
        <w:t>图</w:t>
      </w:r>
      <w:r>
        <w:rPr>
          <w:rFonts w:hint="eastAsia"/>
        </w:rPr>
        <w:t>4</w:t>
      </w:r>
      <w:r>
        <w:t>-17</w:t>
      </w:r>
      <w:r>
        <w:rPr>
          <w:rFonts w:hint="eastAsia"/>
        </w:rPr>
        <w:t>住院申请</w:t>
      </w:r>
      <w:r>
        <w:t>页面</w:t>
      </w:r>
    </w:p>
    <w:p w14:paraId="66AE8205">
      <w:pPr>
        <w:jc w:val="center"/>
        <w:outlineLvl w:val="9"/>
      </w:pPr>
      <w:r>
        <w:drawing>
          <wp:inline distT="0" distB="0" distL="0" distR="0">
            <wp:extent cx="5274310" cy="2939415"/>
            <wp:effectExtent l="0" t="0" r="2540" b="133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3"/>
                    <a:stretch>
                      <a:fillRect/>
                    </a:stretch>
                  </pic:blipFill>
                  <pic:spPr>
                    <a:xfrm>
                      <a:off x="0" y="0"/>
                      <a:ext cx="5274310" cy="2939415"/>
                    </a:xfrm>
                    <a:prstGeom prst="rect">
                      <a:avLst/>
                    </a:prstGeom>
                  </pic:spPr>
                </pic:pic>
              </a:graphicData>
            </a:graphic>
          </wp:inline>
        </w:drawing>
      </w:r>
    </w:p>
    <w:p w14:paraId="6AEAF1EB">
      <w:pPr>
        <w:pStyle w:val="131"/>
        <w:outlineLvl w:val="9"/>
      </w:pPr>
      <w:r>
        <w:t>图</w:t>
      </w:r>
      <w:r>
        <w:rPr>
          <w:rFonts w:hint="eastAsia"/>
        </w:rPr>
        <w:t>4</w:t>
      </w:r>
      <w:r>
        <w:t>-18</w:t>
      </w:r>
      <w:r>
        <w:rPr>
          <w:rFonts w:hint="eastAsia"/>
        </w:rPr>
        <w:t>住院审核</w:t>
      </w:r>
      <w:r>
        <w:t>页面</w:t>
      </w:r>
    </w:p>
    <w:p w14:paraId="0A1B3FC5">
      <w:pPr>
        <w:jc w:val="center"/>
        <w:outlineLvl w:val="9"/>
      </w:pPr>
      <w:r>
        <w:drawing>
          <wp:inline distT="0" distB="0" distL="0" distR="0">
            <wp:extent cx="5274310" cy="2966720"/>
            <wp:effectExtent l="0" t="0" r="254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18"/>
                    <a:stretch>
                      <a:fillRect/>
                    </a:stretch>
                  </pic:blipFill>
                  <pic:spPr>
                    <a:xfrm>
                      <a:off x="0" y="0"/>
                      <a:ext cx="5274310" cy="2966720"/>
                    </a:xfrm>
                    <a:prstGeom prst="rect">
                      <a:avLst/>
                    </a:prstGeom>
                  </pic:spPr>
                </pic:pic>
              </a:graphicData>
            </a:graphic>
          </wp:inline>
        </w:drawing>
      </w:r>
    </w:p>
    <w:p w14:paraId="514FF3EC">
      <w:pPr>
        <w:pStyle w:val="131"/>
        <w:outlineLvl w:val="9"/>
      </w:pPr>
      <w:r>
        <w:rPr>
          <w:rFonts w:hint="eastAsia"/>
        </w:rPr>
        <w:t>图4</w:t>
      </w:r>
      <w:r>
        <w:t>-19</w:t>
      </w:r>
      <w:r>
        <w:rPr>
          <w:rFonts w:hint="eastAsia"/>
        </w:rPr>
        <w:t>床位管理页面</w:t>
      </w:r>
    </w:p>
    <w:p w14:paraId="3CCF89F7">
      <w:pPr>
        <w:jc w:val="center"/>
        <w:outlineLvl w:val="9"/>
      </w:pPr>
      <w:r>
        <w:drawing>
          <wp:inline distT="0" distB="0" distL="0" distR="0">
            <wp:extent cx="5274310" cy="2955925"/>
            <wp:effectExtent l="0" t="0" r="2540" b="158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14"/>
                    <a:stretch>
                      <a:fillRect/>
                    </a:stretch>
                  </pic:blipFill>
                  <pic:spPr>
                    <a:xfrm>
                      <a:off x="0" y="0"/>
                      <a:ext cx="5274310" cy="2955925"/>
                    </a:xfrm>
                    <a:prstGeom prst="rect">
                      <a:avLst/>
                    </a:prstGeom>
                  </pic:spPr>
                </pic:pic>
              </a:graphicData>
            </a:graphic>
          </wp:inline>
        </w:drawing>
      </w:r>
    </w:p>
    <w:p w14:paraId="1CC96040">
      <w:pPr>
        <w:pStyle w:val="131"/>
        <w:outlineLvl w:val="9"/>
      </w:pPr>
      <w:r>
        <w:rPr>
          <w:rFonts w:hint="eastAsia"/>
        </w:rPr>
        <w:t>图4</w:t>
      </w:r>
      <w:r>
        <w:t>-20</w:t>
      </w:r>
      <w:r>
        <w:rPr>
          <w:rFonts w:hint="eastAsia"/>
        </w:rPr>
        <w:t>住院管理页面</w:t>
      </w:r>
    </w:p>
    <w:p w14:paraId="778E59AE">
      <w:pPr>
        <w:pStyle w:val="122"/>
        <w:outlineLvl w:val="9"/>
      </w:pPr>
    </w:p>
    <w:p w14:paraId="4B968542">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b/>
          <w:bCs/>
          <w:sz w:val="28"/>
          <w:szCs w:val="28"/>
        </w:rPr>
      </w:pPr>
      <w:bookmarkStart w:id="104" w:name="_Toc11529"/>
      <w:bookmarkStart w:id="105" w:name="_Toc218085448"/>
      <w:r>
        <w:rPr>
          <w:rFonts w:hint="eastAsia"/>
          <w:b/>
          <w:bCs/>
          <w:sz w:val="28"/>
          <w:szCs w:val="28"/>
        </w:rPr>
        <w:t>5 系统测试</w:t>
      </w:r>
      <w:bookmarkEnd w:id="104"/>
      <w:bookmarkEnd w:id="105"/>
      <w:r>
        <w:rPr>
          <w:rFonts w:hint="eastAsia"/>
          <w:b/>
          <w:bCs/>
          <w:sz w:val="28"/>
          <w:szCs w:val="28"/>
        </w:rPr>
        <w:tab/>
      </w:r>
    </w:p>
    <w:p w14:paraId="1F43F0D9">
      <w:pPr>
        <w:pStyle w:val="129"/>
        <w:outlineLvl w:val="9"/>
        <w:rPr>
          <w:rFonts w:hint="eastAsia"/>
        </w:rPr>
      </w:pPr>
      <w:bookmarkStart w:id="106" w:name="_Toc218085449"/>
      <w:r>
        <w:rPr>
          <w:rFonts w:hint="eastAsia"/>
        </w:rPr>
        <w:t>5.1 软硬件环境</w:t>
      </w:r>
      <w:bookmarkEnd w:id="106"/>
    </w:p>
    <w:p w14:paraId="28FACAB0">
      <w:pPr>
        <w:pStyle w:val="129"/>
        <w:outlineLvl w:val="9"/>
        <w:rPr>
          <w:rFonts w:hint="eastAsia"/>
        </w:rPr>
      </w:pPr>
      <w:r>
        <w:rPr>
          <w:rFonts w:hint="eastAsia"/>
        </w:rPr>
        <w:t>操作系统：Windows 11</w:t>
      </w:r>
    </w:p>
    <w:p w14:paraId="77205D3E">
      <w:pPr>
        <w:pStyle w:val="129"/>
        <w:outlineLvl w:val="9"/>
        <w:rPr>
          <w:rFonts w:hint="eastAsia"/>
        </w:rPr>
      </w:pPr>
      <w:r>
        <w:rPr>
          <w:rFonts w:hint="eastAsia"/>
        </w:rPr>
        <w:t>数据库：MySQL</w:t>
      </w:r>
    </w:p>
    <w:p w14:paraId="279DFC15">
      <w:pPr>
        <w:pStyle w:val="129"/>
        <w:outlineLvl w:val="9"/>
        <w:rPr>
          <w:rFonts w:hint="eastAsia"/>
        </w:rPr>
      </w:pPr>
      <w:r>
        <w:rPr>
          <w:rFonts w:hint="eastAsia"/>
        </w:rPr>
        <w:t>应用软件：IDEA 2022</w:t>
      </w:r>
    </w:p>
    <w:p w14:paraId="26BCE524">
      <w:pPr>
        <w:pStyle w:val="129"/>
        <w:outlineLvl w:val="9"/>
        <w:rPr>
          <w:rFonts w:hint="eastAsia"/>
        </w:rPr>
      </w:pPr>
      <w:r>
        <w:rPr>
          <w:rFonts w:hint="eastAsia"/>
        </w:rPr>
        <w:t>浏览器：Edge</w:t>
      </w:r>
    </w:p>
    <w:p w14:paraId="69DA7B11">
      <w:pPr>
        <w:pStyle w:val="129"/>
        <w:outlineLvl w:val="9"/>
        <w:rPr>
          <w:rFonts w:hint="eastAsia"/>
        </w:rPr>
      </w:pPr>
      <w:bookmarkStart w:id="107" w:name="_Toc218085450"/>
      <w:r>
        <w:rPr>
          <w:rFonts w:hint="eastAsia"/>
        </w:rPr>
        <w:t>5.2 测试方法</w:t>
      </w:r>
      <w:bookmarkEnd w:id="107"/>
    </w:p>
    <w:p w14:paraId="714E11BE">
      <w:pPr>
        <w:pStyle w:val="129"/>
        <w:outlineLvl w:val="9"/>
      </w:pPr>
      <w:r>
        <w:rPr>
          <w:rFonts w:hint="eastAsia" w:ascii="宋体" w:hAnsi="宋体" w:cs="宋体"/>
        </w:rPr>
        <w:t>本系统的测试工作是在项目全量编码完成后，依据前期需求分析文档与系统规格说明开展的最终功能与性能验证工作：在各功能模块如挂号管理、患者信息维护、医生接诊等开发完成后，先通过单元测试逐一排查模块内潜在的 BUG 并完成修复，同时验证单个功能的实现效果是否匹配预期设计；待系统整体集成完成后，采用黑盒测试方法，模拟管理员、医生、患者三类角色的实际操作场景如管理员的科室配置、医生的住院申请审核、患者的预约挂号等，对系统进行全流程覆盖性测试，过程中既验证系统在各类场景下的功能可用性，也同步校验数据处理的准确性、界面交互的流畅性，最终实现发现并修复潜在缺陷、保障系统稳定性与可靠性、确保系统符合用户实际需求的目标。</w:t>
      </w:r>
    </w:p>
    <w:p w14:paraId="695FDAE2">
      <w:pPr>
        <w:pStyle w:val="129"/>
        <w:outlineLvl w:val="9"/>
        <w:rPr>
          <w:rFonts w:hint="eastAsia"/>
        </w:rPr>
      </w:pPr>
      <w:bookmarkStart w:id="108" w:name="_Toc218085451"/>
      <w:r>
        <w:rPr>
          <w:rFonts w:hint="eastAsia"/>
        </w:rPr>
        <w:t>5.3 测试用例与结果</w:t>
      </w:r>
      <w:bookmarkEnd w:id="108"/>
    </w:p>
    <w:p w14:paraId="6D333399">
      <w:pPr>
        <w:pStyle w:val="131"/>
        <w:outlineLvl w:val="9"/>
        <w:rPr>
          <w:sz w:val="21"/>
          <w:szCs w:val="21"/>
        </w:rPr>
      </w:pPr>
      <w:r>
        <w:rPr>
          <w:rFonts w:hint="eastAsia"/>
          <w:sz w:val="21"/>
          <w:szCs w:val="21"/>
        </w:rPr>
        <w:t>表 5-1 管理员功能测试用例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01"/>
        <w:gridCol w:w="1525"/>
        <w:gridCol w:w="2569"/>
        <w:gridCol w:w="1525"/>
        <w:gridCol w:w="1326"/>
      </w:tblGrid>
      <w:tr w14:paraId="43DDF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DB197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06069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E38EA1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5A826A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7B2AD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6DE7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455CF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GL001</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D78DB1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管理员登录</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EFACA8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用户名：admin，密码：123456，角色：管理员</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52D85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登录成功，跳转到首页</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68BB8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7C5BA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0A72AE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GL002</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AB5338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添加医生信息</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90AB37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姓名：李四，科室：外科，职称：主治医师，联系方式：13800138000</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65296E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医生信息成功添加，数据库同步更新</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60E1D5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62AD0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5E9F0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GL003</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52FBF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删除医生信息</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53F39B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选择医生 ID：DOC20251201002，确认删除</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AD88F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医生信息成功删除，列表不再显示</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002626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E62B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483" w:hRule="atLeast"/>
        </w:trPr>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BB051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GL004</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930B3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添加科室信息</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4377F5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科室名称：儿科，科室描述：儿童常见疾病诊疗</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B822F4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科室信息添加成功，下拉选择框可查询</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B4090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47F18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7FAA4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GL005</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89D98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编辑药品信息</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74153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药品 ID：DRUG20251201003，修改名称：阿莫西林，调整价格：25.5 元</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E2B96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药品信息更新成功，详情页显示最新数据</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F2DC9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A5DD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453" w:hRule="atLeast"/>
        </w:trPr>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6E30AD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GL006</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65D32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发布系统公告</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02999B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标题：系统维护通知，内容：12 月 25 日 00:00-02:00 系统维护，暂停服务</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83C1AB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公告发布成功，所有角色可查看</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28CA2C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01A34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A62785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GL007</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76ADC1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查看近 30 天挂号统计</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60B53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时间范围：2025-11-20 至 2025-12-19</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A4599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展示 30 天挂号数据折线图</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53A8FC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115D593A">
      <w:pPr>
        <w:pStyle w:val="131"/>
        <w:outlineLvl w:val="9"/>
        <w:rPr>
          <w:sz w:val="21"/>
          <w:szCs w:val="21"/>
        </w:rPr>
      </w:pPr>
      <w:r>
        <w:rPr>
          <w:rFonts w:hint="eastAsia"/>
          <w:sz w:val="21"/>
          <w:szCs w:val="21"/>
        </w:rPr>
        <w:t>表 5-2 管理员功能测试用例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01"/>
        <w:gridCol w:w="1525"/>
        <w:gridCol w:w="2569"/>
        <w:gridCol w:w="1525"/>
        <w:gridCol w:w="1326"/>
      </w:tblGrid>
      <w:tr w14:paraId="47081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ABBE0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F4BD7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9C60D8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479F2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FB14F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683AC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B30B0B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GL008</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BF508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导出患者信息 Excel</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E52C2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筛选条件：内科患者，时间范围：2025 年 12 月</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27DBE8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成功导出 Excel 文件，包含患者姓名、ID、就诊记录</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63416E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0224EAF6">
      <w:pPr>
        <w:outlineLvl w:val="9"/>
        <w:rPr>
          <w:sz w:val="21"/>
          <w:szCs w:val="21"/>
        </w:rPr>
      </w:pPr>
    </w:p>
    <w:p w14:paraId="3D59221C">
      <w:pPr>
        <w:pStyle w:val="131"/>
        <w:outlineLvl w:val="9"/>
        <w:rPr>
          <w:sz w:val="21"/>
          <w:szCs w:val="21"/>
        </w:rPr>
      </w:pPr>
      <w:r>
        <w:rPr>
          <w:rFonts w:hint="eastAsia"/>
          <w:sz w:val="21"/>
          <w:szCs w:val="21"/>
        </w:rPr>
        <w:t>续表 5-2 管理员功能测试用例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01"/>
        <w:gridCol w:w="1525"/>
        <w:gridCol w:w="2569"/>
        <w:gridCol w:w="1525"/>
        <w:gridCol w:w="1326"/>
      </w:tblGrid>
      <w:tr w14:paraId="77192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57" w:hRule="atLeast"/>
        </w:trPr>
        <w:tc>
          <w:tcPr>
            <w:tcW w:w="1601"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5A83636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525"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23A87A3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69"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0072A0F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1525"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22AA399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326"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2588B56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4970C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274E1E0">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GL009</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9CC2789">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冻结患者账号</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AAD5E98">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患者 ID：PAT20251201005，原因：恶意预约</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7FAB32">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患者账号冻结，无法登录系统</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D83429E">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与预期一致</w:t>
            </w:r>
          </w:p>
        </w:tc>
      </w:tr>
      <w:tr w14:paraId="7CF21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6CD39F">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GL010</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0AE1BE">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查看住院数据统计</w:t>
            </w:r>
          </w:p>
        </w:tc>
        <w:tc>
          <w:tcPr>
            <w:tcW w:w="256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479EFC5">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统计维度：按科室，时间范围：2025 年 12 月</w:t>
            </w:r>
          </w:p>
        </w:tc>
        <w:tc>
          <w:tcPr>
            <w:tcW w:w="15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B9CEC7">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展示各科室住院人数柱状图，数据准确</w:t>
            </w:r>
          </w:p>
        </w:tc>
        <w:tc>
          <w:tcPr>
            <w:tcW w:w="132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0885AB0">
            <w:pPr>
              <w:pStyle w:val="113"/>
              <w:spacing w:line="240" w:lineRule="auto"/>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32232C77">
      <w:pPr>
        <w:pStyle w:val="131"/>
        <w:outlineLvl w:val="9"/>
        <w:rPr>
          <w:sz w:val="21"/>
          <w:szCs w:val="21"/>
        </w:rPr>
      </w:pPr>
      <w:r>
        <w:rPr>
          <w:rFonts w:hint="eastAsia"/>
          <w:sz w:val="21"/>
          <w:szCs w:val="21"/>
        </w:rPr>
        <w:t>表 5-3 患者功能测试用例</w:t>
      </w:r>
    </w:p>
    <w:tbl>
      <w:tblPr>
        <w:tblStyle w:val="35"/>
        <w:tblW w:w="0" w:type="auto"/>
        <w:tblInd w:w="-6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516"/>
        <w:gridCol w:w="1143"/>
        <w:gridCol w:w="2537"/>
        <w:gridCol w:w="2270"/>
        <w:gridCol w:w="1143"/>
      </w:tblGrid>
      <w:tr w14:paraId="11113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20719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CCB667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405518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520A9E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CA160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5274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7E8AE3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HZ001</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B08E71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患者注册</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E586E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用户名：zhangsan，密码：123456，姓名：张三，身份证号：110101199001011234</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35BDF8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注册成功，可使用账号登录</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F7D314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37FB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6D0A64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HZ002</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018E0C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预约挂号</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6B278F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科室：内科，医生：王医生，就诊时间：2025-12-22 上午 10:00</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D339D3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挂号成功，生成挂号单号：REG20251222001</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69257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E24F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50A8D9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HZ003</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FFA8A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取消挂号</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C71C92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选择挂号单号：REG20251222001，确认取消</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0CB91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挂号记录状态更新为 “已取消”，号源释放</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B7384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7BAA8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216C60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HZ004</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FE7877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提交住院申请</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B429D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申请原因：急性阑尾炎，既往病史：无，联系电话：13900139000</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31057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申请提交成功，状态为 “待审核”</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D0AA0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6F4B5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376520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HZ005</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93B53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发起 AI 问诊</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FE3D5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症状：头痛、乏力，持续时间：2 天，是否发热：否</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F287D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接收 AI 生成的初步建议，推荐挂神经内科</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94442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54017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1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398803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HZ006</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1AFE8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查询检查报告</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CA7BF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选择报告类型：血常规，时间范围：2025 年 12 月</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C4E4D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展示报告详情，包含各项指标及参考范围</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1FBE47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5B531F5A">
      <w:pPr>
        <w:outlineLvl w:val="9"/>
        <w:rPr>
          <w:sz w:val="21"/>
          <w:szCs w:val="21"/>
        </w:rPr>
      </w:pPr>
    </w:p>
    <w:p w14:paraId="0E250A85">
      <w:pPr>
        <w:pStyle w:val="131"/>
        <w:outlineLvl w:val="9"/>
        <w:rPr>
          <w:sz w:val="21"/>
          <w:szCs w:val="21"/>
        </w:rPr>
      </w:pPr>
      <w:r>
        <w:rPr>
          <w:rFonts w:hint="eastAsia"/>
          <w:sz w:val="21"/>
          <w:szCs w:val="21"/>
        </w:rPr>
        <w:t>续表 5-3 患者功能测试用例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453"/>
        <w:gridCol w:w="1143"/>
        <w:gridCol w:w="2537"/>
        <w:gridCol w:w="2270"/>
        <w:gridCol w:w="1143"/>
      </w:tblGrid>
      <w:tr w14:paraId="7D1EF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453"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77A6C79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143"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64CCB2C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37"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58ECF1F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2270"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4FEB60C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143" w:type="dxa"/>
            <w:tcBorders>
              <w:top w:val="single" w:color="DEE0E3" w:sz="0" w:space="0"/>
              <w:left w:val="single" w:color="DEE0E3" w:sz="0" w:space="0"/>
              <w:bottom w:val="single" w:color="DEE0E3" w:sz="0" w:space="0"/>
              <w:right w:val="single" w:color="DEE0E3" w:sz="0" w:space="0"/>
            </w:tcBorders>
            <w:shd w:val="clear" w:color="auto" w:fill="auto"/>
            <w:tcMar>
              <w:top w:w="60" w:type="dxa"/>
              <w:left w:w="120" w:type="dxa"/>
              <w:bottom w:w="30" w:type="dxa"/>
              <w:right w:w="120" w:type="dxa"/>
            </w:tcMar>
          </w:tcPr>
          <w:p w14:paraId="6826821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14F92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45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16A902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HZ007</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17FB3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修改个人信息</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8B4EA2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更换手机号：13700137000，更新住址：北京市朝阳区 XX 街道</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469DE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个人信息更新成功，个人中心显示最新数据</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185B1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486DC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45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3D4B97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HZ008</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10A475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忘记密码重置</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B2D2C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用户名：zhangsan，验证手机号：13700137000，新密码：654321</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A56C25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密码重置成功，可使用新密码登录</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B7B1E1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0FE6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45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1E832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HZ009</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8B9799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查看医生评价</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F89028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选择医生：李医生（内科）</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E6AFD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展示其他患者对该医生的评价列表及评分</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58063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53F5D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45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0BAB7E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HZ010</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F9F10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收藏常用医生</w:t>
            </w:r>
          </w:p>
        </w:tc>
        <w:tc>
          <w:tcPr>
            <w:tcW w:w="253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54A25D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医生 ID：DOC20251201001</w:t>
            </w:r>
          </w:p>
        </w:tc>
        <w:tc>
          <w:tcPr>
            <w:tcW w:w="227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36D0A7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医生添加到我的收藏，后续可快速挂号</w:t>
            </w:r>
          </w:p>
        </w:tc>
        <w:tc>
          <w:tcPr>
            <w:tcW w:w="1143"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A3DB20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614A0454">
      <w:pPr>
        <w:pStyle w:val="131"/>
        <w:outlineLvl w:val="9"/>
        <w:rPr>
          <w:sz w:val="21"/>
          <w:szCs w:val="21"/>
        </w:rPr>
      </w:pPr>
      <w:r>
        <w:rPr>
          <w:rFonts w:hint="eastAsia"/>
          <w:sz w:val="21"/>
          <w:szCs w:val="21"/>
        </w:rPr>
        <w:t>表 5-4 医生功能测试用例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28"/>
        <w:gridCol w:w="1495"/>
        <w:gridCol w:w="2522"/>
        <w:gridCol w:w="1540"/>
        <w:gridCol w:w="1361"/>
      </w:tblGrid>
      <w:tr w14:paraId="52F67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A85E9A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092C0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E00FD48">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C7E24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C618C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77FE1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B6E24C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YS001</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D9402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医生登录</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19ADE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用户名：doctor01，密码：123456，角色：医生</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71F8D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登录成功，跳转到医生工作台</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79E5C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6F37E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CB833D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YS002</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30F709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查看今日挂号列表</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8A4CCC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筛选条件：待接诊</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44512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显示待接诊患者信息</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4816A9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A190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DC2CF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YS003</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B2BFA0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接诊患者并记录病历</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16569F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患者 ID：PAT20251222001，诊断结果：普通感冒，处方：感冒灵颗粒</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EB5B08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接诊状态更新为 “已接诊”，病历记录保存成功</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7D6264">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77945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4949F6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YS004</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A52EAA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审核住院申请（通过）</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08E0970">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 ID：HOS20251222001，审核意见：符合住院指征，同意住院</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98A9B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申请状态更新为已通过，患者收到通知</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314E9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4FC666BF">
      <w:pPr>
        <w:outlineLvl w:val="9"/>
        <w:rPr>
          <w:sz w:val="21"/>
          <w:szCs w:val="21"/>
        </w:rPr>
      </w:pPr>
    </w:p>
    <w:p w14:paraId="79FABF45">
      <w:pPr>
        <w:pStyle w:val="131"/>
        <w:outlineLvl w:val="9"/>
        <w:rPr>
          <w:sz w:val="21"/>
          <w:szCs w:val="21"/>
        </w:rPr>
      </w:pPr>
      <w:r>
        <w:rPr>
          <w:rFonts w:hint="eastAsia"/>
          <w:sz w:val="21"/>
          <w:szCs w:val="21"/>
        </w:rPr>
        <w:t>续表 5-4 医生功能测试用例</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28"/>
        <w:gridCol w:w="1495"/>
        <w:gridCol w:w="2522"/>
        <w:gridCol w:w="1540"/>
        <w:gridCol w:w="1361"/>
      </w:tblGrid>
      <w:tr w14:paraId="3AAFC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D51946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用例编号</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179A5C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用例描述</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45D152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输入数据</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AED75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预期结果</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2FA34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实际结果</w:t>
            </w:r>
          </w:p>
        </w:tc>
      </w:tr>
      <w:tr w14:paraId="4C1C4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61" w:hRule="atLeast"/>
        </w:trPr>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18C73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YS005</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8D967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审核住院申请（拒绝）</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979A03">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 ID：HOS20251222002，审核意见：症状较轻，无需住院，建议门诊治疗</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6AC68F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申请状态更新为 “已拒绝”，患者收到拒绝理由</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3E067D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DAA8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12D4B0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YS006</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6AB7D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查看患者历史病历</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5ADBBC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患者 ID：PAT20251201003</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9EAD9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展示该患者过往就诊记录等</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A91304B">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0730E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1C6DD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YS007</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12A62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查看今日排班信息</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A4041E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日期：2025-12-22</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65DC3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显示今日接诊时段数量</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A7B725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1F197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ECE53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YS008</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5E46957">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回复患者评价</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8445A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评价 ID：EVAL20251221001，回复内容：感谢您的认可，将持续提升服务质量</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FF34386">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回复成功，患者可查看医生回复</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1BA819F">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171ED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56C15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YS009</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271A635">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申请调班</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0E170BE">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原排班：2025-12-25 上午，申请调至：2025-12-26 上午，理由：个人事务</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61101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调班申请提交成功，管理员待审核</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562348A">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r w14:paraId="26F85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2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086CA92">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YS010</w:t>
            </w:r>
          </w:p>
        </w:tc>
        <w:tc>
          <w:tcPr>
            <w:tcW w:w="149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61C4471">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查看科室月度工作量</w:t>
            </w:r>
          </w:p>
        </w:tc>
        <w:tc>
          <w:tcPr>
            <w:tcW w:w="252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AC96D79">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时间范围：2025 年 12 月</w:t>
            </w:r>
          </w:p>
        </w:tc>
        <w:tc>
          <w:tcPr>
            <w:tcW w:w="154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93AEA5D">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展示个人接诊量、住院申请量统计表</w:t>
            </w:r>
          </w:p>
        </w:tc>
        <w:tc>
          <w:tcPr>
            <w:tcW w:w="136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34E38C">
            <w:pPr>
              <w:pStyle w:val="113"/>
              <w:spacing w:line="240" w:lineRule="auto"/>
              <w:jc w:val="center"/>
              <w:outlineLvl w:val="9"/>
              <w:rPr>
                <w:rFonts w:ascii="宋体" w:hAnsi="宋体" w:eastAsia="宋体" w:cs="宋体"/>
                <w:sz w:val="21"/>
                <w:szCs w:val="21"/>
              </w:rPr>
            </w:pPr>
            <w:r>
              <w:rPr>
                <w:rFonts w:hint="eastAsia" w:ascii="宋体" w:hAnsi="宋体" w:eastAsia="宋体" w:cs="宋体"/>
                <w:sz w:val="21"/>
                <w:szCs w:val="21"/>
              </w:rPr>
              <w:t>与预期一致</w:t>
            </w:r>
          </w:p>
        </w:tc>
      </w:tr>
    </w:tbl>
    <w:p w14:paraId="7592C998">
      <w:pPr>
        <w:pStyle w:val="129"/>
        <w:outlineLvl w:val="9"/>
        <w:rPr>
          <w:rFonts w:hint="eastAsia"/>
        </w:rPr>
      </w:pPr>
      <w:bookmarkStart w:id="109" w:name="_Toc218085452"/>
      <w:r>
        <w:rPr>
          <w:rFonts w:hint="eastAsia"/>
        </w:rPr>
        <w:t>5.4 测试结论</w:t>
      </w:r>
      <w:bookmarkEnd w:id="109"/>
    </w:p>
    <w:p w14:paraId="334E569E">
      <w:pPr>
        <w:pStyle w:val="129"/>
        <w:outlineLvl w:val="9"/>
        <w:rPr>
          <w:rFonts w:ascii="宋体" w:hAnsi="宋体" w:cs="宋体"/>
        </w:rPr>
      </w:pPr>
      <w:r>
        <w:rPr>
          <w:rFonts w:hint="eastAsia"/>
        </w:rPr>
        <w:t>经过多轮测试，系统的核心功能均能正常实现，界面交互流畅，数据处理准确，在高并发场景下响应速度满足需求，未出现明显的 BUG 或性能问题。所有测试用例的实际结果与预期结果一致，系统符合设计要求，可投入实际使用。</w:t>
      </w:r>
    </w:p>
    <w:p w14:paraId="4B9011DF">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b/>
          <w:bCs/>
          <w:sz w:val="28"/>
          <w:szCs w:val="28"/>
        </w:rPr>
      </w:pPr>
      <w:bookmarkStart w:id="110" w:name="_Toc8782"/>
      <w:bookmarkStart w:id="111" w:name="_Toc218085453"/>
      <w:r>
        <w:rPr>
          <w:rFonts w:hint="eastAsia"/>
          <w:b/>
          <w:bCs/>
          <w:sz w:val="28"/>
          <w:szCs w:val="28"/>
        </w:rPr>
        <w:t>6总结</w:t>
      </w:r>
      <w:bookmarkEnd w:id="110"/>
      <w:bookmarkEnd w:id="111"/>
    </w:p>
    <w:p w14:paraId="51360F34">
      <w:pPr>
        <w:pStyle w:val="130"/>
        <w:outlineLvl w:val="9"/>
        <w:rPr>
          <w:rFonts w:hint="default"/>
        </w:rPr>
      </w:pPr>
      <w:r>
        <w:t>本项目聚焦医疗信息化转型需求，基于Spring Boot+Vue.js技术栈设计并实现了医享智联平台管理系统，通过前后端分离的架构设计，有效提升了系统的可维护性、扩展性与交互体验，为医疗机构提供了一体化、智能化的管理解决方案。在架构设计上，后端以Spring Boot为核心，整合MyBatis、Spring Security、JWT、Redis等技术，构建了高效稳定的服务层，实现了数据持久化、权限认证、缓存优化等核心能力；前端基于Vue.js框架，搭配Element UI、Axios、Vue Router及ECharts等组件，打造了直观易用、响应迅速的交互界面，确保不同角色用户都能获得流畅的操作体验。</w:t>
      </w:r>
    </w:p>
    <w:p w14:paraId="5E424FC7">
      <w:pPr>
        <w:pStyle w:val="130"/>
        <w:outlineLvl w:val="9"/>
        <w:rPr>
          <w:rFonts w:hint="default"/>
        </w:rPr>
      </w:pPr>
      <w:r>
        <w:t>系统深度贴合医疗管理实际场景，明确划分了管理员、医生、患者三大核心角色，构建了覆盖医疗服务全流程的功能体系：患者可通过平台完成注册登录、预约挂号、取消挂号、提交住院申请、发起AI问诊、查询检查报告、修改个人信息、收藏常用医生等操作，大幅简化了就医流程，提升了就医便捷性；医生能够便捷查看今日挂号列表、接诊患者并记录病历、审核住院申请（通过或拒绝）、查阅患者历史病历、查看个人排班信息、回复患者评价、申请调班及统计科室月度工作量，有效减轻了医护人员的事务性负担，提升了诊疗效率；管理员则可实现医生与患者信息管理、科室与药品配置、系统公告发布、挂号与住院数据统计可视化、患者账号冻结、数据导出等全局管理功能，为医疗机构的运营决策提供了数据支撑。</w:t>
      </w:r>
    </w:p>
    <w:p w14:paraId="4ECDAA2D">
      <w:pPr>
        <w:pStyle w:val="130"/>
        <w:outlineLvl w:val="9"/>
        <w:rPr>
          <w:rFonts w:hint="default"/>
        </w:rPr>
      </w:pPr>
      <w:r>
        <w:t>通过多轮功能测试、单元测试与性能测试验证，系统各模块运行稳定，数据处理准确，界面交互流畅，能够有效破解传统医疗管理中存在的信息孤岛、流程繁琐、效率低下等痛点问题，显著提升了医疗管理的规范化水平与医疗服务的智能化程度，为患者、医生与医疗机构搭建了高效的信息沟通桥梁。</w:t>
      </w:r>
    </w:p>
    <w:p w14:paraId="314CD308">
      <w:pPr>
        <w:pStyle w:val="130"/>
        <w:outlineLvl w:val="9"/>
        <w:rPr>
          <w:rFonts w:hint="default"/>
        </w:rPr>
      </w:pPr>
      <w:r>
        <w:t>当前系统虽已实现核心业务需求，但仍有广阔的优化与扩展空间：在功能层面，可进一步增加电子病历管理、在线缴费、药品配送跟踪等关键功能，打通医疗服务各环节，构建从预约挂号到康复随访的全流程服务闭环，提升患者就医体验的完整性；在技术架构层面，可引入微服务架构，将现有系统拆分为用户服务、挂号服务、接诊服务、住院服务等独立微服务，通过服务解耦提升系统的可扩展性、容错性与维护效率，更好地应对业务增长与场景变化。</w:t>
      </w:r>
    </w:p>
    <w:p w14:paraId="27BCD7B3">
      <w:pPr>
        <w:pStyle w:val="130"/>
        <w:outlineLvl w:val="9"/>
        <w:rPr>
          <w:rFonts w:hint="default"/>
        </w:rPr>
      </w:pPr>
      <w:r>
        <w:t>在智能化能力层面，可基于大数据技术深度分析患者的就医行为、疾病分布、诊疗效果等数据，为医疗机构提供精准的资源调配、科室规划等决策建议，同时持续优化AI问诊模型，整合更多医疗数据与临床经验，提升问诊建议的准确性与专业性，为患者提供更可靠的初步诊疗指导。</w:t>
      </w:r>
    </w:p>
    <w:p w14:paraId="0C3D9B33">
      <w:pPr>
        <w:pStyle w:val="130"/>
        <w:outlineLvl w:val="9"/>
        <w:rPr>
          <w:rFonts w:hint="default"/>
        </w:rPr>
        <w:sectPr>
          <w:headerReference r:id="rId7" w:type="default"/>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t>在多端适配层面，可基于UniApp开发移动端APP，实现系统在手机、平板等移动设备上的全平台覆盖，支持患者随时随地完成挂号、问诊、报告查询等操作，支持医生利用碎片化时间处理接诊、审核等工作，进一步拓展系统的使用场景与服务范围，推动医疗服务向更便捷、更高效、更智能的方向发展，为智慧医疗建设注入持续动力。</w:t>
      </w:r>
    </w:p>
    <w:p w14:paraId="58CCF856">
      <w:pPr>
        <w:jc w:val="center"/>
        <w:outlineLvl w:val="9"/>
        <w:rPr>
          <w:b/>
          <w:bCs/>
          <w:sz w:val="28"/>
          <w:szCs w:val="28"/>
        </w:rPr>
      </w:pPr>
      <w:bookmarkStart w:id="112" w:name="_Toc218085454"/>
      <w:bookmarkStart w:id="113" w:name="_Toc12754"/>
      <w:r>
        <w:rPr>
          <w:rFonts w:hint="eastAsia"/>
          <w:b/>
          <w:bCs/>
          <w:sz w:val="28"/>
          <w:szCs w:val="28"/>
        </w:rPr>
        <w:t>参考文献</w:t>
      </w:r>
      <w:bookmarkEnd w:id="112"/>
      <w:bookmarkEnd w:id="113"/>
    </w:p>
    <w:p w14:paraId="4039EDF9">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[1]沈锐.基于Spring Boot+Vue的图书馆管理系统设计与实现[J].现代信息科技,2025,9(22):67-71.</w:t>
      </w:r>
    </w:p>
    <w:p w14:paraId="5FC850A9">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[2]贾文强,刘新,傅鹏.基于Spring Boot+Vue框架的企业记录管理系统设计与实现[J].工业控制计算机,2024,37(10):151-152.</w:t>
      </w:r>
    </w:p>
    <w:p w14:paraId="0C6472DB">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[3]徐赫昭.基于Spring Boot+Vue的美术馆联合展览系统设计[J].科技创新与生产力,2025,46(10):131-134.</w:t>
      </w:r>
    </w:p>
    <w:p w14:paraId="70DE033B">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[4]肖程鸣,曾志颖.基于Spring Boot和Vue的红色智慧旅游平台设计与实现[J].软件,2022,43(07):30-33+38.</w:t>
      </w:r>
    </w:p>
    <w:p w14:paraId="6C24E38F">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[5]刘晓娇,李瑞瑶,朱玉婷,等.一体化医务管理质控平台的建设与思考[J].江苏卫生事业管理,2021,32(10):1342-1345.</w:t>
      </w:r>
    </w:p>
    <w:p w14:paraId="6B739580">
      <w:pPr>
        <w:keepNext w:val="0"/>
        <w:keepLines w:val="0"/>
        <w:pageBreakBefore w:val="0"/>
        <w:widowControl w:val="0"/>
        <w:tabs>
          <w:tab w:val="left" w:pos="967"/>
        </w:tabs>
        <w:kinsoku/>
        <w:wordWrap/>
        <w:overflowPunct/>
        <w:topLinePunct w:val="0"/>
        <w:autoSpaceDE/>
        <w:autoSpaceDN/>
        <w:bidi w:val="0"/>
        <w:adjustRightInd/>
        <w:snapToGrid/>
        <w:spacing w:line="360" w:lineRule="exact"/>
        <w:ind w:left="0" w:hanging="420" w:hangingChars="200"/>
        <w:textAlignment w:val="auto"/>
        <w:outlineLvl w:val="9"/>
        <w:rPr>
          <w:rFonts w:ascii="宋体" w:hAnsi="宋体" w:cs="宋体"/>
          <w:szCs w:val="21"/>
        </w:rPr>
      </w:pPr>
      <w:r>
        <w:rPr>
          <w:rFonts w:hint="eastAsia" w:ascii="宋体" w:hAnsi="宋体" w:cs="宋体"/>
          <w:szCs w:val="21"/>
        </w:rPr>
        <w:t>[6]金丹,蒋卓,钱永平,等.大型综合性医院医务值班信息化管理体系构建[J].中国医院,2021,25(03):91-92.</w:t>
      </w:r>
    </w:p>
    <w:p w14:paraId="6E5B17B8">
      <w:pPr>
        <w:tabs>
          <w:tab w:val="left" w:pos="967"/>
        </w:tabs>
        <w:ind w:firstLine="560" w:firstLineChars="200"/>
        <w:outlineLvl w:val="9"/>
        <w:rPr>
          <w:sz w:val="28"/>
          <w:szCs w:val="52"/>
        </w:rPr>
      </w:pPr>
    </w:p>
    <w:p w14:paraId="6A814FF7">
      <w:pPr>
        <w:outlineLvl w:val="9"/>
        <w:sectPr>
          <w:headerReference r:id="rId9" w:type="default"/>
          <w:footerReference r:id="rId1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CFF04CC">
      <w:pPr>
        <w:pStyle w:val="3"/>
        <w:bidi w:val="0"/>
        <w:rPr>
          <w:rFonts w:hint="eastAsia"/>
        </w:rPr>
      </w:pPr>
      <w:bookmarkStart w:id="114" w:name="_Toc20782"/>
      <w:bookmarkStart w:id="115" w:name="_Toc1984"/>
      <w:bookmarkStart w:id="116" w:name="_Toc29227"/>
      <w:bookmarkStart w:id="117" w:name="_Toc15563"/>
      <w:bookmarkStart w:id="118" w:name="heading_10"/>
      <w:r>
        <w:rPr>
          <w:rFonts w:hint="eastAsia"/>
          <w:lang w:val="en-US" w:eastAsia="zh-CN"/>
        </w:rPr>
        <w:t>4.</w:t>
      </w:r>
      <w:r>
        <w:rPr>
          <w:rFonts w:hint="eastAsia"/>
        </w:rPr>
        <w:t>基于若依框架的二手车全链路管理系统的设计与实现</w:t>
      </w:r>
      <w:bookmarkEnd w:id="114"/>
      <w:bookmarkEnd w:id="115"/>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5ED52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B653770">
            <w:pPr>
              <w:jc w:val="left"/>
              <w:outlineLvl w:val="1"/>
              <w:rPr>
                <w:rFonts w:ascii="Calibri" w:hAnsi="Calibri" w:eastAsia="黑体" w:cs="Times New Roman"/>
                <w:szCs w:val="21"/>
              </w:rPr>
            </w:pPr>
            <w:bookmarkStart w:id="119" w:name="_Toc16695"/>
            <w:bookmarkStart w:id="120" w:name="_Toc19287"/>
            <w:r>
              <w:rPr>
                <w:rFonts w:hint="eastAsia" w:ascii="Calibri" w:hAnsi="Calibri" w:eastAsia="黑体" w:cs="Times New Roman"/>
                <w:sz w:val="24"/>
              </w:rPr>
              <w:t>项目主题：基于若依框架的二手车全链路管理系统的设计与实现</w:t>
            </w:r>
            <w:bookmarkEnd w:id="119"/>
            <w:bookmarkEnd w:id="120"/>
          </w:p>
        </w:tc>
      </w:tr>
      <w:tr w14:paraId="699D8F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4DCC369">
            <w:pPr>
              <w:jc w:val="left"/>
              <w:rPr>
                <w:rFonts w:ascii="Calibri" w:hAnsi="Calibri" w:eastAsia="黑体" w:cs="Times New Roman"/>
                <w:sz w:val="24"/>
              </w:rPr>
            </w:pPr>
            <w:r>
              <w:rPr>
                <w:rFonts w:hint="eastAsia" w:ascii="Calibri" w:hAnsi="Calibri" w:eastAsia="黑体" w:cs="Times New Roman"/>
                <w:sz w:val="24"/>
              </w:rPr>
              <w:t>班    级：23软件本科2班</w:t>
            </w:r>
          </w:p>
        </w:tc>
      </w:tr>
      <w:tr w14:paraId="1C757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04D5D1E9">
            <w:pPr>
              <w:jc w:val="left"/>
              <w:rPr>
                <w:rFonts w:ascii="Calibri" w:hAnsi="Calibri" w:eastAsia="黑体" w:cs="Times New Roman"/>
                <w:szCs w:val="21"/>
              </w:rPr>
            </w:pPr>
            <w:r>
              <w:rPr>
                <w:rFonts w:hint="eastAsia" w:ascii="Calibri" w:hAnsi="Calibri" w:eastAsia="黑体" w:cs="Times New Roman"/>
                <w:sz w:val="24"/>
              </w:rPr>
              <w:t>学生姓名：王忠琦 黄建鑫 王新杰 姜雨轩    指导教师：蔡子诚 罗远辉</w:t>
            </w:r>
          </w:p>
        </w:tc>
      </w:tr>
    </w:tbl>
    <w:p w14:paraId="046F051C">
      <w:pPr>
        <w:keepNext w:val="0"/>
        <w:keepLines w:val="0"/>
        <w:pageBreakBefore w:val="0"/>
        <w:widowControl w:val="0"/>
        <w:tabs>
          <w:tab w:val="left" w:pos="2005"/>
        </w:tabs>
        <w:kinsoku/>
        <w:wordWrap/>
        <w:overflowPunct/>
        <w:topLinePunct w:val="0"/>
        <w:autoSpaceDE/>
        <w:autoSpaceDN/>
        <w:bidi w:val="0"/>
        <w:adjustRightInd/>
        <w:snapToGrid/>
        <w:spacing w:line="440" w:lineRule="exact"/>
        <w:textAlignment w:val="auto"/>
        <w:outlineLvl w:val="9"/>
        <w:rPr>
          <w:b/>
          <w:bCs/>
          <w:sz w:val="28"/>
          <w:szCs w:val="28"/>
        </w:rPr>
      </w:pPr>
      <w:bookmarkStart w:id="121" w:name="_Toc18688"/>
      <w:r>
        <w:rPr>
          <w:rFonts w:hint="eastAsia"/>
          <w:b/>
          <w:bCs/>
          <w:sz w:val="28"/>
          <w:szCs w:val="28"/>
        </w:rPr>
        <w:t>1 项目概述</w:t>
      </w:r>
      <w:bookmarkEnd w:id="116"/>
      <w:bookmarkEnd w:id="117"/>
      <w:bookmarkEnd w:id="118"/>
      <w:bookmarkEnd w:id="121"/>
    </w:p>
    <w:p w14:paraId="3FF34156">
      <w:pPr>
        <w:pStyle w:val="130"/>
      </w:pPr>
      <w:bookmarkStart w:id="122" w:name="heading_11"/>
      <w:bookmarkStart w:id="123" w:name="_Toc19386"/>
      <w:bookmarkStart w:id="124" w:name="_Toc14272"/>
      <w:r>
        <w:rPr>
          <w:rFonts w:hint="eastAsia"/>
        </w:rPr>
        <w:t>1.1 项目介绍</w:t>
      </w:r>
      <w:bookmarkEnd w:id="122"/>
      <w:bookmarkEnd w:id="123"/>
      <w:bookmarkEnd w:id="124"/>
    </w:p>
    <w:p w14:paraId="303C3C81">
      <w:pPr>
        <w:pStyle w:val="130"/>
        <w:rPr>
          <w:rFonts w:hint="default"/>
        </w:rPr>
      </w:pPr>
      <w:r>
        <w:t>在二手车行业快速发展的背景下，传统管理模式面临客户资源分散、业务流程割裂、管理效率低下、决策缺乏数据支撑等多重痛点。为解决上述问题，本项目设计并实现二手车全链路管理系统，打造一站式数字化管理平台。</w:t>
      </w:r>
    </w:p>
    <w:p w14:paraId="0C677929">
      <w:pPr>
        <w:pStyle w:val="130"/>
        <w:rPr>
          <w:rFonts w:hint="default"/>
        </w:rPr>
      </w:pPr>
      <w:r>
        <w:t>系统以“全流程数字化、数据互通共享、操作简单易用”为核心目标，打通“客户获取→服务执行→库存管理→数据决策”的完整业务链路，覆盖客户管理、预约服务、保养管理、维修管理、库存管理、数据分析等核心场景，为二手车企业提供高效协同、数据驱动的管理工具，助力企业降低人工成本、提升业务效率、优化客户服务体验。</w:t>
      </w:r>
    </w:p>
    <w:p w14:paraId="2936D46F">
      <w:pPr>
        <w:pStyle w:val="130"/>
      </w:pPr>
      <w:bookmarkStart w:id="125" w:name="heading_12"/>
      <w:bookmarkStart w:id="126" w:name="_Toc7525"/>
      <w:bookmarkStart w:id="127" w:name="_Toc9547"/>
      <w:r>
        <w:rPr>
          <w:rFonts w:hint="eastAsia"/>
        </w:rPr>
        <w:t>1.2 项目开发环境</w:t>
      </w:r>
      <w:bookmarkEnd w:id="125"/>
      <w:bookmarkEnd w:id="126"/>
      <w:bookmarkEnd w:id="127"/>
    </w:p>
    <w:p w14:paraId="24730572">
      <w:pPr>
        <w:pStyle w:val="13"/>
      </w:pPr>
      <w:r>
        <w:t>表1</w:t>
      </w:r>
      <w:r>
        <w:rPr>
          <w:rFonts w:hint="eastAsia"/>
        </w:rPr>
        <w:t>-</w:t>
      </w:r>
      <w:r>
        <w:t xml:space="preserve"> </w:t>
      </w:r>
      <w:r>
        <w:rPr>
          <w:rFonts w:hint="eastAsia"/>
        </w:rPr>
        <w:t>1</w:t>
      </w:r>
      <w:r>
        <w:t>项目开发环境</w:t>
      </w:r>
    </w:p>
    <w:tbl>
      <w:tblPr>
        <w:tblStyle w:val="35"/>
        <w:tblW w:w="8522" w:type="dxa"/>
        <w:jc w:val="center"/>
        <w:tblLayout w:type="autofit"/>
        <w:tblCellMar>
          <w:top w:w="0" w:type="dxa"/>
          <w:left w:w="10" w:type="dxa"/>
          <w:bottom w:w="0" w:type="dxa"/>
          <w:right w:w="10" w:type="dxa"/>
        </w:tblCellMar>
      </w:tblPr>
      <w:tblGrid>
        <w:gridCol w:w="2225"/>
        <w:gridCol w:w="6297"/>
      </w:tblGrid>
      <w:tr w14:paraId="59FB2311">
        <w:tblPrEx>
          <w:tblCellMar>
            <w:top w:w="0" w:type="dxa"/>
            <w:left w:w="10" w:type="dxa"/>
            <w:bottom w:w="0" w:type="dxa"/>
            <w:right w:w="10" w:type="dxa"/>
          </w:tblCellMar>
        </w:tblPrEx>
        <w:trPr>
          <w:tblHeader/>
          <w:jc w:val="center"/>
        </w:trPr>
        <w:tc>
          <w:tcPr>
            <w:tcW w:w="2225"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530E09A5">
            <w:pPr>
              <w:snapToGrid w:val="0"/>
              <w:jc w:val="center"/>
              <w:rPr>
                <w:rFonts w:ascii="Times New Roman" w:hAnsi="Times New Roman"/>
              </w:rPr>
            </w:pPr>
            <w:r>
              <w:rPr>
                <w:rFonts w:ascii="Times New Roman" w:hAnsi="Times New Roman"/>
              </w:rPr>
              <w:t>环境类型</w:t>
            </w:r>
          </w:p>
        </w:tc>
        <w:tc>
          <w:tcPr>
            <w:tcW w:w="6297"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47B3ACD4">
            <w:pPr>
              <w:snapToGrid w:val="0"/>
              <w:jc w:val="center"/>
              <w:rPr>
                <w:rFonts w:ascii="Times New Roman" w:hAnsi="Times New Roman"/>
              </w:rPr>
            </w:pPr>
            <w:r>
              <w:rPr>
                <w:rFonts w:ascii="Times New Roman" w:hAnsi="Times New Roman"/>
              </w:rPr>
              <w:t>具体配置</w:t>
            </w:r>
          </w:p>
        </w:tc>
      </w:tr>
      <w:tr w14:paraId="1DFCAE63">
        <w:tblPrEx>
          <w:tblCellMar>
            <w:top w:w="0" w:type="dxa"/>
            <w:left w:w="10" w:type="dxa"/>
            <w:bottom w:w="0" w:type="dxa"/>
            <w:right w:w="10" w:type="dxa"/>
          </w:tblCellMar>
        </w:tblPrEx>
        <w:trPr>
          <w:tblHeader/>
          <w:jc w:val="center"/>
        </w:trPr>
        <w:tc>
          <w:tcPr>
            <w:tcW w:w="2225" w:type="dxa"/>
            <w:tcBorders>
              <w:top w:val="single" w:color="auto" w:sz="4" w:space="0"/>
              <w:left w:val="nil"/>
              <w:bottom w:val="nil"/>
              <w:right w:val="nil"/>
            </w:tcBorders>
            <w:tcMar>
              <w:top w:w="60" w:type="dxa"/>
              <w:left w:w="120" w:type="dxa"/>
              <w:bottom w:w="30" w:type="dxa"/>
              <w:right w:w="120" w:type="dxa"/>
            </w:tcMar>
            <w:vAlign w:val="center"/>
          </w:tcPr>
          <w:p w14:paraId="3546D52B">
            <w:pPr>
              <w:snapToGrid w:val="0"/>
              <w:jc w:val="center"/>
              <w:rPr>
                <w:rFonts w:ascii="Times New Roman" w:hAnsi="Times New Roman"/>
              </w:rPr>
            </w:pPr>
            <w:r>
              <w:rPr>
                <w:rFonts w:ascii="Times New Roman" w:hAnsi="Times New Roman"/>
              </w:rPr>
              <w:t>操作系统</w:t>
            </w:r>
          </w:p>
        </w:tc>
        <w:tc>
          <w:tcPr>
            <w:tcW w:w="6297" w:type="dxa"/>
            <w:tcBorders>
              <w:top w:val="single" w:color="auto" w:sz="4" w:space="0"/>
              <w:left w:val="nil"/>
              <w:bottom w:val="nil"/>
              <w:right w:val="nil"/>
            </w:tcBorders>
            <w:tcMar>
              <w:top w:w="60" w:type="dxa"/>
              <w:left w:w="120" w:type="dxa"/>
              <w:bottom w:w="30" w:type="dxa"/>
              <w:right w:w="120" w:type="dxa"/>
            </w:tcMar>
            <w:vAlign w:val="center"/>
          </w:tcPr>
          <w:p w14:paraId="3FC97988">
            <w:pPr>
              <w:snapToGrid w:val="0"/>
              <w:jc w:val="center"/>
              <w:rPr>
                <w:rFonts w:ascii="Times New Roman" w:hAnsi="Times New Roman"/>
              </w:rPr>
            </w:pPr>
            <w:r>
              <w:rPr>
                <w:rFonts w:ascii="Times New Roman" w:hAnsi="Times New Roman"/>
              </w:rPr>
              <w:t>Windows 10/11</w:t>
            </w:r>
          </w:p>
        </w:tc>
      </w:tr>
      <w:tr w14:paraId="5D3A537A">
        <w:tblPrEx>
          <w:tblCellMar>
            <w:top w:w="0" w:type="dxa"/>
            <w:left w:w="10" w:type="dxa"/>
            <w:bottom w:w="0" w:type="dxa"/>
            <w:right w:w="10" w:type="dxa"/>
          </w:tblCellMar>
        </w:tblPrEx>
        <w:trPr>
          <w:tblHeader/>
          <w:jc w:val="center"/>
        </w:trPr>
        <w:tc>
          <w:tcPr>
            <w:tcW w:w="2225" w:type="dxa"/>
            <w:tcBorders>
              <w:top w:val="nil"/>
              <w:left w:val="nil"/>
              <w:bottom w:val="nil"/>
              <w:right w:val="nil"/>
            </w:tcBorders>
            <w:tcMar>
              <w:top w:w="60" w:type="dxa"/>
              <w:left w:w="120" w:type="dxa"/>
              <w:bottom w:w="30" w:type="dxa"/>
              <w:right w:w="120" w:type="dxa"/>
            </w:tcMar>
            <w:vAlign w:val="center"/>
          </w:tcPr>
          <w:p w14:paraId="747FCA37">
            <w:pPr>
              <w:snapToGrid w:val="0"/>
              <w:jc w:val="center"/>
              <w:rPr>
                <w:rFonts w:ascii="Times New Roman" w:hAnsi="Times New Roman"/>
              </w:rPr>
            </w:pPr>
            <w:r>
              <w:rPr>
                <w:rFonts w:ascii="Times New Roman" w:hAnsi="Times New Roman"/>
              </w:rPr>
              <w:t>后端开发环境</w:t>
            </w:r>
          </w:p>
        </w:tc>
        <w:tc>
          <w:tcPr>
            <w:tcW w:w="6297" w:type="dxa"/>
            <w:tcBorders>
              <w:top w:val="nil"/>
              <w:left w:val="nil"/>
              <w:bottom w:val="nil"/>
              <w:right w:val="nil"/>
            </w:tcBorders>
            <w:tcMar>
              <w:top w:w="60" w:type="dxa"/>
              <w:left w:w="120" w:type="dxa"/>
              <w:bottom w:w="30" w:type="dxa"/>
              <w:right w:w="120" w:type="dxa"/>
            </w:tcMar>
            <w:vAlign w:val="center"/>
          </w:tcPr>
          <w:p w14:paraId="3F50CBE0">
            <w:pPr>
              <w:snapToGrid w:val="0"/>
              <w:jc w:val="center"/>
              <w:rPr>
                <w:rFonts w:ascii="Times New Roman" w:hAnsi="Times New Roman"/>
              </w:rPr>
            </w:pPr>
            <w:r>
              <w:rPr>
                <w:rFonts w:ascii="Times New Roman" w:hAnsi="Times New Roman"/>
              </w:rPr>
              <w:t>JDK 1.8+、Maven 3.6+、SpringBoot 2.6.x、SSM框架</w:t>
            </w:r>
          </w:p>
        </w:tc>
      </w:tr>
      <w:tr w14:paraId="38E145E0">
        <w:tblPrEx>
          <w:tblCellMar>
            <w:top w:w="0" w:type="dxa"/>
            <w:left w:w="10" w:type="dxa"/>
            <w:bottom w:w="0" w:type="dxa"/>
            <w:right w:w="10" w:type="dxa"/>
          </w:tblCellMar>
        </w:tblPrEx>
        <w:trPr>
          <w:tblHeader/>
          <w:jc w:val="center"/>
        </w:trPr>
        <w:tc>
          <w:tcPr>
            <w:tcW w:w="2225" w:type="dxa"/>
            <w:tcBorders>
              <w:top w:val="nil"/>
              <w:left w:val="nil"/>
              <w:bottom w:val="nil"/>
              <w:right w:val="nil"/>
            </w:tcBorders>
            <w:tcMar>
              <w:top w:w="60" w:type="dxa"/>
              <w:left w:w="120" w:type="dxa"/>
              <w:bottom w:w="30" w:type="dxa"/>
              <w:right w:w="120" w:type="dxa"/>
            </w:tcMar>
            <w:vAlign w:val="center"/>
          </w:tcPr>
          <w:p w14:paraId="1733B01C">
            <w:pPr>
              <w:snapToGrid w:val="0"/>
              <w:jc w:val="center"/>
              <w:rPr>
                <w:rFonts w:ascii="Times New Roman" w:hAnsi="Times New Roman"/>
              </w:rPr>
            </w:pPr>
            <w:r>
              <w:rPr>
                <w:rFonts w:ascii="Times New Roman" w:hAnsi="Times New Roman"/>
              </w:rPr>
              <w:t>前端开发环境</w:t>
            </w:r>
          </w:p>
        </w:tc>
        <w:tc>
          <w:tcPr>
            <w:tcW w:w="6297" w:type="dxa"/>
            <w:tcBorders>
              <w:top w:val="nil"/>
              <w:left w:val="nil"/>
              <w:bottom w:val="nil"/>
              <w:right w:val="nil"/>
            </w:tcBorders>
            <w:tcMar>
              <w:top w:w="60" w:type="dxa"/>
              <w:left w:w="120" w:type="dxa"/>
              <w:bottom w:w="30" w:type="dxa"/>
              <w:right w:w="120" w:type="dxa"/>
            </w:tcMar>
            <w:vAlign w:val="center"/>
          </w:tcPr>
          <w:p w14:paraId="5EB89511">
            <w:pPr>
              <w:snapToGrid w:val="0"/>
              <w:jc w:val="center"/>
              <w:rPr>
                <w:rFonts w:ascii="Times New Roman" w:hAnsi="Times New Roman"/>
              </w:rPr>
            </w:pPr>
            <w:r>
              <w:rPr>
                <w:rFonts w:ascii="Times New Roman" w:hAnsi="Times New Roman"/>
              </w:rPr>
              <w:t>Node.js 14+、Vue 2.x、Element UI、若依前端模板</w:t>
            </w:r>
          </w:p>
        </w:tc>
      </w:tr>
      <w:tr w14:paraId="74FBD8B1">
        <w:tblPrEx>
          <w:tblCellMar>
            <w:top w:w="0" w:type="dxa"/>
            <w:left w:w="10" w:type="dxa"/>
            <w:bottom w:w="0" w:type="dxa"/>
            <w:right w:w="10" w:type="dxa"/>
          </w:tblCellMar>
        </w:tblPrEx>
        <w:trPr>
          <w:tblHeader/>
          <w:jc w:val="center"/>
        </w:trPr>
        <w:tc>
          <w:tcPr>
            <w:tcW w:w="2225" w:type="dxa"/>
            <w:tcBorders>
              <w:top w:val="nil"/>
              <w:left w:val="nil"/>
              <w:bottom w:val="nil"/>
              <w:right w:val="nil"/>
            </w:tcBorders>
            <w:tcMar>
              <w:top w:w="60" w:type="dxa"/>
              <w:left w:w="120" w:type="dxa"/>
              <w:bottom w:w="30" w:type="dxa"/>
              <w:right w:w="120" w:type="dxa"/>
            </w:tcMar>
            <w:vAlign w:val="center"/>
          </w:tcPr>
          <w:p w14:paraId="203272AD">
            <w:pPr>
              <w:snapToGrid w:val="0"/>
              <w:jc w:val="center"/>
              <w:rPr>
                <w:rFonts w:ascii="Times New Roman" w:hAnsi="Times New Roman"/>
              </w:rPr>
            </w:pPr>
            <w:r>
              <w:rPr>
                <w:rFonts w:ascii="Times New Roman" w:hAnsi="Times New Roman"/>
              </w:rPr>
              <w:t>数据库</w:t>
            </w:r>
          </w:p>
        </w:tc>
        <w:tc>
          <w:tcPr>
            <w:tcW w:w="6297" w:type="dxa"/>
            <w:tcBorders>
              <w:top w:val="nil"/>
              <w:left w:val="nil"/>
              <w:bottom w:val="nil"/>
              <w:right w:val="nil"/>
            </w:tcBorders>
            <w:tcMar>
              <w:top w:w="60" w:type="dxa"/>
              <w:left w:w="120" w:type="dxa"/>
              <w:bottom w:w="30" w:type="dxa"/>
              <w:right w:w="120" w:type="dxa"/>
            </w:tcMar>
            <w:vAlign w:val="center"/>
          </w:tcPr>
          <w:p w14:paraId="391F793A">
            <w:pPr>
              <w:snapToGrid w:val="0"/>
              <w:jc w:val="center"/>
              <w:rPr>
                <w:rFonts w:ascii="Times New Roman" w:hAnsi="Times New Roman"/>
              </w:rPr>
            </w:pPr>
            <w:r>
              <w:rPr>
                <w:rFonts w:ascii="Times New Roman" w:hAnsi="Times New Roman"/>
              </w:rPr>
              <w:t>MySQL 8.0+、Redis 6.0+</w:t>
            </w:r>
          </w:p>
        </w:tc>
      </w:tr>
      <w:tr w14:paraId="565FF022">
        <w:tblPrEx>
          <w:tblCellMar>
            <w:top w:w="0" w:type="dxa"/>
            <w:left w:w="10" w:type="dxa"/>
            <w:bottom w:w="0" w:type="dxa"/>
            <w:right w:w="10" w:type="dxa"/>
          </w:tblCellMar>
        </w:tblPrEx>
        <w:trPr>
          <w:tblHeader/>
          <w:jc w:val="center"/>
        </w:trPr>
        <w:tc>
          <w:tcPr>
            <w:tcW w:w="2225" w:type="dxa"/>
            <w:tcBorders>
              <w:top w:val="nil"/>
              <w:left w:val="nil"/>
              <w:bottom w:val="nil"/>
              <w:right w:val="nil"/>
            </w:tcBorders>
            <w:tcMar>
              <w:top w:w="60" w:type="dxa"/>
              <w:left w:w="120" w:type="dxa"/>
              <w:bottom w:w="30" w:type="dxa"/>
              <w:right w:w="120" w:type="dxa"/>
            </w:tcMar>
            <w:vAlign w:val="center"/>
          </w:tcPr>
          <w:p w14:paraId="73C62B9E">
            <w:pPr>
              <w:snapToGrid w:val="0"/>
              <w:jc w:val="center"/>
              <w:rPr>
                <w:rFonts w:ascii="Times New Roman" w:hAnsi="Times New Roman"/>
              </w:rPr>
            </w:pPr>
            <w:r>
              <w:rPr>
                <w:rFonts w:ascii="Times New Roman" w:hAnsi="Times New Roman"/>
              </w:rPr>
              <w:t>服务器与中间件</w:t>
            </w:r>
          </w:p>
        </w:tc>
        <w:tc>
          <w:tcPr>
            <w:tcW w:w="6297" w:type="dxa"/>
            <w:tcBorders>
              <w:top w:val="nil"/>
              <w:left w:val="nil"/>
              <w:bottom w:val="nil"/>
              <w:right w:val="nil"/>
            </w:tcBorders>
            <w:tcMar>
              <w:top w:w="60" w:type="dxa"/>
              <w:left w:w="120" w:type="dxa"/>
              <w:bottom w:w="30" w:type="dxa"/>
              <w:right w:w="120" w:type="dxa"/>
            </w:tcMar>
            <w:vAlign w:val="center"/>
          </w:tcPr>
          <w:p w14:paraId="18AD5E3E">
            <w:pPr>
              <w:snapToGrid w:val="0"/>
              <w:jc w:val="center"/>
              <w:rPr>
                <w:rFonts w:ascii="Times New Roman" w:hAnsi="Times New Roman"/>
              </w:rPr>
            </w:pPr>
            <w:r>
              <w:rPr>
                <w:rFonts w:ascii="Times New Roman" w:hAnsi="Times New Roman"/>
              </w:rPr>
              <w:t>Nginx 1.20+、Docker</w:t>
            </w:r>
          </w:p>
        </w:tc>
      </w:tr>
      <w:tr w14:paraId="54BEAB6D">
        <w:tblPrEx>
          <w:tblCellMar>
            <w:top w:w="0" w:type="dxa"/>
            <w:left w:w="10" w:type="dxa"/>
            <w:bottom w:w="0" w:type="dxa"/>
            <w:right w:w="10" w:type="dxa"/>
          </w:tblCellMar>
        </w:tblPrEx>
        <w:trPr>
          <w:tblHeader/>
          <w:jc w:val="center"/>
        </w:trPr>
        <w:tc>
          <w:tcPr>
            <w:tcW w:w="2225" w:type="dxa"/>
            <w:tcBorders>
              <w:top w:val="nil"/>
              <w:left w:val="nil"/>
              <w:bottom w:val="single" w:color="auto" w:sz="12" w:space="0"/>
              <w:right w:val="nil"/>
            </w:tcBorders>
            <w:tcMar>
              <w:top w:w="60" w:type="dxa"/>
              <w:left w:w="120" w:type="dxa"/>
              <w:bottom w:w="30" w:type="dxa"/>
              <w:right w:w="120" w:type="dxa"/>
            </w:tcMar>
            <w:vAlign w:val="center"/>
          </w:tcPr>
          <w:p w14:paraId="70D3FEA6">
            <w:pPr>
              <w:snapToGrid w:val="0"/>
              <w:jc w:val="center"/>
              <w:rPr>
                <w:rFonts w:ascii="Times New Roman" w:hAnsi="Times New Roman"/>
              </w:rPr>
            </w:pPr>
            <w:r>
              <w:rPr>
                <w:rFonts w:ascii="Times New Roman" w:hAnsi="Times New Roman"/>
              </w:rPr>
              <w:t>开发工具</w:t>
            </w:r>
          </w:p>
        </w:tc>
        <w:tc>
          <w:tcPr>
            <w:tcW w:w="6297" w:type="dxa"/>
            <w:tcBorders>
              <w:top w:val="nil"/>
              <w:left w:val="nil"/>
              <w:bottom w:val="single" w:color="auto" w:sz="12" w:space="0"/>
              <w:right w:val="nil"/>
            </w:tcBorders>
            <w:tcMar>
              <w:top w:w="60" w:type="dxa"/>
              <w:left w:w="120" w:type="dxa"/>
              <w:bottom w:w="30" w:type="dxa"/>
              <w:right w:w="120" w:type="dxa"/>
            </w:tcMar>
            <w:vAlign w:val="center"/>
          </w:tcPr>
          <w:p w14:paraId="04CBF731">
            <w:pPr>
              <w:snapToGrid w:val="0"/>
              <w:jc w:val="center"/>
              <w:rPr>
                <w:rFonts w:ascii="Times New Roman" w:hAnsi="Times New Roman"/>
              </w:rPr>
            </w:pPr>
            <w:r>
              <w:rPr>
                <w:rFonts w:ascii="Times New Roman" w:hAnsi="Times New Roman"/>
              </w:rPr>
              <w:t>IntelliJ IDEA、Visual Studio Code、Navicat、Postman</w:t>
            </w:r>
          </w:p>
        </w:tc>
      </w:tr>
    </w:tbl>
    <w:p w14:paraId="0D55ED49">
      <w:pPr>
        <w:pStyle w:val="130"/>
      </w:pPr>
      <w:bookmarkStart w:id="128" w:name="heading_13"/>
      <w:bookmarkStart w:id="129" w:name="_Toc4889"/>
      <w:bookmarkStart w:id="130" w:name="_Toc3980"/>
      <w:r>
        <w:rPr>
          <w:rFonts w:hint="eastAsia"/>
        </w:rPr>
        <w:t>1.3 小组人员及分工</w:t>
      </w:r>
      <w:bookmarkEnd w:id="128"/>
      <w:bookmarkEnd w:id="129"/>
      <w:bookmarkEnd w:id="130"/>
    </w:p>
    <w:p w14:paraId="6769C38B">
      <w:pPr>
        <w:pStyle w:val="13"/>
      </w:pPr>
      <w:r>
        <w:t>表1</w:t>
      </w:r>
      <w:r>
        <w:rPr>
          <w:rFonts w:hint="eastAsia"/>
        </w:rPr>
        <w:t>-</w:t>
      </w:r>
      <w:r>
        <w:t xml:space="preserve"> </w:t>
      </w:r>
      <w:r>
        <w:fldChar w:fldCharType="begin"/>
      </w:r>
      <w:r>
        <w:instrText xml:space="preserve"> SEQ 表1. \* ARABIC </w:instrText>
      </w:r>
      <w:r>
        <w:fldChar w:fldCharType="separate"/>
      </w:r>
      <w:r>
        <w:t>2</w:t>
      </w:r>
      <w:r>
        <w:fldChar w:fldCharType="end"/>
      </w:r>
      <w:r>
        <w:t>小组人员及分工</w:t>
      </w:r>
    </w:p>
    <w:tbl>
      <w:tblPr>
        <w:tblStyle w:val="35"/>
        <w:tblW w:w="8522" w:type="dxa"/>
        <w:jc w:val="center"/>
        <w:tblLayout w:type="autofit"/>
        <w:tblCellMar>
          <w:top w:w="0" w:type="dxa"/>
          <w:left w:w="10" w:type="dxa"/>
          <w:bottom w:w="0" w:type="dxa"/>
          <w:right w:w="10" w:type="dxa"/>
        </w:tblCellMar>
      </w:tblPr>
      <w:tblGrid>
        <w:gridCol w:w="970"/>
        <w:gridCol w:w="1698"/>
        <w:gridCol w:w="1584"/>
        <w:gridCol w:w="4270"/>
      </w:tblGrid>
      <w:tr w14:paraId="76F61EC2">
        <w:tblPrEx>
          <w:tblCellMar>
            <w:top w:w="0" w:type="dxa"/>
            <w:left w:w="10" w:type="dxa"/>
            <w:bottom w:w="0" w:type="dxa"/>
            <w:right w:w="10" w:type="dxa"/>
          </w:tblCellMar>
        </w:tblPrEx>
        <w:trPr>
          <w:jc w:val="center"/>
        </w:trPr>
        <w:tc>
          <w:tcPr>
            <w:tcW w:w="969"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26A21ADA">
            <w:pPr>
              <w:snapToGrid w:val="0"/>
              <w:jc w:val="center"/>
              <w:rPr>
                <w:rFonts w:ascii="Times New Roman" w:hAnsi="Times New Roman"/>
                <w:b/>
              </w:rPr>
            </w:pPr>
            <w:r>
              <w:rPr>
                <w:rFonts w:ascii="Times New Roman" w:hAnsi="Times New Roman"/>
              </w:rPr>
              <w:t xml:space="preserve"> </w:t>
            </w:r>
            <w:r>
              <w:rPr>
                <w:rFonts w:ascii="Times New Roman" w:hAnsi="Times New Roman"/>
                <w:b/>
              </w:rPr>
              <w:t>姓名</w:t>
            </w:r>
          </w:p>
        </w:tc>
        <w:tc>
          <w:tcPr>
            <w:tcW w:w="1697"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339197C6">
            <w:pPr>
              <w:snapToGrid w:val="0"/>
              <w:jc w:val="center"/>
              <w:rPr>
                <w:rFonts w:ascii="Times New Roman" w:hAnsi="Times New Roman"/>
                <w:b/>
              </w:rPr>
            </w:pPr>
            <w:r>
              <w:rPr>
                <w:rFonts w:ascii="Times New Roman" w:hAnsi="Times New Roman"/>
                <w:b/>
              </w:rPr>
              <w:t>学号</w:t>
            </w:r>
          </w:p>
        </w:tc>
        <w:tc>
          <w:tcPr>
            <w:tcW w:w="1583"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333A4712">
            <w:pPr>
              <w:snapToGrid w:val="0"/>
              <w:jc w:val="center"/>
              <w:rPr>
                <w:rFonts w:ascii="Times New Roman" w:hAnsi="Times New Roman"/>
                <w:b/>
              </w:rPr>
            </w:pPr>
            <w:r>
              <w:rPr>
                <w:rFonts w:ascii="Times New Roman" w:hAnsi="Times New Roman"/>
                <w:b/>
              </w:rPr>
              <w:t>主要职责</w:t>
            </w:r>
          </w:p>
        </w:tc>
        <w:tc>
          <w:tcPr>
            <w:tcW w:w="4266" w:type="dxa"/>
            <w:tcBorders>
              <w:top w:val="single" w:color="auto" w:sz="12" w:space="0"/>
              <w:left w:val="nil"/>
              <w:bottom w:val="single" w:color="auto" w:sz="4" w:space="0"/>
              <w:right w:val="nil"/>
            </w:tcBorders>
            <w:tcMar>
              <w:top w:w="60" w:type="dxa"/>
              <w:left w:w="120" w:type="dxa"/>
              <w:bottom w:w="30" w:type="dxa"/>
              <w:right w:w="120" w:type="dxa"/>
            </w:tcMar>
            <w:vAlign w:val="center"/>
          </w:tcPr>
          <w:p w14:paraId="69495D01">
            <w:pPr>
              <w:snapToGrid w:val="0"/>
              <w:jc w:val="center"/>
              <w:rPr>
                <w:rFonts w:ascii="Times New Roman" w:hAnsi="Times New Roman"/>
                <w:b/>
              </w:rPr>
            </w:pPr>
            <w:r>
              <w:rPr>
                <w:rFonts w:ascii="Times New Roman" w:hAnsi="Times New Roman"/>
                <w:b/>
              </w:rPr>
              <w:t>具体工作内容</w:t>
            </w:r>
          </w:p>
        </w:tc>
      </w:tr>
      <w:tr w14:paraId="0983A636">
        <w:tblPrEx>
          <w:tblCellMar>
            <w:top w:w="0" w:type="dxa"/>
            <w:left w:w="10" w:type="dxa"/>
            <w:bottom w:w="0" w:type="dxa"/>
            <w:right w:w="10" w:type="dxa"/>
          </w:tblCellMar>
        </w:tblPrEx>
        <w:trPr>
          <w:jc w:val="center"/>
        </w:trPr>
        <w:tc>
          <w:tcPr>
            <w:tcW w:w="969" w:type="dxa"/>
            <w:tcBorders>
              <w:top w:val="single" w:color="auto" w:sz="4" w:space="0"/>
              <w:left w:val="nil"/>
              <w:bottom w:val="nil"/>
              <w:right w:val="nil"/>
            </w:tcBorders>
            <w:tcMar>
              <w:top w:w="60" w:type="dxa"/>
              <w:left w:w="120" w:type="dxa"/>
              <w:bottom w:w="30" w:type="dxa"/>
              <w:right w:w="120" w:type="dxa"/>
            </w:tcMar>
            <w:vAlign w:val="center"/>
          </w:tcPr>
          <w:p w14:paraId="133E812E">
            <w:pPr>
              <w:snapToGrid w:val="0"/>
              <w:jc w:val="center"/>
              <w:rPr>
                <w:rFonts w:ascii="Times New Roman" w:hAnsi="Times New Roman"/>
              </w:rPr>
            </w:pPr>
            <w:r>
              <w:rPr>
                <w:rFonts w:ascii="Times New Roman" w:hAnsi="Times New Roman"/>
              </w:rPr>
              <w:t>王忠琦</w:t>
            </w:r>
          </w:p>
        </w:tc>
        <w:tc>
          <w:tcPr>
            <w:tcW w:w="1697" w:type="dxa"/>
            <w:tcBorders>
              <w:top w:val="single" w:color="auto" w:sz="4" w:space="0"/>
              <w:left w:val="nil"/>
              <w:bottom w:val="nil"/>
              <w:right w:val="nil"/>
            </w:tcBorders>
            <w:tcMar>
              <w:top w:w="60" w:type="dxa"/>
              <w:left w:w="120" w:type="dxa"/>
              <w:bottom w:w="30" w:type="dxa"/>
              <w:right w:w="120" w:type="dxa"/>
            </w:tcMar>
            <w:vAlign w:val="center"/>
          </w:tcPr>
          <w:p w14:paraId="44914B66">
            <w:pPr>
              <w:snapToGrid w:val="0"/>
              <w:jc w:val="center"/>
              <w:rPr>
                <w:rFonts w:ascii="Times New Roman" w:hAnsi="Times New Roman"/>
              </w:rPr>
            </w:pPr>
            <w:r>
              <w:rPr>
                <w:rFonts w:ascii="Times New Roman" w:hAnsi="Times New Roman"/>
              </w:rPr>
              <w:t>20236702</w:t>
            </w:r>
          </w:p>
        </w:tc>
        <w:tc>
          <w:tcPr>
            <w:tcW w:w="1583" w:type="dxa"/>
            <w:tcBorders>
              <w:top w:val="single" w:color="auto" w:sz="4" w:space="0"/>
              <w:left w:val="nil"/>
              <w:bottom w:val="nil"/>
              <w:right w:val="nil"/>
            </w:tcBorders>
            <w:tcMar>
              <w:top w:w="60" w:type="dxa"/>
              <w:left w:w="120" w:type="dxa"/>
              <w:bottom w:w="30" w:type="dxa"/>
              <w:right w:w="120" w:type="dxa"/>
            </w:tcMar>
            <w:vAlign w:val="center"/>
          </w:tcPr>
          <w:p w14:paraId="360A3A0D">
            <w:pPr>
              <w:snapToGrid w:val="0"/>
              <w:jc w:val="center"/>
              <w:rPr>
                <w:rFonts w:ascii="Times New Roman" w:hAnsi="Times New Roman"/>
              </w:rPr>
            </w:pPr>
            <w:r>
              <w:rPr>
                <w:rFonts w:ascii="Times New Roman" w:hAnsi="Times New Roman"/>
              </w:rPr>
              <w:t>项目经理/后端开发</w:t>
            </w:r>
          </w:p>
        </w:tc>
        <w:tc>
          <w:tcPr>
            <w:tcW w:w="4266" w:type="dxa"/>
            <w:tcBorders>
              <w:top w:val="single" w:color="auto" w:sz="4" w:space="0"/>
              <w:left w:val="nil"/>
              <w:bottom w:val="nil"/>
              <w:right w:val="nil"/>
            </w:tcBorders>
            <w:tcMar>
              <w:top w:w="60" w:type="dxa"/>
              <w:left w:w="120" w:type="dxa"/>
              <w:bottom w:w="30" w:type="dxa"/>
              <w:right w:w="120" w:type="dxa"/>
            </w:tcMar>
            <w:vAlign w:val="center"/>
          </w:tcPr>
          <w:p w14:paraId="25B981ED">
            <w:pPr>
              <w:snapToGrid w:val="0"/>
              <w:jc w:val="center"/>
              <w:rPr>
                <w:rFonts w:ascii="Times New Roman" w:hAnsi="Times New Roman"/>
              </w:rPr>
            </w:pPr>
            <w:r>
              <w:rPr>
                <w:rFonts w:ascii="Times New Roman" w:hAnsi="Times New Roman"/>
              </w:rPr>
              <w:t>项目统筹规划、架构设计、后端核心接口开发、数据库设计</w:t>
            </w:r>
          </w:p>
        </w:tc>
      </w:tr>
      <w:tr w14:paraId="2701AAB5">
        <w:tblPrEx>
          <w:tblCellMar>
            <w:top w:w="0" w:type="dxa"/>
            <w:left w:w="10" w:type="dxa"/>
            <w:bottom w:w="0" w:type="dxa"/>
            <w:right w:w="10" w:type="dxa"/>
          </w:tblCellMar>
        </w:tblPrEx>
        <w:trPr>
          <w:jc w:val="center"/>
        </w:trPr>
        <w:tc>
          <w:tcPr>
            <w:tcW w:w="969" w:type="dxa"/>
            <w:tcBorders>
              <w:top w:val="nil"/>
              <w:left w:val="nil"/>
              <w:bottom w:val="nil"/>
              <w:right w:val="nil"/>
            </w:tcBorders>
            <w:tcMar>
              <w:top w:w="60" w:type="dxa"/>
              <w:left w:w="120" w:type="dxa"/>
              <w:bottom w:w="30" w:type="dxa"/>
              <w:right w:w="120" w:type="dxa"/>
            </w:tcMar>
            <w:vAlign w:val="center"/>
          </w:tcPr>
          <w:p w14:paraId="3746C04A">
            <w:pPr>
              <w:snapToGrid w:val="0"/>
              <w:jc w:val="center"/>
              <w:rPr>
                <w:rFonts w:ascii="Times New Roman" w:hAnsi="Times New Roman"/>
              </w:rPr>
            </w:pPr>
            <w:r>
              <w:rPr>
                <w:rFonts w:ascii="Times New Roman" w:hAnsi="Times New Roman"/>
              </w:rPr>
              <w:t>黄建鑫</w:t>
            </w:r>
          </w:p>
        </w:tc>
        <w:tc>
          <w:tcPr>
            <w:tcW w:w="1697" w:type="dxa"/>
            <w:tcBorders>
              <w:top w:val="nil"/>
              <w:left w:val="nil"/>
              <w:bottom w:val="nil"/>
              <w:right w:val="nil"/>
            </w:tcBorders>
            <w:tcMar>
              <w:top w:w="60" w:type="dxa"/>
              <w:left w:w="120" w:type="dxa"/>
              <w:bottom w:w="30" w:type="dxa"/>
              <w:right w:w="120" w:type="dxa"/>
            </w:tcMar>
            <w:vAlign w:val="center"/>
          </w:tcPr>
          <w:p w14:paraId="4F33E6DD">
            <w:pPr>
              <w:snapToGrid w:val="0"/>
              <w:jc w:val="center"/>
              <w:rPr>
                <w:rFonts w:ascii="Times New Roman" w:hAnsi="Times New Roman"/>
              </w:rPr>
            </w:pPr>
            <w:r>
              <w:rPr>
                <w:rFonts w:ascii="Times New Roman" w:hAnsi="Times New Roman"/>
              </w:rPr>
              <w:t>20236702</w:t>
            </w:r>
          </w:p>
        </w:tc>
        <w:tc>
          <w:tcPr>
            <w:tcW w:w="1583" w:type="dxa"/>
            <w:tcBorders>
              <w:top w:val="nil"/>
              <w:left w:val="nil"/>
              <w:bottom w:val="nil"/>
              <w:right w:val="nil"/>
            </w:tcBorders>
            <w:tcMar>
              <w:top w:w="60" w:type="dxa"/>
              <w:left w:w="120" w:type="dxa"/>
              <w:bottom w:w="30" w:type="dxa"/>
              <w:right w:w="120" w:type="dxa"/>
            </w:tcMar>
            <w:vAlign w:val="center"/>
          </w:tcPr>
          <w:p w14:paraId="2B91B72E">
            <w:pPr>
              <w:snapToGrid w:val="0"/>
              <w:jc w:val="center"/>
              <w:rPr>
                <w:rFonts w:ascii="Times New Roman" w:hAnsi="Times New Roman"/>
              </w:rPr>
            </w:pPr>
            <w:r>
              <w:rPr>
                <w:rFonts w:ascii="Times New Roman" w:hAnsi="Times New Roman"/>
              </w:rPr>
              <w:t>后端开发/运维</w:t>
            </w:r>
          </w:p>
        </w:tc>
        <w:tc>
          <w:tcPr>
            <w:tcW w:w="4266" w:type="dxa"/>
            <w:tcBorders>
              <w:top w:val="nil"/>
              <w:left w:val="nil"/>
              <w:bottom w:val="nil"/>
              <w:right w:val="nil"/>
            </w:tcBorders>
            <w:tcMar>
              <w:top w:w="60" w:type="dxa"/>
              <w:left w:w="120" w:type="dxa"/>
              <w:bottom w:w="30" w:type="dxa"/>
              <w:right w:w="120" w:type="dxa"/>
            </w:tcMar>
            <w:vAlign w:val="center"/>
          </w:tcPr>
          <w:p w14:paraId="0B166E7A">
            <w:pPr>
              <w:snapToGrid w:val="0"/>
              <w:jc w:val="center"/>
              <w:rPr>
                <w:rFonts w:ascii="Times New Roman" w:hAnsi="Times New Roman"/>
              </w:rPr>
            </w:pPr>
            <w:r>
              <w:rPr>
                <w:rFonts w:ascii="Times New Roman" w:hAnsi="Times New Roman"/>
              </w:rPr>
              <w:t>服务层业务逻辑实现、接口调试、PPT制作、系统部署配置、运维支持、</w:t>
            </w:r>
          </w:p>
        </w:tc>
      </w:tr>
      <w:tr w14:paraId="1AB16B02">
        <w:tblPrEx>
          <w:tblCellMar>
            <w:top w:w="0" w:type="dxa"/>
            <w:left w:w="10" w:type="dxa"/>
            <w:bottom w:w="0" w:type="dxa"/>
            <w:right w:w="10" w:type="dxa"/>
          </w:tblCellMar>
        </w:tblPrEx>
        <w:trPr>
          <w:jc w:val="center"/>
        </w:trPr>
        <w:tc>
          <w:tcPr>
            <w:tcW w:w="969" w:type="dxa"/>
            <w:tcBorders>
              <w:top w:val="nil"/>
              <w:left w:val="nil"/>
              <w:bottom w:val="nil"/>
              <w:right w:val="nil"/>
            </w:tcBorders>
            <w:tcMar>
              <w:top w:w="60" w:type="dxa"/>
              <w:left w:w="120" w:type="dxa"/>
              <w:bottom w:w="30" w:type="dxa"/>
              <w:right w:w="120" w:type="dxa"/>
            </w:tcMar>
            <w:vAlign w:val="center"/>
          </w:tcPr>
          <w:p w14:paraId="669BBB47">
            <w:pPr>
              <w:snapToGrid w:val="0"/>
              <w:jc w:val="center"/>
              <w:rPr>
                <w:rFonts w:ascii="Times New Roman" w:hAnsi="Times New Roman"/>
              </w:rPr>
            </w:pPr>
            <w:r>
              <w:rPr>
                <w:rFonts w:ascii="Times New Roman" w:hAnsi="Times New Roman"/>
              </w:rPr>
              <w:t>王新杰</w:t>
            </w:r>
          </w:p>
        </w:tc>
        <w:tc>
          <w:tcPr>
            <w:tcW w:w="1697" w:type="dxa"/>
            <w:tcBorders>
              <w:top w:val="nil"/>
              <w:left w:val="nil"/>
              <w:bottom w:val="nil"/>
              <w:right w:val="nil"/>
            </w:tcBorders>
            <w:tcMar>
              <w:top w:w="60" w:type="dxa"/>
              <w:left w:w="120" w:type="dxa"/>
              <w:bottom w:w="30" w:type="dxa"/>
              <w:right w:w="120" w:type="dxa"/>
            </w:tcMar>
            <w:vAlign w:val="center"/>
          </w:tcPr>
          <w:p w14:paraId="66EB7A8C">
            <w:pPr>
              <w:snapToGrid w:val="0"/>
              <w:jc w:val="center"/>
              <w:rPr>
                <w:rFonts w:ascii="Times New Roman" w:hAnsi="Times New Roman"/>
              </w:rPr>
            </w:pPr>
            <w:r>
              <w:rPr>
                <w:rFonts w:ascii="Times New Roman" w:hAnsi="Times New Roman"/>
              </w:rPr>
              <w:t>20236702</w:t>
            </w:r>
          </w:p>
        </w:tc>
        <w:tc>
          <w:tcPr>
            <w:tcW w:w="1583" w:type="dxa"/>
            <w:tcBorders>
              <w:top w:val="nil"/>
              <w:left w:val="nil"/>
              <w:bottom w:val="nil"/>
              <w:right w:val="nil"/>
            </w:tcBorders>
            <w:tcMar>
              <w:top w:w="60" w:type="dxa"/>
              <w:left w:w="120" w:type="dxa"/>
              <w:bottom w:w="30" w:type="dxa"/>
              <w:right w:w="120" w:type="dxa"/>
            </w:tcMar>
            <w:vAlign w:val="center"/>
          </w:tcPr>
          <w:p w14:paraId="4B8E71AA">
            <w:pPr>
              <w:snapToGrid w:val="0"/>
              <w:jc w:val="center"/>
              <w:rPr>
                <w:rFonts w:ascii="Times New Roman" w:hAnsi="Times New Roman"/>
              </w:rPr>
            </w:pPr>
            <w:r>
              <w:rPr>
                <w:rFonts w:ascii="Times New Roman" w:hAnsi="Times New Roman"/>
              </w:rPr>
              <w:t>前端开发/测试</w:t>
            </w:r>
          </w:p>
        </w:tc>
        <w:tc>
          <w:tcPr>
            <w:tcW w:w="4266" w:type="dxa"/>
            <w:tcBorders>
              <w:top w:val="nil"/>
              <w:left w:val="nil"/>
              <w:bottom w:val="nil"/>
              <w:right w:val="nil"/>
            </w:tcBorders>
            <w:tcMar>
              <w:top w:w="60" w:type="dxa"/>
              <w:left w:w="120" w:type="dxa"/>
              <w:bottom w:w="30" w:type="dxa"/>
              <w:right w:w="120" w:type="dxa"/>
            </w:tcMar>
            <w:vAlign w:val="center"/>
          </w:tcPr>
          <w:p w14:paraId="3BFF01BC">
            <w:pPr>
              <w:snapToGrid w:val="0"/>
              <w:jc w:val="center"/>
              <w:rPr>
                <w:rFonts w:ascii="Times New Roman" w:hAnsi="Times New Roman"/>
              </w:rPr>
            </w:pPr>
            <w:r>
              <w:rPr>
                <w:rFonts w:ascii="Times New Roman" w:hAnsi="Times New Roman"/>
              </w:rPr>
              <w:t>前端页面开发、组件封装、系统测试用例设计与执行</w:t>
            </w:r>
          </w:p>
        </w:tc>
      </w:tr>
      <w:tr w14:paraId="1C1DBDDC">
        <w:tblPrEx>
          <w:tblCellMar>
            <w:top w:w="0" w:type="dxa"/>
            <w:left w:w="10" w:type="dxa"/>
            <w:bottom w:w="0" w:type="dxa"/>
            <w:right w:w="10" w:type="dxa"/>
          </w:tblCellMar>
        </w:tblPrEx>
        <w:trPr>
          <w:jc w:val="center"/>
        </w:trPr>
        <w:tc>
          <w:tcPr>
            <w:tcW w:w="969" w:type="dxa"/>
            <w:tcBorders>
              <w:top w:val="nil"/>
              <w:left w:val="nil"/>
              <w:bottom w:val="single" w:color="auto" w:sz="12" w:space="0"/>
              <w:right w:val="nil"/>
            </w:tcBorders>
            <w:tcMar>
              <w:top w:w="60" w:type="dxa"/>
              <w:left w:w="120" w:type="dxa"/>
              <w:bottom w:w="30" w:type="dxa"/>
              <w:right w:w="120" w:type="dxa"/>
            </w:tcMar>
            <w:vAlign w:val="center"/>
          </w:tcPr>
          <w:p w14:paraId="32449CE4">
            <w:pPr>
              <w:snapToGrid w:val="0"/>
              <w:jc w:val="center"/>
              <w:rPr>
                <w:rFonts w:ascii="Times New Roman" w:hAnsi="Times New Roman"/>
              </w:rPr>
            </w:pPr>
            <w:r>
              <w:rPr>
                <w:rFonts w:ascii="Times New Roman" w:hAnsi="Times New Roman"/>
              </w:rPr>
              <w:t>姜雨轩</w:t>
            </w:r>
          </w:p>
        </w:tc>
        <w:tc>
          <w:tcPr>
            <w:tcW w:w="1697" w:type="dxa"/>
            <w:tcBorders>
              <w:top w:val="nil"/>
              <w:left w:val="nil"/>
              <w:bottom w:val="single" w:color="auto" w:sz="12" w:space="0"/>
              <w:right w:val="nil"/>
            </w:tcBorders>
            <w:tcMar>
              <w:top w:w="60" w:type="dxa"/>
              <w:left w:w="120" w:type="dxa"/>
              <w:bottom w:w="30" w:type="dxa"/>
              <w:right w:w="120" w:type="dxa"/>
            </w:tcMar>
            <w:vAlign w:val="center"/>
          </w:tcPr>
          <w:p w14:paraId="03DA75C0">
            <w:pPr>
              <w:snapToGrid w:val="0"/>
              <w:jc w:val="center"/>
              <w:rPr>
                <w:rFonts w:ascii="Times New Roman" w:hAnsi="Times New Roman"/>
              </w:rPr>
            </w:pPr>
            <w:r>
              <w:rPr>
                <w:rFonts w:ascii="Times New Roman" w:hAnsi="Times New Roman"/>
              </w:rPr>
              <w:t>20236702</w:t>
            </w:r>
          </w:p>
        </w:tc>
        <w:tc>
          <w:tcPr>
            <w:tcW w:w="1583" w:type="dxa"/>
            <w:tcBorders>
              <w:top w:val="nil"/>
              <w:left w:val="nil"/>
              <w:bottom w:val="single" w:color="auto" w:sz="12" w:space="0"/>
              <w:right w:val="nil"/>
            </w:tcBorders>
            <w:tcMar>
              <w:top w:w="60" w:type="dxa"/>
              <w:left w:w="120" w:type="dxa"/>
              <w:bottom w:w="30" w:type="dxa"/>
              <w:right w:w="120" w:type="dxa"/>
            </w:tcMar>
            <w:vAlign w:val="center"/>
          </w:tcPr>
          <w:p w14:paraId="7C5CC8B1">
            <w:pPr>
              <w:snapToGrid w:val="0"/>
              <w:jc w:val="center"/>
              <w:rPr>
                <w:rFonts w:ascii="Times New Roman" w:hAnsi="Times New Roman"/>
              </w:rPr>
            </w:pPr>
            <w:r>
              <w:rPr>
                <w:rFonts w:ascii="Times New Roman" w:hAnsi="Times New Roman"/>
              </w:rPr>
              <w:t>前端开发/编写文档</w:t>
            </w:r>
          </w:p>
        </w:tc>
        <w:tc>
          <w:tcPr>
            <w:tcW w:w="4266" w:type="dxa"/>
            <w:tcBorders>
              <w:top w:val="nil"/>
              <w:left w:val="nil"/>
              <w:bottom w:val="single" w:color="auto" w:sz="12" w:space="0"/>
              <w:right w:val="nil"/>
            </w:tcBorders>
            <w:tcMar>
              <w:top w:w="60" w:type="dxa"/>
              <w:left w:w="120" w:type="dxa"/>
              <w:bottom w:w="30" w:type="dxa"/>
              <w:right w:w="120" w:type="dxa"/>
            </w:tcMar>
            <w:vAlign w:val="center"/>
          </w:tcPr>
          <w:p w14:paraId="3F942339">
            <w:pPr>
              <w:snapToGrid w:val="0"/>
              <w:jc w:val="center"/>
              <w:rPr>
                <w:rFonts w:ascii="Times New Roman" w:hAnsi="Times New Roman"/>
              </w:rPr>
            </w:pPr>
            <w:r>
              <w:rPr>
                <w:rFonts w:ascii="Times New Roman" w:hAnsi="Times New Roman"/>
              </w:rPr>
              <w:t>前端权限控制、页面优化、文档编写</w:t>
            </w:r>
          </w:p>
        </w:tc>
      </w:tr>
    </w:tbl>
    <w:p w14:paraId="44601446">
      <w:pPr>
        <w:keepNext w:val="0"/>
        <w:keepLines w:val="0"/>
        <w:pageBreakBefore w:val="0"/>
        <w:widowControl w:val="0"/>
        <w:tabs>
          <w:tab w:val="left" w:pos="2005"/>
        </w:tabs>
        <w:kinsoku/>
        <w:wordWrap/>
        <w:overflowPunct/>
        <w:topLinePunct w:val="0"/>
        <w:autoSpaceDE/>
        <w:autoSpaceDN/>
        <w:bidi w:val="0"/>
        <w:adjustRightInd/>
        <w:snapToGrid/>
        <w:spacing w:line="440" w:lineRule="exact"/>
        <w:textAlignment w:val="auto"/>
        <w:outlineLvl w:val="9"/>
        <w:rPr>
          <w:b/>
          <w:bCs/>
          <w:sz w:val="28"/>
          <w:szCs w:val="28"/>
        </w:rPr>
      </w:pPr>
      <w:bookmarkStart w:id="131" w:name="heading_14"/>
      <w:bookmarkStart w:id="132" w:name="_Toc32649"/>
      <w:bookmarkStart w:id="133" w:name="_Toc9034"/>
      <w:bookmarkStart w:id="134" w:name="_Toc11996"/>
      <w:r>
        <w:rPr>
          <w:rFonts w:hint="eastAsia"/>
          <w:b/>
          <w:bCs/>
          <w:sz w:val="28"/>
          <w:szCs w:val="28"/>
        </w:rPr>
        <w:t>2 需求分析</w:t>
      </w:r>
      <w:bookmarkEnd w:id="131"/>
      <w:bookmarkEnd w:id="132"/>
      <w:bookmarkEnd w:id="133"/>
      <w:bookmarkEnd w:id="134"/>
    </w:p>
    <w:p w14:paraId="415E1676">
      <w:pPr>
        <w:pStyle w:val="130"/>
      </w:pPr>
      <w:bookmarkStart w:id="135" w:name="_Toc19783"/>
      <w:bookmarkStart w:id="136" w:name="_Toc11745"/>
      <w:bookmarkStart w:id="137" w:name="heading_15"/>
      <w:r>
        <w:rPr>
          <w:rFonts w:hint="eastAsia"/>
        </w:rPr>
        <w:t>2.1 系统需求分析</w:t>
      </w:r>
      <w:bookmarkEnd w:id="135"/>
      <w:bookmarkEnd w:id="136"/>
      <w:bookmarkEnd w:id="137"/>
    </w:p>
    <w:p w14:paraId="2D73D52B">
      <w:pPr>
        <w:pStyle w:val="130"/>
      </w:pPr>
      <w:bookmarkStart w:id="138" w:name="heading_18"/>
      <w:r>
        <w:rPr>
          <w:rFonts w:hint="eastAsia"/>
        </w:rPr>
        <w:t>2.1.1 功能需求</w:t>
      </w:r>
    </w:p>
    <w:p w14:paraId="489386C7">
      <w:pPr>
        <w:pStyle w:val="130"/>
        <w:rPr>
          <w:rFonts w:hint="default"/>
        </w:rPr>
      </w:pPr>
      <w:r>
        <w:t>传统二手车企业在日常运营中，各业务环节普遍存在痛点，功能需求的设计核心是针对性解决这些痛点，保障业务流程顺畅、管理高效、客户体验优质，具体如下：</w:t>
      </w:r>
    </w:p>
    <w:p w14:paraId="2728507C">
      <w:pPr>
        <w:pStyle w:val="130"/>
        <w:rPr>
          <w:rFonts w:hint="default"/>
        </w:rPr>
      </w:pPr>
      <w:r>
        <w:t>(1) 客户管理模块：传统管理模式下，客户信息多分散在员工个人记录、纸质档案中，易丢失、难追溯，且客户历史服务、消费数据无法快速关联，导致客户维护针对性不足、流失风险较高。为解决这一问题，需设计客户管理模块，实现客户信息集中管控与全生命周期跟踪。具体需支持客户基本信息（姓名、联系方式、车牌号、车型等）的增删改查操作，确保信息录入规范、更新及时；提供客户数据导入/导出功能，适配企业现有数据迁移需求，同时支持多条件筛选查询，帮助员工快速定位目标客户；关联展示客户历史服务工单、维修记录、消费记录等动态数据，为精准客户维护、二次营销提供数据支撑。</w:t>
      </w:r>
    </w:p>
    <w:p w14:paraId="135922B1">
      <w:pPr>
        <w:pStyle w:val="130"/>
        <w:rPr>
          <w:rFonts w:hint="default"/>
        </w:rPr>
      </w:pPr>
      <w:r>
        <w:t>(2) 预约服务模块：传统预约方式多依赖电话、微信沟通，易出现信息记录错误、预约状态不透明、技师分配混乱等问题，导致客户等待时间长、服务体验差，同时增加员工沟通成本。为规范预约流程、提升服务效率，需设计预约服务模块。支持客户自主预约或员工代预约，录入客户编号、预约时间、服务类型等核心信息，减少沟通误差；实时展示预约状态（待确认/已确认/已取消），让客户和员工清晰掌握流程进度，实现流程透明化；自动关联客户与车辆信息，避免重复录入，降低员工操作成本。</w:t>
      </w:r>
    </w:p>
    <w:p w14:paraId="4CD7633F">
      <w:pPr>
        <w:pStyle w:val="130"/>
        <w:rPr>
          <w:rFonts w:hint="default"/>
        </w:rPr>
      </w:pPr>
      <w:r>
        <w:t>(3) 保养与维修管理模块：保养、维修是二手车售后服务的核心环节，传统模式下工单靠手工记录，保养项目、耗材使用、故障描述等信息不规范，易出现责任不清、费用核算混乱、报告归档困难等问题，影响服务质量与客户信任。为实现保养维修流程标准化、可追溯，需设计保养与维修管理模块。支持保养/维修工单的创建、分配、跟踪与完成闭环，明确各环节责任；详细记录保养项目、耗材使用、故障描述、维修方案、费用明细等关键信息，确保数据完整可查；支持保养/维修报告的一键生成与导出存档，方便客户查阅与企业合规管理。</w:t>
      </w:r>
    </w:p>
    <w:p w14:paraId="678849EE">
      <w:pPr>
        <w:pStyle w:val="130"/>
        <w:rPr>
          <w:rFonts w:hint="default"/>
        </w:rPr>
      </w:pPr>
      <w:r>
        <w:t>(4) 库存管理模块：二手车整车与配件库存是企业核心资产，传统管理中靠人工盘点、纸质记录，易出现库存数据滞后、账实不符、缺货/积压预警不及时等问题，导致资金占用过多、销售机会流失。为实现库存精准管控、降低运营风险，需设计库存管理模块。实现二手车入库、定价、展示、销售全流程记录，清晰掌握整车资产动态；支持配件入库、出库、盘点操作，确保配件库存数据实时准确；设置智能预警机制，当配件或车辆库存低于安全阈值时，系统自动触发预警提示，帮助企业及时补货或调整销售策略。</w:t>
      </w:r>
    </w:p>
    <w:p w14:paraId="371CF15B">
      <w:pPr>
        <w:pStyle w:val="130"/>
        <w:rPr>
          <w:rFonts w:hint="default"/>
        </w:rPr>
      </w:pPr>
      <w:r>
        <w:t>(5) 数据分析模块：传统二手车企业决策多依赖经验，缺乏对客户、服务、库存、财务等核心数据的系统分析，难以精准把握市场需求、优化业务布局。为实现数据驱动决策，提升企业运营效率，需设计数据分析模块。生成客户、服务、库存、财务相关的日、周、月多维度报表，直观呈现业务核心数据；支持数据环比、同比分析，展示业务变化趋势，帮助企业发现问题、把握规律；支持报表导出为PDF或Excel格式，便于汇报与二次分析，为管理层决策提供有力支撑。</w:t>
      </w:r>
    </w:p>
    <w:p w14:paraId="4CBB5D06">
      <w:pPr>
        <w:pStyle w:val="130"/>
        <w:rPr>
          <w:rFonts w:hint="default"/>
        </w:rPr>
      </w:pPr>
      <w:r>
        <w:t>(6) 系统管理模块：企业内部岗位分工不同，传统系统缺乏精细化权限控制，易出现数据泄露、操作越权等安全风险，同时操作日志无记录，难以追溯问题责任。为保障系统安全、适配企业精细化管理需求，需设计系统管理模块。基于RBAC模型，划分超级管理员、店长、技师、财务等不同角色，控制菜单与按钮级权限，确保不同岗位员工仅能访问对应功能；记录用户关键操作日志，包括操作人、操作内容、操作时间等信息，保障数据安全与合规；支持系统基础参数（如库存安全阈值、服务类型）的自定义配置，适配企业个性化运营需求。</w:t>
      </w:r>
    </w:p>
    <w:p w14:paraId="674B5510">
      <w:pPr>
        <w:pStyle w:val="130"/>
      </w:pPr>
      <w:r>
        <w:rPr>
          <w:rFonts w:hint="eastAsia"/>
        </w:rPr>
        <w:t>2.1.2 非功能需求</w:t>
      </w:r>
    </w:p>
    <w:p w14:paraId="4758DC84">
      <w:pPr>
        <w:pStyle w:val="130"/>
        <w:rPr>
          <w:rFonts w:hint="default"/>
        </w:rPr>
      </w:pPr>
      <w:r>
        <w:t>非功能需求的设计核心是保障系统稳定、安全、易用，适配企业实际运营场景，具体如下：</w:t>
      </w:r>
    </w:p>
    <w:p w14:paraId="096671C6">
      <w:pPr>
        <w:pStyle w:val="130"/>
        <w:rPr>
          <w:rFonts w:hint="default"/>
        </w:rPr>
      </w:pPr>
      <w:r>
        <w:t>(1) 性能需求：企业日常运营中存在多用户同时在线操作的场景，若系统响应缓慢会影响工作效率。因此要求系统响应时间≤2秒，支持同时在线用户≥50人，数据查询延迟≤1秒，确保系统在常规运营场景下稳定高效运行。</w:t>
      </w:r>
    </w:p>
    <w:p w14:paraId="4C328D47">
      <w:pPr>
        <w:pStyle w:val="130"/>
        <w:rPr>
          <w:rFonts w:hint="default"/>
        </w:rPr>
      </w:pPr>
      <w:r>
        <w:t>(2) 易用性需求：系统用户涵盖管理员、技师、财务等不同岗位人员，部分用户可能缺乏专业IT技能。因此要求界面设计简洁友好，操作流程标准化，适配企业现有业务流程，降低用户学习成本，确保各类用户都能快速上手操作。</w:t>
      </w:r>
    </w:p>
    <w:p w14:paraId="04E7990F">
      <w:pPr>
        <w:pStyle w:val="130"/>
        <w:rPr>
          <w:rFonts w:hint="default"/>
        </w:rPr>
      </w:pPr>
      <w:r>
        <w:t>(3) 安全性需求：系统存储客户隐私、企业财务、库存等敏感数据，数据安全至关重要。需实现用户身份认证（JWT）、权限精细化控制，防止未授权访问；对关键数据进行脱敏展示，保护客户与企业信息安全，符合数据合规要求。</w:t>
      </w:r>
    </w:p>
    <w:p w14:paraId="5E77FC15">
      <w:pPr>
        <w:pStyle w:val="130"/>
        <w:rPr>
          <w:rFonts w:hint="default"/>
        </w:rPr>
      </w:pPr>
      <w:r>
        <w:t>(4) 可靠性需求：系统是企业日常运营的核心工具，系统故障会直接影响业务开展。要求系统稳定运行故障率≤0.5%，建立数据定期备份机制，保障数据不丢失，确保业务连续性。</w:t>
      </w:r>
    </w:p>
    <w:p w14:paraId="470DDFAB">
      <w:pPr>
        <w:pStyle w:val="130"/>
        <w:rPr>
          <w:rFonts w:hint="default"/>
        </w:rPr>
      </w:pPr>
      <w:r>
        <w:t>(5) 可扩展性需求：随着企业业务发展，可能会新增移动端适配、智能预警等功能需求。因此架构设计需支持横向扩展，预留功能拓展接口，确保系统能够跟随企业发展持续迭代优化。</w:t>
      </w:r>
    </w:p>
    <w:p w14:paraId="0515232C">
      <w:pPr>
        <w:pStyle w:val="130"/>
        <w:rPr>
          <w:rFonts w:hint="default"/>
        </w:rPr>
      </w:pPr>
      <w:bookmarkStart w:id="139" w:name="_Toc29798"/>
      <w:bookmarkStart w:id="140" w:name="_Toc30673"/>
      <w:r>
        <w:t>2.2 可行性分析</w:t>
      </w:r>
      <w:bookmarkEnd w:id="138"/>
      <w:bookmarkEnd w:id="139"/>
      <w:bookmarkEnd w:id="140"/>
    </w:p>
    <w:p w14:paraId="270CA9C4">
      <w:pPr>
        <w:pStyle w:val="130"/>
        <w:rPr>
          <w:rFonts w:hint="default"/>
        </w:rPr>
      </w:pPr>
      <w:bookmarkStart w:id="141" w:name="heading_19"/>
      <w:r>
        <w:t>2.2.1 技术可行性</w:t>
      </w:r>
      <w:bookmarkEnd w:id="141"/>
    </w:p>
    <w:p w14:paraId="7B253FE8">
      <w:pPr>
        <w:pStyle w:val="130"/>
        <w:rPr>
          <w:rFonts w:hint="default"/>
        </w:rPr>
      </w:pPr>
      <w:r>
        <w:t>本项目采用成熟稳定的技术架构与开发框架，保障系统的可行性与稳健性。后端基于Java+SSM+SpringBoot框架，具备良好的扩展性与兼容性，能够高效处理业务逻辑；前端采用Vue+若依模板，支持组件化开发，可快速构建用户界面，降低开发难度；数据库选用MySQL+Redis组合，兼顾数据持久化存储与缓存优化，提升系统性能。</w:t>
      </w:r>
    </w:p>
    <w:p w14:paraId="37BD290D">
      <w:pPr>
        <w:pStyle w:val="130"/>
        <w:rPr>
          <w:rFonts w:hint="default"/>
        </w:rPr>
      </w:pPr>
      <w:r>
        <w:t>上述技术均为行业主流技术，文档资料丰富，开发团队具备相关技术积累，能够有效解决开发过程中的技术难点，确保项目技术方案可行。</w:t>
      </w:r>
    </w:p>
    <w:p w14:paraId="1AB89766">
      <w:pPr>
        <w:pStyle w:val="130"/>
        <w:rPr>
          <w:rFonts w:hint="default"/>
        </w:rPr>
      </w:pPr>
      <w:bookmarkStart w:id="142" w:name="heading_20"/>
      <w:r>
        <w:t>2.2.2 经济可行性</w:t>
      </w:r>
      <w:bookmarkEnd w:id="142"/>
    </w:p>
    <w:p w14:paraId="60D95D6D">
      <w:pPr>
        <w:pStyle w:val="130"/>
        <w:rPr>
          <w:rFonts w:hint="default"/>
        </w:rPr>
      </w:pPr>
      <w:r>
        <w:t>本项目基于开源模板（若依框架）进行开发，大幅降低了开发成本与周期；部署环节采用开源中间件，无需额外支付软件授权费用。系统上线后，可实现业务流程数字化，减少人工记录、数据统计等重复性工作，预计降低50%人工成本；同时，数据互通共享避免了流程割裂导致的效率损耗，预计提升30%业务处理效率，显著提升企业经济效益。从投入产出比来看，项目具备良好的经济可行性。</w:t>
      </w:r>
    </w:p>
    <w:p w14:paraId="7449A5CC">
      <w:pPr>
        <w:pStyle w:val="130"/>
        <w:rPr>
          <w:rFonts w:hint="default"/>
        </w:rPr>
      </w:pPr>
      <w:bookmarkStart w:id="143" w:name="heading_21"/>
      <w:r>
        <w:t>2.2.3 操作可行性</w:t>
      </w:r>
      <w:bookmarkEnd w:id="143"/>
    </w:p>
    <w:p w14:paraId="180B6BD2">
      <w:pPr>
        <w:pStyle w:val="130"/>
        <w:rPr>
          <w:rFonts w:hint="default"/>
        </w:rPr>
      </w:pPr>
      <w:r>
        <w:t>系统采用若依模板开发，界面设计符合用户操作习惯，学习成本低；功能模块划分清晰，操作流程标准化，适配企业现有业务流程，员工无需大规模培训即可快速上手。此外，系统支持多角色权限控制，可根据不同岗位员工的工作需求配置相应功能，满足企业精细化管理需求，具备良好的操作可行性。</w:t>
      </w:r>
    </w:p>
    <w:p w14:paraId="41A6AE8C">
      <w:pPr>
        <w:pStyle w:val="130"/>
        <w:rPr>
          <w:rFonts w:hint="default"/>
        </w:rPr>
      </w:pPr>
      <w:bookmarkStart w:id="144" w:name="_Toc1738"/>
      <w:bookmarkStart w:id="145" w:name="heading_22"/>
      <w:bookmarkStart w:id="146" w:name="_Toc5653"/>
      <w:r>
        <w:t>2.3 需求优先级划分</w:t>
      </w:r>
      <w:bookmarkEnd w:id="144"/>
      <w:bookmarkEnd w:id="145"/>
      <w:bookmarkEnd w:id="146"/>
    </w:p>
    <w:p w14:paraId="6D817520">
      <w:pPr>
        <w:pStyle w:val="130"/>
        <w:rPr>
          <w:rFonts w:hint="default"/>
        </w:rPr>
      </w:pPr>
      <w:bookmarkStart w:id="147" w:name="heading_23"/>
      <w:r>
        <w:t>为确保项目资源得到合理配置、开发流程有序推进，同时精准匹配企业业务痛点的紧急程度与核心诉求，本项目采用行业通用的MoSCoW优先级划分方法，结合二手车企业实际运营场景、需求影响范围及实施成本，对所有需求进行系统性分级。划分核心逻辑为：以“保障基础运营”为核心前提，以“提升管理效率”为优化方向，以“实现长远增值”为拓展目标，明确各阶段需求的实现顺序与资源投入优先级。</w:t>
      </w:r>
    </w:p>
    <w:p w14:paraId="3BBE7F81">
      <w:pPr>
        <w:pStyle w:val="130"/>
        <w:rPr>
          <w:rFonts w:hint="default"/>
        </w:rPr>
      </w:pPr>
      <w:r>
        <w:t>(1) P0（必须实现，Mandatory）：核心业务流程保障类需求，包括客户管理核心功能（基础信息增删改查、客户档案建立）、预约服务全流程（预约提交、确认、状态跟踪）、保养与维修工单核心管理（工单创建、分配、完成闭环）、库存基础管控（整车/配件入库出库记录）、系统登录认证与基础权限控制（角色划分、菜单访问权限）。此类需求直接对应二手车企业日常运营的核心痛点，是系统实现“业务数字化闭环”的基础前提。若缺失此类需求，系统将无法支撑客户对接、服务执行、库存管控等核心业务，导致项目失去实际应用价值。因此，P0级需求为项目开发的核心底线，需优先完成开发与测试，确保上线后可直接替代传统人工管理模式。</w:t>
      </w:r>
    </w:p>
    <w:p w14:paraId="3B985DC8">
      <w:pPr>
        <w:pStyle w:val="130"/>
        <w:rPr>
          <w:rFonts w:hint="default"/>
        </w:rPr>
      </w:pPr>
      <w:r>
        <w:t>(2) P1（优化实现，Should have）：效率提升与数据价值挖掘类需求，涵盖数据分析基础功能（核心数据统计报表生成）、数据导入导出工具（客户信息批量导入/导出、报表PDF/Excel导出）、库存智能预警（配件低于安全阈值提醒、滞销车辆统计）、客户服务跟进辅助（历史服务记录关联查询）。此类需求不影响系统基础运营，但能有效解决核心流程中的“效率瓶颈”与“数据断层”问题。例如，数据导入导出功能可减少员工重复性数据录入工作，库存预警功能可降低缺货积压风险，数据分析功能可为管理层提供基础决策依据。此类需求需在P0级核心功能稳定实现后推进，作为提升系统实用性与用户体验的关键优化项。</w:t>
      </w:r>
    </w:p>
    <w:p w14:paraId="40E443F2">
      <w:pPr>
        <w:pStyle w:val="130"/>
        <w:rPr>
          <w:rFonts w:hint="default"/>
        </w:rPr>
      </w:pPr>
      <w:r>
        <w:t>(3) P2（未来拓展，Could have）：业务增值与智能化升级类需求，包括移动端适配（技师手机端查看工单、客户手机端预约查询）、智能故障诊断（基于故障描述自动匹配维修方案）、配件智能推荐（根据车型与保养项目推荐适配配件）、企业微信/短信推送集成（预约提醒、保养到期通知、工单进度推送）。此类需求为系统的长期迭代方向，核心价值在于进一步提升业务智能化水平、优化客户服务体验、拓展系统使用场景。由于此类需求涉及跨平台开发、第三方接口集成等额外技术成本，且并非企业当前紧急诉求，因此规划在系统核心功能稳定运行、企业基础数字化需求得到满足后，根据业务发展需要逐步推进实现。</w:t>
      </w:r>
    </w:p>
    <w:p w14:paraId="2F40E0AB">
      <w:pPr>
        <w:pStyle w:val="130"/>
        <w:rPr>
          <w:rFonts w:hint="default"/>
        </w:rPr>
      </w:pPr>
      <w:r>
        <w:t>需求优先级的明确划分，为项目开发提供了清晰的实施路径：开发阶段将优先集中资源完成P0级需求，确保系统具备基础运营能力；上线初期通过P1级需求的迭代优化，快速提升企业使用效率；后续结合市场反馈与企业发展规划，逐步落地P2级拓展需求，实现系统价值的持续增值。同时，该划分方式也为需求变更管理提供了依据，确保后续新增需求可按统一标准融入现有优先级体系，保障项目目标的一致性。</w:t>
      </w:r>
      <w:bookmarkStart w:id="148" w:name="_Toc5649"/>
      <w:bookmarkStart w:id="149" w:name="_Toc19383"/>
    </w:p>
    <w:p w14:paraId="7FA349CB">
      <w:pPr>
        <w:keepNext w:val="0"/>
        <w:keepLines w:val="0"/>
        <w:pageBreakBefore w:val="0"/>
        <w:widowControl w:val="0"/>
        <w:tabs>
          <w:tab w:val="left" w:pos="2005"/>
        </w:tabs>
        <w:kinsoku/>
        <w:wordWrap/>
        <w:overflowPunct/>
        <w:topLinePunct w:val="0"/>
        <w:autoSpaceDE/>
        <w:autoSpaceDN/>
        <w:bidi w:val="0"/>
        <w:adjustRightInd/>
        <w:snapToGrid/>
        <w:spacing w:line="440" w:lineRule="exact"/>
        <w:textAlignment w:val="auto"/>
        <w:outlineLvl w:val="9"/>
        <w:rPr>
          <w:rFonts w:hint="eastAsia"/>
          <w:b/>
          <w:bCs/>
          <w:sz w:val="28"/>
          <w:szCs w:val="28"/>
        </w:rPr>
      </w:pPr>
      <w:bookmarkStart w:id="150" w:name="_Toc21737"/>
      <w:r>
        <w:rPr>
          <w:rFonts w:hint="eastAsia"/>
          <w:b/>
          <w:bCs/>
          <w:sz w:val="28"/>
          <w:szCs w:val="28"/>
        </w:rPr>
        <w:t>3 系统设计</w:t>
      </w:r>
      <w:bookmarkEnd w:id="147"/>
      <w:bookmarkEnd w:id="148"/>
      <w:bookmarkEnd w:id="149"/>
      <w:bookmarkEnd w:id="150"/>
    </w:p>
    <w:p w14:paraId="63B0BB88">
      <w:pPr>
        <w:pStyle w:val="130"/>
        <w:rPr>
          <w:rFonts w:hint="default"/>
        </w:rPr>
      </w:pPr>
      <w:bookmarkStart w:id="151" w:name="heading_24"/>
      <w:bookmarkStart w:id="152" w:name="_Toc10355"/>
      <w:bookmarkStart w:id="153" w:name="_Toc16089"/>
      <w:r>
        <w:t>3.1 系统结构设计</w:t>
      </w:r>
      <w:bookmarkEnd w:id="151"/>
      <w:bookmarkEnd w:id="152"/>
      <w:bookmarkEnd w:id="153"/>
    </w:p>
    <w:p w14:paraId="0E5A45E5">
      <w:pPr>
        <w:pStyle w:val="130"/>
        <w:rPr>
          <w:rFonts w:hint="default"/>
        </w:rPr>
      </w:pPr>
      <w:r>
        <w:t>本系统采用前后端分离的架构设计，分为前端层、接口层、后端服务层、数据层四个层次，各层次高内聚、低耦合，便于维护与扩展。</w:t>
      </w:r>
    </w:p>
    <w:p w14:paraId="7EF1F4A3">
      <w:pPr>
        <w:pStyle w:val="130"/>
        <w:rPr>
          <w:rFonts w:hint="default"/>
        </w:rPr>
      </w:pPr>
      <w:bookmarkStart w:id="154" w:name="heading_25"/>
      <w:r>
        <w:t>3.1.1 架构整体设计</w:t>
      </w:r>
      <w:bookmarkEnd w:id="154"/>
    </w:p>
    <w:tbl>
      <w:tblPr>
        <w:tblStyle w:val="35"/>
        <w:tblW w:w="0" w:type="auto"/>
        <w:tblInd w:w="0" w:type="dxa"/>
        <w:tblLayout w:type="autofit"/>
        <w:tblCellMar>
          <w:top w:w="0" w:type="dxa"/>
          <w:left w:w="108" w:type="dxa"/>
          <w:bottom w:w="0" w:type="dxa"/>
          <w:right w:w="108" w:type="dxa"/>
        </w:tblCellMar>
      </w:tblPr>
      <w:tblGrid>
        <w:gridCol w:w="8522"/>
      </w:tblGrid>
      <w:tr w14:paraId="5629C171">
        <w:tblPrEx>
          <w:tblCellMar>
            <w:top w:w="0" w:type="dxa"/>
            <w:left w:w="108" w:type="dxa"/>
            <w:bottom w:w="0" w:type="dxa"/>
            <w:right w:w="108" w:type="dxa"/>
          </w:tblCellMar>
        </w:tblPrEx>
        <w:tc>
          <w:tcPr>
            <w:tcW w:w="8522" w:type="dxa"/>
          </w:tcPr>
          <w:p w14:paraId="4E9BD4E1">
            <w:pPr>
              <w:ind w:firstLine="480"/>
              <w:rPr>
                <w:rFonts w:ascii="Times New Roman" w:hAnsi="Times New Roman"/>
              </w:rPr>
            </w:pPr>
            <w:r>
              <w:rPr>
                <w:rFonts w:ascii="Times New Roman" w:hAnsi="Times New Roman"/>
              </w:rPr>
              <w:drawing>
                <wp:anchor distT="0" distB="0" distL="114300" distR="114300" simplePos="0" relativeHeight="251663360" behindDoc="0" locked="0" layoutInCell="1" allowOverlap="1">
                  <wp:simplePos x="0" y="0"/>
                  <wp:positionH relativeFrom="column">
                    <wp:posOffset>24130</wp:posOffset>
                  </wp:positionH>
                  <wp:positionV relativeFrom="paragraph">
                    <wp:posOffset>351790</wp:posOffset>
                  </wp:positionV>
                  <wp:extent cx="5267960" cy="2201545"/>
                  <wp:effectExtent l="0" t="0" r="5080" b="8255"/>
                  <wp:wrapTopAndBottom/>
                  <wp:docPr id="9" name="图片 9" descr="450be63b46f64d3efc85e65de2e396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50be63b46f64d3efc85e65de2e396c3"/>
                          <pic:cNvPicPr>
                            <a:picLocks noChangeAspect="1"/>
                          </pic:cNvPicPr>
                        </pic:nvPicPr>
                        <pic:blipFill>
                          <a:blip r:embed="rId119"/>
                          <a:stretch>
                            <a:fillRect/>
                          </a:stretch>
                        </pic:blipFill>
                        <pic:spPr>
                          <a:xfrm>
                            <a:off x="0" y="0"/>
                            <a:ext cx="5267960" cy="2201545"/>
                          </a:xfrm>
                          <a:prstGeom prst="rect">
                            <a:avLst/>
                          </a:prstGeom>
                        </pic:spPr>
                      </pic:pic>
                    </a:graphicData>
                  </a:graphic>
                </wp:anchor>
              </w:drawing>
            </w:r>
          </w:p>
        </w:tc>
      </w:tr>
      <w:tr w14:paraId="128034CA">
        <w:tblPrEx>
          <w:tblCellMar>
            <w:top w:w="0" w:type="dxa"/>
            <w:left w:w="108" w:type="dxa"/>
            <w:bottom w:w="0" w:type="dxa"/>
            <w:right w:w="108" w:type="dxa"/>
          </w:tblCellMar>
        </w:tblPrEx>
        <w:tc>
          <w:tcPr>
            <w:tcW w:w="8522" w:type="dxa"/>
          </w:tcPr>
          <w:p w14:paraId="7F578C21">
            <w:pPr>
              <w:pStyle w:val="13"/>
              <w:rPr>
                <w:rFonts w:ascii="Times New Roman" w:hAnsi="Times New Roman"/>
              </w:rPr>
            </w:pPr>
            <w:r>
              <w:t>图3</w:t>
            </w:r>
            <w:r>
              <w:rPr>
                <w:rFonts w:hint="eastAsia"/>
              </w:rPr>
              <w:t>-</w:t>
            </w:r>
            <w:r>
              <w:t xml:space="preserve"> </w:t>
            </w:r>
            <w:r>
              <w:rPr>
                <w:rFonts w:hint="eastAsia"/>
              </w:rPr>
              <w:t>1</w:t>
            </w:r>
            <w:r>
              <w:t>系统架构图</w:t>
            </w:r>
          </w:p>
        </w:tc>
      </w:tr>
    </w:tbl>
    <w:p w14:paraId="50B5CA5C">
      <w:pPr>
        <w:pStyle w:val="130"/>
        <w:rPr>
          <w:rFonts w:hint="default"/>
        </w:rPr>
      </w:pPr>
      <w:r>
        <w:t>本系统整体架构如图3-1所示。</w:t>
      </w:r>
    </w:p>
    <w:p w14:paraId="40D1B96F">
      <w:pPr>
        <w:pStyle w:val="130"/>
        <w:rPr>
          <w:rFonts w:hint="default"/>
        </w:rPr>
      </w:pPr>
      <w:r>
        <w:t>（1）前端层：基于Vue 2.x+Element UI+若依模板构建，采用组件化开发模式，负责用户交互界面展示与前端逻辑处理。主要包括页面组件、路由配置、状态管理、请求封装等模块，通过RESTful API与后端进行数据交互。</w:t>
      </w:r>
    </w:p>
    <w:p w14:paraId="26940070">
      <w:pPr>
        <w:pStyle w:val="130"/>
        <w:rPr>
          <w:rFonts w:hint="default"/>
        </w:rPr>
      </w:pPr>
      <w:r>
        <w:t>（2）接口层：作为前后端通信的桥梁，提供RESTful API接口，实现JWT身份认证、请求参数校验、响应结果统一封装等功能，保障数据传输的安全性与规范性。</w:t>
      </w:r>
    </w:p>
    <w:p w14:paraId="643F62C1">
      <w:pPr>
        <w:pStyle w:val="130"/>
        <w:rPr>
          <w:rFonts w:hint="default"/>
        </w:rPr>
      </w:pPr>
      <w:r>
        <w:t>（3）后端服务层：核心业务逻辑处理层，基于SpringBoot+SSM框架实现。包括控制器（Controller）、服务层（Service）、数据访问层（Mapper），分别负责请求接收、业务逻辑处理、数据库操作。同时集成权限管理、日志记录、异常处理等通用功能。</w:t>
      </w:r>
    </w:p>
    <w:p w14:paraId="7EBC8B15">
      <w:pPr>
        <w:pStyle w:val="130"/>
        <w:rPr>
          <w:rFonts w:hint="default"/>
        </w:rPr>
      </w:pPr>
      <w:r>
        <w:t>（4）数据层：负责数据的存储与缓存。采用MySQL 8.0作为主数据库，存储客户、工单、库存等业务数据；采用Redis作为缓存数据库，缓存热点数据（如用户信息、系统参数），提升系统查询性能。</w:t>
      </w:r>
    </w:p>
    <w:p w14:paraId="75287D91">
      <w:pPr>
        <w:pStyle w:val="130"/>
        <w:rPr>
          <w:rFonts w:hint="default"/>
        </w:rPr>
      </w:pPr>
      <w:bookmarkStart w:id="155" w:name="heading_26"/>
      <w:r>
        <w:t>3.1.2 核心技术选型说明</w:t>
      </w:r>
      <w:bookmarkEnd w:id="155"/>
    </w:p>
    <w:p w14:paraId="38FBE63C">
      <w:pPr>
        <w:pStyle w:val="13"/>
      </w:pPr>
      <w:r>
        <w:t>表3</w:t>
      </w:r>
      <w:r>
        <w:rPr>
          <w:rFonts w:hint="eastAsia"/>
        </w:rPr>
        <w:t>-</w:t>
      </w:r>
      <w:r>
        <w:t xml:space="preserve"> </w:t>
      </w:r>
      <w:r>
        <w:rPr>
          <w:rFonts w:hint="eastAsia"/>
        </w:rPr>
        <w:t>1</w:t>
      </w:r>
      <w:r>
        <w:t>核心技术选型说明</w:t>
      </w:r>
    </w:p>
    <w:tbl>
      <w:tblPr>
        <w:tblStyle w:val="35"/>
        <w:tblW w:w="8522" w:type="dxa"/>
        <w:jc w:val="center"/>
        <w:tblLayout w:type="autofit"/>
        <w:tblCellMar>
          <w:top w:w="0" w:type="dxa"/>
          <w:left w:w="10" w:type="dxa"/>
          <w:bottom w:w="0" w:type="dxa"/>
          <w:right w:w="10" w:type="dxa"/>
        </w:tblCellMar>
      </w:tblPr>
      <w:tblGrid>
        <w:gridCol w:w="1773"/>
        <w:gridCol w:w="6749"/>
      </w:tblGrid>
      <w:tr w14:paraId="7E295880">
        <w:trPr>
          <w:tblHeader/>
          <w:jc w:val="center"/>
        </w:trPr>
        <w:tc>
          <w:tcPr>
            <w:tcW w:w="1773"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vAlign w:val="center"/>
          </w:tcPr>
          <w:p w14:paraId="3876E315">
            <w:pPr>
              <w:snapToGrid w:val="0"/>
              <w:jc w:val="center"/>
              <w:rPr>
                <w:rFonts w:ascii="Times New Roman" w:hAnsi="Times New Roman"/>
                <w:color w:val="000000"/>
              </w:rPr>
            </w:pPr>
            <w:r>
              <w:rPr>
                <w:rFonts w:ascii="Times New Roman" w:hAnsi="Times New Roman"/>
                <w:color w:val="000000"/>
              </w:rPr>
              <w:t>技术组件</w:t>
            </w:r>
          </w:p>
        </w:tc>
        <w:tc>
          <w:tcPr>
            <w:tcW w:w="6749"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vAlign w:val="center"/>
          </w:tcPr>
          <w:p w14:paraId="62295FA4">
            <w:pPr>
              <w:snapToGrid w:val="0"/>
              <w:jc w:val="center"/>
              <w:rPr>
                <w:rFonts w:ascii="Times New Roman" w:hAnsi="Times New Roman"/>
                <w:color w:val="000000"/>
              </w:rPr>
            </w:pPr>
            <w:r>
              <w:rPr>
                <w:rFonts w:ascii="Times New Roman" w:hAnsi="Times New Roman"/>
                <w:color w:val="000000"/>
              </w:rPr>
              <w:t>选型理由</w:t>
            </w:r>
          </w:p>
        </w:tc>
      </w:tr>
      <w:tr w14:paraId="55D564D8">
        <w:tblPrEx>
          <w:tblCellMar>
            <w:top w:w="0" w:type="dxa"/>
            <w:left w:w="10" w:type="dxa"/>
            <w:bottom w:w="0" w:type="dxa"/>
            <w:right w:w="10" w:type="dxa"/>
          </w:tblCellMar>
        </w:tblPrEx>
        <w:trPr>
          <w:jc w:val="center"/>
        </w:trPr>
        <w:tc>
          <w:tcPr>
            <w:tcW w:w="1773" w:type="dxa"/>
            <w:tcBorders>
              <w:top w:val="single" w:color="000000" w:sz="4" w:space="0"/>
              <w:left w:val="nil"/>
              <w:bottom w:val="nil"/>
              <w:right w:val="nil"/>
            </w:tcBorders>
            <w:shd w:val="clear" w:color="auto" w:fill="FFFFFF"/>
            <w:tcMar>
              <w:top w:w="60" w:type="dxa"/>
              <w:left w:w="120" w:type="dxa"/>
              <w:bottom w:w="30" w:type="dxa"/>
              <w:right w:w="120" w:type="dxa"/>
            </w:tcMar>
            <w:vAlign w:val="center"/>
          </w:tcPr>
          <w:p w14:paraId="769D3B3B">
            <w:pPr>
              <w:snapToGrid w:val="0"/>
              <w:jc w:val="left"/>
              <w:rPr>
                <w:rFonts w:ascii="Times New Roman" w:hAnsi="Times New Roman"/>
                <w:color w:val="000000"/>
              </w:rPr>
            </w:pPr>
            <w:r>
              <w:rPr>
                <w:rFonts w:ascii="Times New Roman" w:hAnsi="Times New Roman"/>
                <w:color w:val="000000"/>
              </w:rPr>
              <w:t>SpringBoot</w:t>
            </w:r>
          </w:p>
        </w:tc>
        <w:tc>
          <w:tcPr>
            <w:tcW w:w="6749" w:type="dxa"/>
            <w:tcBorders>
              <w:top w:val="single" w:color="000000" w:sz="4" w:space="0"/>
              <w:left w:val="nil"/>
              <w:bottom w:val="nil"/>
              <w:right w:val="nil"/>
            </w:tcBorders>
            <w:shd w:val="clear" w:color="auto" w:fill="FFFFFF"/>
            <w:tcMar>
              <w:top w:w="60" w:type="dxa"/>
              <w:left w:w="120" w:type="dxa"/>
              <w:bottom w:w="30" w:type="dxa"/>
              <w:right w:w="120" w:type="dxa"/>
            </w:tcMar>
            <w:vAlign w:val="center"/>
          </w:tcPr>
          <w:p w14:paraId="690F566F">
            <w:pPr>
              <w:snapToGrid w:val="0"/>
              <w:jc w:val="left"/>
              <w:rPr>
                <w:rFonts w:ascii="Times New Roman" w:hAnsi="Times New Roman"/>
                <w:color w:val="000000"/>
              </w:rPr>
            </w:pPr>
            <w:r>
              <w:rPr>
                <w:rFonts w:ascii="Times New Roman" w:hAnsi="Times New Roman"/>
                <w:color w:val="000000"/>
              </w:rPr>
              <w:t>简化Spring配置，提供自动配置、starter依赖等特性，提升开发效率</w:t>
            </w:r>
          </w:p>
        </w:tc>
      </w:tr>
      <w:tr w14:paraId="0B0ADA08">
        <w:tblPrEx>
          <w:tblCellMar>
            <w:top w:w="0" w:type="dxa"/>
            <w:left w:w="10" w:type="dxa"/>
            <w:bottom w:w="0" w:type="dxa"/>
            <w:right w:w="10" w:type="dxa"/>
          </w:tblCellMar>
        </w:tblPrEx>
        <w:trPr>
          <w:jc w:val="center"/>
        </w:trPr>
        <w:tc>
          <w:tcPr>
            <w:tcW w:w="1773" w:type="dxa"/>
            <w:tcBorders>
              <w:top w:val="nil"/>
              <w:left w:val="nil"/>
              <w:bottom w:val="single" w:color="auto" w:sz="4" w:space="0"/>
              <w:right w:val="nil"/>
            </w:tcBorders>
            <w:shd w:val="clear" w:color="auto" w:fill="FFFFFF"/>
            <w:tcMar>
              <w:top w:w="60" w:type="dxa"/>
              <w:left w:w="120" w:type="dxa"/>
              <w:bottom w:w="30" w:type="dxa"/>
              <w:right w:w="120" w:type="dxa"/>
            </w:tcMar>
            <w:vAlign w:val="center"/>
          </w:tcPr>
          <w:p w14:paraId="44783F73">
            <w:pPr>
              <w:snapToGrid w:val="0"/>
              <w:jc w:val="left"/>
              <w:rPr>
                <w:rFonts w:ascii="Times New Roman" w:hAnsi="Times New Roman"/>
                <w:color w:val="000000"/>
              </w:rPr>
            </w:pPr>
            <w:r>
              <w:rPr>
                <w:rFonts w:ascii="Times New Roman" w:hAnsi="Times New Roman"/>
                <w:color w:val="000000"/>
              </w:rPr>
              <w:t>Vue+Element UI</w:t>
            </w:r>
          </w:p>
        </w:tc>
        <w:tc>
          <w:tcPr>
            <w:tcW w:w="6749" w:type="dxa"/>
            <w:tcBorders>
              <w:top w:val="nil"/>
              <w:left w:val="nil"/>
              <w:bottom w:val="single" w:color="auto" w:sz="4" w:space="0"/>
              <w:right w:val="nil"/>
            </w:tcBorders>
            <w:shd w:val="clear" w:color="auto" w:fill="FFFFFF"/>
            <w:tcMar>
              <w:top w:w="60" w:type="dxa"/>
              <w:left w:w="120" w:type="dxa"/>
              <w:bottom w:w="30" w:type="dxa"/>
              <w:right w:w="120" w:type="dxa"/>
            </w:tcMar>
            <w:vAlign w:val="center"/>
          </w:tcPr>
          <w:p w14:paraId="38307845">
            <w:pPr>
              <w:snapToGrid w:val="0"/>
              <w:jc w:val="left"/>
              <w:rPr>
                <w:rFonts w:ascii="Times New Roman" w:hAnsi="Times New Roman"/>
                <w:color w:val="000000"/>
              </w:rPr>
            </w:pPr>
            <w:r>
              <w:rPr>
                <w:rFonts w:ascii="Times New Roman" w:hAnsi="Times New Roman"/>
                <w:color w:val="000000"/>
              </w:rPr>
              <w:t>组件化开发，界面美观，适配PC端场景，学习成本低</w:t>
            </w:r>
          </w:p>
        </w:tc>
      </w:tr>
      <w:tr w14:paraId="6E3A2977">
        <w:tblPrEx>
          <w:tblCellMar>
            <w:top w:w="0" w:type="dxa"/>
            <w:left w:w="10" w:type="dxa"/>
            <w:bottom w:w="0" w:type="dxa"/>
            <w:right w:w="10" w:type="dxa"/>
          </w:tblCellMar>
        </w:tblPrEx>
        <w:trPr>
          <w:jc w:val="center"/>
        </w:trPr>
        <w:tc>
          <w:tcPr>
            <w:tcW w:w="1773" w:type="dxa"/>
            <w:tcBorders>
              <w:top w:val="single" w:color="auto" w:sz="4" w:space="0"/>
              <w:left w:val="nil"/>
              <w:bottom w:val="nil"/>
              <w:right w:val="nil"/>
            </w:tcBorders>
            <w:shd w:val="clear" w:color="auto" w:fill="FFFFFF"/>
            <w:tcMar>
              <w:top w:w="60" w:type="dxa"/>
              <w:left w:w="120" w:type="dxa"/>
              <w:bottom w:w="30" w:type="dxa"/>
              <w:right w:w="120" w:type="dxa"/>
            </w:tcMar>
            <w:vAlign w:val="center"/>
          </w:tcPr>
          <w:p w14:paraId="3C012057">
            <w:pPr>
              <w:snapToGrid w:val="0"/>
              <w:jc w:val="left"/>
              <w:rPr>
                <w:rFonts w:ascii="Times New Roman" w:hAnsi="Times New Roman"/>
                <w:color w:val="000000"/>
              </w:rPr>
            </w:pPr>
            <w:r>
              <w:rPr>
                <w:rFonts w:ascii="Times New Roman" w:hAnsi="Times New Roman"/>
                <w:color w:val="000000"/>
              </w:rPr>
              <w:t>若依模板</w:t>
            </w:r>
          </w:p>
        </w:tc>
        <w:tc>
          <w:tcPr>
            <w:tcW w:w="6749" w:type="dxa"/>
            <w:tcBorders>
              <w:top w:val="single" w:color="auto" w:sz="4" w:space="0"/>
              <w:left w:val="nil"/>
              <w:bottom w:val="nil"/>
              <w:right w:val="nil"/>
            </w:tcBorders>
            <w:shd w:val="clear" w:color="auto" w:fill="FFFFFF"/>
            <w:tcMar>
              <w:top w:w="60" w:type="dxa"/>
              <w:left w:w="120" w:type="dxa"/>
              <w:bottom w:w="30" w:type="dxa"/>
              <w:right w:w="120" w:type="dxa"/>
            </w:tcMar>
            <w:vAlign w:val="center"/>
          </w:tcPr>
          <w:p w14:paraId="13470D5B">
            <w:pPr>
              <w:snapToGrid w:val="0"/>
              <w:jc w:val="left"/>
              <w:rPr>
                <w:rFonts w:ascii="Times New Roman" w:hAnsi="Times New Roman"/>
                <w:color w:val="000000"/>
              </w:rPr>
            </w:pPr>
            <w:r>
              <w:rPr>
                <w:rFonts w:ascii="Times New Roman" w:hAnsi="Times New Roman"/>
                <w:color w:val="000000"/>
              </w:rPr>
              <w:t>提供成熟的权限管理、菜单管理、表单组件等基础功能，缩短开发周期</w:t>
            </w:r>
          </w:p>
        </w:tc>
      </w:tr>
      <w:tr w14:paraId="15BEE751">
        <w:tblPrEx>
          <w:tblCellMar>
            <w:top w:w="0" w:type="dxa"/>
            <w:left w:w="10" w:type="dxa"/>
            <w:bottom w:w="0" w:type="dxa"/>
            <w:right w:w="10" w:type="dxa"/>
          </w:tblCellMar>
        </w:tblPrEx>
        <w:trPr>
          <w:jc w:val="center"/>
        </w:trPr>
        <w:tc>
          <w:tcPr>
            <w:tcW w:w="1773" w:type="dxa"/>
            <w:tcBorders>
              <w:top w:val="nil"/>
              <w:left w:val="nil"/>
              <w:bottom w:val="nil"/>
              <w:right w:val="nil"/>
            </w:tcBorders>
            <w:shd w:val="clear" w:color="auto" w:fill="FFFFFF"/>
            <w:tcMar>
              <w:top w:w="60" w:type="dxa"/>
              <w:left w:w="120" w:type="dxa"/>
              <w:bottom w:w="30" w:type="dxa"/>
              <w:right w:w="120" w:type="dxa"/>
            </w:tcMar>
            <w:vAlign w:val="center"/>
          </w:tcPr>
          <w:p w14:paraId="0E6A2F50">
            <w:pPr>
              <w:snapToGrid w:val="0"/>
              <w:jc w:val="left"/>
              <w:rPr>
                <w:rFonts w:ascii="Times New Roman" w:hAnsi="Times New Roman"/>
                <w:color w:val="000000"/>
              </w:rPr>
            </w:pPr>
            <w:r>
              <w:rPr>
                <w:rFonts w:ascii="Times New Roman" w:hAnsi="Times New Roman"/>
                <w:color w:val="000000"/>
              </w:rPr>
              <w:t>MySQL 8.0</w:t>
            </w:r>
          </w:p>
        </w:tc>
        <w:tc>
          <w:tcPr>
            <w:tcW w:w="6749" w:type="dxa"/>
            <w:tcBorders>
              <w:top w:val="nil"/>
              <w:left w:val="nil"/>
              <w:bottom w:val="nil"/>
              <w:right w:val="nil"/>
            </w:tcBorders>
            <w:shd w:val="clear" w:color="auto" w:fill="FFFFFF"/>
            <w:tcMar>
              <w:top w:w="60" w:type="dxa"/>
              <w:left w:w="120" w:type="dxa"/>
              <w:bottom w:w="30" w:type="dxa"/>
              <w:right w:w="120" w:type="dxa"/>
            </w:tcMar>
            <w:vAlign w:val="center"/>
          </w:tcPr>
          <w:p w14:paraId="4A9AB91F">
            <w:pPr>
              <w:snapToGrid w:val="0"/>
              <w:jc w:val="left"/>
              <w:rPr>
                <w:rFonts w:ascii="Times New Roman" w:hAnsi="Times New Roman"/>
                <w:color w:val="000000"/>
              </w:rPr>
            </w:pPr>
            <w:r>
              <w:rPr>
                <w:rFonts w:ascii="Times New Roman" w:hAnsi="Times New Roman"/>
                <w:color w:val="000000"/>
              </w:rPr>
              <w:t>开源稳定，支持复杂查询与事务处理，满足业务数据存储需求</w:t>
            </w:r>
          </w:p>
        </w:tc>
      </w:tr>
      <w:tr w14:paraId="5617D35E">
        <w:tblPrEx>
          <w:tblCellMar>
            <w:top w:w="0" w:type="dxa"/>
            <w:left w:w="10" w:type="dxa"/>
            <w:bottom w:w="0" w:type="dxa"/>
            <w:right w:w="10" w:type="dxa"/>
          </w:tblCellMar>
        </w:tblPrEx>
        <w:trPr>
          <w:jc w:val="center"/>
        </w:trPr>
        <w:tc>
          <w:tcPr>
            <w:tcW w:w="1773" w:type="dxa"/>
            <w:tcBorders>
              <w:top w:val="nil"/>
              <w:left w:val="nil"/>
              <w:bottom w:val="nil"/>
              <w:right w:val="nil"/>
            </w:tcBorders>
            <w:shd w:val="clear" w:color="auto" w:fill="FFFFFF"/>
            <w:tcMar>
              <w:top w:w="60" w:type="dxa"/>
              <w:left w:w="120" w:type="dxa"/>
              <w:bottom w:w="30" w:type="dxa"/>
              <w:right w:w="120" w:type="dxa"/>
            </w:tcMar>
            <w:vAlign w:val="center"/>
          </w:tcPr>
          <w:p w14:paraId="61B4DCBE">
            <w:pPr>
              <w:snapToGrid w:val="0"/>
              <w:jc w:val="left"/>
              <w:rPr>
                <w:rFonts w:ascii="Times New Roman" w:hAnsi="Times New Roman"/>
                <w:color w:val="000000"/>
              </w:rPr>
            </w:pPr>
            <w:r>
              <w:rPr>
                <w:rFonts w:ascii="Times New Roman" w:hAnsi="Times New Roman"/>
                <w:color w:val="000000"/>
              </w:rPr>
              <w:t>Redis</w:t>
            </w:r>
          </w:p>
        </w:tc>
        <w:tc>
          <w:tcPr>
            <w:tcW w:w="6749" w:type="dxa"/>
            <w:tcBorders>
              <w:top w:val="nil"/>
              <w:left w:val="nil"/>
              <w:bottom w:val="nil"/>
              <w:right w:val="nil"/>
            </w:tcBorders>
            <w:shd w:val="clear" w:color="auto" w:fill="FFFFFF"/>
            <w:tcMar>
              <w:top w:w="60" w:type="dxa"/>
              <w:left w:w="120" w:type="dxa"/>
              <w:bottom w:w="30" w:type="dxa"/>
              <w:right w:w="120" w:type="dxa"/>
            </w:tcMar>
            <w:vAlign w:val="center"/>
          </w:tcPr>
          <w:p w14:paraId="453C3A8D">
            <w:pPr>
              <w:snapToGrid w:val="0"/>
              <w:jc w:val="left"/>
              <w:rPr>
                <w:rFonts w:ascii="Times New Roman" w:hAnsi="Times New Roman"/>
                <w:color w:val="000000"/>
              </w:rPr>
            </w:pPr>
            <w:r>
              <w:rPr>
                <w:rFonts w:ascii="Times New Roman" w:hAnsi="Times New Roman"/>
                <w:color w:val="000000"/>
              </w:rPr>
              <w:t>高性能缓存，降低数据库访问压力，提升系统响应速度</w:t>
            </w:r>
          </w:p>
        </w:tc>
      </w:tr>
      <w:tr w14:paraId="61807199">
        <w:tblPrEx>
          <w:tblCellMar>
            <w:top w:w="0" w:type="dxa"/>
            <w:left w:w="10" w:type="dxa"/>
            <w:bottom w:w="0" w:type="dxa"/>
            <w:right w:w="10" w:type="dxa"/>
          </w:tblCellMar>
        </w:tblPrEx>
        <w:trPr>
          <w:jc w:val="center"/>
        </w:trPr>
        <w:tc>
          <w:tcPr>
            <w:tcW w:w="1773" w:type="dxa"/>
            <w:tcBorders>
              <w:top w:val="nil"/>
              <w:left w:val="nil"/>
              <w:bottom w:val="single" w:color="000000" w:sz="12" w:space="0"/>
              <w:right w:val="nil"/>
            </w:tcBorders>
            <w:shd w:val="clear" w:color="auto" w:fill="FFFFFF"/>
            <w:tcMar>
              <w:top w:w="60" w:type="dxa"/>
              <w:left w:w="120" w:type="dxa"/>
              <w:bottom w:w="30" w:type="dxa"/>
              <w:right w:w="120" w:type="dxa"/>
            </w:tcMar>
            <w:vAlign w:val="center"/>
          </w:tcPr>
          <w:p w14:paraId="687E0F7A">
            <w:pPr>
              <w:snapToGrid w:val="0"/>
              <w:jc w:val="left"/>
              <w:rPr>
                <w:rFonts w:ascii="Times New Roman" w:hAnsi="Times New Roman"/>
                <w:color w:val="000000"/>
              </w:rPr>
            </w:pPr>
            <w:r>
              <w:rPr>
                <w:rFonts w:ascii="Times New Roman" w:hAnsi="Times New Roman"/>
                <w:color w:val="000000"/>
              </w:rPr>
              <w:t>JWT</w:t>
            </w:r>
          </w:p>
        </w:tc>
        <w:tc>
          <w:tcPr>
            <w:tcW w:w="6749" w:type="dxa"/>
            <w:tcBorders>
              <w:top w:val="nil"/>
              <w:left w:val="nil"/>
              <w:bottom w:val="single" w:color="000000" w:sz="12" w:space="0"/>
              <w:right w:val="nil"/>
            </w:tcBorders>
            <w:shd w:val="clear" w:color="auto" w:fill="FFFFFF"/>
            <w:tcMar>
              <w:top w:w="60" w:type="dxa"/>
              <w:left w:w="120" w:type="dxa"/>
              <w:bottom w:w="30" w:type="dxa"/>
              <w:right w:w="120" w:type="dxa"/>
            </w:tcMar>
            <w:vAlign w:val="center"/>
          </w:tcPr>
          <w:p w14:paraId="055B987F">
            <w:pPr>
              <w:snapToGrid w:val="0"/>
              <w:jc w:val="left"/>
              <w:rPr>
                <w:rFonts w:ascii="Times New Roman" w:hAnsi="Times New Roman"/>
                <w:color w:val="000000"/>
              </w:rPr>
            </w:pPr>
            <w:r>
              <w:rPr>
                <w:rFonts w:ascii="Times New Roman" w:hAnsi="Times New Roman"/>
                <w:color w:val="000000"/>
              </w:rPr>
              <w:t>无状态认证，支持分布式部署，保障接口访问安全</w:t>
            </w:r>
          </w:p>
        </w:tc>
      </w:tr>
    </w:tbl>
    <w:p w14:paraId="2C47C4AC">
      <w:pPr>
        <w:pStyle w:val="130"/>
        <w:rPr>
          <w:rFonts w:hint="default"/>
        </w:rPr>
      </w:pPr>
      <w:bookmarkStart w:id="156" w:name="_Toc4669"/>
      <w:bookmarkStart w:id="157" w:name="heading_27"/>
      <w:bookmarkStart w:id="158" w:name="_Toc15656"/>
      <w:r>
        <w:t>3.2 系统功能模块设计</w:t>
      </w:r>
      <w:bookmarkEnd w:id="156"/>
      <w:bookmarkEnd w:id="157"/>
      <w:bookmarkEnd w:id="158"/>
    </w:p>
    <w:p w14:paraId="2CDA123F">
      <w:pPr>
        <w:pStyle w:val="130"/>
        <w:rPr>
          <w:rFonts w:hint="default"/>
        </w:rPr>
      </w:pPr>
      <w:r>
        <w:t>基于需求分析，系统划分为7个核心功能模块，各模块功能如下：</w:t>
      </w:r>
    </w:p>
    <w:p w14:paraId="098D05AD">
      <w:pPr>
        <w:pStyle w:val="130"/>
        <w:rPr>
          <w:rFonts w:hint="default"/>
        </w:rPr>
      </w:pPr>
      <w:bookmarkStart w:id="159" w:name="heading_29"/>
      <w:r>
        <w:t>3.2.1 核心模块详细设计</w:t>
      </w:r>
      <w:bookmarkEnd w:id="159"/>
    </w:p>
    <w:p w14:paraId="2051C406">
      <w:pPr>
        <w:pStyle w:val="130"/>
        <w:rPr>
          <w:rFonts w:hint="default"/>
        </w:rPr>
      </w:pPr>
      <w:r>
        <w:t>(1)客户管理模块</w:t>
      </w:r>
    </w:p>
    <w:p w14:paraId="648171A5">
      <w:pPr>
        <w:pStyle w:val="130"/>
        <w:rPr>
          <w:rFonts w:hint="default"/>
        </w:rPr>
      </w:pPr>
      <w:r>
        <w:t>核心功能：客户信息增删改查、多条件筛选、数据导入/导出、客户详情关联查询；</w:t>
      </w:r>
    </w:p>
    <w:p w14:paraId="5D2E123E">
      <w:pPr>
        <w:pStyle w:val="130"/>
        <w:rPr>
          <w:rFonts w:hint="default"/>
        </w:rPr>
      </w:pPr>
      <w:r>
        <w:t>业务流程：员工录入/导入客户信息→系统存储客户基础数据→关联生成客户服务档案→支持按编号/姓名/车型等条件查询→可导出客户数据报表。</w:t>
      </w:r>
    </w:p>
    <w:p w14:paraId="7B659E9D">
      <w:pPr>
        <w:pStyle w:val="130"/>
        <w:rPr>
          <w:rFonts w:hint="default"/>
        </w:rPr>
      </w:pPr>
      <w:r>
        <w:t>(2)预约服务模块</w:t>
      </w:r>
    </w:p>
    <w:p w14:paraId="177DC874">
      <w:pPr>
        <w:pStyle w:val="130"/>
        <w:rPr>
          <w:rFonts w:hint="default"/>
        </w:rPr>
      </w:pPr>
      <w:r>
        <w:t>核心功能：预约提交、预约确认、状态跟踪、预约取消；</w:t>
      </w:r>
    </w:p>
    <w:p w14:paraId="46F29CAA">
      <w:pPr>
        <w:pStyle w:val="130"/>
        <w:rPr>
          <w:rFonts w:hint="default"/>
        </w:rPr>
      </w:pPr>
      <w:r>
        <w:t>业务流程：客户/员工提交预约（录入客户编号、时间、服务类型）→系统关联客户与车辆信息→管理员确认预约→分配技师→更新预约状态→预约完成后自动关联服务工单。</w:t>
      </w:r>
    </w:p>
    <w:p w14:paraId="17A44CAA">
      <w:pPr>
        <w:pStyle w:val="130"/>
        <w:rPr>
          <w:rFonts w:hint="default"/>
        </w:rPr>
      </w:pPr>
      <w:r>
        <w:t>(3)保养管理模块</w:t>
      </w:r>
    </w:p>
    <w:p w14:paraId="0E13A553">
      <w:pPr>
        <w:pStyle w:val="130"/>
        <w:rPr>
          <w:rFonts w:hint="default"/>
        </w:rPr>
      </w:pPr>
      <w:r>
        <w:t>核心功能：保养工单创建、工单分配、项目记录、费用结算、报告导出；</w:t>
      </w:r>
    </w:p>
    <w:p w14:paraId="3A9BBD31">
      <w:pPr>
        <w:pStyle w:val="130"/>
        <w:rPr>
          <w:rFonts w:hint="default"/>
        </w:rPr>
      </w:pPr>
      <w:r>
        <w:t>业务流程：基于预约创建保养工单→分配技师→记录保养项目与耗材→计算保养费用→客户确认结算→生成保养报告→工单归档。</w:t>
      </w:r>
    </w:p>
    <w:p w14:paraId="508E8E99">
      <w:pPr>
        <w:pStyle w:val="130"/>
        <w:rPr>
          <w:rFonts w:hint="default"/>
        </w:rPr>
      </w:pPr>
      <w:r>
        <w:t>(4)维修管理模块</w:t>
      </w:r>
    </w:p>
    <w:p w14:paraId="0DDEFE64">
      <w:pPr>
        <w:pStyle w:val="130"/>
        <w:rPr>
          <w:rFonts w:hint="default"/>
        </w:rPr>
      </w:pPr>
      <w:r>
        <w:t>核心功能：故障记录、维修方案制定、配件更换记录、费用结算、维修报告存档；</w:t>
      </w:r>
    </w:p>
    <w:p w14:paraId="3E3F9085">
      <w:pPr>
        <w:pStyle w:val="130"/>
        <w:rPr>
          <w:rFonts w:hint="default"/>
        </w:rPr>
      </w:pPr>
      <w:r>
        <w:t>业务流程：接收维修需求→记录故障描述与照片→制定维修方案→更换配件记录→计算工时费与配件费→客户结算→生成维修报告并存档。</w:t>
      </w:r>
    </w:p>
    <w:p w14:paraId="02FF0E64">
      <w:pPr>
        <w:pStyle w:val="130"/>
        <w:rPr>
          <w:rFonts w:hint="default"/>
        </w:rPr>
      </w:pPr>
      <w:r>
        <w:t>(5)库存管理模块</w:t>
      </w:r>
    </w:p>
    <w:p w14:paraId="4A8D1BE4">
      <w:pPr>
        <w:pStyle w:val="130"/>
        <w:rPr>
          <w:rFonts w:hint="default"/>
        </w:rPr>
      </w:pPr>
      <w:r>
        <w:t>核心功能：整车入库/销售、配件入库/出库、库存盘点、安全预警；</w:t>
      </w:r>
    </w:p>
    <w:p w14:paraId="42D5C250">
      <w:pPr>
        <w:pStyle w:val="130"/>
        <w:rPr>
          <w:rFonts w:hint="default"/>
        </w:rPr>
      </w:pPr>
      <w:r>
        <w:t>业务流程（整车）：二手车入库登记（车型、车况、定价）→系统更新库存→销售后记录出库信息→库存自动减少；</w:t>
      </w:r>
    </w:p>
    <w:p w14:paraId="7DFA7929">
      <w:pPr>
        <w:pStyle w:val="130"/>
        <w:rPr>
          <w:rFonts w:hint="default"/>
        </w:rPr>
      </w:pPr>
      <w:r>
        <w:t>业务流程（配件）：配件入库登记→库存增加→维修/保养领用出库→库存减少→低于安全阈值触发预警。</w:t>
      </w:r>
    </w:p>
    <w:p w14:paraId="346F6DA4">
      <w:pPr>
        <w:pStyle w:val="130"/>
        <w:rPr>
          <w:rFonts w:hint="default"/>
        </w:rPr>
      </w:pPr>
      <w:r>
        <w:t>(6)数据分析模块</w:t>
      </w:r>
    </w:p>
    <w:p w14:paraId="3E0A0E08">
      <w:pPr>
        <w:pStyle w:val="130"/>
        <w:rPr>
          <w:rFonts w:hint="default"/>
        </w:rPr>
      </w:pPr>
      <w:r>
        <w:t>核心功能：多维度报表生成、趋势分析、数据导出；</w:t>
      </w:r>
    </w:p>
    <w:p w14:paraId="67A8DBC7">
      <w:pPr>
        <w:pStyle w:val="130"/>
        <w:rPr>
          <w:rFonts w:hint="default"/>
        </w:rPr>
      </w:pPr>
      <w:r>
        <w:t>业务流程：系统采集客户、服务、库存业务数据→按日/周/月统计分析→生成可视化报表（如客户增长趋势、服务工单量统计、库存周转率）→支持导出PDF/Excel。</w:t>
      </w:r>
    </w:p>
    <w:p w14:paraId="38ECF415">
      <w:pPr>
        <w:pStyle w:val="130"/>
        <w:rPr>
          <w:rFonts w:hint="default"/>
        </w:rPr>
      </w:pPr>
      <w:r>
        <w:t>(7)系统管理模块</w:t>
      </w:r>
    </w:p>
    <w:p w14:paraId="39D334A3">
      <w:pPr>
        <w:pStyle w:val="130"/>
        <w:rPr>
          <w:rFonts w:hint="default"/>
        </w:rPr>
      </w:pPr>
      <w:r>
        <w:t>核心功能：角色管理、用户管理、权限配置、操作日志、参数设置；</w:t>
      </w:r>
    </w:p>
    <w:p w14:paraId="45D3C208">
      <w:pPr>
        <w:pStyle w:val="130"/>
        <w:rPr>
          <w:rFonts w:hint="default"/>
        </w:rPr>
      </w:pPr>
      <w:r>
        <w:t>业务流程：超级管理员创建角色并分配权限→添加用户并关联角色→用户按权限访问功能模块→系统记录关键操作日志→管理员可配置系统基础参数。</w:t>
      </w:r>
    </w:p>
    <w:p w14:paraId="13376539">
      <w:pPr>
        <w:pStyle w:val="130"/>
        <w:rPr>
          <w:rFonts w:hint="default"/>
        </w:rPr>
      </w:pPr>
      <w:bookmarkStart w:id="160" w:name="_Toc10814"/>
      <w:bookmarkStart w:id="161" w:name="_Toc8903"/>
      <w:bookmarkStart w:id="162" w:name="heading_30"/>
      <w:r>
        <w:t>3.3 数据库设计</w:t>
      </w:r>
      <w:bookmarkEnd w:id="160"/>
      <w:bookmarkEnd w:id="161"/>
      <w:bookmarkEnd w:id="162"/>
    </w:p>
    <w:p w14:paraId="1B27155D">
      <w:pPr>
        <w:pStyle w:val="130"/>
        <w:rPr>
          <w:rFonts w:hint="default"/>
        </w:rPr>
      </w:pPr>
      <w:bookmarkStart w:id="163" w:name="heading_31"/>
      <w:r>
        <w:t>3.3.1 数据库概念模型（E-R图）</w:t>
      </w:r>
      <w:bookmarkEnd w:id="163"/>
    </w:p>
    <w:p w14:paraId="43C06503">
      <w:pPr>
        <w:pStyle w:val="130"/>
        <w:rPr>
          <w:rFonts w:hint="default"/>
        </w:rPr>
      </w:pPr>
      <w:r>
        <w:t>本系统含有10个实体，数据库模型如图3-2至图3-11所示。</w:t>
      </w:r>
    </w:p>
    <w:tbl>
      <w:tblPr>
        <w:tblStyle w:val="35"/>
        <w:tblW w:w="0" w:type="auto"/>
        <w:jc w:val="center"/>
        <w:tblLayout w:type="autofit"/>
        <w:tblCellMar>
          <w:top w:w="0" w:type="dxa"/>
          <w:left w:w="108" w:type="dxa"/>
          <w:bottom w:w="0" w:type="dxa"/>
          <w:right w:w="108" w:type="dxa"/>
        </w:tblCellMar>
      </w:tblPr>
      <w:tblGrid>
        <w:gridCol w:w="8522"/>
      </w:tblGrid>
      <w:tr w14:paraId="32BD22BC">
        <w:tblPrEx>
          <w:tblCellMar>
            <w:top w:w="0" w:type="dxa"/>
            <w:left w:w="108" w:type="dxa"/>
            <w:bottom w:w="0" w:type="dxa"/>
            <w:right w:w="108" w:type="dxa"/>
          </w:tblCellMar>
        </w:tblPrEx>
        <w:trPr>
          <w:jc w:val="center"/>
        </w:trPr>
        <w:tc>
          <w:tcPr>
            <w:tcW w:w="8522" w:type="dxa"/>
          </w:tcPr>
          <w:p w14:paraId="1B0627A9">
            <w:pPr>
              <w:jc w:val="center"/>
              <w:rPr>
                <w:rFonts w:ascii="Times New Roman" w:hAnsi="Times New Roman"/>
              </w:rPr>
            </w:pPr>
            <w:r>
              <w:rPr>
                <w:rFonts w:ascii="Times New Roman" w:hAnsi="Times New Roman"/>
              </w:rPr>
              <w:drawing>
                <wp:anchor distT="0" distB="0" distL="114300" distR="114300" simplePos="0" relativeHeight="251659264" behindDoc="0" locked="0" layoutInCell="1" allowOverlap="1">
                  <wp:simplePos x="0" y="0"/>
                  <wp:positionH relativeFrom="column">
                    <wp:posOffset>1313180</wp:posOffset>
                  </wp:positionH>
                  <wp:positionV relativeFrom="paragraph">
                    <wp:posOffset>-1778635</wp:posOffset>
                  </wp:positionV>
                  <wp:extent cx="2879725" cy="1765935"/>
                  <wp:effectExtent l="0" t="0" r="3175" b="12065"/>
                  <wp:wrapSquare wrapText="bothSides"/>
                  <wp:docPr id="65" name="图片 65" descr="Snipaste_2025-12-18_13-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Snipaste_2025-12-18_13-47-27"/>
                          <pic:cNvPicPr>
                            <a:picLocks noChangeAspect="1"/>
                          </pic:cNvPicPr>
                        </pic:nvPicPr>
                        <pic:blipFill>
                          <a:blip r:embed="rId120"/>
                          <a:stretch>
                            <a:fillRect/>
                          </a:stretch>
                        </pic:blipFill>
                        <pic:spPr>
                          <a:xfrm>
                            <a:off x="0" y="0"/>
                            <a:ext cx="2879725" cy="1765935"/>
                          </a:xfrm>
                          <a:prstGeom prst="rect">
                            <a:avLst/>
                          </a:prstGeom>
                        </pic:spPr>
                      </pic:pic>
                    </a:graphicData>
                  </a:graphic>
                </wp:anchor>
              </w:drawing>
            </w:r>
          </w:p>
        </w:tc>
      </w:tr>
      <w:tr w14:paraId="02CAFAE3">
        <w:tblPrEx>
          <w:tblCellMar>
            <w:top w:w="0" w:type="dxa"/>
            <w:left w:w="108" w:type="dxa"/>
            <w:bottom w:w="0" w:type="dxa"/>
            <w:right w:w="108" w:type="dxa"/>
          </w:tblCellMar>
        </w:tblPrEx>
        <w:trPr>
          <w:jc w:val="center"/>
        </w:trPr>
        <w:tc>
          <w:tcPr>
            <w:tcW w:w="8522" w:type="dxa"/>
          </w:tcPr>
          <w:p w14:paraId="5916C27A">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2</w:t>
            </w:r>
            <w:r>
              <w:fldChar w:fldCharType="end"/>
            </w:r>
            <w:r>
              <w:t>客户信息</w:t>
            </w:r>
          </w:p>
        </w:tc>
      </w:tr>
      <w:tr w14:paraId="4EB910FB">
        <w:tblPrEx>
          <w:tblCellMar>
            <w:top w:w="0" w:type="dxa"/>
            <w:left w:w="108" w:type="dxa"/>
            <w:bottom w:w="0" w:type="dxa"/>
            <w:right w:w="108" w:type="dxa"/>
          </w:tblCellMar>
        </w:tblPrEx>
        <w:trPr>
          <w:jc w:val="center"/>
        </w:trPr>
        <w:tc>
          <w:tcPr>
            <w:tcW w:w="8522" w:type="dxa"/>
          </w:tcPr>
          <w:p w14:paraId="5285C80C">
            <w:pPr>
              <w:pStyle w:val="132"/>
              <w:jc w:val="both"/>
              <w:rPr>
                <w:rFonts w:ascii="Times New Roman" w:hAnsi="Times New Roman"/>
              </w:rPr>
            </w:pPr>
            <w:r>
              <w:rPr>
                <w:rFonts w:ascii="Times New Roman" w:hAnsi="Times New Roman" w:cs="Times New Roman"/>
              </w:rPr>
              <w:drawing>
                <wp:anchor distT="0" distB="0" distL="114300" distR="114300" simplePos="0" relativeHeight="251660288" behindDoc="0" locked="0" layoutInCell="1" allowOverlap="1">
                  <wp:simplePos x="0" y="0"/>
                  <wp:positionH relativeFrom="column">
                    <wp:posOffset>1183640</wp:posOffset>
                  </wp:positionH>
                  <wp:positionV relativeFrom="paragraph">
                    <wp:posOffset>133350</wp:posOffset>
                  </wp:positionV>
                  <wp:extent cx="2879725" cy="1763395"/>
                  <wp:effectExtent l="0" t="0" r="3175" b="1905"/>
                  <wp:wrapSquare wrapText="bothSides"/>
                  <wp:docPr id="66" name="图片 66" descr="Snipaste_2025-12-18_13-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Snipaste_2025-12-18_13-47-57"/>
                          <pic:cNvPicPr>
                            <a:picLocks noChangeAspect="1"/>
                          </pic:cNvPicPr>
                        </pic:nvPicPr>
                        <pic:blipFill>
                          <a:blip r:embed="rId121"/>
                          <a:stretch>
                            <a:fillRect/>
                          </a:stretch>
                        </pic:blipFill>
                        <pic:spPr>
                          <a:xfrm>
                            <a:off x="0" y="0"/>
                            <a:ext cx="2879725" cy="1763395"/>
                          </a:xfrm>
                          <a:prstGeom prst="rect">
                            <a:avLst/>
                          </a:prstGeom>
                        </pic:spPr>
                      </pic:pic>
                    </a:graphicData>
                  </a:graphic>
                </wp:anchor>
              </w:drawing>
            </w:r>
          </w:p>
        </w:tc>
      </w:tr>
      <w:tr w14:paraId="7DBF352D">
        <w:tblPrEx>
          <w:tblCellMar>
            <w:top w:w="0" w:type="dxa"/>
            <w:left w:w="108" w:type="dxa"/>
            <w:bottom w:w="0" w:type="dxa"/>
            <w:right w:w="108" w:type="dxa"/>
          </w:tblCellMar>
        </w:tblPrEx>
        <w:trPr>
          <w:jc w:val="center"/>
        </w:trPr>
        <w:tc>
          <w:tcPr>
            <w:tcW w:w="8522" w:type="dxa"/>
          </w:tcPr>
          <w:p w14:paraId="313D4053">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3</w:t>
            </w:r>
            <w:r>
              <w:fldChar w:fldCharType="end"/>
            </w:r>
            <w:r>
              <w:t>客户预约</w:t>
            </w:r>
          </w:p>
        </w:tc>
      </w:tr>
      <w:tr w14:paraId="3947853E">
        <w:tblPrEx>
          <w:tblCellMar>
            <w:top w:w="0" w:type="dxa"/>
            <w:left w:w="108" w:type="dxa"/>
            <w:bottom w:w="0" w:type="dxa"/>
            <w:right w:w="108" w:type="dxa"/>
          </w:tblCellMar>
        </w:tblPrEx>
        <w:trPr>
          <w:jc w:val="center"/>
        </w:trPr>
        <w:tc>
          <w:tcPr>
            <w:tcW w:w="8522" w:type="dxa"/>
          </w:tcPr>
          <w:p w14:paraId="5E10D9AC">
            <w:pPr>
              <w:rPr>
                <w:rFonts w:ascii="Times New Roman" w:hAnsi="Times New Roman"/>
                <w:sz w:val="52"/>
                <w:szCs w:val="52"/>
              </w:rPr>
            </w:pPr>
            <w:r>
              <w:rPr>
                <w:rFonts w:ascii="Times New Roman" w:hAnsi="Times New Roman"/>
                <w:sz w:val="52"/>
                <w:szCs w:val="52"/>
              </w:rPr>
              <w:drawing>
                <wp:anchor distT="0" distB="0" distL="114300" distR="114300" simplePos="0" relativeHeight="251661312" behindDoc="0" locked="0" layoutInCell="1" allowOverlap="1">
                  <wp:simplePos x="0" y="0"/>
                  <wp:positionH relativeFrom="column">
                    <wp:posOffset>1293495</wp:posOffset>
                  </wp:positionH>
                  <wp:positionV relativeFrom="paragraph">
                    <wp:posOffset>191770</wp:posOffset>
                  </wp:positionV>
                  <wp:extent cx="2879725" cy="1685925"/>
                  <wp:effectExtent l="0" t="0" r="3175" b="3175"/>
                  <wp:wrapSquare wrapText="bothSides"/>
                  <wp:docPr id="67" name="图片 67" descr="Snipaste_2025-12-18_13-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Snipaste_2025-12-18_13-48-29"/>
                          <pic:cNvPicPr>
                            <a:picLocks noChangeAspect="1"/>
                          </pic:cNvPicPr>
                        </pic:nvPicPr>
                        <pic:blipFill>
                          <a:blip r:embed="rId122"/>
                          <a:stretch>
                            <a:fillRect/>
                          </a:stretch>
                        </pic:blipFill>
                        <pic:spPr>
                          <a:xfrm>
                            <a:off x="0" y="0"/>
                            <a:ext cx="2879725" cy="1685925"/>
                          </a:xfrm>
                          <a:prstGeom prst="rect">
                            <a:avLst/>
                          </a:prstGeom>
                        </pic:spPr>
                      </pic:pic>
                    </a:graphicData>
                  </a:graphic>
                </wp:anchor>
              </w:drawing>
            </w:r>
          </w:p>
          <w:p w14:paraId="58B1C0B6">
            <w:pPr>
              <w:pStyle w:val="13"/>
              <w:rPr>
                <w:rFonts w:ascii="Times New Roman" w:hAnsi="Times New Roman"/>
                <w:sz w:val="52"/>
                <w:szCs w:val="52"/>
              </w:rPr>
            </w:pPr>
          </w:p>
        </w:tc>
      </w:tr>
      <w:tr w14:paraId="508C16EB">
        <w:tblPrEx>
          <w:tblCellMar>
            <w:top w:w="0" w:type="dxa"/>
            <w:left w:w="108" w:type="dxa"/>
            <w:bottom w:w="0" w:type="dxa"/>
            <w:right w:w="108" w:type="dxa"/>
          </w:tblCellMar>
        </w:tblPrEx>
        <w:trPr>
          <w:jc w:val="center"/>
        </w:trPr>
        <w:tc>
          <w:tcPr>
            <w:tcW w:w="8522" w:type="dxa"/>
          </w:tcPr>
          <w:p w14:paraId="3C9B9068">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4</w:t>
            </w:r>
            <w:r>
              <w:fldChar w:fldCharType="end"/>
            </w:r>
            <w:r>
              <w:t>客户积分</w:t>
            </w:r>
          </w:p>
        </w:tc>
      </w:tr>
    </w:tbl>
    <w:p w14:paraId="2B4D7A2E">
      <w:pPr>
        <w:rPr>
          <w:rFonts w:ascii="Times New Roman" w:hAnsi="Times New Roman"/>
        </w:rPr>
      </w:pPr>
    </w:p>
    <w:tbl>
      <w:tblPr>
        <w:tblStyle w:val="35"/>
        <w:tblW w:w="0" w:type="auto"/>
        <w:tblInd w:w="0" w:type="dxa"/>
        <w:tblLayout w:type="autofit"/>
        <w:tblCellMar>
          <w:top w:w="0" w:type="dxa"/>
          <w:left w:w="108" w:type="dxa"/>
          <w:bottom w:w="0" w:type="dxa"/>
          <w:right w:w="108" w:type="dxa"/>
        </w:tblCellMar>
      </w:tblPr>
      <w:tblGrid>
        <w:gridCol w:w="8522"/>
      </w:tblGrid>
      <w:tr w14:paraId="66509C9E">
        <w:tblPrEx>
          <w:tblCellMar>
            <w:top w:w="0" w:type="dxa"/>
            <w:left w:w="108" w:type="dxa"/>
            <w:bottom w:w="0" w:type="dxa"/>
            <w:right w:w="108" w:type="dxa"/>
          </w:tblCellMar>
        </w:tblPrEx>
        <w:trPr>
          <w:trHeight w:val="3185" w:hRule="atLeast"/>
        </w:trPr>
        <w:tc>
          <w:tcPr>
            <w:tcW w:w="8522" w:type="dxa"/>
          </w:tcPr>
          <w:p w14:paraId="0FAD2F84">
            <w:pPr>
              <w:rPr>
                <w:rFonts w:ascii="Times New Roman" w:hAnsi="Times New Roman"/>
                <w:sz w:val="52"/>
                <w:szCs w:val="52"/>
              </w:rPr>
            </w:pPr>
            <w:r>
              <w:rPr>
                <w:rFonts w:ascii="Times New Roman" w:hAnsi="Times New Roman"/>
                <w:sz w:val="52"/>
                <w:szCs w:val="52"/>
              </w:rPr>
              <w:drawing>
                <wp:anchor distT="0" distB="0" distL="114300" distR="114300" simplePos="0" relativeHeight="251662336" behindDoc="0" locked="0" layoutInCell="1" allowOverlap="1">
                  <wp:simplePos x="0" y="0"/>
                  <wp:positionH relativeFrom="column">
                    <wp:posOffset>1106170</wp:posOffset>
                  </wp:positionH>
                  <wp:positionV relativeFrom="paragraph">
                    <wp:posOffset>-1778635</wp:posOffset>
                  </wp:positionV>
                  <wp:extent cx="2879725" cy="1895475"/>
                  <wp:effectExtent l="0" t="0" r="3175" b="9525"/>
                  <wp:wrapSquare wrapText="bothSides"/>
                  <wp:docPr id="68" name="图片 68" descr="Snipaste_2025-12-18_13-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Snipaste_2025-12-18_13-48-38"/>
                          <pic:cNvPicPr>
                            <a:picLocks noChangeAspect="1"/>
                          </pic:cNvPicPr>
                        </pic:nvPicPr>
                        <pic:blipFill>
                          <a:blip r:embed="rId123"/>
                          <a:stretch>
                            <a:fillRect/>
                          </a:stretch>
                        </pic:blipFill>
                        <pic:spPr>
                          <a:xfrm>
                            <a:off x="0" y="0"/>
                            <a:ext cx="2879725" cy="1895475"/>
                          </a:xfrm>
                          <a:prstGeom prst="rect">
                            <a:avLst/>
                          </a:prstGeom>
                        </pic:spPr>
                      </pic:pic>
                    </a:graphicData>
                  </a:graphic>
                </wp:anchor>
              </w:drawing>
            </w:r>
          </w:p>
        </w:tc>
      </w:tr>
      <w:tr w14:paraId="7C70DF8A">
        <w:tblPrEx>
          <w:tblCellMar>
            <w:top w:w="0" w:type="dxa"/>
            <w:left w:w="108" w:type="dxa"/>
            <w:bottom w:w="0" w:type="dxa"/>
            <w:right w:w="108" w:type="dxa"/>
          </w:tblCellMar>
        </w:tblPrEx>
        <w:tc>
          <w:tcPr>
            <w:tcW w:w="8522" w:type="dxa"/>
          </w:tcPr>
          <w:p w14:paraId="0DE68B7C">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5</w:t>
            </w:r>
            <w:r>
              <w:fldChar w:fldCharType="end"/>
            </w:r>
            <w:r>
              <w:t>工作单</w:t>
            </w:r>
          </w:p>
        </w:tc>
      </w:tr>
    </w:tbl>
    <w:p w14:paraId="1F652681">
      <w:pPr>
        <w:ind w:firstLine="480"/>
        <w:rPr>
          <w:rFonts w:ascii="Times New Roman" w:hAnsi="Times New Roman"/>
        </w:rPr>
      </w:pPr>
    </w:p>
    <w:tbl>
      <w:tblPr>
        <w:tblStyle w:val="35"/>
        <w:tblW w:w="0" w:type="auto"/>
        <w:tblInd w:w="0" w:type="dxa"/>
        <w:tblLayout w:type="autofit"/>
        <w:tblCellMar>
          <w:top w:w="0" w:type="dxa"/>
          <w:left w:w="108" w:type="dxa"/>
          <w:bottom w:w="0" w:type="dxa"/>
          <w:right w:w="108" w:type="dxa"/>
        </w:tblCellMar>
      </w:tblPr>
      <w:tblGrid>
        <w:gridCol w:w="8522"/>
      </w:tblGrid>
      <w:tr w14:paraId="3E169809">
        <w:tblPrEx>
          <w:tblCellMar>
            <w:top w:w="0" w:type="dxa"/>
            <w:left w:w="108" w:type="dxa"/>
            <w:bottom w:w="0" w:type="dxa"/>
            <w:right w:w="108" w:type="dxa"/>
          </w:tblCellMar>
        </w:tblPrEx>
        <w:tc>
          <w:tcPr>
            <w:tcW w:w="8522" w:type="dxa"/>
          </w:tcPr>
          <w:p w14:paraId="564ED277">
            <w:pPr>
              <w:rPr>
                <w:rFonts w:ascii="Times New Roman" w:hAnsi="Times New Roman"/>
                <w:sz w:val="52"/>
                <w:szCs w:val="52"/>
              </w:rPr>
            </w:pPr>
            <w:r>
              <w:rPr>
                <w:rFonts w:ascii="Times New Roman" w:hAnsi="Times New Roman"/>
                <w:sz w:val="52"/>
                <w:szCs w:val="52"/>
              </w:rPr>
              <w:drawing>
                <wp:anchor distT="0" distB="0" distL="114300" distR="114300" simplePos="0" relativeHeight="251664384" behindDoc="0" locked="0" layoutInCell="1" allowOverlap="1">
                  <wp:simplePos x="0" y="0"/>
                  <wp:positionH relativeFrom="column">
                    <wp:posOffset>1362075</wp:posOffset>
                  </wp:positionH>
                  <wp:positionV relativeFrom="paragraph">
                    <wp:posOffset>50165</wp:posOffset>
                  </wp:positionV>
                  <wp:extent cx="2879725" cy="1820545"/>
                  <wp:effectExtent l="0" t="0" r="3175" b="8255"/>
                  <wp:wrapSquare wrapText="bothSides"/>
                  <wp:docPr id="69" name="图片 69" descr="Snipaste_2025-12-18_1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Snipaste_2025-12-18_13-48-47"/>
                          <pic:cNvPicPr>
                            <a:picLocks noChangeAspect="1"/>
                          </pic:cNvPicPr>
                        </pic:nvPicPr>
                        <pic:blipFill>
                          <a:blip r:embed="rId124"/>
                          <a:stretch>
                            <a:fillRect/>
                          </a:stretch>
                        </pic:blipFill>
                        <pic:spPr>
                          <a:xfrm>
                            <a:off x="0" y="0"/>
                            <a:ext cx="2879725" cy="1820545"/>
                          </a:xfrm>
                          <a:prstGeom prst="rect">
                            <a:avLst/>
                          </a:prstGeom>
                        </pic:spPr>
                      </pic:pic>
                    </a:graphicData>
                  </a:graphic>
                </wp:anchor>
              </w:drawing>
            </w:r>
          </w:p>
          <w:p w14:paraId="0F9EAFE1">
            <w:pPr>
              <w:pStyle w:val="13"/>
              <w:rPr>
                <w:rFonts w:ascii="Times New Roman" w:hAnsi="Times New Roman"/>
                <w:sz w:val="52"/>
                <w:szCs w:val="52"/>
              </w:rPr>
            </w:pPr>
          </w:p>
        </w:tc>
      </w:tr>
      <w:tr w14:paraId="729A9C4F">
        <w:tblPrEx>
          <w:tblCellMar>
            <w:top w:w="0" w:type="dxa"/>
            <w:left w:w="108" w:type="dxa"/>
            <w:bottom w:w="0" w:type="dxa"/>
            <w:right w:w="108" w:type="dxa"/>
          </w:tblCellMar>
        </w:tblPrEx>
        <w:tc>
          <w:tcPr>
            <w:tcW w:w="8522" w:type="dxa"/>
          </w:tcPr>
          <w:p w14:paraId="6EE53F6B">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6</w:t>
            </w:r>
            <w:r>
              <w:fldChar w:fldCharType="end"/>
            </w:r>
            <w:r>
              <w:t>维修单</w:t>
            </w:r>
          </w:p>
        </w:tc>
      </w:tr>
      <w:tr w14:paraId="12D94F65">
        <w:tblPrEx>
          <w:tblCellMar>
            <w:top w:w="0" w:type="dxa"/>
            <w:left w:w="108" w:type="dxa"/>
            <w:bottom w:w="0" w:type="dxa"/>
            <w:right w:w="108" w:type="dxa"/>
          </w:tblCellMar>
        </w:tblPrEx>
        <w:tc>
          <w:tcPr>
            <w:tcW w:w="8522" w:type="dxa"/>
          </w:tcPr>
          <w:p w14:paraId="712CE96D">
            <w:pPr>
              <w:ind w:firstLine="1040"/>
              <w:rPr>
                <w:rFonts w:ascii="Times New Roman" w:hAnsi="Times New Roman"/>
                <w:sz w:val="52"/>
                <w:szCs w:val="52"/>
              </w:rPr>
            </w:pPr>
            <w:r>
              <w:rPr>
                <w:rFonts w:ascii="Times New Roman" w:hAnsi="Times New Roman"/>
                <w:sz w:val="52"/>
                <w:szCs w:val="52"/>
              </w:rPr>
              <w:drawing>
                <wp:anchor distT="0" distB="0" distL="114300" distR="114300" simplePos="0" relativeHeight="251665408" behindDoc="0" locked="0" layoutInCell="1" allowOverlap="1">
                  <wp:simplePos x="0" y="0"/>
                  <wp:positionH relativeFrom="column">
                    <wp:posOffset>1193165</wp:posOffset>
                  </wp:positionH>
                  <wp:positionV relativeFrom="paragraph">
                    <wp:posOffset>13335</wp:posOffset>
                  </wp:positionV>
                  <wp:extent cx="2879725" cy="1795780"/>
                  <wp:effectExtent l="0" t="0" r="3175" b="7620"/>
                  <wp:wrapSquare wrapText="bothSides"/>
                  <wp:docPr id="11" name="图片 11" descr="Snipaste_2025-12-18_13-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Snipaste_2025-12-18_13-48-53"/>
                          <pic:cNvPicPr>
                            <a:picLocks noChangeAspect="1"/>
                          </pic:cNvPicPr>
                        </pic:nvPicPr>
                        <pic:blipFill>
                          <a:blip r:embed="rId125"/>
                          <a:stretch>
                            <a:fillRect/>
                          </a:stretch>
                        </pic:blipFill>
                        <pic:spPr>
                          <a:xfrm>
                            <a:off x="0" y="0"/>
                            <a:ext cx="2879725" cy="1795780"/>
                          </a:xfrm>
                          <a:prstGeom prst="rect">
                            <a:avLst/>
                          </a:prstGeom>
                        </pic:spPr>
                      </pic:pic>
                    </a:graphicData>
                  </a:graphic>
                </wp:anchor>
              </w:drawing>
            </w:r>
          </w:p>
        </w:tc>
      </w:tr>
      <w:tr w14:paraId="371430F5">
        <w:tblPrEx>
          <w:tblCellMar>
            <w:top w:w="0" w:type="dxa"/>
            <w:left w:w="108" w:type="dxa"/>
            <w:bottom w:w="0" w:type="dxa"/>
            <w:right w:w="108" w:type="dxa"/>
          </w:tblCellMar>
        </w:tblPrEx>
        <w:tc>
          <w:tcPr>
            <w:tcW w:w="8522" w:type="dxa"/>
          </w:tcPr>
          <w:p w14:paraId="085C067D">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7</w:t>
            </w:r>
            <w:r>
              <w:fldChar w:fldCharType="end"/>
            </w:r>
            <w:r>
              <w:t>配件信息</w:t>
            </w:r>
          </w:p>
        </w:tc>
      </w:tr>
      <w:tr w14:paraId="557A418B">
        <w:tblPrEx>
          <w:tblCellMar>
            <w:top w:w="0" w:type="dxa"/>
            <w:left w:w="108" w:type="dxa"/>
            <w:bottom w:w="0" w:type="dxa"/>
            <w:right w:w="108" w:type="dxa"/>
          </w:tblCellMar>
        </w:tblPrEx>
        <w:tc>
          <w:tcPr>
            <w:tcW w:w="8522" w:type="dxa"/>
          </w:tcPr>
          <w:p w14:paraId="2BE2B95F">
            <w:pPr>
              <w:ind w:firstLine="1040"/>
              <w:rPr>
                <w:rFonts w:ascii="Times New Roman" w:hAnsi="Times New Roman"/>
                <w:sz w:val="52"/>
                <w:szCs w:val="52"/>
              </w:rPr>
            </w:pPr>
            <w:r>
              <w:rPr>
                <w:rFonts w:ascii="Times New Roman" w:hAnsi="Times New Roman"/>
                <w:sz w:val="52"/>
                <w:szCs w:val="52"/>
              </w:rPr>
              <w:drawing>
                <wp:anchor distT="0" distB="0" distL="114300" distR="114300" simplePos="0" relativeHeight="251666432" behindDoc="0" locked="0" layoutInCell="1" allowOverlap="1">
                  <wp:simplePos x="0" y="0"/>
                  <wp:positionH relativeFrom="column">
                    <wp:posOffset>1555115</wp:posOffset>
                  </wp:positionH>
                  <wp:positionV relativeFrom="paragraph">
                    <wp:posOffset>119380</wp:posOffset>
                  </wp:positionV>
                  <wp:extent cx="2879725" cy="1847850"/>
                  <wp:effectExtent l="0" t="0" r="3175" b="6350"/>
                  <wp:wrapSquare wrapText="bothSides"/>
                  <wp:docPr id="70" name="图片 70" descr="Snipaste_2025-12-18_13-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Snipaste_2025-12-18_13-49-01"/>
                          <pic:cNvPicPr>
                            <a:picLocks noChangeAspect="1"/>
                          </pic:cNvPicPr>
                        </pic:nvPicPr>
                        <pic:blipFill>
                          <a:blip r:embed="rId126"/>
                          <a:stretch>
                            <a:fillRect/>
                          </a:stretch>
                        </pic:blipFill>
                        <pic:spPr>
                          <a:xfrm>
                            <a:off x="0" y="0"/>
                            <a:ext cx="2879725" cy="1847850"/>
                          </a:xfrm>
                          <a:prstGeom prst="rect">
                            <a:avLst/>
                          </a:prstGeom>
                        </pic:spPr>
                      </pic:pic>
                    </a:graphicData>
                  </a:graphic>
                </wp:anchor>
              </w:drawing>
            </w:r>
          </w:p>
        </w:tc>
      </w:tr>
      <w:tr w14:paraId="1B125851">
        <w:tblPrEx>
          <w:tblCellMar>
            <w:top w:w="0" w:type="dxa"/>
            <w:left w:w="108" w:type="dxa"/>
            <w:bottom w:w="0" w:type="dxa"/>
            <w:right w:w="108" w:type="dxa"/>
          </w:tblCellMar>
        </w:tblPrEx>
        <w:tc>
          <w:tcPr>
            <w:tcW w:w="8522" w:type="dxa"/>
          </w:tcPr>
          <w:p w14:paraId="0EEFAD0B">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8</w:t>
            </w:r>
            <w:r>
              <w:fldChar w:fldCharType="end"/>
            </w:r>
            <w:r>
              <w:t>供应商</w:t>
            </w:r>
          </w:p>
        </w:tc>
      </w:tr>
      <w:tr w14:paraId="5BF79360">
        <w:tblPrEx>
          <w:tblCellMar>
            <w:top w:w="0" w:type="dxa"/>
            <w:left w:w="108" w:type="dxa"/>
            <w:bottom w:w="0" w:type="dxa"/>
            <w:right w:w="108" w:type="dxa"/>
          </w:tblCellMar>
        </w:tblPrEx>
        <w:tc>
          <w:tcPr>
            <w:tcW w:w="8522" w:type="dxa"/>
          </w:tcPr>
          <w:p w14:paraId="0FFFE71A">
            <w:pPr>
              <w:pStyle w:val="13"/>
              <w:jc w:val="both"/>
              <w:rPr>
                <w:rFonts w:ascii="Times New Roman" w:hAnsi="Times New Roman"/>
                <w:sz w:val="52"/>
                <w:szCs w:val="52"/>
              </w:rPr>
            </w:pPr>
            <w:r>
              <w:rPr>
                <w:rFonts w:ascii="Times New Roman" w:hAnsi="Times New Roman"/>
                <w:sz w:val="52"/>
                <w:szCs w:val="52"/>
              </w:rPr>
              <w:drawing>
                <wp:anchor distT="0" distB="0" distL="114300" distR="114300" simplePos="0" relativeHeight="251667456" behindDoc="0" locked="0" layoutInCell="1" allowOverlap="1">
                  <wp:simplePos x="0" y="0"/>
                  <wp:positionH relativeFrom="column">
                    <wp:posOffset>1363980</wp:posOffset>
                  </wp:positionH>
                  <wp:positionV relativeFrom="paragraph">
                    <wp:posOffset>-1827530</wp:posOffset>
                  </wp:positionV>
                  <wp:extent cx="2879725" cy="1920875"/>
                  <wp:effectExtent l="0" t="0" r="3175" b="9525"/>
                  <wp:wrapSquare wrapText="bothSides"/>
                  <wp:docPr id="71" name="图片 71" descr="Snipaste_2025-12-18_13-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Snipaste_2025-12-18_13-49-10"/>
                          <pic:cNvPicPr>
                            <a:picLocks noChangeAspect="1"/>
                          </pic:cNvPicPr>
                        </pic:nvPicPr>
                        <pic:blipFill>
                          <a:blip r:embed="rId127"/>
                          <a:stretch>
                            <a:fillRect/>
                          </a:stretch>
                        </pic:blipFill>
                        <pic:spPr>
                          <a:xfrm>
                            <a:off x="0" y="0"/>
                            <a:ext cx="2879725" cy="1920875"/>
                          </a:xfrm>
                          <a:prstGeom prst="rect">
                            <a:avLst/>
                          </a:prstGeom>
                        </pic:spPr>
                      </pic:pic>
                    </a:graphicData>
                  </a:graphic>
                </wp:anchor>
              </w:drawing>
            </w:r>
          </w:p>
        </w:tc>
      </w:tr>
      <w:tr w14:paraId="4B7CAE07">
        <w:tblPrEx>
          <w:tblCellMar>
            <w:top w:w="0" w:type="dxa"/>
            <w:left w:w="108" w:type="dxa"/>
            <w:bottom w:w="0" w:type="dxa"/>
            <w:right w:w="108" w:type="dxa"/>
          </w:tblCellMar>
        </w:tblPrEx>
        <w:tc>
          <w:tcPr>
            <w:tcW w:w="8522" w:type="dxa"/>
          </w:tcPr>
          <w:p w14:paraId="62BE8E0E">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9</w:t>
            </w:r>
            <w:r>
              <w:fldChar w:fldCharType="end"/>
            </w:r>
            <w:r>
              <w:t>二手车库存</w:t>
            </w:r>
          </w:p>
        </w:tc>
      </w:tr>
      <w:tr w14:paraId="137931B7">
        <w:tblPrEx>
          <w:tblCellMar>
            <w:top w:w="0" w:type="dxa"/>
            <w:left w:w="108" w:type="dxa"/>
            <w:bottom w:w="0" w:type="dxa"/>
            <w:right w:w="108" w:type="dxa"/>
          </w:tblCellMar>
        </w:tblPrEx>
        <w:tc>
          <w:tcPr>
            <w:tcW w:w="8522" w:type="dxa"/>
          </w:tcPr>
          <w:p w14:paraId="4C755F6F">
            <w:pPr>
              <w:ind w:firstLine="1040"/>
              <w:rPr>
                <w:rFonts w:ascii="Times New Roman" w:hAnsi="Times New Roman"/>
                <w:sz w:val="52"/>
                <w:szCs w:val="52"/>
              </w:rPr>
            </w:pPr>
            <w:r>
              <w:rPr>
                <w:rFonts w:ascii="Times New Roman" w:hAnsi="Times New Roman"/>
                <w:sz w:val="52"/>
                <w:szCs w:val="52"/>
              </w:rPr>
              <w:drawing>
                <wp:anchor distT="0" distB="0" distL="114300" distR="114300" simplePos="0" relativeHeight="251668480" behindDoc="0" locked="0" layoutInCell="1" allowOverlap="1">
                  <wp:simplePos x="0" y="0"/>
                  <wp:positionH relativeFrom="column">
                    <wp:posOffset>1311275</wp:posOffset>
                  </wp:positionH>
                  <wp:positionV relativeFrom="paragraph">
                    <wp:posOffset>-1616710</wp:posOffset>
                  </wp:positionV>
                  <wp:extent cx="2879725" cy="1770380"/>
                  <wp:effectExtent l="0" t="0" r="3175" b="7620"/>
                  <wp:wrapSquare wrapText="bothSides"/>
                  <wp:docPr id="72" name="图片 72" descr="Snipaste_2025-12-18_14-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Snipaste_2025-12-18_14-01-11"/>
                          <pic:cNvPicPr>
                            <a:picLocks noChangeAspect="1"/>
                          </pic:cNvPicPr>
                        </pic:nvPicPr>
                        <pic:blipFill>
                          <a:blip r:embed="rId128"/>
                          <a:stretch>
                            <a:fillRect/>
                          </a:stretch>
                        </pic:blipFill>
                        <pic:spPr>
                          <a:xfrm>
                            <a:off x="0" y="0"/>
                            <a:ext cx="2879725" cy="1770380"/>
                          </a:xfrm>
                          <a:prstGeom prst="rect">
                            <a:avLst/>
                          </a:prstGeom>
                        </pic:spPr>
                      </pic:pic>
                    </a:graphicData>
                  </a:graphic>
                </wp:anchor>
              </w:drawing>
            </w:r>
          </w:p>
          <w:p w14:paraId="1324B8FA">
            <w:pPr>
              <w:pStyle w:val="13"/>
              <w:ind w:firstLine="1040"/>
              <w:rPr>
                <w:rFonts w:ascii="Times New Roman" w:hAnsi="Times New Roman"/>
                <w:sz w:val="52"/>
                <w:szCs w:val="52"/>
              </w:rPr>
            </w:pPr>
          </w:p>
        </w:tc>
      </w:tr>
      <w:tr w14:paraId="11F03C6F">
        <w:tblPrEx>
          <w:tblCellMar>
            <w:top w:w="0" w:type="dxa"/>
            <w:left w:w="108" w:type="dxa"/>
            <w:bottom w:w="0" w:type="dxa"/>
            <w:right w:w="108" w:type="dxa"/>
          </w:tblCellMar>
        </w:tblPrEx>
        <w:tc>
          <w:tcPr>
            <w:tcW w:w="8522" w:type="dxa"/>
          </w:tcPr>
          <w:p w14:paraId="29C4F20E">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10</w:t>
            </w:r>
            <w:r>
              <w:fldChar w:fldCharType="end"/>
            </w:r>
            <w:r>
              <w:t>投诉</w:t>
            </w:r>
          </w:p>
        </w:tc>
      </w:tr>
      <w:tr w14:paraId="48CBEC6B">
        <w:tblPrEx>
          <w:tblCellMar>
            <w:top w:w="0" w:type="dxa"/>
            <w:left w:w="108" w:type="dxa"/>
            <w:bottom w:w="0" w:type="dxa"/>
            <w:right w:w="108" w:type="dxa"/>
          </w:tblCellMar>
        </w:tblPrEx>
        <w:tc>
          <w:tcPr>
            <w:tcW w:w="8522" w:type="dxa"/>
          </w:tcPr>
          <w:p w14:paraId="6D57BB40">
            <w:pPr>
              <w:ind w:firstLine="1040"/>
              <w:rPr>
                <w:rFonts w:ascii="Times New Roman" w:hAnsi="Times New Roman"/>
                <w:sz w:val="52"/>
                <w:szCs w:val="52"/>
              </w:rPr>
            </w:pPr>
            <w:r>
              <w:rPr>
                <w:rFonts w:ascii="Times New Roman" w:hAnsi="Times New Roman"/>
                <w:sz w:val="52"/>
                <w:szCs w:val="52"/>
              </w:rPr>
              <w:drawing>
                <wp:anchor distT="0" distB="0" distL="114300" distR="114300" simplePos="0" relativeHeight="251669504" behindDoc="0" locked="0" layoutInCell="1" allowOverlap="1">
                  <wp:simplePos x="0" y="0"/>
                  <wp:positionH relativeFrom="column">
                    <wp:posOffset>1294130</wp:posOffset>
                  </wp:positionH>
                  <wp:positionV relativeFrom="paragraph">
                    <wp:posOffset>50165</wp:posOffset>
                  </wp:positionV>
                  <wp:extent cx="2879725" cy="1890395"/>
                  <wp:effectExtent l="0" t="0" r="3175" b="1905"/>
                  <wp:wrapSquare wrapText="bothSides"/>
                  <wp:docPr id="13" name="图片 13" descr="Snipaste_2025-12-18_13-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nipaste_2025-12-18_13-49-25"/>
                          <pic:cNvPicPr>
                            <a:picLocks noChangeAspect="1"/>
                          </pic:cNvPicPr>
                        </pic:nvPicPr>
                        <pic:blipFill>
                          <a:blip r:embed="rId129"/>
                          <a:stretch>
                            <a:fillRect/>
                          </a:stretch>
                        </pic:blipFill>
                        <pic:spPr>
                          <a:xfrm>
                            <a:off x="0" y="0"/>
                            <a:ext cx="2879725" cy="1890395"/>
                          </a:xfrm>
                          <a:prstGeom prst="rect">
                            <a:avLst/>
                          </a:prstGeom>
                        </pic:spPr>
                      </pic:pic>
                    </a:graphicData>
                  </a:graphic>
                </wp:anchor>
              </w:drawing>
            </w:r>
          </w:p>
          <w:p w14:paraId="763BF6CD">
            <w:pPr>
              <w:pStyle w:val="13"/>
              <w:ind w:firstLine="1040"/>
              <w:rPr>
                <w:rFonts w:ascii="Times New Roman" w:hAnsi="Times New Roman"/>
                <w:sz w:val="52"/>
                <w:szCs w:val="52"/>
              </w:rPr>
            </w:pPr>
          </w:p>
        </w:tc>
      </w:tr>
      <w:tr w14:paraId="3B4B9365">
        <w:tblPrEx>
          <w:tblCellMar>
            <w:top w:w="0" w:type="dxa"/>
            <w:left w:w="108" w:type="dxa"/>
            <w:bottom w:w="0" w:type="dxa"/>
            <w:right w:w="108" w:type="dxa"/>
          </w:tblCellMar>
        </w:tblPrEx>
        <w:tc>
          <w:tcPr>
            <w:tcW w:w="8522" w:type="dxa"/>
          </w:tcPr>
          <w:p w14:paraId="03D2D9AB">
            <w:pPr>
              <w:pStyle w:val="13"/>
              <w:rPr>
                <w:rFonts w:ascii="Times New Roman" w:hAnsi="Times New Roman"/>
              </w:rPr>
            </w:pPr>
            <w:r>
              <w:t>图3</w:t>
            </w:r>
            <w:r>
              <w:rPr>
                <w:rFonts w:hint="eastAsia"/>
              </w:rPr>
              <w:t>-</w:t>
            </w:r>
            <w:r>
              <w:t xml:space="preserve"> </w:t>
            </w:r>
            <w:r>
              <w:fldChar w:fldCharType="begin"/>
            </w:r>
            <w:r>
              <w:instrText xml:space="preserve"> SEQ 图3. \* ARABIC </w:instrText>
            </w:r>
            <w:r>
              <w:fldChar w:fldCharType="separate"/>
            </w:r>
            <w:r>
              <w:t>11</w:t>
            </w:r>
            <w:r>
              <w:fldChar w:fldCharType="end"/>
            </w:r>
            <w:r>
              <w:t>问卷</w:t>
            </w:r>
          </w:p>
        </w:tc>
      </w:tr>
    </w:tbl>
    <w:p w14:paraId="69DC2248">
      <w:pPr>
        <w:pStyle w:val="130"/>
        <w:rPr>
          <w:rFonts w:hint="default"/>
        </w:rPr>
      </w:pPr>
      <w:r>
        <w:t>数据库设计围绕系统核心业务实体展开，主要包含客户、预约、工单、库存、用户、角色等核心实体。</w:t>
      </w:r>
    </w:p>
    <w:p w14:paraId="1878CB06">
      <w:pPr>
        <w:pStyle w:val="130"/>
        <w:rPr>
          <w:rFonts w:hint="default"/>
        </w:rPr>
      </w:pPr>
      <w:r>
        <w:t>3.3.2数据库核心表结构</w:t>
      </w:r>
    </w:p>
    <w:p w14:paraId="27D0D071">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accessory_info（配件信息表）</w:t>
      </w:r>
    </w:p>
    <w:p w14:paraId="06898F5F">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2</w:t>
      </w:r>
      <w:r>
        <w:rPr>
          <w:rFonts w:ascii="Times New Roman" w:hAnsi="Times New Roman"/>
        </w:rPr>
        <w:fldChar w:fldCharType="end"/>
      </w:r>
      <w:r>
        <w:rPr>
          <w:rFonts w:ascii="Times New Roman" w:hAnsi="Times New Roman"/>
        </w:rPr>
        <w:t>配件信息表</w:t>
      </w:r>
    </w:p>
    <w:tbl>
      <w:tblPr>
        <w:tblStyle w:val="35"/>
        <w:tblW w:w="8521" w:type="dxa"/>
        <w:jc w:val="center"/>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627"/>
        <w:gridCol w:w="2343"/>
        <w:gridCol w:w="1777"/>
        <w:gridCol w:w="1774"/>
      </w:tblGrid>
      <w:tr w14:paraId="06036EB2">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tblHeader/>
          <w:jc w:val="center"/>
        </w:trPr>
        <w:tc>
          <w:tcPr>
            <w:tcW w:w="2627"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0E6CC631">
            <w:pPr>
              <w:rPr>
                <w:rFonts w:ascii="Times New Roman" w:hAnsi="Times New Roman"/>
              </w:rPr>
            </w:pPr>
            <w:r>
              <w:rPr>
                <w:rFonts w:ascii="Times New Roman" w:hAnsi="Times New Roman"/>
              </w:rPr>
              <w:t>字段名</w:t>
            </w:r>
          </w:p>
        </w:tc>
        <w:tc>
          <w:tcPr>
            <w:tcW w:w="2343"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1BE63691">
            <w:pPr>
              <w:rPr>
                <w:rFonts w:ascii="Times New Roman" w:hAnsi="Times New Roman"/>
              </w:rPr>
            </w:pPr>
            <w:r>
              <w:rPr>
                <w:rFonts w:ascii="Times New Roman" w:hAnsi="Times New Roman"/>
              </w:rPr>
              <w:t>字段类型</w:t>
            </w:r>
          </w:p>
        </w:tc>
        <w:tc>
          <w:tcPr>
            <w:tcW w:w="1777"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06D6D3B6">
            <w:pPr>
              <w:rPr>
                <w:rFonts w:ascii="Times New Roman" w:hAnsi="Times New Roman"/>
              </w:rPr>
            </w:pPr>
            <w:r>
              <w:rPr>
                <w:rFonts w:ascii="Times New Roman" w:hAnsi="Times New Roman"/>
              </w:rPr>
              <w:t>是否主键</w:t>
            </w:r>
          </w:p>
        </w:tc>
        <w:tc>
          <w:tcPr>
            <w:tcW w:w="1774" w:type="dxa"/>
            <w:tcBorders>
              <w:top w:val="nil"/>
              <w:left w:val="nil"/>
              <w:bottom w:val="nil"/>
              <w:right w:val="nil"/>
            </w:tcBorders>
            <w:shd w:val="clear" w:color="auto" w:fill="F2F2F2"/>
            <w:tcMar>
              <w:top w:w="120" w:type="dxa"/>
              <w:left w:w="180" w:type="dxa"/>
              <w:bottom w:w="120" w:type="dxa"/>
              <w:right w:w="180" w:type="dxa"/>
            </w:tcMar>
            <w:vAlign w:val="center"/>
          </w:tcPr>
          <w:p w14:paraId="2439124C">
            <w:pPr>
              <w:rPr>
                <w:rFonts w:ascii="Times New Roman" w:hAnsi="Times New Roman"/>
              </w:rPr>
            </w:pPr>
            <w:r>
              <w:rPr>
                <w:rFonts w:ascii="Times New Roman" w:hAnsi="Times New Roman"/>
              </w:rPr>
              <w:t>注释</w:t>
            </w:r>
          </w:p>
        </w:tc>
      </w:tr>
      <w:tr w14:paraId="57416DC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jc w:val="center"/>
        </w:trPr>
        <w:tc>
          <w:tcPr>
            <w:tcW w:w="262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52696EE">
            <w:pPr>
              <w:rPr>
                <w:rFonts w:ascii="Times New Roman" w:hAnsi="Times New Roman"/>
              </w:rPr>
            </w:pPr>
            <w:r>
              <w:rPr>
                <w:rFonts w:ascii="Times New Roman" w:hAnsi="Times New Roman"/>
              </w:rPr>
              <w:t>accessory_id</w:t>
            </w:r>
          </w:p>
        </w:tc>
        <w:tc>
          <w:tcPr>
            <w:tcW w:w="234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271871">
            <w:pPr>
              <w:rPr>
                <w:rFonts w:ascii="Times New Roman" w:hAnsi="Times New Roman"/>
              </w:rPr>
            </w:pPr>
            <w:r>
              <w:rPr>
                <w:rFonts w:ascii="Times New Roman" w:hAnsi="Times New Roman"/>
              </w:rPr>
              <w:t>varchar(255)</w:t>
            </w:r>
          </w:p>
        </w:tc>
        <w:tc>
          <w:tcPr>
            <w:tcW w:w="177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C3FA0F">
            <w:pPr>
              <w:rPr>
                <w:rFonts w:ascii="Times New Roman" w:hAnsi="Times New Roman"/>
              </w:rPr>
            </w:pPr>
            <w:r>
              <w:rPr>
                <w:rFonts w:ascii="Times New Roman" w:hAnsi="Times New Roman"/>
              </w:rPr>
              <w:t>是</w:t>
            </w:r>
          </w:p>
        </w:tc>
        <w:tc>
          <w:tcPr>
            <w:tcW w:w="1774" w:type="dxa"/>
            <w:tcBorders>
              <w:top w:val="nil"/>
              <w:left w:val="nil"/>
              <w:bottom w:val="nil"/>
              <w:right w:val="nil"/>
            </w:tcBorders>
            <w:shd w:val="clear" w:color="auto" w:fill="auto"/>
            <w:tcMar>
              <w:top w:w="120" w:type="dxa"/>
              <w:left w:w="180" w:type="dxa"/>
              <w:bottom w:w="120" w:type="dxa"/>
              <w:right w:w="180" w:type="dxa"/>
            </w:tcMar>
            <w:vAlign w:val="center"/>
          </w:tcPr>
          <w:p w14:paraId="061ECD2C">
            <w:pPr>
              <w:rPr>
                <w:rFonts w:ascii="Times New Roman" w:hAnsi="Times New Roman"/>
              </w:rPr>
            </w:pPr>
            <w:r>
              <w:rPr>
                <w:rFonts w:ascii="Times New Roman" w:hAnsi="Times New Roman"/>
              </w:rPr>
              <w:t>配件编号</w:t>
            </w:r>
          </w:p>
        </w:tc>
      </w:tr>
      <w:tr w14:paraId="2DE2551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jc w:val="center"/>
        </w:trPr>
        <w:tc>
          <w:tcPr>
            <w:tcW w:w="262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DC14968">
            <w:pPr>
              <w:rPr>
                <w:rFonts w:ascii="Times New Roman" w:hAnsi="Times New Roman"/>
              </w:rPr>
            </w:pPr>
            <w:r>
              <w:rPr>
                <w:rFonts w:ascii="Times New Roman" w:hAnsi="Times New Roman"/>
              </w:rPr>
              <w:t>accessory_name</w:t>
            </w:r>
          </w:p>
        </w:tc>
        <w:tc>
          <w:tcPr>
            <w:tcW w:w="234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F5C788">
            <w:pPr>
              <w:rPr>
                <w:rFonts w:ascii="Times New Roman" w:hAnsi="Times New Roman"/>
              </w:rPr>
            </w:pPr>
            <w:r>
              <w:rPr>
                <w:rFonts w:ascii="Times New Roman" w:hAnsi="Times New Roman"/>
              </w:rPr>
              <w:t>varchar(255)</w:t>
            </w:r>
          </w:p>
        </w:tc>
        <w:tc>
          <w:tcPr>
            <w:tcW w:w="177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014CCAF">
            <w:pPr>
              <w:rPr>
                <w:rFonts w:ascii="Times New Roman" w:hAnsi="Times New Roman"/>
              </w:rPr>
            </w:pPr>
            <w:r>
              <w:rPr>
                <w:rFonts w:ascii="Times New Roman" w:hAnsi="Times New Roman"/>
              </w:rPr>
              <w:t>否</w:t>
            </w:r>
          </w:p>
        </w:tc>
        <w:tc>
          <w:tcPr>
            <w:tcW w:w="1774" w:type="dxa"/>
            <w:tcBorders>
              <w:top w:val="nil"/>
              <w:left w:val="nil"/>
              <w:bottom w:val="nil"/>
              <w:right w:val="nil"/>
            </w:tcBorders>
            <w:shd w:val="clear" w:color="auto" w:fill="auto"/>
            <w:tcMar>
              <w:top w:w="120" w:type="dxa"/>
              <w:left w:w="180" w:type="dxa"/>
              <w:bottom w:w="120" w:type="dxa"/>
              <w:right w:w="180" w:type="dxa"/>
            </w:tcMar>
            <w:vAlign w:val="center"/>
          </w:tcPr>
          <w:p w14:paraId="2A4C9F75">
            <w:pPr>
              <w:rPr>
                <w:rFonts w:ascii="Times New Roman" w:hAnsi="Times New Roman"/>
              </w:rPr>
            </w:pPr>
            <w:r>
              <w:rPr>
                <w:rFonts w:ascii="Times New Roman" w:hAnsi="Times New Roman"/>
              </w:rPr>
              <w:t>配件名称</w:t>
            </w:r>
          </w:p>
        </w:tc>
      </w:tr>
      <w:tr w14:paraId="6CA0A11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jc w:val="center"/>
        </w:trPr>
        <w:tc>
          <w:tcPr>
            <w:tcW w:w="262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8414167">
            <w:pPr>
              <w:rPr>
                <w:rFonts w:ascii="Times New Roman" w:hAnsi="Times New Roman"/>
              </w:rPr>
            </w:pPr>
            <w:r>
              <w:rPr>
                <w:rFonts w:ascii="Times New Roman" w:hAnsi="Times New Roman"/>
              </w:rPr>
              <w:t>stock_input</w:t>
            </w:r>
          </w:p>
        </w:tc>
        <w:tc>
          <w:tcPr>
            <w:tcW w:w="234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7597A26">
            <w:pPr>
              <w:rPr>
                <w:rFonts w:ascii="Times New Roman" w:hAnsi="Times New Roman"/>
              </w:rPr>
            </w:pPr>
            <w:r>
              <w:rPr>
                <w:rFonts w:ascii="Times New Roman" w:hAnsi="Times New Roman"/>
              </w:rPr>
              <w:t>varchar(255)</w:t>
            </w:r>
          </w:p>
        </w:tc>
        <w:tc>
          <w:tcPr>
            <w:tcW w:w="177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6942C53">
            <w:pPr>
              <w:rPr>
                <w:rFonts w:ascii="Times New Roman" w:hAnsi="Times New Roman"/>
              </w:rPr>
            </w:pPr>
            <w:r>
              <w:rPr>
                <w:rFonts w:ascii="Times New Roman" w:hAnsi="Times New Roman"/>
              </w:rPr>
              <w:t>否</w:t>
            </w:r>
          </w:p>
        </w:tc>
        <w:tc>
          <w:tcPr>
            <w:tcW w:w="1774" w:type="dxa"/>
            <w:tcBorders>
              <w:top w:val="nil"/>
              <w:left w:val="nil"/>
              <w:bottom w:val="nil"/>
              <w:right w:val="nil"/>
            </w:tcBorders>
            <w:shd w:val="clear" w:color="auto" w:fill="auto"/>
            <w:tcMar>
              <w:top w:w="120" w:type="dxa"/>
              <w:left w:w="180" w:type="dxa"/>
              <w:bottom w:w="120" w:type="dxa"/>
              <w:right w:w="180" w:type="dxa"/>
            </w:tcMar>
            <w:vAlign w:val="center"/>
          </w:tcPr>
          <w:p w14:paraId="65FF7CF7">
            <w:pPr>
              <w:rPr>
                <w:rFonts w:ascii="Times New Roman" w:hAnsi="Times New Roman"/>
              </w:rPr>
            </w:pPr>
            <w:r>
              <w:rPr>
                <w:rFonts w:ascii="Times New Roman" w:hAnsi="Times New Roman"/>
              </w:rPr>
              <w:t>入库量</w:t>
            </w:r>
          </w:p>
        </w:tc>
      </w:tr>
      <w:tr w14:paraId="1ACB27C2">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jc w:val="center"/>
        </w:trPr>
        <w:tc>
          <w:tcPr>
            <w:tcW w:w="262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395B691">
            <w:pPr>
              <w:rPr>
                <w:rFonts w:ascii="Times New Roman" w:hAnsi="Times New Roman"/>
              </w:rPr>
            </w:pPr>
            <w:r>
              <w:rPr>
                <w:rFonts w:ascii="Times New Roman" w:hAnsi="Times New Roman"/>
              </w:rPr>
              <w:t>stock_output</w:t>
            </w:r>
          </w:p>
        </w:tc>
        <w:tc>
          <w:tcPr>
            <w:tcW w:w="234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C66B780">
            <w:pPr>
              <w:rPr>
                <w:rFonts w:ascii="Times New Roman" w:hAnsi="Times New Roman"/>
              </w:rPr>
            </w:pPr>
            <w:r>
              <w:rPr>
                <w:rFonts w:ascii="Times New Roman" w:hAnsi="Times New Roman"/>
              </w:rPr>
              <w:t>varchar(255)</w:t>
            </w:r>
          </w:p>
        </w:tc>
        <w:tc>
          <w:tcPr>
            <w:tcW w:w="177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6E803D">
            <w:pPr>
              <w:rPr>
                <w:rFonts w:ascii="Times New Roman" w:hAnsi="Times New Roman"/>
              </w:rPr>
            </w:pPr>
            <w:r>
              <w:rPr>
                <w:rFonts w:ascii="Times New Roman" w:hAnsi="Times New Roman"/>
              </w:rPr>
              <w:t>否</w:t>
            </w:r>
          </w:p>
        </w:tc>
        <w:tc>
          <w:tcPr>
            <w:tcW w:w="1774" w:type="dxa"/>
            <w:tcBorders>
              <w:top w:val="nil"/>
              <w:left w:val="nil"/>
              <w:bottom w:val="nil"/>
              <w:right w:val="nil"/>
            </w:tcBorders>
            <w:shd w:val="clear" w:color="auto" w:fill="auto"/>
            <w:tcMar>
              <w:top w:w="120" w:type="dxa"/>
              <w:left w:w="180" w:type="dxa"/>
              <w:bottom w:w="120" w:type="dxa"/>
              <w:right w:w="180" w:type="dxa"/>
            </w:tcMar>
            <w:vAlign w:val="center"/>
          </w:tcPr>
          <w:p w14:paraId="5A7814F1">
            <w:pPr>
              <w:rPr>
                <w:rFonts w:ascii="Times New Roman" w:hAnsi="Times New Roman"/>
              </w:rPr>
            </w:pPr>
            <w:r>
              <w:rPr>
                <w:rFonts w:ascii="Times New Roman" w:hAnsi="Times New Roman"/>
              </w:rPr>
              <w:t>出库量</w:t>
            </w:r>
          </w:p>
        </w:tc>
      </w:tr>
      <w:tr w14:paraId="47BA59D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cantSplit/>
          <w:jc w:val="center"/>
        </w:trPr>
        <w:tc>
          <w:tcPr>
            <w:tcW w:w="262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232B2CB">
            <w:pPr>
              <w:rPr>
                <w:rFonts w:ascii="Times New Roman" w:hAnsi="Times New Roman"/>
              </w:rPr>
            </w:pPr>
            <w:r>
              <w:rPr>
                <w:rFonts w:ascii="Times New Roman" w:hAnsi="Times New Roman"/>
              </w:rPr>
              <w:t>stock_quantity</w:t>
            </w:r>
          </w:p>
        </w:tc>
        <w:tc>
          <w:tcPr>
            <w:tcW w:w="234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09EE9E7">
            <w:pPr>
              <w:rPr>
                <w:rFonts w:ascii="Times New Roman" w:hAnsi="Times New Roman"/>
              </w:rPr>
            </w:pPr>
            <w:r>
              <w:rPr>
                <w:rFonts w:ascii="Times New Roman" w:hAnsi="Times New Roman"/>
              </w:rPr>
              <w:t>varchar(255)</w:t>
            </w:r>
          </w:p>
        </w:tc>
        <w:tc>
          <w:tcPr>
            <w:tcW w:w="177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EE7ABBE">
            <w:pPr>
              <w:rPr>
                <w:rFonts w:ascii="Times New Roman" w:hAnsi="Times New Roman"/>
              </w:rPr>
            </w:pPr>
            <w:r>
              <w:rPr>
                <w:rFonts w:ascii="Times New Roman" w:hAnsi="Times New Roman"/>
              </w:rPr>
              <w:t>否</w:t>
            </w:r>
          </w:p>
        </w:tc>
        <w:tc>
          <w:tcPr>
            <w:tcW w:w="1774" w:type="dxa"/>
            <w:tcBorders>
              <w:top w:val="nil"/>
              <w:left w:val="nil"/>
              <w:bottom w:val="nil"/>
              <w:right w:val="nil"/>
            </w:tcBorders>
            <w:shd w:val="clear" w:color="auto" w:fill="auto"/>
            <w:tcMar>
              <w:top w:w="120" w:type="dxa"/>
              <w:left w:w="180" w:type="dxa"/>
              <w:bottom w:w="120" w:type="dxa"/>
              <w:right w:w="180" w:type="dxa"/>
            </w:tcMar>
            <w:vAlign w:val="center"/>
          </w:tcPr>
          <w:p w14:paraId="218AAD38">
            <w:pPr>
              <w:rPr>
                <w:rFonts w:ascii="Times New Roman" w:hAnsi="Times New Roman"/>
              </w:rPr>
            </w:pPr>
            <w:r>
              <w:rPr>
                <w:rFonts w:ascii="Times New Roman" w:hAnsi="Times New Roman"/>
              </w:rPr>
              <w:t>库存量</w:t>
            </w:r>
          </w:p>
        </w:tc>
      </w:tr>
    </w:tbl>
    <w:p w14:paraId="6A5FC2FF">
      <w:pPr>
        <w:rPr>
          <w:rFonts w:ascii="Times New Roman" w:hAnsi="Times New Roman"/>
        </w:rPr>
      </w:pPr>
    </w:p>
    <w:p w14:paraId="01DC9D7B">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complaint_info（投诉信息表）</w:t>
      </w:r>
    </w:p>
    <w:p w14:paraId="12C99875">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3</w:t>
      </w:r>
      <w:r>
        <w:rPr>
          <w:rFonts w:ascii="Times New Roman" w:hAnsi="Times New Roman"/>
        </w:rPr>
        <w:fldChar w:fldCharType="end"/>
      </w:r>
      <w:r>
        <w:rPr>
          <w:rFonts w:ascii="Times New Roman" w:hAnsi="Times New Roman"/>
        </w:rPr>
        <w:t>投诉信息表</w:t>
      </w:r>
    </w:p>
    <w:tbl>
      <w:tblPr>
        <w:tblStyle w:val="35"/>
        <w:tblW w:w="8522" w:type="dxa"/>
        <w:jc w:val="center"/>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821"/>
        <w:gridCol w:w="2161"/>
        <w:gridCol w:w="1640"/>
        <w:gridCol w:w="1900"/>
      </w:tblGrid>
      <w:tr w14:paraId="463E8404">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jc w:val="center"/>
        </w:trPr>
        <w:tc>
          <w:tcPr>
            <w:tcW w:w="2821"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255257DA">
            <w:pPr>
              <w:rPr>
                <w:rFonts w:ascii="Times New Roman" w:hAnsi="Times New Roman"/>
              </w:rPr>
            </w:pPr>
            <w:r>
              <w:rPr>
                <w:rFonts w:ascii="Times New Roman" w:hAnsi="Times New Roman"/>
              </w:rPr>
              <w:t>字段名</w:t>
            </w:r>
          </w:p>
        </w:tc>
        <w:tc>
          <w:tcPr>
            <w:tcW w:w="2161"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2882605C">
            <w:pPr>
              <w:rPr>
                <w:rFonts w:ascii="Times New Roman" w:hAnsi="Times New Roman"/>
              </w:rPr>
            </w:pPr>
            <w:r>
              <w:rPr>
                <w:rFonts w:ascii="Times New Roman" w:hAnsi="Times New Roman"/>
              </w:rPr>
              <w:t>字段类型</w:t>
            </w:r>
          </w:p>
        </w:tc>
        <w:tc>
          <w:tcPr>
            <w:tcW w:w="1640"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5037D35A">
            <w:pPr>
              <w:rPr>
                <w:rFonts w:ascii="Times New Roman" w:hAnsi="Times New Roman"/>
              </w:rPr>
            </w:pPr>
            <w:r>
              <w:rPr>
                <w:rFonts w:ascii="Times New Roman" w:hAnsi="Times New Roman"/>
              </w:rPr>
              <w:t>是否主键</w:t>
            </w:r>
          </w:p>
        </w:tc>
        <w:tc>
          <w:tcPr>
            <w:tcW w:w="1900" w:type="dxa"/>
            <w:tcBorders>
              <w:top w:val="nil"/>
              <w:left w:val="nil"/>
              <w:bottom w:val="nil"/>
              <w:right w:val="nil"/>
            </w:tcBorders>
            <w:shd w:val="clear" w:color="auto" w:fill="F2F2F2"/>
            <w:tcMar>
              <w:top w:w="120" w:type="dxa"/>
              <w:left w:w="180" w:type="dxa"/>
              <w:bottom w:w="120" w:type="dxa"/>
              <w:right w:w="180" w:type="dxa"/>
            </w:tcMar>
            <w:vAlign w:val="center"/>
          </w:tcPr>
          <w:p w14:paraId="7681F03D">
            <w:pPr>
              <w:rPr>
                <w:rFonts w:ascii="Times New Roman" w:hAnsi="Times New Roman"/>
              </w:rPr>
            </w:pPr>
            <w:r>
              <w:rPr>
                <w:rFonts w:ascii="Times New Roman" w:hAnsi="Times New Roman"/>
              </w:rPr>
              <w:t>注释</w:t>
            </w:r>
          </w:p>
        </w:tc>
      </w:tr>
      <w:tr w14:paraId="7D4D7809">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28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8FDAA2A">
            <w:pPr>
              <w:rPr>
                <w:rFonts w:ascii="Times New Roman" w:hAnsi="Times New Roman"/>
              </w:rPr>
            </w:pPr>
            <w:r>
              <w:rPr>
                <w:rFonts w:ascii="Times New Roman" w:hAnsi="Times New Roman"/>
              </w:rPr>
              <w:t>complaint_id</w:t>
            </w:r>
          </w:p>
        </w:tc>
        <w:tc>
          <w:tcPr>
            <w:tcW w:w="216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C6E47C8">
            <w:pPr>
              <w:rPr>
                <w:rFonts w:ascii="Times New Roman" w:hAnsi="Times New Roman"/>
              </w:rPr>
            </w:pPr>
            <w:r>
              <w:rPr>
                <w:rFonts w:ascii="Times New Roman" w:hAnsi="Times New Roman"/>
              </w:rPr>
              <w:t>varchar(255)</w:t>
            </w:r>
          </w:p>
        </w:tc>
        <w:tc>
          <w:tcPr>
            <w:tcW w:w="1640"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CC674BD">
            <w:pPr>
              <w:rPr>
                <w:rFonts w:ascii="Times New Roman" w:hAnsi="Times New Roman"/>
              </w:rPr>
            </w:pPr>
            <w:r>
              <w:rPr>
                <w:rFonts w:ascii="Times New Roman" w:hAnsi="Times New Roman"/>
              </w:rPr>
              <w:t>是</w:t>
            </w:r>
          </w:p>
        </w:tc>
        <w:tc>
          <w:tcPr>
            <w:tcW w:w="1900" w:type="dxa"/>
            <w:tcBorders>
              <w:top w:val="nil"/>
              <w:left w:val="nil"/>
              <w:bottom w:val="nil"/>
              <w:right w:val="nil"/>
            </w:tcBorders>
            <w:shd w:val="clear" w:color="auto" w:fill="auto"/>
            <w:tcMar>
              <w:top w:w="120" w:type="dxa"/>
              <w:left w:w="180" w:type="dxa"/>
              <w:bottom w:w="120" w:type="dxa"/>
              <w:right w:w="180" w:type="dxa"/>
            </w:tcMar>
            <w:vAlign w:val="center"/>
          </w:tcPr>
          <w:p w14:paraId="3A6DFAFF">
            <w:pPr>
              <w:rPr>
                <w:rFonts w:ascii="Times New Roman" w:hAnsi="Times New Roman"/>
              </w:rPr>
            </w:pPr>
            <w:r>
              <w:rPr>
                <w:rFonts w:ascii="Times New Roman" w:hAnsi="Times New Roman"/>
              </w:rPr>
              <w:t>投诉单编号</w:t>
            </w:r>
          </w:p>
        </w:tc>
      </w:tr>
      <w:tr w14:paraId="493F9A9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28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4B454B3">
            <w:pPr>
              <w:rPr>
                <w:rFonts w:ascii="Times New Roman" w:hAnsi="Times New Roman"/>
              </w:rPr>
            </w:pPr>
            <w:r>
              <w:rPr>
                <w:rFonts w:ascii="Times New Roman" w:hAnsi="Times New Roman"/>
              </w:rPr>
              <w:t>customer_id</w:t>
            </w:r>
          </w:p>
        </w:tc>
        <w:tc>
          <w:tcPr>
            <w:tcW w:w="216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6E5539F">
            <w:pPr>
              <w:rPr>
                <w:rFonts w:ascii="Times New Roman" w:hAnsi="Times New Roman"/>
              </w:rPr>
            </w:pPr>
            <w:r>
              <w:rPr>
                <w:rFonts w:ascii="Times New Roman" w:hAnsi="Times New Roman"/>
              </w:rPr>
              <w:t>varchar(255)</w:t>
            </w:r>
          </w:p>
        </w:tc>
        <w:tc>
          <w:tcPr>
            <w:tcW w:w="1640"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D975A2C">
            <w:pPr>
              <w:rPr>
                <w:rFonts w:ascii="Times New Roman" w:hAnsi="Times New Roman"/>
              </w:rPr>
            </w:pPr>
            <w:r>
              <w:rPr>
                <w:rFonts w:ascii="Times New Roman" w:hAnsi="Times New Roman"/>
              </w:rPr>
              <w:t>否</w:t>
            </w:r>
          </w:p>
        </w:tc>
        <w:tc>
          <w:tcPr>
            <w:tcW w:w="1900" w:type="dxa"/>
            <w:tcBorders>
              <w:top w:val="nil"/>
              <w:left w:val="nil"/>
              <w:bottom w:val="nil"/>
              <w:right w:val="nil"/>
            </w:tcBorders>
            <w:shd w:val="clear" w:color="auto" w:fill="auto"/>
            <w:tcMar>
              <w:top w:w="120" w:type="dxa"/>
              <w:left w:w="180" w:type="dxa"/>
              <w:bottom w:w="120" w:type="dxa"/>
              <w:right w:w="180" w:type="dxa"/>
            </w:tcMar>
            <w:vAlign w:val="center"/>
          </w:tcPr>
          <w:p w14:paraId="4AD94CD9">
            <w:pPr>
              <w:rPr>
                <w:rFonts w:ascii="Times New Roman" w:hAnsi="Times New Roman"/>
              </w:rPr>
            </w:pPr>
            <w:r>
              <w:rPr>
                <w:rFonts w:ascii="Times New Roman" w:hAnsi="Times New Roman"/>
              </w:rPr>
              <w:t>客户编号</w:t>
            </w:r>
          </w:p>
        </w:tc>
      </w:tr>
      <w:tr w14:paraId="286F1D3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28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DFD7834">
            <w:pPr>
              <w:rPr>
                <w:rFonts w:ascii="Times New Roman" w:hAnsi="Times New Roman"/>
              </w:rPr>
            </w:pPr>
            <w:r>
              <w:rPr>
                <w:rFonts w:ascii="Times New Roman" w:hAnsi="Times New Roman"/>
              </w:rPr>
              <w:t>complaint_content</w:t>
            </w:r>
          </w:p>
        </w:tc>
        <w:tc>
          <w:tcPr>
            <w:tcW w:w="216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1630E31">
            <w:pPr>
              <w:rPr>
                <w:rFonts w:ascii="Times New Roman" w:hAnsi="Times New Roman"/>
              </w:rPr>
            </w:pPr>
            <w:r>
              <w:rPr>
                <w:rFonts w:ascii="Times New Roman" w:hAnsi="Times New Roman"/>
              </w:rPr>
              <w:t>varchar(255)</w:t>
            </w:r>
          </w:p>
        </w:tc>
        <w:tc>
          <w:tcPr>
            <w:tcW w:w="1640"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4D2D386">
            <w:pPr>
              <w:rPr>
                <w:rFonts w:ascii="Times New Roman" w:hAnsi="Times New Roman"/>
              </w:rPr>
            </w:pPr>
            <w:r>
              <w:rPr>
                <w:rFonts w:ascii="Times New Roman" w:hAnsi="Times New Roman"/>
              </w:rPr>
              <w:t>否</w:t>
            </w:r>
          </w:p>
        </w:tc>
        <w:tc>
          <w:tcPr>
            <w:tcW w:w="1900" w:type="dxa"/>
            <w:tcBorders>
              <w:top w:val="nil"/>
              <w:left w:val="nil"/>
              <w:bottom w:val="nil"/>
              <w:right w:val="nil"/>
            </w:tcBorders>
            <w:shd w:val="clear" w:color="auto" w:fill="auto"/>
            <w:tcMar>
              <w:top w:w="120" w:type="dxa"/>
              <w:left w:w="180" w:type="dxa"/>
              <w:bottom w:w="120" w:type="dxa"/>
              <w:right w:w="180" w:type="dxa"/>
            </w:tcMar>
            <w:vAlign w:val="center"/>
          </w:tcPr>
          <w:p w14:paraId="0D6301AD">
            <w:pPr>
              <w:rPr>
                <w:rFonts w:ascii="Times New Roman" w:hAnsi="Times New Roman"/>
              </w:rPr>
            </w:pPr>
            <w:r>
              <w:rPr>
                <w:rFonts w:ascii="Times New Roman" w:hAnsi="Times New Roman"/>
              </w:rPr>
              <w:t>投诉内容</w:t>
            </w:r>
          </w:p>
        </w:tc>
      </w:tr>
      <w:tr w14:paraId="77678730">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28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D27C77">
            <w:pPr>
              <w:rPr>
                <w:rFonts w:ascii="Times New Roman" w:hAnsi="Times New Roman"/>
              </w:rPr>
            </w:pPr>
            <w:r>
              <w:rPr>
                <w:rFonts w:ascii="Times New Roman" w:hAnsi="Times New Roman"/>
              </w:rPr>
              <w:t>is_handled</w:t>
            </w:r>
          </w:p>
        </w:tc>
        <w:tc>
          <w:tcPr>
            <w:tcW w:w="216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84FC19F">
            <w:pPr>
              <w:rPr>
                <w:rFonts w:ascii="Times New Roman" w:hAnsi="Times New Roman"/>
              </w:rPr>
            </w:pPr>
            <w:r>
              <w:rPr>
                <w:rFonts w:ascii="Times New Roman" w:hAnsi="Times New Roman"/>
              </w:rPr>
              <w:t>varchar(255)</w:t>
            </w:r>
          </w:p>
        </w:tc>
        <w:tc>
          <w:tcPr>
            <w:tcW w:w="1640"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D0FEEE9">
            <w:pPr>
              <w:rPr>
                <w:rFonts w:ascii="Times New Roman" w:hAnsi="Times New Roman"/>
              </w:rPr>
            </w:pPr>
            <w:r>
              <w:rPr>
                <w:rFonts w:ascii="Times New Roman" w:hAnsi="Times New Roman"/>
              </w:rPr>
              <w:t>否</w:t>
            </w:r>
          </w:p>
        </w:tc>
        <w:tc>
          <w:tcPr>
            <w:tcW w:w="1900" w:type="dxa"/>
            <w:tcBorders>
              <w:top w:val="nil"/>
              <w:left w:val="nil"/>
              <w:bottom w:val="nil"/>
              <w:right w:val="nil"/>
            </w:tcBorders>
            <w:shd w:val="clear" w:color="auto" w:fill="auto"/>
            <w:tcMar>
              <w:top w:w="120" w:type="dxa"/>
              <w:left w:w="180" w:type="dxa"/>
              <w:bottom w:w="120" w:type="dxa"/>
              <w:right w:w="180" w:type="dxa"/>
            </w:tcMar>
            <w:vAlign w:val="center"/>
          </w:tcPr>
          <w:p w14:paraId="6E2B22FC">
            <w:pPr>
              <w:rPr>
                <w:rFonts w:ascii="Times New Roman" w:hAnsi="Times New Roman"/>
              </w:rPr>
            </w:pPr>
            <w:r>
              <w:rPr>
                <w:rFonts w:ascii="Times New Roman" w:hAnsi="Times New Roman"/>
              </w:rPr>
              <w:t>是否处理</w:t>
            </w:r>
          </w:p>
        </w:tc>
      </w:tr>
    </w:tbl>
    <w:p w14:paraId="5070B8DF">
      <w:pPr>
        <w:rPr>
          <w:rFonts w:ascii="Times New Roman" w:hAnsi="Times New Roman"/>
        </w:rPr>
      </w:pPr>
    </w:p>
    <w:p w14:paraId="3D49E871">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customer_appointments（客户预约信息表）</w:t>
      </w:r>
    </w:p>
    <w:p w14:paraId="5D33D7CC">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4</w:t>
      </w:r>
      <w:r>
        <w:rPr>
          <w:rFonts w:ascii="Times New Roman" w:hAnsi="Times New Roman"/>
        </w:rPr>
        <w:fldChar w:fldCharType="end"/>
      </w:r>
      <w:r>
        <w:rPr>
          <w:rFonts w:ascii="Times New Roman" w:hAnsi="Times New Roman"/>
        </w:rPr>
        <w:t>客户预约信息表</w:t>
      </w:r>
    </w:p>
    <w:tbl>
      <w:tblPr>
        <w:tblStyle w:val="35"/>
        <w:tblW w:w="8522" w:type="dxa"/>
        <w:jc w:val="center"/>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1889"/>
        <w:gridCol w:w="1463"/>
        <w:gridCol w:w="1100"/>
        <w:gridCol w:w="4070"/>
      </w:tblGrid>
      <w:tr w14:paraId="157EE421">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jc w:val="center"/>
        </w:trPr>
        <w:tc>
          <w:tcPr>
            <w:tcW w:w="1823"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4C9A65CF">
            <w:pPr>
              <w:rPr>
                <w:rFonts w:ascii="Times New Roman" w:hAnsi="Times New Roman"/>
              </w:rPr>
            </w:pPr>
            <w:r>
              <w:rPr>
                <w:rFonts w:ascii="Times New Roman" w:hAnsi="Times New Roman"/>
              </w:rPr>
              <w:t>字段名</w:t>
            </w:r>
          </w:p>
        </w:tc>
        <w:tc>
          <w:tcPr>
            <w:tcW w:w="1463"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3C696213">
            <w:pPr>
              <w:rPr>
                <w:rFonts w:ascii="Times New Roman" w:hAnsi="Times New Roman"/>
              </w:rPr>
            </w:pPr>
            <w:r>
              <w:rPr>
                <w:rFonts w:ascii="Times New Roman" w:hAnsi="Times New Roman"/>
              </w:rPr>
              <w:t>字段类型</w:t>
            </w:r>
          </w:p>
        </w:tc>
        <w:tc>
          <w:tcPr>
            <w:tcW w:w="1109"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05ADE49">
            <w:pPr>
              <w:rPr>
                <w:rFonts w:ascii="Times New Roman" w:hAnsi="Times New Roman"/>
              </w:rPr>
            </w:pPr>
            <w:r>
              <w:rPr>
                <w:rFonts w:ascii="Times New Roman" w:hAnsi="Times New Roman"/>
              </w:rPr>
              <w:t>是否主键</w:t>
            </w:r>
          </w:p>
        </w:tc>
        <w:tc>
          <w:tcPr>
            <w:tcW w:w="4127" w:type="dxa"/>
            <w:tcBorders>
              <w:top w:val="nil"/>
              <w:left w:val="nil"/>
              <w:bottom w:val="nil"/>
              <w:right w:val="nil"/>
            </w:tcBorders>
            <w:shd w:val="clear" w:color="auto" w:fill="F2F2F2"/>
            <w:tcMar>
              <w:top w:w="120" w:type="dxa"/>
              <w:left w:w="180" w:type="dxa"/>
              <w:bottom w:w="120" w:type="dxa"/>
              <w:right w:w="180" w:type="dxa"/>
            </w:tcMar>
            <w:vAlign w:val="center"/>
          </w:tcPr>
          <w:p w14:paraId="0A9A74E0">
            <w:pPr>
              <w:rPr>
                <w:rFonts w:ascii="Times New Roman" w:hAnsi="Times New Roman"/>
              </w:rPr>
            </w:pPr>
            <w:r>
              <w:rPr>
                <w:rFonts w:ascii="Times New Roman" w:hAnsi="Times New Roman"/>
              </w:rPr>
              <w:t>注释</w:t>
            </w:r>
          </w:p>
        </w:tc>
      </w:tr>
      <w:tr w14:paraId="3D45BC1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182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EE2502A">
            <w:pPr>
              <w:rPr>
                <w:rFonts w:ascii="Times New Roman" w:hAnsi="Times New Roman"/>
              </w:rPr>
            </w:pPr>
            <w:r>
              <w:rPr>
                <w:rFonts w:ascii="Times New Roman" w:hAnsi="Times New Roman"/>
              </w:rPr>
              <w:t>customer_id</w:t>
            </w:r>
          </w:p>
        </w:tc>
        <w:tc>
          <w:tcPr>
            <w:tcW w:w="146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31653B6">
            <w:pPr>
              <w:rPr>
                <w:rFonts w:ascii="Times New Roman" w:hAnsi="Times New Roman"/>
              </w:rPr>
            </w:pPr>
            <w:r>
              <w:rPr>
                <w:rFonts w:ascii="Times New Roman" w:hAnsi="Times New Roman"/>
              </w:rPr>
              <w:t>varchar(255)</w:t>
            </w:r>
          </w:p>
        </w:tc>
        <w:tc>
          <w:tcPr>
            <w:tcW w:w="11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CEAFE16">
            <w:pPr>
              <w:rPr>
                <w:rFonts w:ascii="Times New Roman" w:hAnsi="Times New Roman"/>
              </w:rPr>
            </w:pPr>
            <w:r>
              <w:rPr>
                <w:rFonts w:ascii="Times New Roman" w:hAnsi="Times New Roman"/>
              </w:rPr>
              <w:t>是</w:t>
            </w:r>
          </w:p>
        </w:tc>
        <w:tc>
          <w:tcPr>
            <w:tcW w:w="4127" w:type="dxa"/>
            <w:tcBorders>
              <w:top w:val="nil"/>
              <w:left w:val="nil"/>
              <w:bottom w:val="nil"/>
              <w:right w:val="nil"/>
            </w:tcBorders>
            <w:shd w:val="clear" w:color="auto" w:fill="auto"/>
            <w:tcMar>
              <w:top w:w="120" w:type="dxa"/>
              <w:left w:w="180" w:type="dxa"/>
              <w:bottom w:w="120" w:type="dxa"/>
              <w:right w:w="180" w:type="dxa"/>
            </w:tcMar>
            <w:vAlign w:val="center"/>
          </w:tcPr>
          <w:p w14:paraId="0EE0CDCF">
            <w:pPr>
              <w:rPr>
                <w:rFonts w:ascii="Times New Roman" w:hAnsi="Times New Roman"/>
              </w:rPr>
            </w:pPr>
            <w:r>
              <w:rPr>
                <w:rFonts w:ascii="Times New Roman" w:hAnsi="Times New Roman"/>
              </w:rPr>
              <w:t>客户唯一标识</w:t>
            </w:r>
          </w:p>
        </w:tc>
      </w:tr>
      <w:tr w14:paraId="6B9B737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182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F624526">
            <w:pPr>
              <w:rPr>
                <w:rFonts w:ascii="Times New Roman" w:hAnsi="Times New Roman"/>
              </w:rPr>
            </w:pPr>
            <w:r>
              <w:rPr>
                <w:rFonts w:ascii="Times New Roman" w:hAnsi="Times New Roman"/>
              </w:rPr>
              <w:t>appointment_time</w:t>
            </w:r>
          </w:p>
        </w:tc>
        <w:tc>
          <w:tcPr>
            <w:tcW w:w="146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3BBF462">
            <w:pPr>
              <w:rPr>
                <w:rFonts w:ascii="Times New Roman" w:hAnsi="Times New Roman"/>
              </w:rPr>
            </w:pPr>
            <w:r>
              <w:rPr>
                <w:rFonts w:ascii="Times New Roman" w:hAnsi="Times New Roman"/>
              </w:rPr>
              <w:t>varchar(255)</w:t>
            </w:r>
          </w:p>
        </w:tc>
        <w:tc>
          <w:tcPr>
            <w:tcW w:w="11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DD3A11C">
            <w:pPr>
              <w:rPr>
                <w:rFonts w:ascii="Times New Roman" w:hAnsi="Times New Roman"/>
              </w:rPr>
            </w:pPr>
            <w:r>
              <w:rPr>
                <w:rFonts w:ascii="Times New Roman" w:hAnsi="Times New Roman"/>
              </w:rPr>
              <w:t>否</w:t>
            </w:r>
          </w:p>
        </w:tc>
        <w:tc>
          <w:tcPr>
            <w:tcW w:w="4127" w:type="dxa"/>
            <w:tcBorders>
              <w:top w:val="nil"/>
              <w:left w:val="nil"/>
              <w:bottom w:val="nil"/>
              <w:right w:val="nil"/>
            </w:tcBorders>
            <w:shd w:val="clear" w:color="auto" w:fill="auto"/>
            <w:tcMar>
              <w:top w:w="120" w:type="dxa"/>
              <w:left w:w="180" w:type="dxa"/>
              <w:bottom w:w="120" w:type="dxa"/>
              <w:right w:w="180" w:type="dxa"/>
            </w:tcMar>
            <w:vAlign w:val="center"/>
          </w:tcPr>
          <w:p w14:paraId="67DA8192">
            <w:pPr>
              <w:rPr>
                <w:rFonts w:ascii="Times New Roman" w:hAnsi="Times New Roman"/>
              </w:rPr>
            </w:pPr>
            <w:r>
              <w:rPr>
                <w:rFonts w:ascii="Times New Roman" w:hAnsi="Times New Roman"/>
              </w:rPr>
              <w:t>预约服务的时间</w:t>
            </w:r>
          </w:p>
        </w:tc>
      </w:tr>
      <w:tr w14:paraId="6C6D07D1">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182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DA7A6CC">
            <w:pPr>
              <w:rPr>
                <w:rFonts w:ascii="Times New Roman" w:hAnsi="Times New Roman"/>
              </w:rPr>
            </w:pPr>
            <w:r>
              <w:rPr>
                <w:rFonts w:ascii="Times New Roman" w:hAnsi="Times New Roman"/>
              </w:rPr>
              <w:t>service_type</w:t>
            </w:r>
          </w:p>
        </w:tc>
        <w:tc>
          <w:tcPr>
            <w:tcW w:w="146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8A9D80D">
            <w:pPr>
              <w:rPr>
                <w:rFonts w:ascii="Times New Roman" w:hAnsi="Times New Roman"/>
              </w:rPr>
            </w:pPr>
            <w:r>
              <w:rPr>
                <w:rFonts w:ascii="Times New Roman" w:hAnsi="Times New Roman"/>
              </w:rPr>
              <w:t>varchar(255)</w:t>
            </w:r>
          </w:p>
        </w:tc>
        <w:tc>
          <w:tcPr>
            <w:tcW w:w="11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B2269B1">
            <w:pPr>
              <w:rPr>
                <w:rFonts w:ascii="Times New Roman" w:hAnsi="Times New Roman"/>
              </w:rPr>
            </w:pPr>
            <w:r>
              <w:rPr>
                <w:rFonts w:ascii="Times New Roman" w:hAnsi="Times New Roman"/>
              </w:rPr>
              <w:t>否</w:t>
            </w:r>
          </w:p>
        </w:tc>
        <w:tc>
          <w:tcPr>
            <w:tcW w:w="4127" w:type="dxa"/>
            <w:tcBorders>
              <w:top w:val="nil"/>
              <w:left w:val="nil"/>
              <w:bottom w:val="nil"/>
              <w:right w:val="nil"/>
            </w:tcBorders>
            <w:shd w:val="clear" w:color="auto" w:fill="auto"/>
            <w:tcMar>
              <w:top w:w="120" w:type="dxa"/>
              <w:left w:w="180" w:type="dxa"/>
              <w:bottom w:w="120" w:type="dxa"/>
              <w:right w:w="180" w:type="dxa"/>
            </w:tcMar>
            <w:vAlign w:val="center"/>
          </w:tcPr>
          <w:p w14:paraId="20013B58">
            <w:pPr>
              <w:rPr>
                <w:rFonts w:ascii="Times New Roman" w:hAnsi="Times New Roman"/>
              </w:rPr>
            </w:pPr>
            <w:r>
              <w:rPr>
                <w:rFonts w:ascii="Times New Roman" w:hAnsi="Times New Roman"/>
              </w:rPr>
              <w:t>客户预约的服务类型，0 保养；1 维修；2 检测</w:t>
            </w:r>
          </w:p>
        </w:tc>
      </w:tr>
      <w:tr w14:paraId="040B43D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182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3182916">
            <w:pPr>
              <w:rPr>
                <w:rFonts w:ascii="Times New Roman" w:hAnsi="Times New Roman"/>
              </w:rPr>
            </w:pPr>
            <w:r>
              <w:rPr>
                <w:rFonts w:ascii="Times New Roman" w:hAnsi="Times New Roman"/>
              </w:rPr>
              <w:t>is_canceled</w:t>
            </w:r>
          </w:p>
        </w:tc>
        <w:tc>
          <w:tcPr>
            <w:tcW w:w="146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E5079EF">
            <w:pPr>
              <w:rPr>
                <w:rFonts w:ascii="Times New Roman" w:hAnsi="Times New Roman"/>
              </w:rPr>
            </w:pPr>
            <w:r>
              <w:rPr>
                <w:rFonts w:ascii="Times New Roman" w:hAnsi="Times New Roman"/>
              </w:rPr>
              <w:t>varchar(255)</w:t>
            </w:r>
          </w:p>
        </w:tc>
        <w:tc>
          <w:tcPr>
            <w:tcW w:w="11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04353A8">
            <w:pPr>
              <w:rPr>
                <w:rFonts w:ascii="Times New Roman" w:hAnsi="Times New Roman"/>
              </w:rPr>
            </w:pPr>
            <w:r>
              <w:rPr>
                <w:rFonts w:ascii="Times New Roman" w:hAnsi="Times New Roman"/>
              </w:rPr>
              <w:t>否</w:t>
            </w:r>
          </w:p>
        </w:tc>
        <w:tc>
          <w:tcPr>
            <w:tcW w:w="4127" w:type="dxa"/>
            <w:tcBorders>
              <w:top w:val="nil"/>
              <w:left w:val="nil"/>
              <w:bottom w:val="nil"/>
              <w:right w:val="nil"/>
            </w:tcBorders>
            <w:shd w:val="clear" w:color="auto" w:fill="auto"/>
            <w:tcMar>
              <w:top w:w="120" w:type="dxa"/>
              <w:left w:w="180" w:type="dxa"/>
              <w:bottom w:w="120" w:type="dxa"/>
              <w:right w:w="180" w:type="dxa"/>
            </w:tcMar>
            <w:vAlign w:val="center"/>
          </w:tcPr>
          <w:p w14:paraId="25726BA0">
            <w:pPr>
              <w:rPr>
                <w:rFonts w:ascii="Times New Roman" w:hAnsi="Times New Roman"/>
              </w:rPr>
            </w:pPr>
            <w:r>
              <w:rPr>
                <w:rFonts w:ascii="Times New Roman" w:hAnsi="Times New Roman"/>
              </w:rPr>
              <w:t>预约是否被取消，0 表示未取消，1 表示取消</w:t>
            </w:r>
          </w:p>
        </w:tc>
      </w:tr>
      <w:tr w14:paraId="1BE1B610">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jc w:val="center"/>
        </w:trPr>
        <w:tc>
          <w:tcPr>
            <w:tcW w:w="182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5A440BE">
            <w:pPr>
              <w:rPr>
                <w:rFonts w:ascii="Times New Roman" w:hAnsi="Times New Roman"/>
              </w:rPr>
            </w:pPr>
            <w:r>
              <w:rPr>
                <w:rFonts w:ascii="Times New Roman" w:hAnsi="Times New Roman"/>
              </w:rPr>
              <w:t>technician_id</w:t>
            </w:r>
          </w:p>
        </w:tc>
        <w:tc>
          <w:tcPr>
            <w:tcW w:w="1463"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A554053">
            <w:pPr>
              <w:rPr>
                <w:rFonts w:ascii="Times New Roman" w:hAnsi="Times New Roman"/>
              </w:rPr>
            </w:pPr>
            <w:r>
              <w:rPr>
                <w:rFonts w:ascii="Times New Roman" w:hAnsi="Times New Roman"/>
              </w:rPr>
              <w:t>varchar(255)</w:t>
            </w:r>
          </w:p>
        </w:tc>
        <w:tc>
          <w:tcPr>
            <w:tcW w:w="11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D96427">
            <w:pPr>
              <w:rPr>
                <w:rFonts w:ascii="Times New Roman" w:hAnsi="Times New Roman"/>
              </w:rPr>
            </w:pPr>
            <w:r>
              <w:rPr>
                <w:rFonts w:ascii="Times New Roman" w:hAnsi="Times New Roman"/>
              </w:rPr>
              <w:t>否</w:t>
            </w:r>
          </w:p>
        </w:tc>
        <w:tc>
          <w:tcPr>
            <w:tcW w:w="4127" w:type="dxa"/>
            <w:tcBorders>
              <w:top w:val="nil"/>
              <w:left w:val="nil"/>
              <w:bottom w:val="nil"/>
              <w:right w:val="nil"/>
            </w:tcBorders>
            <w:shd w:val="clear" w:color="auto" w:fill="auto"/>
            <w:tcMar>
              <w:top w:w="120" w:type="dxa"/>
              <w:left w:w="180" w:type="dxa"/>
              <w:bottom w:w="120" w:type="dxa"/>
              <w:right w:w="180" w:type="dxa"/>
            </w:tcMar>
            <w:vAlign w:val="center"/>
          </w:tcPr>
          <w:p w14:paraId="4277EC82">
            <w:pPr>
              <w:rPr>
                <w:rFonts w:ascii="Times New Roman" w:hAnsi="Times New Roman"/>
              </w:rPr>
            </w:pPr>
            <w:r>
              <w:rPr>
                <w:rFonts w:ascii="Times New Roman" w:hAnsi="Times New Roman"/>
              </w:rPr>
              <w:t>负责该预约的技师编号</w:t>
            </w:r>
          </w:p>
        </w:tc>
      </w:tr>
    </w:tbl>
    <w:p w14:paraId="4EB0CDB4">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customer_info（客户信息表）</w:t>
      </w:r>
    </w:p>
    <w:p w14:paraId="16E34029">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t>客户信息表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462"/>
        <w:gridCol w:w="2277"/>
        <w:gridCol w:w="1891"/>
        <w:gridCol w:w="1891"/>
      </w:tblGrid>
      <w:tr w14:paraId="429C9CCB">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43DF5E16">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309D0D9">
            <w:pPr>
              <w:rPr>
                <w:rFonts w:ascii="Times New Roman" w:hAnsi="Times New Roman"/>
              </w:rPr>
            </w:pPr>
            <w:r>
              <w:rPr>
                <w:rFonts w:ascii="Times New Roman" w:hAnsi="Times New Roman"/>
              </w:rPr>
              <w:t>字段类型</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39B13DBD">
            <w:pPr>
              <w:rPr>
                <w:rFonts w:ascii="Times New Roman" w:hAnsi="Times New Roman"/>
              </w:rPr>
            </w:pPr>
            <w:r>
              <w:rPr>
                <w:rFonts w:ascii="Times New Roman" w:hAnsi="Times New Roman"/>
              </w:rPr>
              <w:t>是否主键</w:t>
            </w:r>
          </w:p>
        </w:tc>
        <w:tc>
          <w:tcPr>
            <w:tcW w:w="0" w:type="auto"/>
            <w:tcBorders>
              <w:top w:val="nil"/>
              <w:left w:val="nil"/>
              <w:bottom w:val="nil"/>
              <w:right w:val="nil"/>
            </w:tcBorders>
            <w:shd w:val="clear" w:color="auto" w:fill="F2F2F2"/>
            <w:tcMar>
              <w:top w:w="120" w:type="dxa"/>
              <w:left w:w="180" w:type="dxa"/>
              <w:bottom w:w="120" w:type="dxa"/>
              <w:right w:w="180" w:type="dxa"/>
            </w:tcMar>
            <w:vAlign w:val="center"/>
          </w:tcPr>
          <w:p w14:paraId="6D9C7A15">
            <w:pPr>
              <w:rPr>
                <w:rFonts w:ascii="Times New Roman" w:hAnsi="Times New Roman"/>
              </w:rPr>
            </w:pPr>
            <w:r>
              <w:rPr>
                <w:rFonts w:ascii="Times New Roman" w:hAnsi="Times New Roman"/>
              </w:rPr>
              <w:t>注释</w:t>
            </w:r>
          </w:p>
        </w:tc>
      </w:tr>
      <w:tr w14:paraId="06F83F4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FEBAB5F">
            <w:pPr>
              <w:rPr>
                <w:rFonts w:ascii="Times New Roman" w:hAnsi="Times New Roman"/>
              </w:rPr>
            </w:pPr>
            <w:r>
              <w:rPr>
                <w:rFonts w:ascii="Times New Roman" w:hAnsi="Times New Roman"/>
              </w:rPr>
              <w:t>customer_id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2FF4B10">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FFF7E4F">
            <w:pPr>
              <w:rPr>
                <w:rFonts w:ascii="Times New Roman" w:hAnsi="Times New Roman"/>
              </w:rPr>
            </w:pPr>
            <w:r>
              <w:rPr>
                <w:rFonts w:ascii="Times New Roman" w:hAnsi="Times New Roman"/>
              </w:rPr>
              <w:t>是</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23187E4B">
            <w:pPr>
              <w:rPr>
                <w:rFonts w:ascii="Times New Roman" w:hAnsi="Times New Roman"/>
              </w:rPr>
            </w:pPr>
            <w:r>
              <w:rPr>
                <w:rFonts w:ascii="Times New Roman" w:hAnsi="Times New Roman"/>
              </w:rPr>
              <w:t>客户编号</w:t>
            </w:r>
          </w:p>
        </w:tc>
      </w:tr>
      <w:tr w14:paraId="73DA8C5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960E0A7">
            <w:pPr>
              <w:rPr>
                <w:rFonts w:ascii="Times New Roman" w:hAnsi="Times New Roman"/>
              </w:rPr>
            </w:pPr>
            <w:r>
              <w:rPr>
                <w:rFonts w:ascii="Times New Roman" w:hAnsi="Times New Roman"/>
              </w:rPr>
              <w:t>name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49F8B5F">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E483B33">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286954CD">
            <w:pPr>
              <w:rPr>
                <w:rFonts w:ascii="Times New Roman" w:hAnsi="Times New Roman"/>
              </w:rPr>
            </w:pPr>
            <w:r>
              <w:rPr>
                <w:rFonts w:ascii="Times New Roman" w:hAnsi="Times New Roman"/>
              </w:rPr>
              <w:t>姓名</w:t>
            </w:r>
          </w:p>
        </w:tc>
      </w:tr>
      <w:tr w14:paraId="31ED007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E04A7C5">
            <w:pPr>
              <w:rPr>
                <w:rFonts w:ascii="Times New Roman" w:hAnsi="Times New Roman"/>
              </w:rPr>
            </w:pPr>
            <w:r>
              <w:rPr>
                <w:rFonts w:ascii="Times New Roman" w:hAnsi="Times New Roman"/>
              </w:rPr>
              <w:t>contact_info</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2732844">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D82D8E0">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6C294675">
            <w:pPr>
              <w:rPr>
                <w:rFonts w:ascii="Times New Roman" w:hAnsi="Times New Roman"/>
              </w:rPr>
            </w:pPr>
            <w:r>
              <w:rPr>
                <w:rFonts w:ascii="Times New Roman" w:hAnsi="Times New Roman"/>
              </w:rPr>
              <w:t>联系方式</w:t>
            </w:r>
          </w:p>
        </w:tc>
      </w:tr>
      <w:tr w14:paraId="130FF85C">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F86F125">
            <w:pPr>
              <w:rPr>
                <w:rFonts w:ascii="Times New Roman" w:hAnsi="Times New Roman"/>
              </w:rPr>
            </w:pPr>
            <w:r>
              <w:rPr>
                <w:rFonts w:ascii="Times New Roman" w:hAnsi="Times New Roman"/>
              </w:rPr>
              <w:t>car_license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9B96878">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2587FCF">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33B43526">
            <w:pPr>
              <w:rPr>
                <w:rFonts w:ascii="Times New Roman" w:hAnsi="Times New Roman"/>
              </w:rPr>
            </w:pPr>
            <w:r>
              <w:rPr>
                <w:rFonts w:ascii="Times New Roman" w:hAnsi="Times New Roman"/>
              </w:rPr>
              <w:t>车牌号</w:t>
            </w:r>
          </w:p>
        </w:tc>
      </w:tr>
      <w:tr w14:paraId="566957A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C3734B3">
            <w:pPr>
              <w:rPr>
                <w:rFonts w:ascii="Times New Roman" w:hAnsi="Times New Roman"/>
              </w:rPr>
            </w:pPr>
            <w:r>
              <w:rPr>
                <w:rFonts w:ascii="Times New Roman" w:hAnsi="Times New Roman"/>
              </w:rPr>
              <w:t>car_model</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AA57A14">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8D57FEF">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3658855E">
            <w:pPr>
              <w:rPr>
                <w:rFonts w:ascii="Times New Roman" w:hAnsi="Times New Roman"/>
              </w:rPr>
            </w:pPr>
            <w:r>
              <w:rPr>
                <w:rFonts w:ascii="Times New Roman" w:hAnsi="Times New Roman"/>
              </w:rPr>
              <w:t>车型</w:t>
            </w:r>
          </w:p>
        </w:tc>
      </w:tr>
      <w:tr w14:paraId="3100C5E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3992F88">
            <w:pPr>
              <w:rPr>
                <w:rFonts w:ascii="Times New Roman" w:hAnsi="Times New Roman"/>
              </w:rPr>
            </w:pPr>
            <w:r>
              <w:rPr>
                <w:rFonts w:ascii="Times New Roman" w:hAnsi="Times New Roman"/>
              </w:rPr>
              <w:t>purchase_date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E0B9454">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25F174F">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7C41B4AC">
            <w:pPr>
              <w:rPr>
                <w:rFonts w:ascii="Times New Roman" w:hAnsi="Times New Roman"/>
              </w:rPr>
            </w:pPr>
            <w:r>
              <w:rPr>
                <w:rFonts w:ascii="Times New Roman" w:hAnsi="Times New Roman"/>
              </w:rPr>
              <w:t>购车日期</w:t>
            </w:r>
          </w:p>
        </w:tc>
      </w:tr>
      <w:tr w14:paraId="28C295B2">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617F28">
            <w:pPr>
              <w:rPr>
                <w:rFonts w:ascii="Times New Roman" w:hAnsi="Times New Roman"/>
              </w:rPr>
            </w:pPr>
            <w:r>
              <w:rPr>
                <w:rFonts w:ascii="Times New Roman" w:hAnsi="Times New Roman"/>
              </w:rPr>
              <w:t>email_info</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2DDE5DE">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D8A3103">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59886D00">
            <w:pPr>
              <w:rPr>
                <w:rFonts w:ascii="Times New Roman" w:hAnsi="Times New Roman"/>
              </w:rPr>
            </w:pPr>
            <w:r>
              <w:rPr>
                <w:rFonts w:ascii="Times New Roman" w:hAnsi="Times New Roman"/>
              </w:rPr>
              <w:t>邮件信息</w:t>
            </w:r>
          </w:p>
        </w:tc>
      </w:tr>
    </w:tbl>
    <w:p w14:paraId="56F801D5">
      <w:pPr>
        <w:rPr>
          <w:rFonts w:ascii="Times New Roman" w:hAnsi="Times New Roman"/>
        </w:rPr>
      </w:pPr>
    </w:p>
    <w:p w14:paraId="7DB1DBC1">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customer_points（客户积分表）</w:t>
      </w:r>
    </w:p>
    <w:p w14:paraId="29277C50">
      <w:pPr>
        <w:pStyle w:val="13"/>
      </w:pPr>
      <w:r>
        <w:t>表3</w:t>
      </w:r>
      <w:r>
        <w:rPr>
          <w:rFonts w:hint="eastAsia"/>
        </w:rPr>
        <w:t>-</w:t>
      </w:r>
      <w:r>
        <w:t xml:space="preserve"> </w:t>
      </w:r>
      <w:r>
        <w:fldChar w:fldCharType="begin"/>
      </w:r>
      <w:r>
        <w:instrText xml:space="preserve"> SEQ 表3. \* ARABIC </w:instrText>
      </w:r>
      <w:r>
        <w:fldChar w:fldCharType="separate"/>
      </w:r>
      <w:r>
        <w:t>6</w:t>
      </w:r>
      <w:r>
        <w:fldChar w:fldCharType="end"/>
      </w:r>
      <w:r>
        <w:t>客户积分表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509"/>
        <w:gridCol w:w="1721"/>
        <w:gridCol w:w="2491"/>
        <w:gridCol w:w="1800"/>
      </w:tblGrid>
      <w:tr w14:paraId="0777A6B5">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blHeader/>
        </w:trPr>
        <w:tc>
          <w:tcPr>
            <w:tcW w:w="2509"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3AD79B58">
            <w:pPr>
              <w:rPr>
                <w:rFonts w:ascii="Times New Roman" w:hAnsi="Times New Roman"/>
              </w:rPr>
            </w:pPr>
            <w:r>
              <w:rPr>
                <w:rFonts w:ascii="Times New Roman" w:hAnsi="Times New Roman"/>
              </w:rPr>
              <w:t>字段名</w:t>
            </w:r>
          </w:p>
        </w:tc>
        <w:tc>
          <w:tcPr>
            <w:tcW w:w="1721"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03A510D8">
            <w:pPr>
              <w:rPr>
                <w:rFonts w:ascii="Times New Roman" w:hAnsi="Times New Roman"/>
              </w:rPr>
            </w:pPr>
            <w:r>
              <w:rPr>
                <w:rFonts w:ascii="Times New Roman" w:hAnsi="Times New Roman"/>
              </w:rPr>
              <w:t>字段类型</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52DD0BA6">
            <w:pPr>
              <w:rPr>
                <w:rFonts w:ascii="Times New Roman" w:hAnsi="Times New Roman"/>
              </w:rPr>
            </w:pPr>
            <w:r>
              <w:rPr>
                <w:rFonts w:ascii="Times New Roman" w:hAnsi="Times New Roman"/>
              </w:rPr>
              <w:t>是否主键</w:t>
            </w:r>
          </w:p>
        </w:tc>
        <w:tc>
          <w:tcPr>
            <w:tcW w:w="1800" w:type="dxa"/>
            <w:tcBorders>
              <w:top w:val="nil"/>
              <w:left w:val="nil"/>
              <w:bottom w:val="nil"/>
              <w:right w:val="nil"/>
            </w:tcBorders>
            <w:shd w:val="clear" w:color="auto" w:fill="F2F2F2"/>
            <w:tcMar>
              <w:top w:w="120" w:type="dxa"/>
              <w:left w:w="180" w:type="dxa"/>
              <w:bottom w:w="120" w:type="dxa"/>
              <w:right w:w="180" w:type="dxa"/>
            </w:tcMar>
            <w:vAlign w:val="center"/>
          </w:tcPr>
          <w:p w14:paraId="65EF68AE">
            <w:pPr>
              <w:rPr>
                <w:rFonts w:ascii="Times New Roman" w:hAnsi="Times New Roman"/>
              </w:rPr>
            </w:pPr>
            <w:r>
              <w:rPr>
                <w:rFonts w:ascii="Times New Roman" w:hAnsi="Times New Roman"/>
              </w:rPr>
              <w:t>注释</w:t>
            </w:r>
          </w:p>
        </w:tc>
      </w:tr>
      <w:tr w14:paraId="428E1410">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25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360B43C">
            <w:pPr>
              <w:rPr>
                <w:rFonts w:ascii="Times New Roman" w:hAnsi="Times New Roman"/>
              </w:rPr>
            </w:pPr>
            <w:r>
              <w:rPr>
                <w:rFonts w:ascii="Times New Roman" w:hAnsi="Times New Roman"/>
              </w:rPr>
              <w:t>customer_id</w:t>
            </w:r>
          </w:p>
        </w:tc>
        <w:tc>
          <w:tcPr>
            <w:tcW w:w="17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ED75F61">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6645F6D">
            <w:pPr>
              <w:rPr>
                <w:rFonts w:ascii="Times New Roman" w:hAnsi="Times New Roman"/>
              </w:rPr>
            </w:pPr>
            <w:r>
              <w:rPr>
                <w:rFonts w:ascii="Times New Roman" w:hAnsi="Times New Roman"/>
              </w:rPr>
              <w:t>是</w:t>
            </w:r>
          </w:p>
        </w:tc>
        <w:tc>
          <w:tcPr>
            <w:tcW w:w="1800" w:type="dxa"/>
            <w:tcBorders>
              <w:top w:val="nil"/>
              <w:left w:val="nil"/>
              <w:bottom w:val="nil"/>
              <w:right w:val="nil"/>
            </w:tcBorders>
            <w:shd w:val="clear" w:color="auto" w:fill="auto"/>
            <w:tcMar>
              <w:top w:w="120" w:type="dxa"/>
              <w:left w:w="180" w:type="dxa"/>
              <w:bottom w:w="120" w:type="dxa"/>
              <w:right w:w="180" w:type="dxa"/>
            </w:tcMar>
            <w:vAlign w:val="center"/>
          </w:tcPr>
          <w:p w14:paraId="4732E472">
            <w:pPr>
              <w:rPr>
                <w:rFonts w:ascii="Times New Roman" w:hAnsi="Times New Roman"/>
              </w:rPr>
            </w:pPr>
            <w:r>
              <w:rPr>
                <w:rFonts w:ascii="Times New Roman" w:hAnsi="Times New Roman"/>
              </w:rPr>
              <w:t>客户编号</w:t>
            </w:r>
          </w:p>
        </w:tc>
      </w:tr>
      <w:tr w14:paraId="19A54B2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25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A484DB4">
            <w:pPr>
              <w:rPr>
                <w:rFonts w:ascii="Times New Roman" w:hAnsi="Times New Roman"/>
              </w:rPr>
            </w:pPr>
            <w:r>
              <w:rPr>
                <w:rFonts w:ascii="Times New Roman" w:hAnsi="Times New Roman"/>
              </w:rPr>
              <w:t>points_change</w:t>
            </w:r>
          </w:p>
        </w:tc>
        <w:tc>
          <w:tcPr>
            <w:tcW w:w="17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16647D9">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7E7FCC">
            <w:pPr>
              <w:rPr>
                <w:rFonts w:ascii="Times New Roman" w:hAnsi="Times New Roman"/>
              </w:rPr>
            </w:pPr>
            <w:r>
              <w:rPr>
                <w:rFonts w:ascii="Times New Roman" w:hAnsi="Times New Roman"/>
              </w:rPr>
              <w:t>否</w:t>
            </w:r>
          </w:p>
        </w:tc>
        <w:tc>
          <w:tcPr>
            <w:tcW w:w="1800" w:type="dxa"/>
            <w:tcBorders>
              <w:top w:val="nil"/>
              <w:left w:val="nil"/>
              <w:bottom w:val="nil"/>
              <w:right w:val="nil"/>
            </w:tcBorders>
            <w:shd w:val="clear" w:color="auto" w:fill="auto"/>
            <w:tcMar>
              <w:top w:w="120" w:type="dxa"/>
              <w:left w:w="180" w:type="dxa"/>
              <w:bottom w:w="120" w:type="dxa"/>
              <w:right w:w="180" w:type="dxa"/>
            </w:tcMar>
            <w:vAlign w:val="center"/>
          </w:tcPr>
          <w:p w14:paraId="74C217DD">
            <w:pPr>
              <w:rPr>
                <w:rFonts w:ascii="Times New Roman" w:hAnsi="Times New Roman"/>
              </w:rPr>
            </w:pPr>
            <w:r>
              <w:rPr>
                <w:rFonts w:ascii="Times New Roman" w:hAnsi="Times New Roman"/>
              </w:rPr>
              <w:t>积分变化</w:t>
            </w:r>
          </w:p>
        </w:tc>
      </w:tr>
      <w:tr w14:paraId="7CED654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25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765F9FF">
            <w:pPr>
              <w:rPr>
                <w:rFonts w:ascii="Times New Roman" w:hAnsi="Times New Roman"/>
              </w:rPr>
            </w:pPr>
            <w:r>
              <w:rPr>
                <w:rFonts w:ascii="Times New Roman" w:hAnsi="Times New Roman"/>
              </w:rPr>
              <w:t>points_change_time</w:t>
            </w:r>
          </w:p>
        </w:tc>
        <w:tc>
          <w:tcPr>
            <w:tcW w:w="17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B1F56CE">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64EF752">
            <w:pPr>
              <w:rPr>
                <w:rFonts w:ascii="Times New Roman" w:hAnsi="Times New Roman"/>
              </w:rPr>
            </w:pPr>
            <w:r>
              <w:rPr>
                <w:rFonts w:ascii="Times New Roman" w:hAnsi="Times New Roman"/>
              </w:rPr>
              <w:t>否</w:t>
            </w:r>
          </w:p>
        </w:tc>
        <w:tc>
          <w:tcPr>
            <w:tcW w:w="1800" w:type="dxa"/>
            <w:tcBorders>
              <w:top w:val="nil"/>
              <w:left w:val="nil"/>
              <w:bottom w:val="nil"/>
              <w:right w:val="nil"/>
            </w:tcBorders>
            <w:shd w:val="clear" w:color="auto" w:fill="auto"/>
            <w:tcMar>
              <w:top w:w="120" w:type="dxa"/>
              <w:left w:w="180" w:type="dxa"/>
              <w:bottom w:w="120" w:type="dxa"/>
              <w:right w:w="180" w:type="dxa"/>
            </w:tcMar>
            <w:vAlign w:val="center"/>
          </w:tcPr>
          <w:p w14:paraId="18637B66">
            <w:pPr>
              <w:rPr>
                <w:rFonts w:ascii="Times New Roman" w:hAnsi="Times New Roman"/>
              </w:rPr>
            </w:pPr>
            <w:r>
              <w:rPr>
                <w:rFonts w:ascii="Times New Roman" w:hAnsi="Times New Roman"/>
              </w:rPr>
              <w:t>积分变化时间</w:t>
            </w:r>
          </w:p>
        </w:tc>
      </w:tr>
      <w:tr w14:paraId="6A5DA7ED">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0" w:hRule="atLeast"/>
        </w:trPr>
        <w:tc>
          <w:tcPr>
            <w:tcW w:w="2509"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779477B">
            <w:pPr>
              <w:rPr>
                <w:rFonts w:ascii="Times New Roman" w:hAnsi="Times New Roman"/>
              </w:rPr>
            </w:pPr>
            <w:r>
              <w:rPr>
                <w:rFonts w:ascii="Times New Roman" w:hAnsi="Times New Roman"/>
              </w:rPr>
              <w:t>total_points</w:t>
            </w:r>
          </w:p>
        </w:tc>
        <w:tc>
          <w:tcPr>
            <w:tcW w:w="172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09646CF">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E4A6608">
            <w:pPr>
              <w:rPr>
                <w:rFonts w:ascii="Times New Roman" w:hAnsi="Times New Roman"/>
              </w:rPr>
            </w:pPr>
            <w:r>
              <w:rPr>
                <w:rFonts w:ascii="Times New Roman" w:hAnsi="Times New Roman"/>
              </w:rPr>
              <w:t>否</w:t>
            </w:r>
          </w:p>
        </w:tc>
        <w:tc>
          <w:tcPr>
            <w:tcW w:w="1800" w:type="dxa"/>
            <w:tcBorders>
              <w:top w:val="nil"/>
              <w:left w:val="nil"/>
              <w:bottom w:val="nil"/>
              <w:right w:val="nil"/>
            </w:tcBorders>
            <w:shd w:val="clear" w:color="auto" w:fill="auto"/>
            <w:tcMar>
              <w:top w:w="120" w:type="dxa"/>
              <w:left w:w="180" w:type="dxa"/>
              <w:bottom w:w="120" w:type="dxa"/>
              <w:right w:w="180" w:type="dxa"/>
            </w:tcMar>
            <w:vAlign w:val="center"/>
          </w:tcPr>
          <w:p w14:paraId="01BE2FEC">
            <w:pPr>
              <w:rPr>
                <w:rFonts w:ascii="Times New Roman" w:hAnsi="Times New Roman"/>
              </w:rPr>
            </w:pPr>
            <w:r>
              <w:rPr>
                <w:rFonts w:ascii="Times New Roman" w:hAnsi="Times New Roman"/>
              </w:rPr>
              <w:t>剩余积分</w:t>
            </w:r>
          </w:p>
        </w:tc>
      </w:tr>
    </w:tbl>
    <w:p w14:paraId="7421E76C">
      <w:pPr>
        <w:rPr>
          <w:rFonts w:ascii="Times New Roman" w:hAnsi="Times New Roman"/>
        </w:rPr>
      </w:pPr>
    </w:p>
    <w:p w14:paraId="7F388C53">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maintenance_order_info（维修单信息表）</w:t>
      </w:r>
    </w:p>
    <w:p w14:paraId="74913E80">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7</w:t>
      </w:r>
      <w:r>
        <w:rPr>
          <w:rFonts w:ascii="Times New Roman" w:hAnsi="Times New Roman"/>
        </w:rPr>
        <w:fldChar w:fldCharType="end"/>
      </w:r>
      <w:r>
        <w:rPr>
          <w:rFonts w:ascii="Times New Roman" w:hAnsi="Times New Roman"/>
        </w:rPr>
        <w:t>维修单信息表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716"/>
        <w:gridCol w:w="1754"/>
        <w:gridCol w:w="1452"/>
        <w:gridCol w:w="2599"/>
      </w:tblGrid>
      <w:tr w14:paraId="74FA1725">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735D1C72">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7320F653">
            <w:pPr>
              <w:rPr>
                <w:rFonts w:ascii="Times New Roman" w:hAnsi="Times New Roman"/>
              </w:rPr>
            </w:pPr>
            <w:r>
              <w:rPr>
                <w:rFonts w:ascii="Times New Roman" w:hAnsi="Times New Roman"/>
              </w:rPr>
              <w:t>字段类型</w:t>
            </w:r>
          </w:p>
        </w:tc>
        <w:tc>
          <w:tcPr>
            <w:tcW w:w="1452"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45A59111">
            <w:pPr>
              <w:rPr>
                <w:rFonts w:ascii="Times New Roman" w:hAnsi="Times New Roman"/>
              </w:rPr>
            </w:pPr>
            <w:r>
              <w:rPr>
                <w:rFonts w:ascii="Times New Roman" w:hAnsi="Times New Roman"/>
              </w:rPr>
              <w:t>是否主键</w:t>
            </w:r>
          </w:p>
        </w:tc>
        <w:tc>
          <w:tcPr>
            <w:tcW w:w="2599" w:type="dxa"/>
            <w:tcBorders>
              <w:top w:val="nil"/>
              <w:left w:val="nil"/>
              <w:bottom w:val="nil"/>
              <w:right w:val="nil"/>
            </w:tcBorders>
            <w:shd w:val="clear" w:color="auto" w:fill="F2F2F2"/>
            <w:tcMar>
              <w:top w:w="120" w:type="dxa"/>
              <w:left w:w="180" w:type="dxa"/>
              <w:bottom w:w="120" w:type="dxa"/>
              <w:right w:w="180" w:type="dxa"/>
            </w:tcMar>
            <w:vAlign w:val="center"/>
          </w:tcPr>
          <w:p w14:paraId="202617B1">
            <w:pPr>
              <w:rPr>
                <w:rFonts w:ascii="Times New Roman" w:hAnsi="Times New Roman"/>
              </w:rPr>
            </w:pPr>
            <w:r>
              <w:rPr>
                <w:rFonts w:ascii="Times New Roman" w:hAnsi="Times New Roman"/>
              </w:rPr>
              <w:t>注释</w:t>
            </w:r>
          </w:p>
        </w:tc>
      </w:tr>
      <w:tr w14:paraId="0F4C3050">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EABE4EC">
            <w:pPr>
              <w:rPr>
                <w:rFonts w:ascii="Times New Roman" w:hAnsi="Times New Roman"/>
              </w:rPr>
            </w:pPr>
            <w:r>
              <w:rPr>
                <w:rFonts w:ascii="Times New Roman" w:hAnsi="Times New Roman"/>
              </w:rPr>
              <w:t>maintenance_order_id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24FB57F">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6C3F82A">
            <w:pPr>
              <w:rPr>
                <w:rFonts w:ascii="Times New Roman" w:hAnsi="Times New Roman"/>
              </w:rPr>
            </w:pPr>
            <w:r>
              <w:rPr>
                <w:rFonts w:ascii="Times New Roman" w:hAnsi="Times New Roman"/>
              </w:rPr>
              <w:t>是</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0A925830">
            <w:pPr>
              <w:rPr>
                <w:rFonts w:ascii="Times New Roman" w:hAnsi="Times New Roman"/>
              </w:rPr>
            </w:pPr>
            <w:r>
              <w:rPr>
                <w:rFonts w:ascii="Times New Roman" w:hAnsi="Times New Roman"/>
              </w:rPr>
              <w:t>维修单编号</w:t>
            </w:r>
          </w:p>
        </w:tc>
      </w:tr>
      <w:tr w14:paraId="0D3D33CD">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8315A8B">
            <w:pPr>
              <w:rPr>
                <w:rFonts w:ascii="Times New Roman" w:hAnsi="Times New Roman"/>
              </w:rPr>
            </w:pPr>
            <w:r>
              <w:rPr>
                <w:rFonts w:ascii="Times New Roman" w:hAnsi="Times New Roman"/>
              </w:rPr>
              <w:t>work_order_id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8DEF69">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BC9DB41">
            <w:pPr>
              <w:rPr>
                <w:rFonts w:ascii="Times New Roman" w:hAnsi="Times New Roman"/>
              </w:rPr>
            </w:pPr>
            <w:r>
              <w:rPr>
                <w:rFonts w:ascii="Times New Roman" w:hAnsi="Times New Roman"/>
              </w:rPr>
              <w:t>否</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052267AA">
            <w:pPr>
              <w:rPr>
                <w:rFonts w:ascii="Times New Roman" w:hAnsi="Times New Roman"/>
              </w:rPr>
            </w:pPr>
            <w:r>
              <w:rPr>
                <w:rFonts w:ascii="Times New Roman" w:hAnsi="Times New Roman"/>
              </w:rPr>
              <w:t>工单编号</w:t>
            </w:r>
          </w:p>
        </w:tc>
      </w:tr>
      <w:tr w14:paraId="3AF0E33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BC987AA">
            <w:pPr>
              <w:rPr>
                <w:rFonts w:ascii="Times New Roman" w:hAnsi="Times New Roman"/>
              </w:rPr>
            </w:pPr>
            <w:r>
              <w:rPr>
                <w:rFonts w:ascii="Times New Roman" w:hAnsi="Times New Roman"/>
              </w:rPr>
              <w:t>customer_id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E371B41">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8D62AA0">
            <w:pPr>
              <w:rPr>
                <w:rFonts w:ascii="Times New Roman" w:hAnsi="Times New Roman"/>
              </w:rPr>
            </w:pPr>
            <w:r>
              <w:rPr>
                <w:rFonts w:ascii="Times New Roman" w:hAnsi="Times New Roman"/>
              </w:rPr>
              <w:t>否</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5892786D">
            <w:pPr>
              <w:rPr>
                <w:rFonts w:ascii="Times New Roman" w:hAnsi="Times New Roman"/>
              </w:rPr>
            </w:pPr>
            <w:r>
              <w:rPr>
                <w:rFonts w:ascii="Times New Roman" w:hAnsi="Times New Roman"/>
              </w:rPr>
              <w:t>客户编号</w:t>
            </w:r>
          </w:p>
        </w:tc>
      </w:tr>
      <w:tr w14:paraId="21347AD2">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D462E9">
            <w:pPr>
              <w:rPr>
                <w:rFonts w:ascii="Times New Roman" w:hAnsi="Times New Roman"/>
              </w:rPr>
            </w:pPr>
            <w:r>
              <w:rPr>
                <w:rFonts w:ascii="Times New Roman" w:hAnsi="Times New Roman"/>
              </w:rPr>
              <w:t>spare_parts_id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987252E">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51B69BE">
            <w:pPr>
              <w:rPr>
                <w:rFonts w:ascii="Times New Roman" w:hAnsi="Times New Roman"/>
              </w:rPr>
            </w:pPr>
            <w:r>
              <w:rPr>
                <w:rFonts w:ascii="Times New Roman" w:hAnsi="Times New Roman"/>
              </w:rPr>
              <w:t>否</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23903F91">
            <w:pPr>
              <w:rPr>
                <w:rFonts w:ascii="Times New Roman" w:hAnsi="Times New Roman"/>
              </w:rPr>
            </w:pPr>
            <w:r>
              <w:rPr>
                <w:rFonts w:ascii="Times New Roman" w:hAnsi="Times New Roman"/>
              </w:rPr>
              <w:t>使用配件编号</w:t>
            </w:r>
          </w:p>
        </w:tc>
      </w:tr>
      <w:tr w14:paraId="24CD864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17B2D3E">
            <w:pPr>
              <w:rPr>
                <w:rFonts w:ascii="Times New Roman" w:hAnsi="Times New Roman"/>
              </w:rPr>
            </w:pPr>
            <w:r>
              <w:rPr>
                <w:rFonts w:ascii="Times New Roman" w:hAnsi="Times New Roman"/>
              </w:rPr>
              <w:t>maintenance_cost</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231C4ED">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240111E">
            <w:pPr>
              <w:rPr>
                <w:rFonts w:ascii="Times New Roman" w:hAnsi="Times New Roman"/>
              </w:rPr>
            </w:pPr>
            <w:r>
              <w:rPr>
                <w:rFonts w:ascii="Times New Roman" w:hAnsi="Times New Roman"/>
              </w:rPr>
              <w:t>否</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517B2B88">
            <w:pPr>
              <w:rPr>
                <w:rFonts w:ascii="Times New Roman" w:hAnsi="Times New Roman"/>
              </w:rPr>
            </w:pPr>
            <w:r>
              <w:rPr>
                <w:rFonts w:ascii="Times New Roman" w:hAnsi="Times New Roman"/>
              </w:rPr>
              <w:t>维修费用</w:t>
            </w:r>
          </w:p>
        </w:tc>
      </w:tr>
      <w:tr w14:paraId="664929D2">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D8633A2">
            <w:pPr>
              <w:rPr>
                <w:rFonts w:ascii="Times New Roman" w:hAnsi="Times New Roman"/>
              </w:rPr>
            </w:pPr>
            <w:r>
              <w:rPr>
                <w:rFonts w:ascii="Times New Roman" w:hAnsi="Times New Roman"/>
              </w:rPr>
              <w:t>is_paid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C0D7786">
            <w:pPr>
              <w:rPr>
                <w:rFonts w:ascii="Times New Roman" w:hAnsi="Times New Roman"/>
              </w:rPr>
            </w:pPr>
            <w:r>
              <w:rPr>
                <w:rFonts w:ascii="Times New Roman" w:hAnsi="Times New Roman"/>
              </w:rPr>
              <w:t>varchar(255)</w:t>
            </w:r>
          </w:p>
        </w:tc>
        <w:tc>
          <w:tcPr>
            <w:tcW w:w="1452"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E832421">
            <w:pPr>
              <w:rPr>
                <w:rFonts w:ascii="Times New Roman" w:hAnsi="Times New Roman"/>
              </w:rPr>
            </w:pPr>
            <w:r>
              <w:rPr>
                <w:rFonts w:ascii="Times New Roman" w:hAnsi="Times New Roman"/>
              </w:rPr>
              <w:t>否</w:t>
            </w:r>
          </w:p>
        </w:tc>
        <w:tc>
          <w:tcPr>
            <w:tcW w:w="2599" w:type="dxa"/>
            <w:tcBorders>
              <w:top w:val="nil"/>
              <w:left w:val="nil"/>
              <w:bottom w:val="nil"/>
              <w:right w:val="nil"/>
            </w:tcBorders>
            <w:shd w:val="clear" w:color="auto" w:fill="auto"/>
            <w:tcMar>
              <w:top w:w="120" w:type="dxa"/>
              <w:left w:w="180" w:type="dxa"/>
              <w:bottom w:w="120" w:type="dxa"/>
              <w:right w:w="180" w:type="dxa"/>
            </w:tcMar>
            <w:vAlign w:val="center"/>
          </w:tcPr>
          <w:p w14:paraId="5414AE37">
            <w:pPr>
              <w:rPr>
                <w:rFonts w:ascii="Times New Roman" w:hAnsi="Times New Roman"/>
              </w:rPr>
            </w:pPr>
            <w:r>
              <w:rPr>
                <w:rFonts w:ascii="Times New Roman" w:hAnsi="Times New Roman"/>
              </w:rPr>
              <w:t>是否支付 1 已支付 0 未支付</w:t>
            </w:r>
          </w:p>
        </w:tc>
      </w:tr>
    </w:tbl>
    <w:p w14:paraId="634971D9">
      <w:pPr>
        <w:rPr>
          <w:rFonts w:ascii="Times New Roman" w:hAnsi="Times New Roman"/>
        </w:rPr>
      </w:pPr>
    </w:p>
    <w:p w14:paraId="5ECD65C5">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questionnaire_info（问卷信息表）</w:t>
      </w:r>
    </w:p>
    <w:p w14:paraId="23746A4D">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r>
        <w:rPr>
          <w:rFonts w:ascii="Times New Roman" w:hAnsi="Times New Roman"/>
        </w:rPr>
        <w:t>问卷信息表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909"/>
        <w:gridCol w:w="2109"/>
        <w:gridCol w:w="1751"/>
        <w:gridCol w:w="1752"/>
      </w:tblGrid>
      <w:tr w14:paraId="51D63496">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54558FBB">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71C712A9">
            <w:pPr>
              <w:rPr>
                <w:rFonts w:ascii="Times New Roman" w:hAnsi="Times New Roman"/>
              </w:rPr>
            </w:pPr>
            <w:r>
              <w:rPr>
                <w:rFonts w:ascii="Times New Roman" w:hAnsi="Times New Roman"/>
              </w:rPr>
              <w:t>字段类型</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191B179">
            <w:pPr>
              <w:rPr>
                <w:rFonts w:ascii="Times New Roman" w:hAnsi="Times New Roman"/>
              </w:rPr>
            </w:pPr>
            <w:r>
              <w:rPr>
                <w:rFonts w:ascii="Times New Roman" w:hAnsi="Times New Roman"/>
              </w:rPr>
              <w:t>是否主键</w:t>
            </w:r>
          </w:p>
        </w:tc>
        <w:tc>
          <w:tcPr>
            <w:tcW w:w="0" w:type="auto"/>
            <w:tcBorders>
              <w:top w:val="nil"/>
              <w:left w:val="nil"/>
              <w:bottom w:val="nil"/>
              <w:right w:val="nil"/>
            </w:tcBorders>
            <w:shd w:val="clear" w:color="auto" w:fill="F2F2F2"/>
            <w:tcMar>
              <w:top w:w="120" w:type="dxa"/>
              <w:left w:w="180" w:type="dxa"/>
              <w:bottom w:w="120" w:type="dxa"/>
              <w:right w:w="180" w:type="dxa"/>
            </w:tcMar>
            <w:vAlign w:val="center"/>
          </w:tcPr>
          <w:p w14:paraId="7A38DB72">
            <w:pPr>
              <w:rPr>
                <w:rFonts w:ascii="Times New Roman" w:hAnsi="Times New Roman"/>
              </w:rPr>
            </w:pPr>
            <w:r>
              <w:rPr>
                <w:rFonts w:ascii="Times New Roman" w:hAnsi="Times New Roman"/>
              </w:rPr>
              <w:t>注释</w:t>
            </w:r>
          </w:p>
        </w:tc>
      </w:tr>
      <w:tr w14:paraId="59CCC5C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77F3A3F">
            <w:pPr>
              <w:rPr>
                <w:rFonts w:ascii="Times New Roman" w:hAnsi="Times New Roman"/>
              </w:rPr>
            </w:pPr>
            <w:r>
              <w:rPr>
                <w:rFonts w:ascii="Times New Roman" w:hAnsi="Times New Roman"/>
              </w:rPr>
              <w:t>questionnaire_id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21DF647">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B24AD0F">
            <w:pPr>
              <w:rPr>
                <w:rFonts w:ascii="Times New Roman" w:hAnsi="Times New Roman"/>
              </w:rPr>
            </w:pPr>
            <w:r>
              <w:rPr>
                <w:rFonts w:ascii="Times New Roman" w:hAnsi="Times New Roman"/>
              </w:rPr>
              <w:t>是</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071D53DE">
            <w:pPr>
              <w:rPr>
                <w:rFonts w:ascii="Times New Roman" w:hAnsi="Times New Roman"/>
              </w:rPr>
            </w:pPr>
            <w:r>
              <w:rPr>
                <w:rFonts w:ascii="Times New Roman" w:hAnsi="Times New Roman"/>
              </w:rPr>
              <w:t>问卷编号</w:t>
            </w:r>
          </w:p>
        </w:tc>
      </w:tr>
      <w:tr w14:paraId="5649DBD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0DE73A2">
            <w:pPr>
              <w:rPr>
                <w:rFonts w:ascii="Times New Roman" w:hAnsi="Times New Roman"/>
              </w:rPr>
            </w:pPr>
            <w:r>
              <w:rPr>
                <w:rFonts w:ascii="Times New Roman" w:hAnsi="Times New Roman"/>
              </w:rPr>
              <w:t>ticket_id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5EC6C25">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69C43F9">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1307625D">
            <w:pPr>
              <w:rPr>
                <w:rFonts w:ascii="Times New Roman" w:hAnsi="Times New Roman"/>
              </w:rPr>
            </w:pPr>
            <w:r>
              <w:rPr>
                <w:rFonts w:ascii="Times New Roman" w:hAnsi="Times New Roman"/>
              </w:rPr>
              <w:t>工单编号</w:t>
            </w:r>
          </w:p>
        </w:tc>
      </w:tr>
      <w:tr w14:paraId="3DFA6A6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EB4574F">
            <w:pPr>
              <w:rPr>
                <w:rFonts w:ascii="Times New Roman" w:hAnsi="Times New Roman"/>
              </w:rPr>
            </w:pPr>
            <w:r>
              <w:rPr>
                <w:rFonts w:ascii="Times New Roman" w:hAnsi="Times New Roman"/>
              </w:rPr>
              <w:t>customer_feedback</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31F56C">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8C26FF2">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0F03172F">
            <w:pPr>
              <w:rPr>
                <w:rFonts w:ascii="Times New Roman" w:hAnsi="Times New Roman"/>
              </w:rPr>
            </w:pPr>
            <w:r>
              <w:rPr>
                <w:rFonts w:ascii="Times New Roman" w:hAnsi="Times New Roman"/>
              </w:rPr>
              <w:t>客户反馈</w:t>
            </w:r>
          </w:p>
        </w:tc>
      </w:tr>
      <w:tr w14:paraId="4B35731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04EE8D">
            <w:pPr>
              <w:rPr>
                <w:rFonts w:ascii="Times New Roman" w:hAnsi="Times New Roman"/>
              </w:rPr>
            </w:pPr>
            <w:r>
              <w:rPr>
                <w:rFonts w:ascii="Times New Roman" w:hAnsi="Times New Roman"/>
              </w:rPr>
              <w:t>satisfaction</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4F6BD87">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9CAEB7E">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78F07F5F">
            <w:pPr>
              <w:rPr>
                <w:rFonts w:ascii="Times New Roman" w:hAnsi="Times New Roman"/>
              </w:rPr>
            </w:pPr>
            <w:r>
              <w:rPr>
                <w:rFonts w:ascii="Times New Roman" w:hAnsi="Times New Roman"/>
              </w:rPr>
              <w:t>满意度</w:t>
            </w:r>
          </w:p>
        </w:tc>
      </w:tr>
    </w:tbl>
    <w:p w14:paraId="726BA4B2">
      <w:pPr>
        <w:rPr>
          <w:rFonts w:ascii="Times New Roman" w:hAnsi="Times New Roman"/>
        </w:rPr>
      </w:pPr>
    </w:p>
    <w:p w14:paraId="7FED4355">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supplier_info（供应商信息表）</w:t>
      </w:r>
    </w:p>
    <w:p w14:paraId="6BE716DE">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9</w:t>
      </w:r>
      <w:r>
        <w:rPr>
          <w:rFonts w:ascii="Times New Roman" w:hAnsi="Times New Roman"/>
        </w:rPr>
        <w:fldChar w:fldCharType="end"/>
      </w:r>
      <w:r>
        <w:rPr>
          <w:rFonts w:ascii="Times New Roman" w:hAnsi="Times New Roman"/>
        </w:rPr>
        <w:t>供应商信息表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687"/>
        <w:gridCol w:w="1743"/>
        <w:gridCol w:w="1547"/>
        <w:gridCol w:w="2544"/>
      </w:tblGrid>
      <w:tr w14:paraId="2095B33E">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799785C4">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4790FEB1">
            <w:pPr>
              <w:rPr>
                <w:rFonts w:ascii="Times New Roman" w:hAnsi="Times New Roman"/>
              </w:rPr>
            </w:pPr>
            <w:r>
              <w:rPr>
                <w:rFonts w:ascii="Times New Roman" w:hAnsi="Times New Roman"/>
              </w:rPr>
              <w:t>字段类型</w:t>
            </w:r>
          </w:p>
        </w:tc>
        <w:tc>
          <w:tcPr>
            <w:tcW w:w="1547"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00FD308C">
            <w:pPr>
              <w:rPr>
                <w:rFonts w:ascii="Times New Roman" w:hAnsi="Times New Roman"/>
              </w:rPr>
            </w:pPr>
            <w:r>
              <w:rPr>
                <w:rFonts w:ascii="Times New Roman" w:hAnsi="Times New Roman"/>
              </w:rPr>
              <w:t>是否主键</w:t>
            </w:r>
          </w:p>
        </w:tc>
        <w:tc>
          <w:tcPr>
            <w:tcW w:w="2544" w:type="dxa"/>
            <w:tcBorders>
              <w:top w:val="nil"/>
              <w:left w:val="nil"/>
              <w:bottom w:val="nil"/>
              <w:right w:val="nil"/>
            </w:tcBorders>
            <w:shd w:val="clear" w:color="auto" w:fill="F2F2F2"/>
            <w:tcMar>
              <w:top w:w="120" w:type="dxa"/>
              <w:left w:w="180" w:type="dxa"/>
              <w:bottom w:w="120" w:type="dxa"/>
              <w:right w:w="180" w:type="dxa"/>
            </w:tcMar>
            <w:vAlign w:val="center"/>
          </w:tcPr>
          <w:p w14:paraId="5B3B362D">
            <w:pPr>
              <w:rPr>
                <w:rFonts w:ascii="Times New Roman" w:hAnsi="Times New Roman"/>
              </w:rPr>
            </w:pPr>
            <w:r>
              <w:rPr>
                <w:rFonts w:ascii="Times New Roman" w:hAnsi="Times New Roman"/>
              </w:rPr>
              <w:t>注释</w:t>
            </w:r>
          </w:p>
        </w:tc>
      </w:tr>
      <w:tr w14:paraId="31DBFD2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D3CCDD5">
            <w:pPr>
              <w:rPr>
                <w:rFonts w:ascii="Times New Roman" w:hAnsi="Times New Roman"/>
              </w:rPr>
            </w:pPr>
            <w:r>
              <w:rPr>
                <w:rFonts w:ascii="Times New Roman" w:hAnsi="Times New Roman"/>
              </w:rPr>
              <w:t>supplier_id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5E307C4">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63B56B8">
            <w:pPr>
              <w:rPr>
                <w:rFonts w:ascii="Times New Roman" w:hAnsi="Times New Roman"/>
              </w:rPr>
            </w:pPr>
            <w:r>
              <w:rPr>
                <w:rFonts w:ascii="Times New Roman" w:hAnsi="Times New Roman"/>
              </w:rPr>
              <w:t>是</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0E5D175B">
            <w:pPr>
              <w:rPr>
                <w:rFonts w:ascii="Times New Roman" w:hAnsi="Times New Roman"/>
              </w:rPr>
            </w:pPr>
            <w:r>
              <w:rPr>
                <w:rFonts w:ascii="Times New Roman" w:hAnsi="Times New Roman"/>
              </w:rPr>
              <w:t>供应商编号</w:t>
            </w:r>
          </w:p>
        </w:tc>
      </w:tr>
      <w:tr w14:paraId="4A6B641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32672F">
            <w:pPr>
              <w:rPr>
                <w:rFonts w:ascii="Times New Roman" w:hAnsi="Times New Roman"/>
              </w:rPr>
            </w:pPr>
            <w:r>
              <w:rPr>
                <w:rFonts w:ascii="Times New Roman" w:hAnsi="Times New Roman"/>
              </w:rPr>
              <w:t>supplier_name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62B3131">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3864BA">
            <w:pPr>
              <w:rPr>
                <w:rFonts w:ascii="Times New Roman" w:hAnsi="Times New Roman"/>
              </w:rPr>
            </w:pPr>
            <w:r>
              <w:rPr>
                <w:rFonts w:ascii="Times New Roman" w:hAnsi="Times New Roman"/>
              </w:rPr>
              <w:t>否</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30235A70">
            <w:pPr>
              <w:rPr>
                <w:rFonts w:ascii="Times New Roman" w:hAnsi="Times New Roman"/>
              </w:rPr>
            </w:pPr>
            <w:r>
              <w:rPr>
                <w:rFonts w:ascii="Times New Roman" w:hAnsi="Times New Roman"/>
              </w:rPr>
              <w:t>供应商名称</w:t>
            </w:r>
          </w:p>
        </w:tc>
      </w:tr>
      <w:tr w14:paraId="0DB25AFC">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7976381">
            <w:pPr>
              <w:rPr>
                <w:rFonts w:ascii="Times New Roman" w:hAnsi="Times New Roman"/>
              </w:rPr>
            </w:pPr>
            <w:r>
              <w:rPr>
                <w:rFonts w:ascii="Times New Roman" w:hAnsi="Times New Roman"/>
              </w:rPr>
              <w:t>is_ordered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11DFF05">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010CB40">
            <w:pPr>
              <w:rPr>
                <w:rFonts w:ascii="Times New Roman" w:hAnsi="Times New Roman"/>
              </w:rPr>
            </w:pPr>
            <w:r>
              <w:rPr>
                <w:rFonts w:ascii="Times New Roman" w:hAnsi="Times New Roman"/>
              </w:rPr>
              <w:t>否</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7D53316A">
            <w:pPr>
              <w:rPr>
                <w:rFonts w:ascii="Times New Roman" w:hAnsi="Times New Roman"/>
              </w:rPr>
            </w:pPr>
            <w:r>
              <w:rPr>
                <w:rFonts w:ascii="Times New Roman" w:hAnsi="Times New Roman"/>
              </w:rPr>
              <w:t>是否下单（例如：是 / 否）</w:t>
            </w:r>
          </w:p>
        </w:tc>
      </w:tr>
      <w:tr w14:paraId="7FD5A7D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4778B1D">
            <w:pPr>
              <w:rPr>
                <w:rFonts w:ascii="Times New Roman" w:hAnsi="Times New Roman"/>
              </w:rPr>
            </w:pPr>
            <w:r>
              <w:rPr>
                <w:rFonts w:ascii="Times New Roman" w:hAnsi="Times New Roman"/>
              </w:rPr>
              <w:t>ordered_part_name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B1392A3">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ECEB57">
            <w:pPr>
              <w:rPr>
                <w:rFonts w:ascii="Times New Roman" w:hAnsi="Times New Roman"/>
              </w:rPr>
            </w:pPr>
            <w:r>
              <w:rPr>
                <w:rFonts w:ascii="Times New Roman" w:hAnsi="Times New Roman"/>
              </w:rPr>
              <w:t>否</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1C4DF663">
            <w:pPr>
              <w:rPr>
                <w:rFonts w:ascii="Times New Roman" w:hAnsi="Times New Roman"/>
              </w:rPr>
            </w:pPr>
            <w:r>
              <w:rPr>
                <w:rFonts w:ascii="Times New Roman" w:hAnsi="Times New Roman"/>
              </w:rPr>
              <w:t>下单配件名称</w:t>
            </w:r>
          </w:p>
        </w:tc>
      </w:tr>
      <w:tr w14:paraId="1223023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B790581">
            <w:pPr>
              <w:rPr>
                <w:rFonts w:ascii="Times New Roman" w:hAnsi="Times New Roman"/>
              </w:rPr>
            </w:pPr>
            <w:r>
              <w:rPr>
                <w:rFonts w:ascii="Times New Roman" w:hAnsi="Times New Roman"/>
              </w:rPr>
              <w:t>ordered_part_quantity</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059D4BC">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26436D4">
            <w:pPr>
              <w:rPr>
                <w:rFonts w:ascii="Times New Roman" w:hAnsi="Times New Roman"/>
              </w:rPr>
            </w:pPr>
            <w:r>
              <w:rPr>
                <w:rFonts w:ascii="Times New Roman" w:hAnsi="Times New Roman"/>
              </w:rPr>
              <w:t>否</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0B5BF328">
            <w:pPr>
              <w:rPr>
                <w:rFonts w:ascii="Times New Roman" w:hAnsi="Times New Roman"/>
              </w:rPr>
            </w:pPr>
            <w:r>
              <w:rPr>
                <w:rFonts w:ascii="Times New Roman" w:hAnsi="Times New Roman"/>
              </w:rPr>
              <w:t>下单配件数量</w:t>
            </w:r>
          </w:p>
        </w:tc>
      </w:tr>
      <w:tr w14:paraId="244E4C9D">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27230D4">
            <w:pPr>
              <w:rPr>
                <w:rFonts w:ascii="Times New Roman" w:hAnsi="Times New Roman"/>
              </w:rPr>
            </w:pPr>
            <w:r>
              <w:rPr>
                <w:rFonts w:ascii="Times New Roman" w:hAnsi="Times New Roman"/>
              </w:rPr>
              <w:t>order_status</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AF89129">
            <w:pPr>
              <w:rPr>
                <w:rFonts w:ascii="Times New Roman" w:hAnsi="Times New Roman"/>
              </w:rPr>
            </w:pPr>
            <w:r>
              <w:rPr>
                <w:rFonts w:ascii="Times New Roman" w:hAnsi="Times New Roman"/>
              </w:rPr>
              <w:t>varchar(255)</w:t>
            </w:r>
          </w:p>
        </w:tc>
        <w:tc>
          <w:tcPr>
            <w:tcW w:w="1547"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03E1011">
            <w:pPr>
              <w:rPr>
                <w:rFonts w:ascii="Times New Roman" w:hAnsi="Times New Roman"/>
              </w:rPr>
            </w:pPr>
            <w:r>
              <w:rPr>
                <w:rFonts w:ascii="Times New Roman" w:hAnsi="Times New Roman"/>
              </w:rPr>
              <w:t>否</w:t>
            </w:r>
          </w:p>
        </w:tc>
        <w:tc>
          <w:tcPr>
            <w:tcW w:w="2544" w:type="dxa"/>
            <w:tcBorders>
              <w:top w:val="nil"/>
              <w:left w:val="nil"/>
              <w:bottom w:val="nil"/>
              <w:right w:val="nil"/>
            </w:tcBorders>
            <w:shd w:val="clear" w:color="auto" w:fill="auto"/>
            <w:tcMar>
              <w:top w:w="120" w:type="dxa"/>
              <w:left w:w="180" w:type="dxa"/>
              <w:bottom w:w="120" w:type="dxa"/>
              <w:right w:w="180" w:type="dxa"/>
            </w:tcMar>
            <w:vAlign w:val="center"/>
          </w:tcPr>
          <w:p w14:paraId="410A5C2C">
            <w:pPr>
              <w:rPr>
                <w:rFonts w:ascii="Times New Roman" w:hAnsi="Times New Roman"/>
              </w:rPr>
            </w:pPr>
            <w:r>
              <w:rPr>
                <w:rFonts w:ascii="Times New Roman" w:hAnsi="Times New Roman"/>
              </w:rPr>
              <w:t>订单状态（例如：待发货 / 已发货等）</w:t>
            </w:r>
          </w:p>
        </w:tc>
      </w:tr>
    </w:tbl>
    <w:p w14:paraId="116C2AE8">
      <w:pPr>
        <w:rPr>
          <w:rFonts w:ascii="Times New Roman" w:hAnsi="Times New Roman"/>
        </w:rPr>
      </w:pPr>
    </w:p>
    <w:p w14:paraId="1ACA630B">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rPr>
      </w:pPr>
      <w:r>
        <w:rPr>
          <w:rFonts w:ascii="Times New Roman" w:hAnsi="Times New Roman"/>
          <w:sz w:val="24"/>
        </w:rPr>
        <w:t>used_car_stock（二手车库存信息表）</w:t>
      </w:r>
    </w:p>
    <w:p w14:paraId="6B310B9F">
      <w:pPr>
        <w:pStyle w:val="13"/>
      </w:pPr>
      <w:r>
        <w:t>表3</w:t>
      </w:r>
      <w:r>
        <w:rPr>
          <w:rFonts w:hint="eastAsia"/>
        </w:rPr>
        <w:t>-</w:t>
      </w:r>
      <w:r>
        <w:t xml:space="preserve"> </w:t>
      </w:r>
      <w:r>
        <w:fldChar w:fldCharType="begin"/>
      </w:r>
      <w:r>
        <w:instrText xml:space="preserve"> SEQ 表3. \* ARABIC </w:instrText>
      </w:r>
      <w:r>
        <w:fldChar w:fldCharType="separate"/>
      </w:r>
      <w:r>
        <w:t>10</w:t>
      </w:r>
      <w:r>
        <w:fldChar w:fldCharType="end"/>
      </w:r>
      <w:r>
        <w:t>二手车库存信息表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041"/>
        <w:gridCol w:w="1850"/>
        <w:gridCol w:w="1431"/>
        <w:gridCol w:w="3199"/>
      </w:tblGrid>
      <w:tr w14:paraId="639FC30C">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PrEx>
        <w:trPr>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0AC1DE4B">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E2A5E62">
            <w:pPr>
              <w:rPr>
                <w:rFonts w:ascii="Times New Roman" w:hAnsi="Times New Roman"/>
              </w:rPr>
            </w:pPr>
            <w:r>
              <w:rPr>
                <w:rFonts w:ascii="Times New Roman" w:hAnsi="Times New Roman"/>
              </w:rPr>
              <w:t>字段类型</w:t>
            </w:r>
          </w:p>
        </w:tc>
        <w:tc>
          <w:tcPr>
            <w:tcW w:w="1431" w:type="dxa"/>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2E68F0C">
            <w:pPr>
              <w:rPr>
                <w:rFonts w:ascii="Times New Roman" w:hAnsi="Times New Roman"/>
              </w:rPr>
            </w:pPr>
            <w:r>
              <w:rPr>
                <w:rFonts w:ascii="Times New Roman" w:hAnsi="Times New Roman"/>
              </w:rPr>
              <w:t>是否主键</w:t>
            </w:r>
          </w:p>
        </w:tc>
        <w:tc>
          <w:tcPr>
            <w:tcW w:w="3199" w:type="dxa"/>
            <w:tcBorders>
              <w:top w:val="nil"/>
              <w:left w:val="nil"/>
              <w:bottom w:val="nil"/>
              <w:right w:val="nil"/>
            </w:tcBorders>
            <w:shd w:val="clear" w:color="auto" w:fill="F2F2F2"/>
            <w:tcMar>
              <w:top w:w="120" w:type="dxa"/>
              <w:left w:w="180" w:type="dxa"/>
              <w:bottom w:w="120" w:type="dxa"/>
              <w:right w:w="180" w:type="dxa"/>
            </w:tcMar>
            <w:vAlign w:val="center"/>
          </w:tcPr>
          <w:p w14:paraId="349E206A">
            <w:pPr>
              <w:rPr>
                <w:rFonts w:ascii="Times New Roman" w:hAnsi="Times New Roman"/>
              </w:rPr>
            </w:pPr>
            <w:r>
              <w:rPr>
                <w:rFonts w:ascii="Times New Roman" w:hAnsi="Times New Roman"/>
              </w:rPr>
              <w:t>注释</w:t>
            </w:r>
          </w:p>
        </w:tc>
      </w:tr>
      <w:tr w14:paraId="4D95E31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7BC942C">
            <w:pPr>
              <w:rPr>
                <w:rFonts w:ascii="Times New Roman" w:hAnsi="Times New Roman"/>
              </w:rPr>
            </w:pPr>
            <w:r>
              <w:rPr>
                <w:rFonts w:ascii="Times New Roman" w:hAnsi="Times New Roman"/>
              </w:rPr>
              <w:t>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911C24B">
            <w:pPr>
              <w:rPr>
                <w:rFonts w:ascii="Times New Roman" w:hAnsi="Times New Roman"/>
              </w:rPr>
            </w:pPr>
            <w:r>
              <w:rPr>
                <w:rFonts w:ascii="Times New Roman" w:hAnsi="Times New Roman"/>
              </w:rPr>
              <w:t>bigint</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4BABD7">
            <w:pPr>
              <w:rPr>
                <w:rFonts w:ascii="Times New Roman" w:hAnsi="Times New Roman"/>
              </w:rPr>
            </w:pPr>
            <w:r>
              <w:rPr>
                <w:rFonts w:ascii="Times New Roman" w:hAnsi="Times New Roman"/>
              </w:rPr>
              <w:t>是（自增）</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FDCE438">
            <w:pPr>
              <w:rPr>
                <w:rFonts w:ascii="Times New Roman" w:hAnsi="Times New Roman"/>
              </w:rPr>
            </w:pPr>
            <w:r>
              <w:rPr>
                <w:rFonts w:ascii="Times New Roman" w:hAnsi="Times New Roman"/>
              </w:rPr>
              <w:t>主键 ID</w:t>
            </w:r>
          </w:p>
        </w:tc>
      </w:tr>
      <w:tr w14:paraId="746B7D9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F1C5012">
            <w:pPr>
              <w:rPr>
                <w:rFonts w:ascii="Times New Roman" w:hAnsi="Times New Roman"/>
              </w:rPr>
            </w:pPr>
            <w:r>
              <w:rPr>
                <w:rFonts w:ascii="Times New Roman" w:hAnsi="Times New Roman"/>
              </w:rPr>
              <w:t>car_code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12F5341">
            <w:pPr>
              <w:rPr>
                <w:rFonts w:ascii="Times New Roman" w:hAnsi="Times New Roman"/>
              </w:rPr>
            </w:pPr>
            <w:r>
              <w:rPr>
                <w:rFonts w:ascii="Times New Roman" w:hAnsi="Times New Roman"/>
              </w:rPr>
              <w:t>varchar(32)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7F51181">
            <w:pPr>
              <w:rPr>
                <w:rFonts w:ascii="Times New Roman" w:hAnsi="Times New Roman"/>
              </w:rPr>
            </w:pPr>
            <w:r>
              <w:rPr>
                <w:rFonts w:ascii="Times New Roman" w:hAnsi="Times New Roman"/>
              </w:rPr>
              <w:t>否（唯一索引）</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8BFFCE2">
            <w:pPr>
              <w:rPr>
                <w:rFonts w:ascii="Times New Roman" w:hAnsi="Times New Roman"/>
              </w:rPr>
            </w:pPr>
            <w:r>
              <w:rPr>
                <w:rFonts w:ascii="Times New Roman" w:hAnsi="Times New Roman"/>
              </w:rPr>
              <w:t>车辆库存编号（自定义，如：SD20251128001）</w:t>
            </w:r>
          </w:p>
        </w:tc>
      </w:tr>
      <w:tr w14:paraId="2B78071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86FA68">
            <w:pPr>
              <w:rPr>
                <w:rFonts w:ascii="Times New Roman" w:hAnsi="Times New Roman"/>
              </w:rPr>
            </w:pPr>
            <w:r>
              <w:rPr>
                <w:rFonts w:ascii="Times New Roman" w:hAnsi="Times New Roman"/>
              </w:rPr>
              <w:t>vin</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DD0D547">
            <w:pPr>
              <w:rPr>
                <w:rFonts w:ascii="Times New Roman" w:hAnsi="Times New Roman"/>
              </w:rPr>
            </w:pPr>
            <w:r>
              <w:rPr>
                <w:rFonts w:ascii="Times New Roman" w:hAnsi="Times New Roman"/>
              </w:rPr>
              <w:t>varchar(32)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44FB3D3">
            <w:pPr>
              <w:rPr>
                <w:rFonts w:ascii="Times New Roman" w:hAnsi="Times New Roman"/>
              </w:rPr>
            </w:pPr>
            <w:r>
              <w:rPr>
                <w:rFonts w:ascii="Times New Roman" w:hAnsi="Times New Roman"/>
              </w:rPr>
              <w:t>否（唯一索引）</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7BDFF590">
            <w:pPr>
              <w:rPr>
                <w:rFonts w:ascii="Times New Roman" w:hAnsi="Times New Roman"/>
              </w:rPr>
            </w:pPr>
            <w:r>
              <w:rPr>
                <w:rFonts w:ascii="Times New Roman" w:hAnsi="Times New Roman"/>
              </w:rPr>
              <w:t>车架号（VIN 码，唯一标识车辆）</w:t>
            </w:r>
          </w:p>
        </w:tc>
      </w:tr>
      <w:tr w14:paraId="7916A6B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E7E73AA">
            <w:pPr>
              <w:rPr>
                <w:rFonts w:ascii="Times New Roman" w:hAnsi="Times New Roman"/>
              </w:rPr>
            </w:pPr>
            <w:r>
              <w:rPr>
                <w:rFonts w:ascii="Times New Roman" w:hAnsi="Times New Roman"/>
              </w:rPr>
              <w:t>plate_number</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F796729">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68D975E">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10F32B2E">
            <w:pPr>
              <w:rPr>
                <w:rFonts w:ascii="Times New Roman" w:hAnsi="Times New Roman"/>
              </w:rPr>
            </w:pPr>
            <w:r>
              <w:rPr>
                <w:rFonts w:ascii="Times New Roman" w:hAnsi="Times New Roman"/>
              </w:rPr>
              <w:t>车牌号（若无则为空）</w:t>
            </w:r>
          </w:p>
        </w:tc>
      </w:tr>
      <w:tr w14:paraId="627A120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362437B">
            <w:pPr>
              <w:rPr>
                <w:rFonts w:ascii="Times New Roman" w:hAnsi="Times New Roman"/>
              </w:rPr>
            </w:pPr>
            <w:r>
              <w:rPr>
                <w:rFonts w:ascii="Times New Roman" w:hAnsi="Times New Roman"/>
              </w:rPr>
              <w:t>brand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99E4C33">
            <w:pPr>
              <w:rPr>
                <w:rFonts w:ascii="Times New Roman" w:hAnsi="Times New Roman"/>
              </w:rPr>
            </w:pPr>
            <w:r>
              <w:rPr>
                <w:rFonts w:ascii="Times New Roman" w:hAnsi="Times New Roman"/>
              </w:rPr>
              <w:t>varchar(32)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57CF2FA">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52461A56">
            <w:pPr>
              <w:rPr>
                <w:rFonts w:ascii="Times New Roman" w:hAnsi="Times New Roman"/>
              </w:rPr>
            </w:pPr>
            <w:r>
              <w:rPr>
                <w:rFonts w:ascii="Times New Roman" w:hAnsi="Times New Roman"/>
              </w:rPr>
              <w:t>汽车品牌（如：大众、丰田、宝马）</w:t>
            </w:r>
          </w:p>
        </w:tc>
      </w:tr>
      <w:tr w14:paraId="6B9D666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1FD1C3">
            <w:pPr>
              <w:rPr>
                <w:rFonts w:ascii="Times New Roman" w:hAnsi="Times New Roman"/>
              </w:rPr>
            </w:pPr>
            <w:r>
              <w:rPr>
                <w:rFonts w:ascii="Times New Roman" w:hAnsi="Times New Roman"/>
              </w:rPr>
              <w:t>series</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AB6D58A">
            <w:pPr>
              <w:rPr>
                <w:rFonts w:ascii="Times New Roman" w:hAnsi="Times New Roman"/>
              </w:rPr>
            </w:pPr>
            <w:r>
              <w:rPr>
                <w:rFonts w:ascii="Times New Roman" w:hAnsi="Times New Roman"/>
              </w:rPr>
              <w:t>varchar(64)</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1181288">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24CA8864">
            <w:pPr>
              <w:rPr>
                <w:rFonts w:ascii="Times New Roman" w:hAnsi="Times New Roman"/>
              </w:rPr>
            </w:pPr>
            <w:r>
              <w:rPr>
                <w:rFonts w:ascii="Times New Roman" w:hAnsi="Times New Roman"/>
              </w:rPr>
              <w:t>车系（如：朗逸、卡罗拉、5 系）</w:t>
            </w:r>
          </w:p>
        </w:tc>
      </w:tr>
      <w:tr w14:paraId="59FE388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1FF1203">
            <w:pPr>
              <w:rPr>
                <w:rFonts w:ascii="Times New Roman" w:hAnsi="Times New Roman"/>
              </w:rPr>
            </w:pPr>
            <w:r>
              <w:rPr>
                <w:rFonts w:ascii="Times New Roman" w:hAnsi="Times New Roman"/>
              </w:rPr>
              <w:t>model</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178FD38">
            <w:pPr>
              <w:rPr>
                <w:rFonts w:ascii="Times New Roman" w:hAnsi="Times New Roman"/>
              </w:rPr>
            </w:pPr>
            <w:r>
              <w:rPr>
                <w:rFonts w:ascii="Times New Roman" w:hAnsi="Times New Roman"/>
              </w:rPr>
              <w:t>varchar(64)</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C8D1FAF">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2E9B119A">
            <w:pPr>
              <w:rPr>
                <w:rFonts w:ascii="Times New Roman" w:hAnsi="Times New Roman"/>
              </w:rPr>
            </w:pPr>
            <w:r>
              <w:rPr>
                <w:rFonts w:ascii="Times New Roman" w:hAnsi="Times New Roman"/>
              </w:rPr>
              <w:t>具体车型（如：朗逸 2023 款 1.5L 自动舒适版）</w:t>
            </w:r>
          </w:p>
        </w:tc>
      </w:tr>
      <w:tr w14:paraId="4A97F12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F929156">
            <w:pPr>
              <w:rPr>
                <w:rFonts w:ascii="Times New Roman" w:hAnsi="Times New Roman"/>
              </w:rPr>
            </w:pPr>
            <w:r>
              <w:rPr>
                <w:rFonts w:ascii="Times New Roman" w:hAnsi="Times New Roman"/>
              </w:rPr>
              <w:t>year_model</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E1FC850">
            <w:pPr>
              <w:rPr>
                <w:rFonts w:ascii="Times New Roman" w:hAnsi="Times New Roman"/>
              </w:rPr>
            </w:pPr>
            <w:r>
              <w:rPr>
                <w:rFonts w:ascii="Times New Roman" w:hAnsi="Times New Roman"/>
              </w:rPr>
              <w:t>varchar(8)</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1AB3B7C">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5705C34">
            <w:pPr>
              <w:rPr>
                <w:rFonts w:ascii="Times New Roman" w:hAnsi="Times New Roman"/>
              </w:rPr>
            </w:pPr>
            <w:r>
              <w:rPr>
                <w:rFonts w:ascii="Times New Roman" w:hAnsi="Times New Roman"/>
              </w:rPr>
              <w:t>年款（如：2023、2022）</w:t>
            </w:r>
          </w:p>
        </w:tc>
      </w:tr>
      <w:tr w14:paraId="66246A2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025E5B0">
            <w:pPr>
              <w:rPr>
                <w:rFonts w:ascii="Times New Roman" w:hAnsi="Times New Roman"/>
              </w:rPr>
            </w:pPr>
            <w:r>
              <w:rPr>
                <w:rFonts w:ascii="Times New Roman" w:hAnsi="Times New Roman"/>
              </w:rPr>
              <w:t>configure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4796CF4">
            <w:pPr>
              <w:rPr>
                <w:rFonts w:ascii="Times New Roman" w:hAnsi="Times New Roman"/>
              </w:rPr>
            </w:pPr>
            <w:r>
              <w:rPr>
                <w:rFonts w:ascii="Times New Roman" w:hAnsi="Times New Roman"/>
              </w:rPr>
              <w:t>varchar(128)</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E0D4F0B">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EBB9CCB">
            <w:pPr>
              <w:rPr>
                <w:rFonts w:ascii="Times New Roman" w:hAnsi="Times New Roman"/>
              </w:rPr>
            </w:pPr>
            <w:r>
              <w:rPr>
                <w:rFonts w:ascii="Times New Roman" w:hAnsi="Times New Roman"/>
              </w:rPr>
              <w:t>配置版本（如：舒适版、豪华版、顶配）</w:t>
            </w:r>
          </w:p>
        </w:tc>
      </w:tr>
      <w:tr w14:paraId="1EBE470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5FF98FE">
            <w:pPr>
              <w:rPr>
                <w:rFonts w:ascii="Times New Roman" w:hAnsi="Times New Roman"/>
              </w:rPr>
            </w:pPr>
            <w:r>
              <w:rPr>
                <w:rFonts w:ascii="Times New Roman" w:hAnsi="Times New Roman"/>
              </w:rPr>
              <w:t>color_outside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C2EE883">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7D98E3A">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4825C30D">
            <w:pPr>
              <w:rPr>
                <w:rFonts w:ascii="Times New Roman" w:hAnsi="Times New Roman"/>
              </w:rPr>
            </w:pPr>
            <w:r>
              <w:rPr>
                <w:rFonts w:ascii="Times New Roman" w:hAnsi="Times New Roman"/>
              </w:rPr>
              <w:t>车身颜色（如：白色、黑色、星空蓝）</w:t>
            </w:r>
          </w:p>
        </w:tc>
      </w:tr>
      <w:tr w14:paraId="70F8AF91">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A75A81E">
            <w:pPr>
              <w:rPr>
                <w:rFonts w:ascii="Times New Roman" w:hAnsi="Times New Roman"/>
              </w:rPr>
            </w:pPr>
            <w:r>
              <w:rPr>
                <w:rFonts w:ascii="Times New Roman" w:hAnsi="Times New Roman"/>
              </w:rPr>
              <w:t>color_inside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7EACE3F">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0A3E1C0">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102F0180">
            <w:pPr>
              <w:rPr>
                <w:rFonts w:ascii="Times New Roman" w:hAnsi="Times New Roman"/>
              </w:rPr>
            </w:pPr>
            <w:r>
              <w:rPr>
                <w:rFonts w:ascii="Times New Roman" w:hAnsi="Times New Roman"/>
              </w:rPr>
              <w:t>内饰颜色（如：黑色、米色、棕黑拼接）</w:t>
            </w:r>
          </w:p>
        </w:tc>
      </w:tr>
      <w:tr w14:paraId="22C1987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B073FAE">
            <w:pPr>
              <w:rPr>
                <w:rFonts w:ascii="Times New Roman" w:hAnsi="Times New Roman"/>
              </w:rPr>
            </w:pPr>
            <w:r>
              <w:rPr>
                <w:rFonts w:ascii="Times New Roman" w:hAnsi="Times New Roman"/>
              </w:rPr>
              <w:t>mileage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20DA952">
            <w:pPr>
              <w:rPr>
                <w:rFonts w:ascii="Times New Roman" w:hAnsi="Times New Roman"/>
              </w:rPr>
            </w:pPr>
            <w:r>
              <w:rPr>
                <w:rFonts w:ascii="Times New Roman" w:hAnsi="Times New Roman"/>
              </w:rPr>
              <w:t>decimal(10, 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93AA757">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9E72807">
            <w:pPr>
              <w:rPr>
                <w:rFonts w:ascii="Times New Roman" w:hAnsi="Times New Roman"/>
              </w:rPr>
            </w:pPr>
            <w:r>
              <w:rPr>
                <w:rFonts w:ascii="Times New Roman" w:hAnsi="Times New Roman"/>
              </w:rPr>
              <w:t>行驶里程（单位：万公里）</w:t>
            </w:r>
          </w:p>
        </w:tc>
      </w:tr>
      <w:tr w14:paraId="67B2D7E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BC90545">
            <w:pPr>
              <w:rPr>
                <w:rFonts w:ascii="Times New Roman" w:hAnsi="Times New Roman"/>
              </w:rPr>
            </w:pPr>
            <w:r>
              <w:rPr>
                <w:rFonts w:ascii="Times New Roman" w:hAnsi="Times New Roman"/>
              </w:rPr>
              <w:t>displacement</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16F5FA">
            <w:pPr>
              <w:rPr>
                <w:rFonts w:ascii="Times New Roman" w:hAnsi="Times New Roman"/>
              </w:rPr>
            </w:pPr>
            <w:r>
              <w:rPr>
                <w:rFonts w:ascii="Times New Roman" w:hAnsi="Times New Roman"/>
              </w:rPr>
              <w:t>decimal(3, 1)</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4E8F74C">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28C1CF92">
            <w:pPr>
              <w:rPr>
                <w:rFonts w:ascii="Times New Roman" w:hAnsi="Times New Roman"/>
              </w:rPr>
            </w:pPr>
            <w:r>
              <w:rPr>
                <w:rFonts w:ascii="Times New Roman" w:hAnsi="Times New Roman"/>
              </w:rPr>
              <w:t>排量（如：1.5、2.0、1.4T）</w:t>
            </w:r>
          </w:p>
        </w:tc>
      </w:tr>
      <w:tr w14:paraId="4C9ED4D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06F61E8">
            <w:pPr>
              <w:rPr>
                <w:rFonts w:ascii="Times New Roman" w:hAnsi="Times New Roman"/>
              </w:rPr>
            </w:pPr>
            <w:r>
              <w:rPr>
                <w:rFonts w:ascii="Times New Roman" w:hAnsi="Times New Roman"/>
              </w:rPr>
              <w:t>gear_box</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89253F1">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1B7639">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5917FAE4">
            <w:pPr>
              <w:rPr>
                <w:rFonts w:ascii="Times New Roman" w:hAnsi="Times New Roman"/>
              </w:rPr>
            </w:pPr>
            <w:r>
              <w:rPr>
                <w:rFonts w:ascii="Times New Roman" w:hAnsi="Times New Roman"/>
              </w:rPr>
              <w:t>变速箱类型（手动 / 自动 / 双离合 / CVT）</w:t>
            </w:r>
          </w:p>
        </w:tc>
      </w:tr>
      <w:tr w14:paraId="5F14424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DA90FDA">
            <w:pPr>
              <w:rPr>
                <w:rFonts w:ascii="Times New Roman" w:hAnsi="Times New Roman"/>
              </w:rPr>
            </w:pPr>
            <w:r>
              <w:rPr>
                <w:rFonts w:ascii="Times New Roman" w:hAnsi="Times New Roman"/>
              </w:rPr>
              <w:t>fuel_type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64F4EFA">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FC0651F">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5FF625FC">
            <w:pPr>
              <w:rPr>
                <w:rFonts w:ascii="Times New Roman" w:hAnsi="Times New Roman"/>
              </w:rPr>
            </w:pPr>
            <w:r>
              <w:rPr>
                <w:rFonts w:ascii="Times New Roman" w:hAnsi="Times New Roman"/>
              </w:rPr>
              <w:t>燃油类型（汽油 / 柴油 / 混动 / 纯电）</w:t>
            </w:r>
          </w:p>
        </w:tc>
      </w:tr>
      <w:tr w14:paraId="5ACB9509">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5A261C3">
            <w:pPr>
              <w:rPr>
                <w:rFonts w:ascii="Times New Roman" w:hAnsi="Times New Roman"/>
              </w:rPr>
            </w:pPr>
            <w:r>
              <w:rPr>
                <w:rFonts w:ascii="Times New Roman" w:hAnsi="Times New Roman"/>
              </w:rPr>
              <w:t>register_date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7E122DA">
            <w:pPr>
              <w:rPr>
                <w:rFonts w:ascii="Times New Roman" w:hAnsi="Times New Roman"/>
              </w:rPr>
            </w:pPr>
            <w:r>
              <w:rPr>
                <w:rFonts w:ascii="Times New Roman" w:hAnsi="Times New Roman"/>
              </w:rPr>
              <w:t>date</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C64C8D4">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8B5BF19">
            <w:pPr>
              <w:rPr>
                <w:rFonts w:ascii="Times New Roman" w:hAnsi="Times New Roman"/>
              </w:rPr>
            </w:pPr>
            <w:r>
              <w:rPr>
                <w:rFonts w:ascii="Times New Roman" w:hAnsi="Times New Roman"/>
              </w:rPr>
              <w:t>首次上牌日期</w:t>
            </w:r>
          </w:p>
        </w:tc>
      </w:tr>
      <w:tr w14:paraId="7D1C65D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C041B06">
            <w:pPr>
              <w:rPr>
                <w:rFonts w:ascii="Times New Roman" w:hAnsi="Times New Roman"/>
              </w:rPr>
            </w:pPr>
            <w:r>
              <w:rPr>
                <w:rFonts w:ascii="Times New Roman" w:hAnsi="Times New Roman"/>
              </w:rPr>
              <w:t>use_type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8567D43">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BD970AF">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7663086">
            <w:pPr>
              <w:rPr>
                <w:rFonts w:ascii="Times New Roman" w:hAnsi="Times New Roman"/>
              </w:rPr>
            </w:pPr>
            <w:r>
              <w:rPr>
                <w:rFonts w:ascii="Times New Roman" w:hAnsi="Times New Roman"/>
              </w:rPr>
              <w:t>使用性质（非营运 / 营运 / 营转非）</w:t>
            </w:r>
          </w:p>
        </w:tc>
      </w:tr>
      <w:tr w14:paraId="7F91FF7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30E314C">
            <w:pPr>
              <w:rPr>
                <w:rFonts w:ascii="Times New Roman" w:hAnsi="Times New Roman"/>
              </w:rPr>
            </w:pPr>
            <w:r>
              <w:rPr>
                <w:rFonts w:ascii="Times New Roman" w:hAnsi="Times New Roman"/>
              </w:rPr>
              <w:t>condition_grade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19C576A">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036F319">
            <w:pPr>
              <w:rPr>
                <w:rFonts w:ascii="Times New Roman" w:hAnsi="Times New Roman"/>
              </w:rPr>
            </w:pPr>
            <w:r>
              <w:rPr>
                <w:rFonts w:ascii="Times New Roman" w:hAnsi="Times New Roman"/>
              </w:rPr>
              <w:t>否（索引）</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068CB0F4">
            <w:pPr>
              <w:rPr>
                <w:rFonts w:ascii="Times New Roman" w:hAnsi="Times New Roman"/>
              </w:rPr>
            </w:pPr>
            <w:r>
              <w:rPr>
                <w:rFonts w:ascii="Times New Roman" w:hAnsi="Times New Roman"/>
              </w:rPr>
              <w:t>车况等级（精品 / 良好 / 一般 / 较差 / 事故车）</w:t>
            </w:r>
          </w:p>
        </w:tc>
      </w:tr>
      <w:tr w14:paraId="5FEFDDD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B9A3430">
            <w:pPr>
              <w:rPr>
                <w:rFonts w:ascii="Times New Roman" w:hAnsi="Times New Roman"/>
              </w:rPr>
            </w:pPr>
            <w:r>
              <w:rPr>
                <w:rFonts w:ascii="Times New Roman" w:hAnsi="Times New Roman"/>
              </w:rPr>
              <w:t>acquire_channel</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E1EECBE">
            <w:pPr>
              <w:rPr>
                <w:rFonts w:ascii="Times New Roman" w:hAnsi="Times New Roman"/>
              </w:rPr>
            </w:pPr>
            <w:r>
              <w:rPr>
                <w:rFonts w:ascii="Times New Roman" w:hAnsi="Times New Roman"/>
              </w:rPr>
              <w:t>varchar(32)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FC7DC1A">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1E494DA1">
            <w:pPr>
              <w:rPr>
                <w:rFonts w:ascii="Times New Roman" w:hAnsi="Times New Roman"/>
              </w:rPr>
            </w:pPr>
            <w:r>
              <w:rPr>
                <w:rFonts w:ascii="Times New Roman" w:hAnsi="Times New Roman"/>
              </w:rPr>
              <w:t>收购渠道（个人收购 / 同行调车 / 拍卖 / 置换）</w:t>
            </w:r>
          </w:p>
        </w:tc>
      </w:tr>
      <w:tr w14:paraId="42056AB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F5F1A77">
            <w:pPr>
              <w:rPr>
                <w:rFonts w:ascii="Times New Roman" w:hAnsi="Times New Roman"/>
              </w:rPr>
            </w:pPr>
            <w:r>
              <w:rPr>
                <w:rFonts w:ascii="Times New Roman" w:hAnsi="Times New Roman"/>
              </w:rPr>
              <w:t>acquire_price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698070A">
            <w:pPr>
              <w:rPr>
                <w:rFonts w:ascii="Times New Roman" w:hAnsi="Times New Roman"/>
              </w:rPr>
            </w:pPr>
            <w:r>
              <w:rPr>
                <w:rFonts w:ascii="Times New Roman" w:hAnsi="Times New Roman"/>
              </w:rPr>
              <w:t>decimal(10, 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59AFBAE">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71260A3">
            <w:pPr>
              <w:rPr>
                <w:rFonts w:ascii="Times New Roman" w:hAnsi="Times New Roman"/>
              </w:rPr>
            </w:pPr>
            <w:r>
              <w:rPr>
                <w:rFonts w:ascii="Times New Roman" w:hAnsi="Times New Roman"/>
              </w:rPr>
              <w:t>收购价（单位：元）</w:t>
            </w:r>
          </w:p>
        </w:tc>
      </w:tr>
      <w:tr w14:paraId="253164F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4C59DCB">
            <w:pPr>
              <w:rPr>
                <w:rFonts w:ascii="Times New Roman" w:hAnsi="Times New Roman"/>
              </w:rPr>
            </w:pPr>
            <w:r>
              <w:rPr>
                <w:rFonts w:ascii="Times New Roman" w:hAnsi="Times New Roman"/>
              </w:rPr>
              <w:t>cost_price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701A04B">
            <w:pPr>
              <w:rPr>
                <w:rFonts w:ascii="Times New Roman" w:hAnsi="Times New Roman"/>
              </w:rPr>
            </w:pPr>
            <w:r>
              <w:rPr>
                <w:rFonts w:ascii="Times New Roman" w:hAnsi="Times New Roman"/>
              </w:rPr>
              <w:t>decimal(10, 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13FF995">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1778268A">
            <w:pPr>
              <w:rPr>
                <w:rFonts w:ascii="Times New Roman" w:hAnsi="Times New Roman"/>
              </w:rPr>
            </w:pPr>
            <w:r>
              <w:rPr>
                <w:rFonts w:ascii="Times New Roman" w:hAnsi="Times New Roman"/>
              </w:rPr>
              <w:t>综合成本价（含整备、检测、佣金，单位：元）</w:t>
            </w:r>
          </w:p>
        </w:tc>
      </w:tr>
      <w:tr w14:paraId="7D2EBE1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996DDCF">
            <w:pPr>
              <w:rPr>
                <w:rFonts w:ascii="Times New Roman" w:hAnsi="Times New Roman"/>
              </w:rPr>
            </w:pPr>
            <w:r>
              <w:rPr>
                <w:rFonts w:ascii="Times New Roman" w:hAnsi="Times New Roman"/>
              </w:rPr>
              <w:t>guide_price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7A5A17B">
            <w:pPr>
              <w:rPr>
                <w:rFonts w:ascii="Times New Roman" w:hAnsi="Times New Roman"/>
              </w:rPr>
            </w:pPr>
            <w:r>
              <w:rPr>
                <w:rFonts w:ascii="Times New Roman" w:hAnsi="Times New Roman"/>
              </w:rPr>
              <w:t>decimal(10, 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A2212DB">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6D0DDAF4">
            <w:pPr>
              <w:rPr>
                <w:rFonts w:ascii="Times New Roman" w:hAnsi="Times New Roman"/>
              </w:rPr>
            </w:pPr>
            <w:r>
              <w:rPr>
                <w:rFonts w:ascii="Times New Roman" w:hAnsi="Times New Roman"/>
              </w:rPr>
              <w:t>销售指导价（单位：元）</w:t>
            </w:r>
          </w:p>
        </w:tc>
      </w:tr>
      <w:tr w14:paraId="371CF3E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DD8209E">
            <w:pPr>
              <w:rPr>
                <w:rFonts w:ascii="Times New Roman" w:hAnsi="Times New Roman"/>
              </w:rPr>
            </w:pPr>
            <w:r>
              <w:rPr>
                <w:rFonts w:ascii="Times New Roman" w:hAnsi="Times New Roman"/>
              </w:rPr>
              <w:t>discount_price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DE66584">
            <w:pPr>
              <w:rPr>
                <w:rFonts w:ascii="Times New Roman" w:hAnsi="Times New Roman"/>
              </w:rPr>
            </w:pPr>
            <w:r>
              <w:rPr>
                <w:rFonts w:ascii="Times New Roman" w:hAnsi="Times New Roman"/>
              </w:rPr>
              <w:t>decimal(10, 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C179108">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41D4459D">
            <w:pPr>
              <w:rPr>
                <w:rFonts w:ascii="Times New Roman" w:hAnsi="Times New Roman"/>
              </w:rPr>
            </w:pPr>
            <w:r>
              <w:rPr>
                <w:rFonts w:ascii="Times New Roman" w:hAnsi="Times New Roman"/>
              </w:rPr>
              <w:t>优惠价（单位：元，为空则等于指导价）</w:t>
            </w:r>
          </w:p>
        </w:tc>
      </w:tr>
      <w:tr w14:paraId="24955F3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AF50CD9">
            <w:pPr>
              <w:rPr>
                <w:rFonts w:ascii="Times New Roman" w:hAnsi="Times New Roman"/>
              </w:rPr>
            </w:pPr>
            <w:r>
              <w:rPr>
                <w:rFonts w:ascii="Times New Roman" w:hAnsi="Times New Roman"/>
              </w:rPr>
              <w:t>stock_status</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A0B2034">
            <w:pPr>
              <w:rPr>
                <w:rFonts w:ascii="Times New Roman" w:hAnsi="Times New Roman"/>
              </w:rPr>
            </w:pPr>
            <w:r>
              <w:rPr>
                <w:rFonts w:ascii="Times New Roman" w:hAnsi="Times New Roman"/>
              </w:rPr>
              <w:t>varchar(16)</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37F3382">
            <w:pPr>
              <w:rPr>
                <w:rFonts w:ascii="Times New Roman" w:hAnsi="Times New Roman"/>
              </w:rPr>
            </w:pPr>
            <w:r>
              <w:rPr>
                <w:rFonts w:ascii="Times New Roman" w:hAnsi="Times New Roman"/>
              </w:rPr>
              <w:t>否（索引）</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256AAB7F">
            <w:pPr>
              <w:rPr>
                <w:rFonts w:ascii="Times New Roman" w:hAnsi="Times New Roman"/>
              </w:rPr>
            </w:pPr>
            <w:r>
              <w:rPr>
                <w:rFonts w:ascii="Times New Roman" w:hAnsi="Times New Roman"/>
              </w:rPr>
              <w:t>库存状态（在售 / 已售 / 预订 / 维修 / 下架）</w:t>
            </w:r>
          </w:p>
        </w:tc>
      </w:tr>
      <w:tr w14:paraId="7145E7D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CFBC691">
            <w:pPr>
              <w:rPr>
                <w:rFonts w:ascii="Times New Roman" w:hAnsi="Times New Roman"/>
              </w:rPr>
            </w:pPr>
            <w:r>
              <w:rPr>
                <w:rFonts w:ascii="Times New Roman" w:hAnsi="Times New Roman"/>
              </w:rPr>
              <w:t>storage_location</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AD4F6FD">
            <w:pPr>
              <w:rPr>
                <w:rFonts w:ascii="Times New Roman" w:hAnsi="Times New Roman"/>
              </w:rPr>
            </w:pPr>
            <w:r>
              <w:rPr>
                <w:rFonts w:ascii="Times New Roman" w:hAnsi="Times New Roman"/>
              </w:rPr>
              <w:t>varchar(64)</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155B186">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0B95328">
            <w:pPr>
              <w:rPr>
                <w:rFonts w:ascii="Times New Roman" w:hAnsi="Times New Roman"/>
              </w:rPr>
            </w:pPr>
            <w:r>
              <w:rPr>
                <w:rFonts w:ascii="Times New Roman" w:hAnsi="Times New Roman"/>
              </w:rPr>
              <w:t>存放位置（如：展厅 A 区 / 车库 B08 / 维修车间）</w:t>
            </w:r>
          </w:p>
        </w:tc>
      </w:tr>
      <w:tr w14:paraId="01941D3E">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0A7BA2E">
            <w:pPr>
              <w:rPr>
                <w:rFonts w:ascii="Times New Roman" w:hAnsi="Times New Roman"/>
              </w:rPr>
            </w:pPr>
            <w:r>
              <w:rPr>
                <w:rFonts w:ascii="Times New Roman" w:hAnsi="Times New Roman"/>
              </w:rPr>
              <w:t>in_stock_date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771BA8C">
            <w:pPr>
              <w:rPr>
                <w:rFonts w:ascii="Times New Roman" w:hAnsi="Times New Roman"/>
              </w:rPr>
            </w:pPr>
            <w:r>
              <w:rPr>
                <w:rFonts w:ascii="Times New Roman" w:hAnsi="Times New Roman"/>
              </w:rPr>
              <w:t>date</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B66BA3F">
            <w:pPr>
              <w:rPr>
                <w:rFonts w:ascii="Times New Roman" w:hAnsi="Times New Roman"/>
              </w:rPr>
            </w:pPr>
            <w:r>
              <w:rPr>
                <w:rFonts w:ascii="Times New Roman" w:hAnsi="Times New Roman"/>
              </w:rPr>
              <w:t>否（索引）</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F5D0C97">
            <w:pPr>
              <w:rPr>
                <w:rFonts w:ascii="Times New Roman" w:hAnsi="Times New Roman"/>
              </w:rPr>
            </w:pPr>
            <w:r>
              <w:rPr>
                <w:rFonts w:ascii="Times New Roman" w:hAnsi="Times New Roman"/>
              </w:rPr>
              <w:t>入库日期</w:t>
            </w:r>
          </w:p>
        </w:tc>
      </w:tr>
      <w:tr w14:paraId="272C09AF">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E70529B">
            <w:pPr>
              <w:rPr>
                <w:rFonts w:ascii="Times New Roman" w:hAnsi="Times New Roman"/>
              </w:rPr>
            </w:pPr>
            <w:r>
              <w:rPr>
                <w:rFonts w:ascii="Times New Roman" w:hAnsi="Times New Roman"/>
              </w:rPr>
              <w:t>out_stock_date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3148CA2">
            <w:pPr>
              <w:rPr>
                <w:rFonts w:ascii="Times New Roman" w:hAnsi="Times New Roman"/>
              </w:rPr>
            </w:pPr>
            <w:r>
              <w:rPr>
                <w:rFonts w:ascii="Times New Roman" w:hAnsi="Times New Roman"/>
              </w:rPr>
              <w:t>date</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B58F091">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45E510D8">
            <w:pPr>
              <w:rPr>
                <w:rFonts w:ascii="Times New Roman" w:hAnsi="Times New Roman"/>
              </w:rPr>
            </w:pPr>
            <w:r>
              <w:rPr>
                <w:rFonts w:ascii="Times New Roman" w:hAnsi="Times New Roman"/>
              </w:rPr>
              <w:t>出库日期（已售 / 转出时填写）</w:t>
            </w:r>
          </w:p>
        </w:tc>
      </w:tr>
      <w:tr w14:paraId="347BE16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FC7BBBF">
            <w:pPr>
              <w:rPr>
                <w:rFonts w:ascii="Times New Roman" w:hAnsi="Times New Roman"/>
              </w:rPr>
            </w:pPr>
            <w:r>
              <w:rPr>
                <w:rFonts w:ascii="Times New Roman" w:hAnsi="Times New Roman"/>
              </w:rPr>
              <w:t>detection_report</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18934C7">
            <w:pPr>
              <w:rPr>
                <w:rFonts w:ascii="Times New Roman" w:hAnsi="Times New Roman"/>
              </w:rPr>
            </w:pPr>
            <w:r>
              <w:rPr>
                <w:rFonts w:ascii="Times New Roman" w:hAnsi="Times New Roman"/>
              </w:rPr>
              <w:t>varchar(255)</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E5CDB70">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418C5AB8">
            <w:pPr>
              <w:rPr>
                <w:rFonts w:ascii="Times New Roman" w:hAnsi="Times New Roman"/>
              </w:rPr>
            </w:pPr>
            <w:r>
              <w:rPr>
                <w:rFonts w:ascii="Times New Roman" w:hAnsi="Times New Roman"/>
              </w:rPr>
              <w:t>检测报告链接（多个用逗号分隔）</w:t>
            </w:r>
          </w:p>
        </w:tc>
      </w:tr>
      <w:tr w14:paraId="1663D66C">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03B61AA">
            <w:pPr>
              <w:rPr>
                <w:rFonts w:ascii="Times New Roman" w:hAnsi="Times New Roman"/>
              </w:rPr>
            </w:pPr>
            <w:r>
              <w:rPr>
                <w:rFonts w:ascii="Times New Roman" w:hAnsi="Times New Roman"/>
              </w:rPr>
              <w:t>car_images</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5F9BFFD">
            <w:pPr>
              <w:rPr>
                <w:rFonts w:ascii="Times New Roman" w:hAnsi="Times New Roman"/>
              </w:rPr>
            </w:pPr>
            <w:r>
              <w:rPr>
                <w:rFonts w:ascii="Times New Roman" w:hAnsi="Times New Roman"/>
              </w:rPr>
              <w:t>varchar(512)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829F960">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397B274">
            <w:pPr>
              <w:rPr>
                <w:rFonts w:ascii="Times New Roman" w:hAnsi="Times New Roman"/>
              </w:rPr>
            </w:pPr>
            <w:r>
              <w:rPr>
                <w:rFonts w:ascii="Times New Roman" w:hAnsi="Times New Roman"/>
              </w:rPr>
              <w:t>车辆图片链接（多个用逗号分隔）</w:t>
            </w:r>
          </w:p>
        </w:tc>
      </w:tr>
      <w:tr w14:paraId="0A9945D0">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444923BD">
            <w:pPr>
              <w:rPr>
                <w:rFonts w:ascii="Times New Roman" w:hAnsi="Times New Roman"/>
              </w:rPr>
            </w:pPr>
            <w:r>
              <w:rPr>
                <w:rFonts w:ascii="Times New Roman" w:hAnsi="Times New Roman"/>
              </w:rPr>
              <w:t>remark</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912A0E6">
            <w:pPr>
              <w:rPr>
                <w:rFonts w:ascii="Times New Roman" w:hAnsi="Times New Roman"/>
              </w:rPr>
            </w:pPr>
            <w:r>
              <w:rPr>
                <w:rFonts w:ascii="Times New Roman" w:hAnsi="Times New Roman"/>
              </w:rPr>
              <w:t>varchar(512)</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E3FFAEC">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C2C7010">
            <w:pPr>
              <w:rPr>
                <w:rFonts w:ascii="Times New Roman" w:hAnsi="Times New Roman"/>
              </w:rPr>
            </w:pPr>
            <w:r>
              <w:rPr>
                <w:rFonts w:ascii="Times New Roman" w:hAnsi="Times New Roman"/>
              </w:rPr>
              <w:t>备注（车况说明、整备记录等）</w:t>
            </w:r>
          </w:p>
        </w:tc>
      </w:tr>
      <w:tr w14:paraId="28A7F794">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DC42D11">
            <w:pPr>
              <w:rPr>
                <w:rFonts w:ascii="Times New Roman" w:hAnsi="Times New Roman"/>
              </w:rPr>
            </w:pPr>
            <w:r>
              <w:rPr>
                <w:rFonts w:ascii="Times New Roman" w:hAnsi="Times New Roman"/>
              </w:rPr>
              <w:t>creator</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63EB2CF">
            <w:pPr>
              <w:rPr>
                <w:rFonts w:ascii="Times New Roman" w:hAnsi="Times New Roman"/>
              </w:rPr>
            </w:pPr>
            <w:r>
              <w:rPr>
                <w:rFonts w:ascii="Times New Roman" w:hAnsi="Times New Roman"/>
              </w:rPr>
              <w:t>varchar(64)</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62D81CA">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729A8AB0">
            <w:pPr>
              <w:rPr>
                <w:rFonts w:ascii="Times New Roman" w:hAnsi="Times New Roman"/>
              </w:rPr>
            </w:pPr>
            <w:r>
              <w:rPr>
                <w:rFonts w:ascii="Times New Roman" w:hAnsi="Times New Roman"/>
              </w:rPr>
              <w:t>创建人（若依用户账号）</w:t>
            </w:r>
          </w:p>
        </w:tc>
      </w:tr>
      <w:tr w14:paraId="79C86702">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24A5FDB">
            <w:pPr>
              <w:rPr>
                <w:rFonts w:ascii="Times New Roman" w:hAnsi="Times New Roman"/>
              </w:rPr>
            </w:pPr>
            <w:r>
              <w:rPr>
                <w:rFonts w:ascii="Times New Roman" w:hAnsi="Times New Roman"/>
              </w:rPr>
              <w:t>create_time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5C6C190">
            <w:pPr>
              <w:rPr>
                <w:rFonts w:ascii="Times New Roman" w:hAnsi="Times New Roman"/>
              </w:rPr>
            </w:pPr>
            <w:r>
              <w:rPr>
                <w:rFonts w:ascii="Times New Roman" w:hAnsi="Times New Roman"/>
              </w:rPr>
              <w:t>datetime</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5D9276F">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20129462">
            <w:pPr>
              <w:rPr>
                <w:rFonts w:ascii="Times New Roman" w:hAnsi="Times New Roman"/>
              </w:rPr>
            </w:pPr>
            <w:r>
              <w:rPr>
                <w:rFonts w:ascii="Times New Roman" w:hAnsi="Times New Roman"/>
              </w:rPr>
              <w:t>创建时间</w:t>
            </w:r>
          </w:p>
        </w:tc>
      </w:tr>
      <w:tr w14:paraId="446C471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D7D4A0D">
            <w:pPr>
              <w:rPr>
                <w:rFonts w:ascii="Times New Roman" w:hAnsi="Times New Roman"/>
              </w:rPr>
            </w:pPr>
            <w:r>
              <w:rPr>
                <w:rFonts w:ascii="Times New Roman" w:hAnsi="Times New Roman"/>
              </w:rPr>
              <w:t>updater</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EB118CE">
            <w:pPr>
              <w:rPr>
                <w:rFonts w:ascii="Times New Roman" w:hAnsi="Times New Roman"/>
              </w:rPr>
            </w:pPr>
            <w:r>
              <w:rPr>
                <w:rFonts w:ascii="Times New Roman" w:hAnsi="Times New Roman"/>
              </w:rPr>
              <w:t>varchar(64)</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D943720">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584F088E">
            <w:pPr>
              <w:rPr>
                <w:rFonts w:ascii="Times New Roman" w:hAnsi="Times New Roman"/>
              </w:rPr>
            </w:pPr>
            <w:r>
              <w:rPr>
                <w:rFonts w:ascii="Times New Roman" w:hAnsi="Times New Roman"/>
              </w:rPr>
              <w:t>更新人</w:t>
            </w:r>
          </w:p>
        </w:tc>
      </w:tr>
      <w:tr w14:paraId="3A6B5B3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87492BC">
            <w:pPr>
              <w:rPr>
                <w:rFonts w:ascii="Times New Roman" w:hAnsi="Times New Roman"/>
              </w:rPr>
            </w:pPr>
            <w:r>
              <w:rPr>
                <w:rFonts w:ascii="Times New Roman" w:hAnsi="Times New Roman"/>
              </w:rPr>
              <w:t>update_time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2C1893C8">
            <w:pPr>
              <w:rPr>
                <w:rFonts w:ascii="Times New Roman" w:hAnsi="Times New Roman"/>
              </w:rPr>
            </w:pPr>
            <w:r>
              <w:rPr>
                <w:rFonts w:ascii="Times New Roman" w:hAnsi="Times New Roman"/>
              </w:rPr>
              <w:t>datetime</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3EDA781">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42AB4217">
            <w:pPr>
              <w:rPr>
                <w:rFonts w:ascii="Times New Roman" w:hAnsi="Times New Roman"/>
              </w:rPr>
            </w:pPr>
            <w:r>
              <w:rPr>
                <w:rFonts w:ascii="Times New Roman" w:hAnsi="Times New Roman"/>
              </w:rPr>
              <w:t>更新时间</w:t>
            </w:r>
          </w:p>
        </w:tc>
      </w:tr>
      <w:tr w14:paraId="6C6A26C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759A6FA">
            <w:pPr>
              <w:rPr>
                <w:rFonts w:ascii="Times New Roman" w:hAnsi="Times New Roman"/>
              </w:rPr>
            </w:pPr>
            <w:r>
              <w:rPr>
                <w:rFonts w:ascii="Times New Roman" w:hAnsi="Times New Roman"/>
              </w:rPr>
              <w:t>del_flag</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0973F9F">
            <w:pPr>
              <w:rPr>
                <w:rFonts w:ascii="Times New Roman" w:hAnsi="Times New Roman"/>
              </w:rPr>
            </w:pPr>
            <w:r>
              <w:rPr>
                <w:rFonts w:ascii="Times New Roman" w:hAnsi="Times New Roman"/>
              </w:rPr>
              <w:t>char(1)</w:t>
            </w:r>
          </w:p>
        </w:tc>
        <w:tc>
          <w:tcPr>
            <w:tcW w:w="1431" w:type="dxa"/>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6401B25">
            <w:pPr>
              <w:rPr>
                <w:rFonts w:ascii="Times New Roman" w:hAnsi="Times New Roman"/>
              </w:rPr>
            </w:pPr>
            <w:r>
              <w:rPr>
                <w:rFonts w:ascii="Times New Roman" w:hAnsi="Times New Roman"/>
              </w:rPr>
              <w:t>否</w:t>
            </w:r>
          </w:p>
        </w:tc>
        <w:tc>
          <w:tcPr>
            <w:tcW w:w="3199" w:type="dxa"/>
            <w:tcBorders>
              <w:top w:val="nil"/>
              <w:left w:val="nil"/>
              <w:bottom w:val="nil"/>
              <w:right w:val="nil"/>
            </w:tcBorders>
            <w:shd w:val="clear" w:color="auto" w:fill="auto"/>
            <w:tcMar>
              <w:top w:w="120" w:type="dxa"/>
              <w:left w:w="180" w:type="dxa"/>
              <w:bottom w:w="120" w:type="dxa"/>
              <w:right w:w="180" w:type="dxa"/>
            </w:tcMar>
            <w:vAlign w:val="center"/>
          </w:tcPr>
          <w:p w14:paraId="37089136">
            <w:pPr>
              <w:rPr>
                <w:rFonts w:ascii="Times New Roman" w:hAnsi="Times New Roman"/>
              </w:rPr>
            </w:pPr>
            <w:r>
              <w:rPr>
                <w:rFonts w:ascii="Times New Roman" w:hAnsi="Times New Roman"/>
              </w:rPr>
              <w:t>删除标记（0-正常 1 -删除）</w:t>
            </w:r>
          </w:p>
        </w:tc>
      </w:tr>
    </w:tbl>
    <w:p w14:paraId="57ACBB9D">
      <w:pPr>
        <w:keepNext w:val="0"/>
        <w:keepLines w:val="0"/>
        <w:pageBreakBefore w:val="0"/>
        <w:widowControl w:val="0"/>
        <w:numPr>
          <w:ilvl w:val="0"/>
          <w:numId w:val="3"/>
        </w:numPr>
        <w:kinsoku/>
        <w:wordWrap/>
        <w:overflowPunct/>
        <w:topLinePunct w:val="0"/>
        <w:autoSpaceDE/>
        <w:autoSpaceDN/>
        <w:bidi w:val="0"/>
        <w:adjustRightInd/>
        <w:snapToGrid/>
        <w:ind w:left="0" w:firstLine="480" w:firstLineChars="200"/>
        <w:textAlignment w:val="auto"/>
        <w:rPr>
          <w:rFonts w:ascii="Times New Roman" w:hAnsi="Times New Roman"/>
          <w:sz w:val="24"/>
          <w:szCs w:val="32"/>
        </w:rPr>
      </w:pPr>
      <w:r>
        <w:rPr>
          <w:rFonts w:ascii="Times New Roman" w:hAnsi="Times New Roman"/>
          <w:sz w:val="24"/>
          <w:szCs w:val="32"/>
        </w:rPr>
        <w:t>work_order_info（工作单信息表）</w:t>
      </w:r>
    </w:p>
    <w:p w14:paraId="7B17AC2D">
      <w:pPr>
        <w:pStyle w:val="13"/>
        <w:ind w:firstLine="420"/>
        <w:rPr>
          <w:rFonts w:ascii="Times New Roman" w:hAnsi="Times New Roman"/>
        </w:rPr>
      </w:pPr>
      <w:r>
        <w:rPr>
          <w:rFonts w:ascii="Times New Roman" w:hAnsi="Times New Roman"/>
        </w:rPr>
        <w:t>表3</w:t>
      </w:r>
      <w:r>
        <w:rPr>
          <w:rFonts w:hint="eastAsia" w:ascii="Times New Roman" w:hAnsi="Times New Roman"/>
        </w:rPr>
        <w:t>-</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SEQ 表3. \* ARABIC </w:instrText>
      </w:r>
      <w:r>
        <w:rPr>
          <w:rFonts w:ascii="Times New Roman" w:hAnsi="Times New Roman"/>
        </w:rPr>
        <w:fldChar w:fldCharType="separate"/>
      </w:r>
      <w:r>
        <w:rPr>
          <w:rFonts w:ascii="Times New Roman" w:hAnsi="Times New Roman"/>
        </w:rPr>
        <w:t>11</w:t>
      </w:r>
      <w:r>
        <w:rPr>
          <w:rFonts w:ascii="Times New Roman" w:hAnsi="Times New Roman"/>
        </w:rPr>
        <w:fldChar w:fldCharType="end"/>
      </w:r>
      <w:r>
        <w:rPr>
          <w:rFonts w:ascii="Times New Roman" w:hAnsi="Times New Roman"/>
        </w:rPr>
        <w:t>工作单信息表</w:t>
      </w:r>
    </w:p>
    <w:tbl>
      <w:tblPr>
        <w:tblStyle w:val="35"/>
        <w:tblW w:w="8521" w:type="dxa"/>
        <w:tblInd w:w="0"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3297"/>
        <w:gridCol w:w="1770"/>
        <w:gridCol w:w="1470"/>
        <w:gridCol w:w="1984"/>
      </w:tblGrid>
      <w:tr w14:paraId="73DEAB74">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blHeader/>
        </w:trPr>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545D8BB8">
            <w:pPr>
              <w:rPr>
                <w:rFonts w:ascii="Times New Roman" w:hAnsi="Times New Roman"/>
              </w:rPr>
            </w:pPr>
            <w:r>
              <w:rPr>
                <w:rFonts w:ascii="Times New Roman" w:hAnsi="Times New Roman"/>
              </w:rPr>
              <w:t>字段名</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254ED65A">
            <w:pPr>
              <w:rPr>
                <w:rFonts w:ascii="Times New Roman" w:hAnsi="Times New Roman"/>
              </w:rPr>
            </w:pPr>
            <w:r>
              <w:rPr>
                <w:rFonts w:ascii="Times New Roman" w:hAnsi="Times New Roman"/>
              </w:rPr>
              <w:t>字段类型</w:t>
            </w:r>
          </w:p>
        </w:tc>
        <w:tc>
          <w:tcPr>
            <w:tcW w:w="0" w:type="auto"/>
            <w:tcBorders>
              <w:top w:val="nil"/>
              <w:left w:val="nil"/>
              <w:bottom w:val="nil"/>
              <w:right w:val="single" w:color="auto" w:sz="2" w:space="0"/>
            </w:tcBorders>
            <w:shd w:val="clear" w:color="auto" w:fill="F2F2F2"/>
            <w:tcMar>
              <w:top w:w="120" w:type="dxa"/>
              <w:left w:w="180" w:type="dxa"/>
              <w:bottom w:w="120" w:type="dxa"/>
              <w:right w:w="180" w:type="dxa"/>
            </w:tcMar>
            <w:vAlign w:val="center"/>
          </w:tcPr>
          <w:p w14:paraId="6397CB5D">
            <w:pPr>
              <w:rPr>
                <w:rFonts w:ascii="Times New Roman" w:hAnsi="Times New Roman"/>
              </w:rPr>
            </w:pPr>
            <w:r>
              <w:rPr>
                <w:rFonts w:ascii="Times New Roman" w:hAnsi="Times New Roman"/>
              </w:rPr>
              <w:t>是否主键</w:t>
            </w:r>
          </w:p>
        </w:tc>
        <w:tc>
          <w:tcPr>
            <w:tcW w:w="0" w:type="auto"/>
            <w:tcBorders>
              <w:top w:val="nil"/>
              <w:left w:val="nil"/>
              <w:bottom w:val="nil"/>
              <w:right w:val="nil"/>
            </w:tcBorders>
            <w:shd w:val="clear" w:color="auto" w:fill="F2F2F2"/>
            <w:tcMar>
              <w:top w:w="120" w:type="dxa"/>
              <w:left w:w="180" w:type="dxa"/>
              <w:bottom w:w="120" w:type="dxa"/>
              <w:right w:w="180" w:type="dxa"/>
            </w:tcMar>
            <w:vAlign w:val="center"/>
          </w:tcPr>
          <w:p w14:paraId="1195BBDA">
            <w:pPr>
              <w:rPr>
                <w:rFonts w:ascii="Times New Roman" w:hAnsi="Times New Roman"/>
              </w:rPr>
            </w:pPr>
            <w:r>
              <w:rPr>
                <w:rFonts w:ascii="Times New Roman" w:hAnsi="Times New Roman"/>
              </w:rPr>
              <w:t>注释</w:t>
            </w:r>
          </w:p>
        </w:tc>
      </w:tr>
      <w:tr w14:paraId="7AFA5C39">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B0D7098">
            <w:pPr>
              <w:rPr>
                <w:rFonts w:ascii="Times New Roman" w:hAnsi="Times New Roman"/>
              </w:rPr>
            </w:pPr>
            <w:r>
              <w:rPr>
                <w:rFonts w:ascii="Times New Roman" w:hAnsi="Times New Roman"/>
              </w:rPr>
              <w:t>work_order_id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5DB4230">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1AD8321">
            <w:pPr>
              <w:rPr>
                <w:rFonts w:ascii="Times New Roman" w:hAnsi="Times New Roman"/>
              </w:rPr>
            </w:pPr>
            <w:r>
              <w:rPr>
                <w:rFonts w:ascii="Times New Roman" w:hAnsi="Times New Roman"/>
              </w:rPr>
              <w:t>是</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75264351">
            <w:pPr>
              <w:rPr>
                <w:rFonts w:ascii="Times New Roman" w:hAnsi="Times New Roman"/>
              </w:rPr>
            </w:pPr>
            <w:r>
              <w:rPr>
                <w:rFonts w:ascii="Times New Roman" w:hAnsi="Times New Roman"/>
              </w:rPr>
              <w:t>工单编号</w:t>
            </w:r>
          </w:p>
        </w:tc>
      </w:tr>
      <w:tr w14:paraId="5670F373">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1C72817">
            <w:pPr>
              <w:rPr>
                <w:rFonts w:ascii="Times New Roman" w:hAnsi="Times New Roman"/>
              </w:rPr>
            </w:pPr>
            <w:r>
              <w:rPr>
                <w:rFonts w:ascii="Times New Roman" w:hAnsi="Times New Roman"/>
              </w:rPr>
              <w:t>customer_id</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31AB0FD">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5B5B9D5">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03B148BA">
            <w:pPr>
              <w:rPr>
                <w:rFonts w:ascii="Times New Roman" w:hAnsi="Times New Roman"/>
              </w:rPr>
            </w:pPr>
            <w:r>
              <w:rPr>
                <w:rFonts w:ascii="Times New Roman" w:hAnsi="Times New Roman"/>
              </w:rPr>
              <w:t>客户编号</w:t>
            </w:r>
          </w:p>
        </w:tc>
      </w:tr>
      <w:tr w14:paraId="69449E4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6A220AA7">
            <w:pPr>
              <w:rPr>
                <w:rFonts w:ascii="Times New Roman" w:hAnsi="Times New Roman"/>
              </w:rPr>
            </w:pPr>
            <w:r>
              <w:rPr>
                <w:rFonts w:ascii="Times New Roman" w:hAnsi="Times New Roman"/>
              </w:rPr>
              <w:t>vehicle_entry_time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06EFF5D">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9D1DF04">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42B423A5">
            <w:pPr>
              <w:rPr>
                <w:rFonts w:ascii="Times New Roman" w:hAnsi="Times New Roman"/>
              </w:rPr>
            </w:pPr>
            <w:r>
              <w:rPr>
                <w:rFonts w:ascii="Times New Roman" w:hAnsi="Times New Roman"/>
              </w:rPr>
              <w:t>车辆入厂时间</w:t>
            </w:r>
          </w:p>
        </w:tc>
      </w:tr>
      <w:tr w14:paraId="5CCD24B6">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C816532">
            <w:pPr>
              <w:rPr>
                <w:rFonts w:ascii="Times New Roman" w:hAnsi="Times New Roman"/>
              </w:rPr>
            </w:pPr>
            <w:r>
              <w:rPr>
                <w:rFonts w:ascii="Times New Roman" w:hAnsi="Times New Roman"/>
              </w:rPr>
              <w:t>estimated_completion_time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1FA09B6">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7357834">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3EC39D43">
            <w:pPr>
              <w:rPr>
                <w:rFonts w:ascii="Times New Roman" w:hAnsi="Times New Roman"/>
              </w:rPr>
            </w:pPr>
            <w:r>
              <w:rPr>
                <w:rFonts w:ascii="Times New Roman" w:hAnsi="Times New Roman"/>
              </w:rPr>
              <w:t>预计完成时间</w:t>
            </w:r>
          </w:p>
        </w:tc>
      </w:tr>
      <w:tr w14:paraId="1C62CDD5">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ADB1CDD">
            <w:pPr>
              <w:rPr>
                <w:rFonts w:ascii="Times New Roman" w:hAnsi="Times New Roman"/>
              </w:rPr>
            </w:pPr>
            <w:r>
              <w:rPr>
                <w:rFonts w:ascii="Times New Roman" w:hAnsi="Times New Roman"/>
              </w:rPr>
              <w:t>repair_type</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5BC41ED3">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3852CB2">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465DE4E4">
            <w:pPr>
              <w:rPr>
                <w:rFonts w:ascii="Times New Roman" w:hAnsi="Times New Roman"/>
              </w:rPr>
            </w:pPr>
            <w:r>
              <w:rPr>
                <w:rFonts w:ascii="Times New Roman" w:hAnsi="Times New Roman"/>
              </w:rPr>
              <w:t>维修类型</w:t>
            </w:r>
          </w:p>
        </w:tc>
      </w:tr>
      <w:tr w14:paraId="7FA3B0E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7ADA1DE">
            <w:pPr>
              <w:rPr>
                <w:rFonts w:ascii="Times New Roman" w:hAnsi="Times New Roman"/>
              </w:rPr>
            </w:pPr>
            <w:r>
              <w:rPr>
                <w:rFonts w:ascii="Times New Roman" w:hAnsi="Times New Roman"/>
              </w:rPr>
              <w:t>repair_content</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0FDFDD48">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9C5D1CD">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15F5C5FB">
            <w:pPr>
              <w:rPr>
                <w:rFonts w:ascii="Times New Roman" w:hAnsi="Times New Roman"/>
              </w:rPr>
            </w:pPr>
            <w:r>
              <w:rPr>
                <w:rFonts w:ascii="Times New Roman" w:hAnsi="Times New Roman"/>
              </w:rPr>
              <w:t>维修内容</w:t>
            </w:r>
          </w:p>
        </w:tc>
      </w:tr>
      <w:tr w14:paraId="7569CA9B">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rHeight w:val="23" w:hRule="atLeast"/>
        </w:trPr>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7DDF5ED0">
            <w:pPr>
              <w:rPr>
                <w:rFonts w:ascii="Times New Roman" w:hAnsi="Times New Roman"/>
              </w:rPr>
            </w:pPr>
            <w:r>
              <w:rPr>
                <w:rFonts w:ascii="Times New Roman" w:hAnsi="Times New Roman"/>
              </w:rPr>
              <w:t>repair_status</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1F1590E1">
            <w:pPr>
              <w:rPr>
                <w:rFonts w:ascii="Times New Roman" w:hAnsi="Times New Roman"/>
              </w:rPr>
            </w:pPr>
            <w:r>
              <w:rPr>
                <w:rFonts w:ascii="Times New Roman" w:hAnsi="Times New Roman"/>
              </w:rPr>
              <w:t>varchar(255)</w:t>
            </w:r>
          </w:p>
        </w:tc>
        <w:tc>
          <w:tcPr>
            <w:tcW w:w="0" w:type="auto"/>
            <w:tcBorders>
              <w:top w:val="nil"/>
              <w:left w:val="nil"/>
              <w:bottom w:val="nil"/>
              <w:right w:val="single" w:color="auto" w:sz="2" w:space="0"/>
            </w:tcBorders>
            <w:shd w:val="clear" w:color="auto" w:fill="auto"/>
            <w:tcMar>
              <w:top w:w="120" w:type="dxa"/>
              <w:left w:w="180" w:type="dxa"/>
              <w:bottom w:w="120" w:type="dxa"/>
              <w:right w:w="180" w:type="dxa"/>
            </w:tcMar>
            <w:vAlign w:val="center"/>
          </w:tcPr>
          <w:p w14:paraId="320510D4">
            <w:pPr>
              <w:rPr>
                <w:rFonts w:ascii="Times New Roman" w:hAnsi="Times New Roman"/>
              </w:rPr>
            </w:pPr>
            <w:r>
              <w:rPr>
                <w:rFonts w:ascii="Times New Roman" w:hAnsi="Times New Roman"/>
              </w:rPr>
              <w:t>否</w:t>
            </w:r>
          </w:p>
        </w:tc>
        <w:tc>
          <w:tcPr>
            <w:tcW w:w="0" w:type="auto"/>
            <w:tcBorders>
              <w:top w:val="nil"/>
              <w:left w:val="nil"/>
              <w:bottom w:val="nil"/>
              <w:right w:val="nil"/>
            </w:tcBorders>
            <w:shd w:val="clear" w:color="auto" w:fill="auto"/>
            <w:tcMar>
              <w:top w:w="120" w:type="dxa"/>
              <w:left w:w="180" w:type="dxa"/>
              <w:bottom w:w="120" w:type="dxa"/>
              <w:right w:w="180" w:type="dxa"/>
            </w:tcMar>
            <w:vAlign w:val="center"/>
          </w:tcPr>
          <w:p w14:paraId="0F73ED60">
            <w:pPr>
              <w:rPr>
                <w:rFonts w:ascii="Times New Roman" w:hAnsi="Times New Roman"/>
              </w:rPr>
            </w:pPr>
            <w:r>
              <w:rPr>
                <w:rFonts w:ascii="Times New Roman" w:hAnsi="Times New Roman"/>
              </w:rPr>
              <w:t>维修状态</w:t>
            </w:r>
          </w:p>
        </w:tc>
      </w:tr>
    </w:tbl>
    <w:p w14:paraId="252B7A2F">
      <w:pPr>
        <w:keepNext/>
        <w:keepLines/>
        <w:pageBreakBefore w:val="0"/>
        <w:widowControl w:val="0"/>
        <w:kinsoku/>
        <w:wordWrap/>
        <w:overflowPunct/>
        <w:topLinePunct w:val="0"/>
        <w:autoSpaceDE/>
        <w:autoSpaceDN/>
        <w:bidi w:val="0"/>
        <w:adjustRightInd/>
        <w:snapToGrid/>
        <w:spacing w:line="440" w:lineRule="exact"/>
        <w:jc w:val="left"/>
        <w:textAlignment w:val="auto"/>
        <w:outlineLvl w:val="9"/>
        <w:rPr>
          <w:rFonts w:ascii="Times New Roman" w:hAnsi="Times New Roman"/>
          <w:sz w:val="28"/>
          <w:szCs w:val="28"/>
        </w:rPr>
      </w:pPr>
      <w:bookmarkStart w:id="164" w:name="_Toc31119"/>
      <w:bookmarkStart w:id="165" w:name="heading_32"/>
      <w:bookmarkStart w:id="166" w:name="_Toc22833"/>
      <w:bookmarkStart w:id="167" w:name="_Toc32327"/>
      <w:r>
        <w:rPr>
          <w:rFonts w:ascii="Times New Roman" w:hAnsi="Times New Roman"/>
          <w:sz w:val="28"/>
          <w:szCs w:val="28"/>
        </w:rPr>
        <w:t>4 系统功能及使用说明</w:t>
      </w:r>
      <w:bookmarkEnd w:id="164"/>
      <w:bookmarkEnd w:id="165"/>
      <w:bookmarkEnd w:id="166"/>
      <w:bookmarkEnd w:id="167"/>
    </w:p>
    <w:p w14:paraId="15DD5F6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ascii="Times New Roman" w:hAnsi="Times New Roman"/>
          <w:sz w:val="24"/>
        </w:rPr>
      </w:pPr>
      <w:bookmarkStart w:id="168" w:name="_Toc9549"/>
      <w:bookmarkStart w:id="169" w:name="_Toc16211"/>
      <w:bookmarkStart w:id="170" w:name="heading_47"/>
      <w:r>
        <w:rPr>
          <w:rFonts w:ascii="Times New Roman" w:hAnsi="Times New Roman"/>
          <w:sz w:val="24"/>
        </w:rPr>
        <w:t>4.1 系统核心功能架构</w:t>
      </w:r>
      <w:bookmarkEnd w:id="168"/>
      <w:bookmarkEnd w:id="169"/>
    </w:p>
    <w:p w14:paraId="007BC9E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Fonts w:hint="default" w:ascii="Times New Roman" w:hAnsi="Times New Roman"/>
          <w:sz w:val="24"/>
        </w:rPr>
      </w:pPr>
      <w:r>
        <w:rPr>
          <w:rFonts w:hint="eastAsia" w:ascii="Times New Roman" w:hAnsi="Times New Roman"/>
          <w:sz w:val="24"/>
        </w:rPr>
        <w:t>系统以“全链路业务覆盖、数据互通协同”为核心，构建“基础支撑-核心业务-数据决策”三级功能架构。基础支撑层包含系统登录认证、权限管控等功能，保障系统安全稳定运行；核心业务层覆盖客户管理、预约服务、保养维修、库存管理等核心场景，实现业务全流程数字化；数据决策层通过数据分析模块实现数据价值挖掘，助力企业精准决策。各层级功能相互衔接、数据互通，形成完整的业务管理闭环。</w:t>
      </w:r>
    </w:p>
    <w:p w14:paraId="4E3B1AD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ascii="Times New Roman" w:hAnsi="Times New Roman"/>
          <w:sz w:val="24"/>
        </w:rPr>
      </w:pPr>
      <w:bookmarkStart w:id="171" w:name="_Toc9678"/>
      <w:bookmarkStart w:id="172" w:name="_Toc17246"/>
      <w:r>
        <w:rPr>
          <w:rFonts w:ascii="Times New Roman" w:hAnsi="Times New Roman"/>
          <w:sz w:val="24"/>
        </w:rPr>
        <w:t>4.2 核心功能模块详情</w:t>
      </w:r>
      <w:bookmarkEnd w:id="171"/>
      <w:bookmarkEnd w:id="172"/>
    </w:p>
    <w:p w14:paraId="228092F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ascii="Times New Roman" w:hAnsi="Times New Roman"/>
          <w:sz w:val="24"/>
        </w:rPr>
      </w:pPr>
      <w:r>
        <w:rPr>
          <w:rFonts w:ascii="Times New Roman" w:hAnsi="Times New Roman"/>
          <w:sz w:val="24"/>
        </w:rPr>
        <w:t>4.2.1 客户管理模块</w:t>
      </w:r>
    </w:p>
    <w:p w14:paraId="3E5A10A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Fonts w:hint="eastAsia" w:ascii="Times New Roman" w:hAnsi="Times New Roman"/>
          <w:sz w:val="24"/>
        </w:rPr>
      </w:pPr>
      <w:r>
        <w:rPr>
          <w:rFonts w:hint="eastAsia" w:ascii="Times New Roman" w:hAnsi="Times New Roman"/>
          <w:sz w:val="24"/>
        </w:rPr>
        <w:t>本模块核心目标是实现客户信息的集中管控与全生命周期跟踪，解决传统管理模式下客户资源分散、数据难以追溯的痛点。核心功能包括：</w:t>
      </w:r>
    </w:p>
    <w:p w14:paraId="1C2DF9B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Fonts w:hint="eastAsia" w:ascii="Times New Roman" w:hAnsi="Times New Roman"/>
          <w:sz w:val="24"/>
        </w:rPr>
      </w:pPr>
      <w:r>
        <w:rPr>
          <w:rFonts w:hint="eastAsia" w:ascii="Times New Roman" w:hAnsi="Times New Roman"/>
          <w:sz w:val="24"/>
        </w:rPr>
        <w:t>（1） 客户信息管控：支持客户基础信息（姓名、联系方式、车牌号、车型、购车日期等）的标准化增删改查，确保信息录入规范、更新及时，形成统一的客户信息档案；</w:t>
      </w:r>
    </w:p>
    <w:p w14:paraId="11A3A94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Fonts w:hint="eastAsia" w:ascii="Times New Roman" w:hAnsi="Times New Roman"/>
          <w:sz w:val="24"/>
        </w:rPr>
      </w:pPr>
      <w:r>
        <w:rPr>
          <w:rFonts w:hint="eastAsia" w:ascii="Times New Roman" w:hAnsi="Times New Roman"/>
          <w:sz w:val="24"/>
        </w:rPr>
        <w:t>（2） 数据批量处理：提供客户数据的批量导入与导出功能，适配企业现有客户数据迁移需求，同时支持按客户编号、姓名、车型等多条件组合筛选，快速定位目标客户；</w:t>
      </w:r>
    </w:p>
    <w:p w14:paraId="04949B8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textAlignment w:val="auto"/>
        <w:rPr>
          <w:rFonts w:hint="eastAsia" w:ascii="Times New Roman" w:hAnsi="Times New Roman"/>
          <w:sz w:val="24"/>
        </w:rPr>
      </w:pPr>
      <w:r>
        <w:rPr>
          <w:rFonts w:hint="eastAsia" w:ascii="Times New Roman" w:hAnsi="Times New Roman"/>
          <w:sz w:val="24"/>
        </w:rPr>
        <w:t>（3） 客户动态关联：自动关联客户的历史服务工单、维修记录、消费明细等动态数据，形成完整的客户服务档案，为精准客户维护、二次营销提供数据支撑。</w:t>
      </w:r>
    </w:p>
    <w:tbl>
      <w:tblPr>
        <w:tblStyle w:val="35"/>
        <w:tblpPr w:leftFromText="180" w:rightFromText="180" w:vertAnchor="text" w:horzAnchor="page" w:tblpX="1912" w:tblpY="150"/>
        <w:tblOverlap w:val="never"/>
        <w:tblW w:w="0" w:type="auto"/>
        <w:tblInd w:w="0" w:type="dxa"/>
        <w:tblLayout w:type="autofit"/>
        <w:tblCellMar>
          <w:top w:w="0" w:type="dxa"/>
          <w:left w:w="108" w:type="dxa"/>
          <w:bottom w:w="0" w:type="dxa"/>
          <w:right w:w="108" w:type="dxa"/>
        </w:tblCellMar>
      </w:tblPr>
      <w:tblGrid>
        <w:gridCol w:w="8522"/>
      </w:tblGrid>
      <w:tr w14:paraId="643A7323">
        <w:tblPrEx>
          <w:tblCellMar>
            <w:top w:w="0" w:type="dxa"/>
            <w:left w:w="108" w:type="dxa"/>
            <w:bottom w:w="0" w:type="dxa"/>
            <w:right w:w="108" w:type="dxa"/>
          </w:tblCellMar>
        </w:tblPrEx>
        <w:tc>
          <w:tcPr>
            <w:tcW w:w="8522" w:type="dxa"/>
          </w:tcPr>
          <w:p w14:paraId="06E19122">
            <w:pPr>
              <w:widowControl/>
              <w:jc w:val="left"/>
              <w:rPr>
                <w:rFonts w:ascii="Times New Roman" w:hAnsi="Times New Roman" w:eastAsia="宋体"/>
              </w:rPr>
            </w:pPr>
            <w:r>
              <w:rPr>
                <w:rFonts w:ascii="Times New Roman" w:hAnsi="Times New Roman"/>
              </w:rPr>
              <w:drawing>
                <wp:anchor distT="0" distB="0" distL="114300" distR="114300" simplePos="0" relativeHeight="251673600" behindDoc="0" locked="0" layoutInCell="1" allowOverlap="1">
                  <wp:simplePos x="0" y="0"/>
                  <wp:positionH relativeFrom="column">
                    <wp:posOffset>99060</wp:posOffset>
                  </wp:positionH>
                  <wp:positionV relativeFrom="paragraph">
                    <wp:posOffset>309245</wp:posOffset>
                  </wp:positionV>
                  <wp:extent cx="5183505" cy="3239770"/>
                  <wp:effectExtent l="0" t="0" r="10795" b="11430"/>
                  <wp:wrapSquare wrapText="bothSides"/>
                  <wp:docPr id="7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descr="IMG_256"/>
                          <pic:cNvPicPr>
                            <a:picLocks noChangeAspect="1"/>
                          </pic:cNvPicPr>
                        </pic:nvPicPr>
                        <pic:blipFill>
                          <a:blip r:embed="rId130"/>
                          <a:stretch>
                            <a:fillRect/>
                          </a:stretch>
                        </pic:blipFill>
                        <pic:spPr>
                          <a:xfrm>
                            <a:off x="0" y="0"/>
                            <a:ext cx="5183505" cy="3239770"/>
                          </a:xfrm>
                          <a:prstGeom prst="rect">
                            <a:avLst/>
                          </a:prstGeom>
                          <a:noFill/>
                          <a:ln w="9525">
                            <a:noFill/>
                          </a:ln>
                        </pic:spPr>
                      </pic:pic>
                    </a:graphicData>
                  </a:graphic>
                </wp:anchor>
              </w:drawing>
            </w:r>
          </w:p>
        </w:tc>
      </w:tr>
      <w:tr w14:paraId="597FC3E1">
        <w:tblPrEx>
          <w:tblCellMar>
            <w:top w:w="0" w:type="dxa"/>
            <w:left w:w="108" w:type="dxa"/>
            <w:bottom w:w="0" w:type="dxa"/>
            <w:right w:w="108" w:type="dxa"/>
          </w:tblCellMar>
        </w:tblPrEx>
        <w:tc>
          <w:tcPr>
            <w:tcW w:w="8522" w:type="dxa"/>
          </w:tcPr>
          <w:p w14:paraId="6A17A453">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1</w:t>
            </w:r>
            <w:r>
              <w:fldChar w:fldCharType="end"/>
            </w:r>
            <w:r>
              <w:t>客户管理展示</w:t>
            </w:r>
          </w:p>
        </w:tc>
      </w:tr>
    </w:tbl>
    <w:p w14:paraId="72FCF537">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 xml:space="preserve">客户管理功能页面如图4-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1</w:t>
      </w:r>
      <w:r>
        <w:rPr>
          <w:rFonts w:hint="eastAsia" w:ascii="Calibri" w:hAnsi="Calibri" w:eastAsia="宋体" w:cs="Times New Roman"/>
          <w:sz w:val="24"/>
        </w:rPr>
        <w:fldChar w:fldCharType="end"/>
      </w:r>
      <w:r>
        <w:rPr>
          <w:rFonts w:hint="eastAsia" w:ascii="Calibri" w:hAnsi="Calibri" w:eastAsia="宋体" w:cs="Times New Roman"/>
          <w:sz w:val="24"/>
        </w:rPr>
        <w:t>所示。</w:t>
      </w:r>
    </w:p>
    <w:p w14:paraId="063DD023">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4.2.2 预约服务模块</w:t>
      </w:r>
    </w:p>
    <w:p w14:paraId="08FD1EDC">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本模块聚焦预约流程的标准化与透明化，降低沟通误差与人工成本，提升客户服务体验。核心功能包括：</w:t>
      </w:r>
    </w:p>
    <w:p w14:paraId="1450E6C8">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（1） 多渠道预约支持：兼容客户自主预约与员工代预约两种模式，核心录入信息包括客户编号、预约时间、服务类型（保养/维修），系统自动关联客户与车辆基础信息，减少重复录入；</w:t>
      </w:r>
    </w:p>
    <w:p w14:paraId="3DCC63B4">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（2） 全流程状态跟踪：实时展示预约状态（待确认/已确认/已取消），状态变更同步推送至相关员工与客户，确保流程透明化，避免预约遗漏或信息不对称；</w:t>
      </w:r>
    </w:p>
    <w:p w14:paraId="6DF24621">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（3） 工单自动关联：预约确认后可直接触发保养或维修工单创建，自动携带客户、车辆、预约服务等信息，实现预约与服务执行的无缝衔接。</w:t>
      </w:r>
    </w:p>
    <w:tbl>
      <w:tblPr>
        <w:tblStyle w:val="35"/>
        <w:tblW w:w="0" w:type="auto"/>
        <w:tblInd w:w="0" w:type="dxa"/>
        <w:tblLayout w:type="autofit"/>
        <w:tblCellMar>
          <w:top w:w="0" w:type="dxa"/>
          <w:left w:w="108" w:type="dxa"/>
          <w:bottom w:w="0" w:type="dxa"/>
          <w:right w:w="108" w:type="dxa"/>
        </w:tblCellMar>
      </w:tblPr>
      <w:tblGrid>
        <w:gridCol w:w="8522"/>
      </w:tblGrid>
      <w:tr w14:paraId="2453CD4D">
        <w:tblPrEx>
          <w:tblCellMar>
            <w:top w:w="0" w:type="dxa"/>
            <w:left w:w="108" w:type="dxa"/>
            <w:bottom w:w="0" w:type="dxa"/>
            <w:right w:w="108" w:type="dxa"/>
          </w:tblCellMar>
        </w:tblPrEx>
        <w:tc>
          <w:tcPr>
            <w:tcW w:w="8522" w:type="dxa"/>
          </w:tcPr>
          <w:p w14:paraId="76940F65">
            <w:pPr>
              <w:widowControl/>
              <w:ind w:firstLine="480"/>
              <w:jc w:val="left"/>
              <w:rPr>
                <w:rFonts w:ascii="Times New Roman" w:hAnsi="Times New Roman"/>
              </w:rPr>
            </w:pPr>
            <w:r>
              <w:rPr>
                <w:rFonts w:ascii="Times New Roman" w:hAnsi="Times New Roman"/>
              </w:rPr>
              <w:drawing>
                <wp:anchor distT="0" distB="0" distL="114300" distR="114300" simplePos="0" relativeHeight="251674624" behindDoc="0" locked="0" layoutInCell="1" allowOverlap="1">
                  <wp:simplePos x="0" y="0"/>
                  <wp:positionH relativeFrom="column">
                    <wp:posOffset>106045</wp:posOffset>
                  </wp:positionH>
                  <wp:positionV relativeFrom="paragraph">
                    <wp:posOffset>296545</wp:posOffset>
                  </wp:positionV>
                  <wp:extent cx="5219065" cy="3261360"/>
                  <wp:effectExtent l="0" t="0" r="8255" b="0"/>
                  <wp:wrapSquare wrapText="bothSides"/>
                  <wp:docPr id="74" name="图片 74" descr="4预约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4预约单"/>
                          <pic:cNvPicPr>
                            <a:picLocks noChangeAspect="1"/>
                          </pic:cNvPicPr>
                        </pic:nvPicPr>
                        <pic:blipFill>
                          <a:blip r:embed="rId131"/>
                          <a:stretch>
                            <a:fillRect/>
                          </a:stretch>
                        </pic:blipFill>
                        <pic:spPr>
                          <a:xfrm>
                            <a:off x="0" y="0"/>
                            <a:ext cx="5219065" cy="3261360"/>
                          </a:xfrm>
                          <a:prstGeom prst="rect">
                            <a:avLst/>
                          </a:prstGeom>
                        </pic:spPr>
                      </pic:pic>
                    </a:graphicData>
                  </a:graphic>
                </wp:anchor>
              </w:drawing>
            </w:r>
          </w:p>
        </w:tc>
      </w:tr>
      <w:tr w14:paraId="5C149987">
        <w:tblPrEx>
          <w:tblCellMar>
            <w:top w:w="0" w:type="dxa"/>
            <w:left w:w="108" w:type="dxa"/>
            <w:bottom w:w="0" w:type="dxa"/>
            <w:right w:w="108" w:type="dxa"/>
          </w:tblCellMar>
        </w:tblPrEx>
        <w:tc>
          <w:tcPr>
            <w:tcW w:w="8522" w:type="dxa"/>
          </w:tcPr>
          <w:p w14:paraId="035AD574">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2</w:t>
            </w:r>
            <w:r>
              <w:fldChar w:fldCharType="end"/>
            </w:r>
            <w:r>
              <w:t>预约填写</w:t>
            </w:r>
          </w:p>
        </w:tc>
      </w:tr>
    </w:tbl>
    <w:p w14:paraId="72108F16">
      <w:pPr>
        <w:widowControl/>
        <w:ind w:firstLine="480"/>
        <w:jc w:val="left"/>
        <w:rPr>
          <w:rFonts w:ascii="Times New Roman" w:hAnsi="Times New Roman" w:eastAsia="宋体"/>
        </w:rPr>
      </w:pPr>
      <w:r>
        <w:rPr>
          <w:rFonts w:hint="eastAsia" w:ascii="Times New Roman" w:hAnsi="Times New Roman"/>
        </w:rPr>
        <w:t>预约功能页面如</w:t>
      </w:r>
      <w:r>
        <w:t>图4</w:t>
      </w:r>
      <w:r>
        <w:rPr>
          <w:rFonts w:hint="eastAsia"/>
        </w:rPr>
        <w:t>-</w:t>
      </w:r>
      <w:r>
        <w:t xml:space="preserve"> </w:t>
      </w:r>
      <w:r>
        <w:fldChar w:fldCharType="begin"/>
      </w:r>
      <w:r>
        <w:instrText xml:space="preserve"> SEQ 图4. \* ARABIC </w:instrText>
      </w:r>
      <w:r>
        <w:fldChar w:fldCharType="separate"/>
      </w:r>
      <w:r>
        <w:t>2</w:t>
      </w:r>
      <w:r>
        <w:fldChar w:fldCharType="end"/>
      </w:r>
      <w:r>
        <w:rPr>
          <w:rFonts w:hint="eastAsia"/>
        </w:rPr>
        <w:t>所示。</w:t>
      </w:r>
    </w:p>
    <w:tbl>
      <w:tblPr>
        <w:tblStyle w:val="35"/>
        <w:tblW w:w="0" w:type="auto"/>
        <w:tblInd w:w="0" w:type="dxa"/>
        <w:tblLayout w:type="autofit"/>
        <w:tblCellMar>
          <w:top w:w="0" w:type="dxa"/>
          <w:left w:w="108" w:type="dxa"/>
          <w:bottom w:w="0" w:type="dxa"/>
          <w:right w:w="108" w:type="dxa"/>
        </w:tblCellMar>
      </w:tblPr>
      <w:tblGrid>
        <w:gridCol w:w="8522"/>
      </w:tblGrid>
      <w:tr w14:paraId="7DECDFBE">
        <w:tblPrEx>
          <w:tblCellMar>
            <w:top w:w="0" w:type="dxa"/>
            <w:left w:w="108" w:type="dxa"/>
            <w:bottom w:w="0" w:type="dxa"/>
            <w:right w:w="108" w:type="dxa"/>
          </w:tblCellMar>
        </w:tblPrEx>
        <w:tc>
          <w:tcPr>
            <w:tcW w:w="8522" w:type="dxa"/>
          </w:tcPr>
          <w:p w14:paraId="0ABF3732">
            <w:pPr>
              <w:widowControl/>
              <w:jc w:val="left"/>
              <w:rPr>
                <w:rFonts w:ascii="Times New Roman" w:hAnsi="Times New Roman"/>
              </w:rPr>
            </w:pPr>
            <w:r>
              <w:rPr>
                <w:rFonts w:ascii="Times New Roman" w:hAnsi="Times New Roman"/>
              </w:rPr>
              <w:drawing>
                <wp:anchor distT="0" distB="0" distL="114300" distR="114300" simplePos="0" relativeHeight="251676672" behindDoc="0" locked="0" layoutInCell="1" allowOverlap="1">
                  <wp:simplePos x="0" y="0"/>
                  <wp:positionH relativeFrom="column">
                    <wp:posOffset>-19050</wp:posOffset>
                  </wp:positionH>
                  <wp:positionV relativeFrom="paragraph">
                    <wp:posOffset>287020</wp:posOffset>
                  </wp:positionV>
                  <wp:extent cx="5264785" cy="3289935"/>
                  <wp:effectExtent l="0" t="0" r="8255" b="1905"/>
                  <wp:wrapSquare wrapText="bothSides"/>
                  <wp:docPr id="75" name="图片 75" descr="5预约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5预约管理"/>
                          <pic:cNvPicPr>
                            <a:picLocks noChangeAspect="1"/>
                          </pic:cNvPicPr>
                        </pic:nvPicPr>
                        <pic:blipFill>
                          <a:blip r:embed="rId132"/>
                          <a:stretch>
                            <a:fillRect/>
                          </a:stretch>
                        </pic:blipFill>
                        <pic:spPr>
                          <a:xfrm>
                            <a:off x="0" y="0"/>
                            <a:ext cx="5264785" cy="3289935"/>
                          </a:xfrm>
                          <a:prstGeom prst="rect">
                            <a:avLst/>
                          </a:prstGeom>
                        </pic:spPr>
                      </pic:pic>
                    </a:graphicData>
                  </a:graphic>
                </wp:anchor>
              </w:drawing>
            </w:r>
          </w:p>
        </w:tc>
      </w:tr>
      <w:tr w14:paraId="44695E21">
        <w:tblPrEx>
          <w:tblCellMar>
            <w:top w:w="0" w:type="dxa"/>
            <w:left w:w="108" w:type="dxa"/>
            <w:bottom w:w="0" w:type="dxa"/>
            <w:right w:w="108" w:type="dxa"/>
          </w:tblCellMar>
        </w:tblPrEx>
        <w:tc>
          <w:tcPr>
            <w:tcW w:w="8522" w:type="dxa"/>
          </w:tcPr>
          <w:p w14:paraId="7CAD8C5F">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3</w:t>
            </w:r>
            <w:r>
              <w:fldChar w:fldCharType="end"/>
            </w:r>
            <w:r>
              <w:t>预约管理</w:t>
            </w:r>
          </w:p>
        </w:tc>
      </w:tr>
    </w:tbl>
    <w:p w14:paraId="1A52ED66">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预约管理功能页面如图4- 3所示。</w:t>
      </w:r>
    </w:p>
    <w:p w14:paraId="25F25E6A">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4.2.3 保养管理模块</w:t>
      </w:r>
    </w:p>
    <w:p w14:paraId="1D2E1128">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本模块实现保养业务的全流程闭环管理，保障保养服务规范、数据可追溯。核心功能包括：</w:t>
      </w:r>
    </w:p>
    <w:p w14:paraId="246CACC9">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（1） 标准化工单管理：支持基于预约或直接创建保养工单，工单包含客户信息、车辆信息、保养项目、耗材使用等核心字段，明确服务责任与内容；</w:t>
      </w:r>
    </w:p>
    <w:p w14:paraId="457CCE63">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（2） 服务过程管控：支持工单分配、保养进度更新、费用明细记录（工时费、耗材费）等功能，确保保养过程规范可控；</w:t>
      </w:r>
    </w:p>
    <w:p w14:paraId="05B151C8">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（3） 报告自动生成：保养完成后可一键生成标准化保养报告，包含保养项目、费用明细、服务评价等信息，支持导出存档与客户查阅。</w:t>
      </w:r>
    </w:p>
    <w:tbl>
      <w:tblPr>
        <w:tblStyle w:val="35"/>
        <w:tblW w:w="0" w:type="auto"/>
        <w:tblInd w:w="0" w:type="dxa"/>
        <w:tblLayout w:type="autofit"/>
        <w:tblCellMar>
          <w:top w:w="0" w:type="dxa"/>
          <w:left w:w="108" w:type="dxa"/>
          <w:bottom w:w="0" w:type="dxa"/>
          <w:right w:w="108" w:type="dxa"/>
        </w:tblCellMar>
      </w:tblPr>
      <w:tblGrid>
        <w:gridCol w:w="8522"/>
      </w:tblGrid>
      <w:tr w14:paraId="1BC27644">
        <w:tblPrEx>
          <w:tblCellMar>
            <w:top w:w="0" w:type="dxa"/>
            <w:left w:w="108" w:type="dxa"/>
            <w:bottom w:w="0" w:type="dxa"/>
            <w:right w:w="108" w:type="dxa"/>
          </w:tblCellMar>
        </w:tblPrEx>
        <w:tc>
          <w:tcPr>
            <w:tcW w:w="8522" w:type="dxa"/>
          </w:tcPr>
          <w:p w14:paraId="37B6C5FA">
            <w:pPr>
              <w:widowControl/>
              <w:jc w:val="left"/>
              <w:rPr>
                <w:rFonts w:ascii="Times New Roman" w:hAnsi="Times New Roman"/>
              </w:rPr>
            </w:pPr>
            <w:r>
              <w:rPr>
                <w:rFonts w:ascii="Times New Roman" w:hAnsi="Times New Roman"/>
              </w:rPr>
              <w:drawing>
                <wp:anchor distT="0" distB="0" distL="114300" distR="114300" simplePos="0" relativeHeight="251677696" behindDoc="0" locked="0" layoutInCell="1" allowOverlap="1">
                  <wp:simplePos x="0" y="0"/>
                  <wp:positionH relativeFrom="column">
                    <wp:posOffset>33655</wp:posOffset>
                  </wp:positionH>
                  <wp:positionV relativeFrom="paragraph">
                    <wp:posOffset>334010</wp:posOffset>
                  </wp:positionV>
                  <wp:extent cx="5264785" cy="3289935"/>
                  <wp:effectExtent l="0" t="0" r="8255" b="1905"/>
                  <wp:wrapSquare wrapText="bothSides"/>
                  <wp:docPr id="76" name="图片 76" descr="保养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保养管理"/>
                          <pic:cNvPicPr>
                            <a:picLocks noChangeAspect="1"/>
                          </pic:cNvPicPr>
                        </pic:nvPicPr>
                        <pic:blipFill>
                          <a:blip r:embed="rId133"/>
                          <a:stretch>
                            <a:fillRect/>
                          </a:stretch>
                        </pic:blipFill>
                        <pic:spPr>
                          <a:xfrm>
                            <a:off x="0" y="0"/>
                            <a:ext cx="5264785" cy="3289935"/>
                          </a:xfrm>
                          <a:prstGeom prst="rect">
                            <a:avLst/>
                          </a:prstGeom>
                        </pic:spPr>
                      </pic:pic>
                    </a:graphicData>
                  </a:graphic>
                </wp:anchor>
              </w:drawing>
            </w:r>
          </w:p>
        </w:tc>
      </w:tr>
      <w:tr w14:paraId="2F86B053">
        <w:tblPrEx>
          <w:tblCellMar>
            <w:top w:w="0" w:type="dxa"/>
            <w:left w:w="108" w:type="dxa"/>
            <w:bottom w:w="0" w:type="dxa"/>
            <w:right w:w="108" w:type="dxa"/>
          </w:tblCellMar>
        </w:tblPrEx>
        <w:tc>
          <w:tcPr>
            <w:tcW w:w="8522" w:type="dxa"/>
          </w:tcPr>
          <w:p w14:paraId="4097B417">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4</w:t>
            </w:r>
            <w:r>
              <w:fldChar w:fldCharType="end"/>
            </w:r>
            <w:r>
              <w:t>保养管理</w:t>
            </w:r>
          </w:p>
        </w:tc>
      </w:tr>
    </w:tbl>
    <w:p w14:paraId="2A19D2B2">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 xml:space="preserve">保养管理功能页面如图4-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4</w:t>
      </w:r>
      <w:r>
        <w:rPr>
          <w:rFonts w:hint="eastAsia" w:ascii="Calibri" w:hAnsi="Calibri" w:eastAsia="宋体" w:cs="Times New Roman"/>
          <w:sz w:val="24"/>
        </w:rPr>
        <w:fldChar w:fldCharType="end"/>
      </w:r>
      <w:r>
        <w:rPr>
          <w:rFonts w:hint="eastAsia" w:ascii="Calibri" w:hAnsi="Calibri" w:eastAsia="宋体" w:cs="Times New Roman"/>
          <w:sz w:val="24"/>
        </w:rPr>
        <w:t>所示。</w:t>
      </w:r>
    </w:p>
    <w:p w14:paraId="5BA18E5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ascii="Calibri" w:hAnsi="Calibri" w:eastAsia="宋体" w:cs="Times New Roman"/>
          <w:b w:val="0"/>
          <w:bCs w:val="0"/>
          <w:sz w:val="24"/>
          <w:szCs w:val="24"/>
        </w:rPr>
      </w:pPr>
      <w:r>
        <w:rPr>
          <w:rFonts w:hint="eastAsia" w:ascii="Calibri" w:hAnsi="Calibri" w:eastAsia="宋体" w:cs="Times New Roman"/>
          <w:b w:val="0"/>
          <w:bCs w:val="0"/>
          <w:sz w:val="24"/>
          <w:szCs w:val="24"/>
        </w:rPr>
        <w:t>4.2.4 维修管理模块</w:t>
      </w:r>
    </w:p>
    <w:p w14:paraId="50CE8CED">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本模块聚焦维修业务的规范化开展，实现故障记录、方案制定、费用结算等全流程管理。核心功能包括：</w:t>
      </w:r>
    </w:p>
    <w:p w14:paraId="48200B8B">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（1） 故障精准记录：支持详细故障描述录入、故障照片上传，为维修方案制定提供充分依据；</w:t>
      </w:r>
    </w:p>
    <w:p w14:paraId="721B4314">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（2） 维修过程管理：包含维修方案制定、技师分配、配件更换记录等功能，配件更换自动关联库存模块，实现耗材使用的精准管控；</w:t>
      </w:r>
    </w:p>
    <w:p w14:paraId="1BBE5F0F">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（3） 费用与报告管理：自动核算维修总费用（工时费+配件费），支持多种结算方式；维修完成后生成维修报告，记录故障解决情况，便于归档与后续追溯。</w:t>
      </w:r>
    </w:p>
    <w:tbl>
      <w:tblPr>
        <w:tblStyle w:val="35"/>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1810601">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c>
          <w:tcPr>
            <w:tcW w:w="8522" w:type="dxa"/>
          </w:tcPr>
          <w:p w14:paraId="20865983">
            <w:pPr>
              <w:pStyle w:val="32"/>
              <w:widowControl/>
              <w:ind w:firstLine="480"/>
              <w:rPr>
                <w:rFonts w:ascii="Times New Roman" w:hAnsi="Times New Roman"/>
              </w:rPr>
            </w:pPr>
            <w:r>
              <w:rPr>
                <w:rFonts w:ascii="Times New Roman" w:hAnsi="Times New Roman"/>
              </w:rPr>
              <w:drawing>
                <wp:anchor distT="0" distB="0" distL="114300" distR="114300" simplePos="0" relativeHeight="251680768" behindDoc="0" locked="0" layoutInCell="1" allowOverlap="1">
                  <wp:simplePos x="0" y="0"/>
                  <wp:positionH relativeFrom="column">
                    <wp:posOffset>99060</wp:posOffset>
                  </wp:positionH>
                  <wp:positionV relativeFrom="paragraph">
                    <wp:posOffset>291465</wp:posOffset>
                  </wp:positionV>
                  <wp:extent cx="4999355" cy="3123565"/>
                  <wp:effectExtent l="0" t="0" r="14605" b="635"/>
                  <wp:wrapSquare wrapText="bothSides"/>
                  <wp:docPr id="27"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descr="IMG_256"/>
                          <pic:cNvPicPr>
                            <a:picLocks noChangeAspect="1"/>
                          </pic:cNvPicPr>
                        </pic:nvPicPr>
                        <pic:blipFill>
                          <a:blip r:embed="rId134"/>
                          <a:stretch>
                            <a:fillRect/>
                          </a:stretch>
                        </pic:blipFill>
                        <pic:spPr>
                          <a:xfrm>
                            <a:off x="0" y="0"/>
                            <a:ext cx="4999355" cy="3123565"/>
                          </a:xfrm>
                          <a:prstGeom prst="rect">
                            <a:avLst/>
                          </a:prstGeom>
                          <a:noFill/>
                          <a:ln w="9525">
                            <a:noFill/>
                          </a:ln>
                        </pic:spPr>
                      </pic:pic>
                    </a:graphicData>
                  </a:graphic>
                </wp:anchor>
              </w:drawing>
            </w:r>
          </w:p>
        </w:tc>
      </w:tr>
      <w:tr w14:paraId="470BA660">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22" w:type="dxa"/>
          </w:tcPr>
          <w:p w14:paraId="13BB62E6">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5</w:t>
            </w:r>
            <w:r>
              <w:fldChar w:fldCharType="end"/>
            </w:r>
            <w:r>
              <w:t>维修管理</w:t>
            </w:r>
          </w:p>
        </w:tc>
      </w:tr>
    </w:tbl>
    <w:p w14:paraId="7D0DD545">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 xml:space="preserve">维修管理功能页面如图4-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5</w:t>
      </w:r>
      <w:r>
        <w:rPr>
          <w:rFonts w:hint="eastAsia" w:ascii="Calibri" w:hAnsi="Calibri" w:eastAsia="宋体" w:cs="Times New Roman"/>
          <w:sz w:val="24"/>
        </w:rPr>
        <w:fldChar w:fldCharType="end"/>
      </w:r>
      <w:r>
        <w:rPr>
          <w:rFonts w:hint="eastAsia" w:ascii="Calibri" w:hAnsi="Calibri" w:eastAsia="宋体" w:cs="Times New Roman"/>
          <w:sz w:val="24"/>
        </w:rPr>
        <w:t>所示。</w:t>
      </w:r>
    </w:p>
    <w:p w14:paraId="5F2758F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ascii="Calibri" w:hAnsi="Calibri" w:eastAsia="宋体" w:cs="Times New Roman"/>
          <w:b w:val="0"/>
          <w:bCs w:val="0"/>
          <w:sz w:val="24"/>
          <w:szCs w:val="24"/>
        </w:rPr>
      </w:pPr>
      <w:r>
        <w:rPr>
          <w:rFonts w:hint="eastAsia" w:ascii="Calibri" w:hAnsi="Calibri" w:eastAsia="宋体" w:cs="Times New Roman"/>
          <w:b w:val="0"/>
          <w:bCs w:val="0"/>
          <w:sz w:val="24"/>
          <w:szCs w:val="24"/>
        </w:rPr>
        <w:t>4.2.5 库存管理模块</w:t>
      </w:r>
    </w:p>
    <w:p w14:paraId="11D6C335">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本模块实现整车与配件库存的精准管控，降低库存风险、提升资产利用率。核心功能包括：</w:t>
      </w:r>
    </w:p>
    <w:p w14:paraId="0C6FC9A7">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（1） 整车库存管理：覆盖二手车入库（车型、车况、定价录入）、在库管理、销售出库全流程，实时更新库存状态，记录车辆流转信息；</w:t>
      </w:r>
    </w:p>
    <w:p w14:paraId="5D39AF84">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（2） 配件库存管理：支持配件入库、出库、盘点、库存调整等功能，精准记录配件流转轨迹，确保账实相符；</w:t>
      </w:r>
    </w:p>
    <w:p w14:paraId="6604FC63">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（3） 智能预警机制：可自定义配件与整车库存安全阈值，当库存低于阈值时自动触发预警提示，提醒工作人员及时补货或调整销售策略，避免缺货或积压。</w:t>
      </w:r>
    </w:p>
    <w:p w14:paraId="57A53E8A">
      <w:pPr>
        <w:widowControl/>
        <w:spacing w:line="440" w:lineRule="exact"/>
        <w:ind w:firstLine="480" w:firstLineChars="200"/>
        <w:jc w:val="left"/>
        <w:rPr>
          <w:rFonts w:ascii="Times New Roman" w:hAnsi="Times New Roman"/>
        </w:rPr>
      </w:pPr>
      <w:r>
        <w:rPr>
          <w:rFonts w:hint="eastAsia" w:ascii="Calibri" w:hAnsi="Calibri" w:eastAsia="宋体" w:cs="Times New Roman"/>
          <w:sz w:val="24"/>
        </w:rPr>
        <w:t>（4） 库存数据联动：配件出库与维修、保养工单自动关联，整车销售与客户信息联动，实现库存数据与业务数据的实时同步。</w:t>
      </w:r>
    </w:p>
    <w:p w14:paraId="7F30EEAA">
      <w:pPr>
        <w:widowControl/>
        <w:ind w:firstLine="480"/>
        <w:jc w:val="left"/>
        <w:rPr>
          <w:rFonts w:hint="eastAsia" w:ascii="Times New Roman" w:hAnsi="Times New Roman"/>
        </w:rPr>
      </w:pPr>
    </w:p>
    <w:p w14:paraId="57FFDC09">
      <w:pPr>
        <w:widowControl/>
        <w:ind w:firstLine="480"/>
        <w:jc w:val="left"/>
        <w:rPr>
          <w:rFonts w:hint="eastAsia" w:ascii="Times New Roman" w:hAnsi="Times New Roman"/>
        </w:rPr>
      </w:pPr>
    </w:p>
    <w:p w14:paraId="3768DF65">
      <w:pPr>
        <w:widowControl/>
        <w:ind w:firstLine="480"/>
        <w:jc w:val="left"/>
        <w:rPr>
          <w:rFonts w:hint="eastAsia" w:ascii="Times New Roman" w:hAnsi="Times New Roman"/>
        </w:rPr>
      </w:pPr>
    </w:p>
    <w:p w14:paraId="02FFA856">
      <w:pPr>
        <w:widowControl/>
        <w:ind w:firstLine="480"/>
        <w:jc w:val="left"/>
        <w:rPr>
          <w:rFonts w:hint="eastAsia" w:ascii="Times New Roman" w:hAnsi="Times New Roman"/>
        </w:rPr>
      </w:pPr>
    </w:p>
    <w:p w14:paraId="0CBE1389">
      <w:pPr>
        <w:widowControl/>
        <w:ind w:firstLine="480"/>
        <w:jc w:val="left"/>
        <w:rPr>
          <w:rFonts w:hint="eastAsia" w:ascii="Times New Roman" w:hAnsi="Times New Roman"/>
        </w:rPr>
      </w:pPr>
    </w:p>
    <w:p w14:paraId="37D8FBEA">
      <w:pPr>
        <w:widowControl/>
        <w:ind w:firstLine="480"/>
        <w:jc w:val="left"/>
        <w:rPr>
          <w:rFonts w:hint="eastAsia" w:ascii="Times New Roman" w:hAnsi="Times New Roman"/>
        </w:rPr>
      </w:pPr>
    </w:p>
    <w:p w14:paraId="187E9FB8">
      <w:pPr>
        <w:widowControl/>
        <w:ind w:firstLine="480"/>
        <w:jc w:val="left"/>
        <w:rPr>
          <w:rFonts w:hint="eastAsia" w:ascii="Times New Roman" w:hAnsi="Times New Roman"/>
        </w:rPr>
      </w:pPr>
    </w:p>
    <w:p w14:paraId="5113D8DA">
      <w:pPr>
        <w:widowControl/>
        <w:ind w:firstLine="480"/>
        <w:jc w:val="left"/>
        <w:rPr>
          <w:rFonts w:hint="eastAsia" w:ascii="Times New Roman" w:hAnsi="Times New Roman"/>
        </w:rPr>
      </w:pPr>
    </w:p>
    <w:p w14:paraId="574C1654">
      <w:pPr>
        <w:widowControl/>
        <w:ind w:firstLine="480"/>
        <w:jc w:val="left"/>
        <w:rPr>
          <w:rFonts w:hint="eastAsia" w:ascii="Times New Roman" w:hAnsi="Times New Roman"/>
        </w:rPr>
      </w:pPr>
    </w:p>
    <w:p w14:paraId="0FF35DF8">
      <w:pPr>
        <w:widowControl/>
        <w:ind w:firstLine="480"/>
        <w:jc w:val="left"/>
        <w:rPr>
          <w:rFonts w:hint="eastAsia" w:ascii="Times New Roman" w:hAnsi="Times New Roman"/>
        </w:rPr>
      </w:pPr>
    </w:p>
    <w:tbl>
      <w:tblPr>
        <w:tblStyle w:val="36"/>
        <w:tblW w:w="0" w:type="auto"/>
        <w:tblInd w:w="71" w:type="dxa"/>
        <w:tblBorders>
          <w:top w:val="dotted" w:color="auto" w:sz="2" w:space="0"/>
          <w:left w:val="dotted" w:color="auto" w:sz="2" w:space="0"/>
          <w:bottom w:val="dotted" w:color="auto" w:sz="2" w:space="0"/>
          <w:right w:val="dotted" w:color="auto" w:sz="2" w:space="0"/>
          <w:insideH w:val="dotted" w:color="auto" w:sz="2" w:space="0"/>
          <w:insideV w:val="single" w:color="auto" w:sz="4" w:space="0"/>
        </w:tblBorders>
        <w:tblLayout w:type="autofit"/>
        <w:tblCellMar>
          <w:top w:w="0" w:type="dxa"/>
          <w:left w:w="108" w:type="dxa"/>
          <w:bottom w:w="0" w:type="dxa"/>
          <w:right w:w="108" w:type="dxa"/>
        </w:tblCellMar>
      </w:tblPr>
      <w:tblGrid>
        <w:gridCol w:w="8344"/>
      </w:tblGrid>
      <w:tr w14:paraId="05FE9337">
        <w:tblPrEx>
          <w:tblBorders>
            <w:top w:val="dotted" w:color="auto" w:sz="2" w:space="0"/>
            <w:left w:val="dotted" w:color="auto" w:sz="2" w:space="0"/>
            <w:bottom w:val="dotted" w:color="auto" w:sz="2" w:space="0"/>
            <w:right w:val="dotted" w:color="auto" w:sz="2" w:space="0"/>
            <w:insideH w:val="dotted" w:color="auto" w:sz="2" w:space="0"/>
            <w:insideV w:val="single" w:color="auto" w:sz="4" w:space="0"/>
          </w:tblBorders>
          <w:tblCellMar>
            <w:top w:w="0" w:type="dxa"/>
            <w:left w:w="108" w:type="dxa"/>
            <w:bottom w:w="0" w:type="dxa"/>
            <w:right w:w="108" w:type="dxa"/>
          </w:tblCellMar>
        </w:tblPrEx>
        <w:trPr>
          <w:trHeight w:val="4852" w:hRule="atLeast"/>
        </w:trPr>
        <w:tc>
          <w:tcPr>
            <w:tcW w:w="8344" w:type="dxa"/>
            <w:tcBorders>
              <w:tl2br w:val="nil"/>
              <w:tr2bl w:val="nil"/>
            </w:tcBorders>
          </w:tcPr>
          <w:p w14:paraId="5906E991">
            <w:pPr>
              <w:widowControl/>
              <w:jc w:val="left"/>
              <w:rPr>
                <w:rFonts w:ascii="Times New Roman" w:hAnsi="Times New Roman"/>
                <w:vertAlign w:val="baseline"/>
              </w:rPr>
            </w:pPr>
            <w:r>
              <w:rPr>
                <w:rFonts w:ascii="Times New Roman" w:hAnsi="Times New Roman"/>
              </w:rPr>
              <w:drawing>
                <wp:anchor distT="0" distB="0" distL="114300" distR="114300" simplePos="0" relativeHeight="251829248" behindDoc="0" locked="0" layoutInCell="1" allowOverlap="1">
                  <wp:simplePos x="0" y="0"/>
                  <wp:positionH relativeFrom="column">
                    <wp:posOffset>24130</wp:posOffset>
                  </wp:positionH>
                  <wp:positionV relativeFrom="paragraph">
                    <wp:posOffset>58420</wp:posOffset>
                  </wp:positionV>
                  <wp:extent cx="5169535" cy="2968625"/>
                  <wp:effectExtent l="0" t="0" r="12065" b="3175"/>
                  <wp:wrapNone/>
                  <wp:docPr id="24" name="图片 24" descr="车辆库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车辆库存"/>
                          <pic:cNvPicPr>
                            <a:picLocks noChangeAspect="1"/>
                          </pic:cNvPicPr>
                        </pic:nvPicPr>
                        <pic:blipFill>
                          <a:blip r:embed="rId135"/>
                          <a:stretch>
                            <a:fillRect/>
                          </a:stretch>
                        </pic:blipFill>
                        <pic:spPr>
                          <a:xfrm>
                            <a:off x="0" y="0"/>
                            <a:ext cx="5169535" cy="2968625"/>
                          </a:xfrm>
                          <a:prstGeom prst="rect">
                            <a:avLst/>
                          </a:prstGeom>
                        </pic:spPr>
                      </pic:pic>
                    </a:graphicData>
                  </a:graphic>
                </wp:anchor>
              </w:drawing>
            </w:r>
          </w:p>
        </w:tc>
      </w:tr>
      <w:tr w14:paraId="5CF91678">
        <w:tblPrEx>
          <w:tblBorders>
            <w:top w:val="dotted" w:color="auto" w:sz="2" w:space="0"/>
            <w:left w:val="dotted" w:color="auto" w:sz="2" w:space="0"/>
            <w:bottom w:val="dotted" w:color="auto" w:sz="2" w:space="0"/>
            <w:right w:val="dotted" w:color="auto" w:sz="2" w:space="0"/>
            <w:insideH w:val="dotted" w:color="auto" w:sz="2" w:space="0"/>
            <w:insideV w:val="single" w:color="auto" w:sz="4" w:space="0"/>
          </w:tblBorders>
          <w:tblCellMar>
            <w:top w:w="0" w:type="dxa"/>
            <w:left w:w="108" w:type="dxa"/>
            <w:bottom w:w="0" w:type="dxa"/>
            <w:right w:w="108" w:type="dxa"/>
          </w:tblCellMar>
        </w:tblPrEx>
        <w:tc>
          <w:tcPr>
            <w:tcW w:w="8344" w:type="dxa"/>
            <w:tcBorders>
              <w:tl2br w:val="nil"/>
              <w:tr2bl w:val="nil"/>
            </w:tcBorders>
          </w:tcPr>
          <w:p w14:paraId="61F8F5C9">
            <w:pPr>
              <w:pStyle w:val="13"/>
              <w:rPr>
                <w:rFonts w:ascii="Times New Roman" w:hAnsi="Times New Roman"/>
                <w:vertAlign w:val="baseline"/>
              </w:rPr>
            </w:pPr>
            <w:r>
              <w:t>图4</w:t>
            </w:r>
            <w:r>
              <w:rPr>
                <w:rFonts w:hint="eastAsia"/>
              </w:rPr>
              <w:t>-</w:t>
            </w:r>
            <w:r>
              <w:t xml:space="preserve"> </w:t>
            </w:r>
            <w:r>
              <w:fldChar w:fldCharType="begin"/>
            </w:r>
            <w:r>
              <w:instrText xml:space="preserve"> SEQ 图4. \* ARABIC </w:instrText>
            </w:r>
            <w:r>
              <w:fldChar w:fldCharType="separate"/>
            </w:r>
            <w:r>
              <w:t>6</w:t>
            </w:r>
            <w:r>
              <w:fldChar w:fldCharType="end"/>
            </w:r>
            <w:r>
              <w:t>库存管理</w:t>
            </w:r>
          </w:p>
        </w:tc>
      </w:tr>
    </w:tbl>
    <w:p w14:paraId="39ED221A">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 xml:space="preserve">库存管理功能页面如图图4-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6</w:t>
      </w:r>
      <w:r>
        <w:rPr>
          <w:rFonts w:hint="eastAsia" w:ascii="Calibri" w:hAnsi="Calibri" w:eastAsia="宋体" w:cs="Times New Roman"/>
          <w:sz w:val="24"/>
        </w:rPr>
        <w:fldChar w:fldCharType="end"/>
      </w:r>
      <w:r>
        <w:rPr>
          <w:rFonts w:hint="eastAsia" w:ascii="Calibri" w:hAnsi="Calibri" w:eastAsia="宋体" w:cs="Times New Roman"/>
          <w:sz w:val="24"/>
        </w:rPr>
        <w:t>所示。</w:t>
      </w:r>
    </w:p>
    <w:p w14:paraId="56A6A3C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hint="eastAsia" w:ascii="Calibri" w:hAnsi="Calibri" w:eastAsia="宋体" w:cs="Times New Roman"/>
          <w:b w:val="0"/>
          <w:bCs w:val="0"/>
          <w:sz w:val="24"/>
          <w:szCs w:val="24"/>
        </w:rPr>
      </w:pPr>
      <w:r>
        <w:rPr>
          <w:rFonts w:hint="eastAsia" w:ascii="Calibri" w:hAnsi="Calibri" w:eastAsia="宋体" w:cs="Times New Roman"/>
          <w:b w:val="0"/>
          <w:bCs w:val="0"/>
          <w:sz w:val="24"/>
          <w:szCs w:val="24"/>
        </w:rPr>
        <w:t>4.2.6 数据分析模块</w:t>
      </w:r>
    </w:p>
    <w:p w14:paraId="6D8E1A30">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本模块通过数据统计与分析，为企业管理层提供精准的决策支撑。核心功能包括：</w:t>
      </w:r>
    </w:p>
    <w:p w14:paraId="681FF308">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（1）多维度报表生成：自动采集客户、服务、库存、财务等核心业务数据，生成日/周/月维度的标准化报表，涵盖客户增长、工单量、库存周转率等关键指标；</w:t>
      </w:r>
    </w:p>
    <w:p w14:paraId="6AA983C3">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（2） 数据趋势分析：支持核心指标的同比、环比分析，通过可视化图表（柱状图、饼图、折线图）展示业务变化趋势，帮助企业发现规律与问题；</w:t>
      </w:r>
    </w:p>
    <w:p w14:paraId="3F11892F">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（3） 数据导出共享：支持报表以PDF、Excel格式导出，便于内部汇报与二次分析，提升数据利用效率。</w:t>
      </w:r>
    </w:p>
    <w:p w14:paraId="2A4E6458">
      <w:pPr>
        <w:widowControl/>
        <w:spacing w:line="440" w:lineRule="exact"/>
        <w:ind w:firstLine="480" w:firstLineChars="200"/>
        <w:jc w:val="left"/>
      </w:pPr>
      <w:r>
        <w:rPr>
          <w:rFonts w:hint="eastAsia" w:ascii="Calibri" w:hAnsi="Calibri" w:eastAsia="宋体" w:cs="Times New Roman"/>
          <w:sz w:val="24"/>
        </w:rPr>
        <w:t xml:space="preserve">数据分析中心如图4-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7</w:t>
      </w:r>
      <w:r>
        <w:rPr>
          <w:rFonts w:hint="eastAsia" w:ascii="Calibri" w:hAnsi="Calibri" w:eastAsia="宋体" w:cs="Times New Roman"/>
          <w:sz w:val="24"/>
        </w:rPr>
        <w:fldChar w:fldCharType="end"/>
      </w:r>
      <w:r>
        <w:rPr>
          <w:rFonts w:hint="eastAsia" w:ascii="Calibri" w:hAnsi="Calibri" w:eastAsia="宋体" w:cs="Times New Roman"/>
          <w:sz w:val="24"/>
        </w:rPr>
        <w:t>所示。</w:t>
      </w:r>
    </w:p>
    <w:tbl>
      <w:tblPr>
        <w:tblStyle w:val="35"/>
        <w:tblW w:w="0" w:type="auto"/>
        <w:tblInd w:w="0" w:type="dxa"/>
        <w:tblLayout w:type="autofit"/>
        <w:tblCellMar>
          <w:top w:w="0" w:type="dxa"/>
          <w:left w:w="108" w:type="dxa"/>
          <w:bottom w:w="0" w:type="dxa"/>
          <w:right w:w="108" w:type="dxa"/>
        </w:tblCellMar>
      </w:tblPr>
      <w:tblGrid>
        <w:gridCol w:w="8522"/>
      </w:tblGrid>
      <w:tr w14:paraId="31737C14">
        <w:tblPrEx>
          <w:tblCellMar>
            <w:top w:w="0" w:type="dxa"/>
            <w:left w:w="108" w:type="dxa"/>
            <w:bottom w:w="0" w:type="dxa"/>
            <w:right w:w="108" w:type="dxa"/>
          </w:tblCellMar>
        </w:tblPrEx>
        <w:tc>
          <w:tcPr>
            <w:tcW w:w="8522" w:type="dxa"/>
          </w:tcPr>
          <w:p w14:paraId="66A91D65">
            <w:pPr>
              <w:widowControl/>
              <w:jc w:val="left"/>
              <w:rPr>
                <w:rFonts w:ascii="Times New Roman" w:hAnsi="Times New Roman"/>
              </w:rPr>
            </w:pPr>
            <w:r>
              <w:rPr>
                <w:rFonts w:ascii="Times New Roman" w:hAnsi="Times New Roman"/>
              </w:rPr>
              <w:drawing>
                <wp:anchor distT="0" distB="0" distL="114300" distR="114300" simplePos="0" relativeHeight="251678720" behindDoc="0" locked="0" layoutInCell="1" allowOverlap="1">
                  <wp:simplePos x="0" y="0"/>
                  <wp:positionH relativeFrom="column">
                    <wp:posOffset>22225</wp:posOffset>
                  </wp:positionH>
                  <wp:positionV relativeFrom="paragraph">
                    <wp:posOffset>59690</wp:posOffset>
                  </wp:positionV>
                  <wp:extent cx="5264785" cy="3289935"/>
                  <wp:effectExtent l="0" t="0" r="8255" b="1905"/>
                  <wp:wrapSquare wrapText="bothSides"/>
                  <wp:docPr id="77" name="图片 77" descr="数据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数据分析"/>
                          <pic:cNvPicPr>
                            <a:picLocks noChangeAspect="1"/>
                          </pic:cNvPicPr>
                        </pic:nvPicPr>
                        <pic:blipFill>
                          <a:blip r:embed="rId136"/>
                          <a:stretch>
                            <a:fillRect/>
                          </a:stretch>
                        </pic:blipFill>
                        <pic:spPr>
                          <a:xfrm>
                            <a:off x="0" y="0"/>
                            <a:ext cx="5264785" cy="3289935"/>
                          </a:xfrm>
                          <a:prstGeom prst="rect">
                            <a:avLst/>
                          </a:prstGeom>
                        </pic:spPr>
                      </pic:pic>
                    </a:graphicData>
                  </a:graphic>
                </wp:anchor>
              </w:drawing>
            </w:r>
          </w:p>
        </w:tc>
      </w:tr>
      <w:tr w14:paraId="331727A6">
        <w:tblPrEx>
          <w:tblCellMar>
            <w:top w:w="0" w:type="dxa"/>
            <w:left w:w="108" w:type="dxa"/>
            <w:bottom w:w="0" w:type="dxa"/>
            <w:right w:w="108" w:type="dxa"/>
          </w:tblCellMar>
        </w:tblPrEx>
        <w:tc>
          <w:tcPr>
            <w:tcW w:w="8522" w:type="dxa"/>
          </w:tcPr>
          <w:p w14:paraId="0D09875D">
            <w:pPr>
              <w:pStyle w:val="13"/>
              <w:rPr>
                <w:rFonts w:ascii="Times New Roman" w:hAnsi="Times New Roman"/>
              </w:rPr>
            </w:pPr>
            <w:r>
              <w:t>图4</w:t>
            </w:r>
            <w:r>
              <w:rPr>
                <w:rFonts w:hint="eastAsia"/>
              </w:rPr>
              <w:t>-</w:t>
            </w:r>
            <w:r>
              <w:t xml:space="preserve"> </w:t>
            </w:r>
            <w:r>
              <w:fldChar w:fldCharType="begin"/>
            </w:r>
            <w:r>
              <w:instrText xml:space="preserve"> SEQ 图4. \* ARABIC </w:instrText>
            </w:r>
            <w:r>
              <w:fldChar w:fldCharType="separate"/>
            </w:r>
            <w:r>
              <w:t>7</w:t>
            </w:r>
            <w:r>
              <w:fldChar w:fldCharType="end"/>
            </w:r>
            <w:r>
              <w:t>数据分析</w:t>
            </w:r>
          </w:p>
        </w:tc>
      </w:tr>
    </w:tbl>
    <w:p w14:paraId="1D2CEFD8">
      <w:pPr>
        <w:widowControl/>
        <w:spacing w:line="440" w:lineRule="exact"/>
        <w:ind w:firstLine="480" w:firstLineChars="200"/>
        <w:jc w:val="left"/>
        <w:rPr>
          <w:rFonts w:ascii="Calibri" w:hAnsi="Calibri" w:eastAsia="宋体" w:cs="Times New Roman"/>
          <w:b w:val="0"/>
          <w:bCs w:val="0"/>
          <w:sz w:val="24"/>
          <w:szCs w:val="24"/>
        </w:rPr>
      </w:pPr>
      <w:bookmarkStart w:id="173" w:name="_Toc12463"/>
      <w:bookmarkStart w:id="174" w:name="_Toc4661"/>
      <w:r>
        <w:rPr>
          <w:rFonts w:hint="eastAsia" w:ascii="Calibri" w:hAnsi="Calibri" w:eastAsia="宋体" w:cs="Times New Roman"/>
          <w:b w:val="0"/>
          <w:bCs w:val="0"/>
          <w:sz w:val="24"/>
          <w:szCs w:val="24"/>
        </w:rPr>
        <w:t>4.3 系统基础配置功能</w:t>
      </w:r>
      <w:bookmarkEnd w:id="173"/>
      <w:bookmarkEnd w:id="174"/>
    </w:p>
    <w:p w14:paraId="587CA4D4">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本部分功能为系统稳定运行与精细化管理提供支撑，核心功能包括：</w:t>
      </w:r>
    </w:p>
    <w:p w14:paraId="367657A5">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（1） 权限管控功能：基于RBAC模型实现角色与用户管理，支持角色创建、权限分配（菜单级+按钮级）、用户关联角色等功能，确保不同岗位员工仅能访问对应功能，保障数据安全；</w:t>
      </w:r>
    </w:p>
    <w:p w14:paraId="405F6356">
      <w:pPr>
        <w:widowControl/>
        <w:spacing w:line="440" w:lineRule="exact"/>
        <w:ind w:firstLine="480" w:firstLineChars="200"/>
        <w:jc w:val="left"/>
        <w:rPr>
          <w:rFonts w:ascii="Calibri" w:hAnsi="Calibri" w:eastAsia="宋体" w:cs="Times New Roman"/>
          <w:sz w:val="24"/>
        </w:rPr>
      </w:pPr>
      <w:r>
        <w:rPr>
          <w:rFonts w:hint="eastAsia" w:ascii="Calibri" w:hAnsi="Calibri" w:eastAsia="宋体" w:cs="Times New Roman"/>
          <w:sz w:val="24"/>
        </w:rPr>
        <w:t>（2） 操作日志管理：自动记录用户关键操作（登录、数据修改、功能访问等），包含操作人、操作时间、IP地址、操作内容等信息，便于问题追溯与合规管理；</w:t>
      </w:r>
    </w:p>
    <w:p w14:paraId="58E4C5BD">
      <w:pPr>
        <w:widowControl/>
        <w:spacing w:line="440" w:lineRule="exact"/>
        <w:ind w:firstLine="480" w:firstLineChars="200"/>
        <w:jc w:val="left"/>
        <w:rPr>
          <w:rFonts w:hint="eastAsia" w:ascii="Calibri" w:hAnsi="Calibri" w:eastAsia="宋体" w:cs="Times New Roman"/>
          <w:sz w:val="24"/>
        </w:rPr>
      </w:pPr>
      <w:r>
        <w:rPr>
          <w:rFonts w:hint="eastAsia" w:ascii="Calibri" w:hAnsi="Calibri" w:eastAsia="宋体" w:cs="Times New Roman"/>
          <w:sz w:val="24"/>
        </w:rPr>
        <w:t>（3） 基础参数配置：支持系统核心参数的自定义配置，包括库存安全阈值、服务类型、结算方式等，适配企业个性化运营需求，提升系统灵活性。</w:t>
      </w:r>
    </w:p>
    <w:p w14:paraId="0562447D">
      <w:pPr>
        <w:widowControl/>
        <w:spacing w:line="440" w:lineRule="exact"/>
        <w:ind w:firstLine="480" w:firstLineChars="200"/>
        <w:jc w:val="left"/>
      </w:pPr>
      <w:r>
        <w:rPr>
          <w:rFonts w:hint="eastAsia" w:ascii="Calibri" w:hAnsi="Calibri" w:eastAsia="宋体" w:cs="Times New Roman"/>
          <w:sz w:val="24"/>
        </w:rPr>
        <w:t xml:space="preserve">首页页面如同图4- </w:t>
      </w:r>
      <w:r>
        <w:rPr>
          <w:rFonts w:hint="eastAsia" w:ascii="Calibri" w:hAnsi="Calibri" w:eastAsia="宋体" w:cs="Times New Roman"/>
          <w:sz w:val="24"/>
        </w:rPr>
        <w:fldChar w:fldCharType="begin"/>
      </w:r>
      <w:r>
        <w:rPr>
          <w:rFonts w:hint="eastAsia" w:ascii="Calibri" w:hAnsi="Calibri" w:eastAsia="宋体" w:cs="Times New Roman"/>
          <w:sz w:val="24"/>
        </w:rPr>
        <w:instrText xml:space="preserve"> SEQ 图4. \* ARABIC </w:instrText>
      </w:r>
      <w:r>
        <w:rPr>
          <w:rFonts w:hint="eastAsia" w:ascii="Calibri" w:hAnsi="Calibri" w:eastAsia="宋体" w:cs="Times New Roman"/>
          <w:sz w:val="24"/>
        </w:rPr>
        <w:fldChar w:fldCharType="separate"/>
      </w:r>
      <w:r>
        <w:rPr>
          <w:rFonts w:hint="eastAsia" w:ascii="Calibri" w:hAnsi="Calibri" w:eastAsia="宋体" w:cs="Times New Roman"/>
          <w:sz w:val="24"/>
        </w:rPr>
        <w:t>8</w:t>
      </w:r>
      <w:r>
        <w:rPr>
          <w:rFonts w:hint="eastAsia" w:ascii="Calibri" w:hAnsi="Calibri" w:eastAsia="宋体" w:cs="Times New Roman"/>
          <w:sz w:val="24"/>
        </w:rPr>
        <w:fldChar w:fldCharType="end"/>
      </w:r>
      <w:r>
        <w:rPr>
          <w:rFonts w:hint="eastAsia" w:ascii="Calibri" w:hAnsi="Calibri" w:eastAsia="宋体" w:cs="Times New Roman"/>
          <w:sz w:val="24"/>
        </w:rPr>
        <w:t>所示。</w:t>
      </w:r>
    </w:p>
    <w:tbl>
      <w:tblPr>
        <w:tblStyle w:val="35"/>
        <w:tblW w:w="0" w:type="auto"/>
        <w:tblInd w:w="0" w:type="dxa"/>
        <w:tblLayout w:type="autofit"/>
        <w:tblCellMar>
          <w:top w:w="0" w:type="dxa"/>
          <w:left w:w="108" w:type="dxa"/>
          <w:bottom w:w="0" w:type="dxa"/>
          <w:right w:w="108" w:type="dxa"/>
        </w:tblCellMar>
      </w:tblPr>
      <w:tblGrid>
        <w:gridCol w:w="8522"/>
      </w:tblGrid>
      <w:tr w14:paraId="452F23E3">
        <w:tblPrEx>
          <w:tblCellMar>
            <w:top w:w="0" w:type="dxa"/>
            <w:left w:w="108" w:type="dxa"/>
            <w:bottom w:w="0" w:type="dxa"/>
            <w:right w:w="108" w:type="dxa"/>
          </w:tblCellMar>
        </w:tblPrEx>
        <w:tc>
          <w:tcPr>
            <w:tcW w:w="8522" w:type="dxa"/>
          </w:tcPr>
          <w:p w14:paraId="7BBF596E">
            <w:pPr>
              <w:widowControl/>
              <w:ind w:firstLine="480"/>
              <w:jc w:val="left"/>
              <w:rPr>
                <w:rFonts w:ascii="Times New Roman" w:hAnsi="Times New Roman"/>
                <w:kern w:val="0"/>
                <w:lang w:bidi="ar"/>
              </w:rPr>
            </w:pPr>
            <w:r>
              <w:rPr>
                <w:rFonts w:ascii="Times New Roman" w:hAnsi="Times New Roman"/>
                <w:kern w:val="0"/>
              </w:rPr>
              <w:drawing>
                <wp:anchor distT="0" distB="0" distL="114300" distR="114300" simplePos="0" relativeHeight="251679744" behindDoc="0" locked="0" layoutInCell="1" allowOverlap="1">
                  <wp:simplePos x="0" y="0"/>
                  <wp:positionH relativeFrom="column">
                    <wp:posOffset>31115</wp:posOffset>
                  </wp:positionH>
                  <wp:positionV relativeFrom="paragraph">
                    <wp:posOffset>321310</wp:posOffset>
                  </wp:positionV>
                  <wp:extent cx="5264785" cy="3289935"/>
                  <wp:effectExtent l="0" t="0" r="8255" b="1905"/>
                  <wp:wrapSquare wrapText="bothSides"/>
                  <wp:docPr id="26" name="图片 26" descr="1首页（快捷入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首页（快捷入口）"/>
                          <pic:cNvPicPr>
                            <a:picLocks noChangeAspect="1"/>
                          </pic:cNvPicPr>
                        </pic:nvPicPr>
                        <pic:blipFill>
                          <a:blip r:embed="rId137"/>
                          <a:stretch>
                            <a:fillRect/>
                          </a:stretch>
                        </pic:blipFill>
                        <pic:spPr>
                          <a:xfrm>
                            <a:off x="0" y="0"/>
                            <a:ext cx="5264785" cy="3289935"/>
                          </a:xfrm>
                          <a:prstGeom prst="rect">
                            <a:avLst/>
                          </a:prstGeom>
                        </pic:spPr>
                      </pic:pic>
                    </a:graphicData>
                  </a:graphic>
                </wp:anchor>
              </w:drawing>
            </w:r>
          </w:p>
        </w:tc>
      </w:tr>
      <w:tr w14:paraId="1DF977B9">
        <w:tblPrEx>
          <w:tblCellMar>
            <w:top w:w="0" w:type="dxa"/>
            <w:left w:w="108" w:type="dxa"/>
            <w:bottom w:w="0" w:type="dxa"/>
            <w:right w:w="108" w:type="dxa"/>
          </w:tblCellMar>
        </w:tblPrEx>
        <w:tc>
          <w:tcPr>
            <w:tcW w:w="8522" w:type="dxa"/>
          </w:tcPr>
          <w:p w14:paraId="3C384D9B">
            <w:pPr>
              <w:pStyle w:val="13"/>
              <w:rPr>
                <w:rFonts w:ascii="Times New Roman" w:hAnsi="Times New Roman"/>
                <w:lang w:bidi="ar"/>
              </w:rPr>
            </w:pPr>
            <w:r>
              <w:t>图4</w:t>
            </w:r>
            <w:r>
              <w:rPr>
                <w:rFonts w:hint="eastAsia"/>
              </w:rPr>
              <w:t>-</w:t>
            </w:r>
            <w:r>
              <w:t xml:space="preserve"> </w:t>
            </w:r>
            <w:r>
              <w:fldChar w:fldCharType="begin"/>
            </w:r>
            <w:r>
              <w:instrText xml:space="preserve"> SEQ 图4. \* ARABIC </w:instrText>
            </w:r>
            <w:r>
              <w:fldChar w:fldCharType="separate"/>
            </w:r>
            <w:r>
              <w:t>8</w:t>
            </w:r>
            <w:r>
              <w:fldChar w:fldCharType="end"/>
            </w:r>
            <w:r>
              <w:t>首页展示</w:t>
            </w:r>
          </w:p>
        </w:tc>
      </w:tr>
      <w:bookmarkEnd w:id="170"/>
    </w:tbl>
    <w:p w14:paraId="6D42B06A">
      <w:pPr>
        <w:keepNext/>
        <w:keepLines/>
        <w:pageBreakBefore w:val="0"/>
        <w:widowControl w:val="0"/>
        <w:kinsoku/>
        <w:wordWrap/>
        <w:overflowPunct/>
        <w:topLinePunct w:val="0"/>
        <w:autoSpaceDE/>
        <w:autoSpaceDN/>
        <w:bidi w:val="0"/>
        <w:adjustRightInd/>
        <w:snapToGrid/>
        <w:jc w:val="left"/>
        <w:textAlignment w:val="auto"/>
        <w:outlineLvl w:val="9"/>
        <w:rPr>
          <w:rFonts w:ascii="Times New Roman" w:hAnsi="Times New Roman"/>
          <w:sz w:val="28"/>
          <w:szCs w:val="28"/>
        </w:rPr>
      </w:pPr>
      <w:bookmarkStart w:id="175" w:name="_Toc26144"/>
      <w:bookmarkStart w:id="176" w:name="_Toc2154"/>
      <w:bookmarkStart w:id="177" w:name="heading_58"/>
      <w:bookmarkStart w:id="178" w:name="_Toc21060"/>
      <w:r>
        <w:rPr>
          <w:rFonts w:ascii="Times New Roman" w:hAnsi="Times New Roman"/>
          <w:sz w:val="28"/>
          <w:szCs w:val="28"/>
        </w:rPr>
        <w:t>5 系统测试</w:t>
      </w:r>
      <w:bookmarkEnd w:id="175"/>
      <w:bookmarkEnd w:id="176"/>
    </w:p>
    <w:p w14:paraId="117B60E1">
      <w:pPr>
        <w:widowControl/>
        <w:spacing w:line="440" w:lineRule="exact"/>
        <w:ind w:firstLine="480" w:firstLineChars="200"/>
        <w:jc w:val="left"/>
        <w:rPr>
          <w:rFonts w:hint="eastAsia" w:ascii="Calibri" w:hAnsi="Calibri" w:eastAsia="宋体" w:cs="Times New Roman"/>
          <w:sz w:val="24"/>
        </w:rPr>
      </w:pPr>
      <w:bookmarkStart w:id="179" w:name="heading_0"/>
      <w:bookmarkStart w:id="180" w:name="_Toc4561"/>
      <w:r>
        <w:rPr>
          <w:rFonts w:hint="eastAsia" w:ascii="Calibri" w:hAnsi="Calibri" w:eastAsia="宋体" w:cs="Times New Roman"/>
          <w:sz w:val="24"/>
        </w:rPr>
        <w:t>5.1 测试环境与测试方法</w:t>
      </w:r>
      <w:bookmarkEnd w:id="179"/>
      <w:bookmarkEnd w:id="180"/>
    </w:p>
    <w:p w14:paraId="354E420A">
      <w:pPr>
        <w:widowControl/>
        <w:spacing w:line="440" w:lineRule="exact"/>
        <w:ind w:firstLine="480" w:firstLineChars="200"/>
        <w:jc w:val="left"/>
        <w:rPr>
          <w:rFonts w:hint="eastAsia" w:ascii="Calibri" w:hAnsi="Calibri" w:eastAsia="宋体" w:cs="Times New Roman"/>
          <w:sz w:val="24"/>
        </w:rPr>
      </w:pPr>
      <w:bookmarkStart w:id="181" w:name="heading_1"/>
      <w:r>
        <w:rPr>
          <w:rFonts w:hint="eastAsia" w:ascii="Calibri" w:hAnsi="Calibri" w:eastAsia="宋体" w:cs="Times New Roman"/>
          <w:sz w:val="24"/>
        </w:rPr>
        <w:t>5.1.1 测试环境</w:t>
      </w:r>
      <w:bookmarkEnd w:id="181"/>
    </w:p>
    <w:p w14:paraId="545F1F97">
      <w:pPr>
        <w:pStyle w:val="13"/>
      </w:pPr>
      <w:r>
        <w:t>表5</w:t>
      </w:r>
      <w:r>
        <w:rPr>
          <w:rFonts w:hint="eastAsia"/>
        </w:rPr>
        <w:t>-</w:t>
      </w:r>
      <w:r>
        <w:fldChar w:fldCharType="begin"/>
      </w:r>
      <w:r>
        <w:instrText xml:space="preserve"> SEQ 表5. \* ARABIC </w:instrText>
      </w:r>
      <w:r>
        <w:fldChar w:fldCharType="separate"/>
      </w:r>
      <w:r>
        <w:t>1</w:t>
      </w:r>
      <w:r>
        <w:fldChar w:fldCharType="end"/>
      </w:r>
      <w:r>
        <w:t>测试环境</w:t>
      </w:r>
    </w:p>
    <w:tbl>
      <w:tblPr>
        <w:tblStyle w:val="35"/>
        <w:tblW w:w="0" w:type="auto"/>
        <w:tblInd w:w="0" w:type="dxa"/>
        <w:tblLayout w:type="autofit"/>
        <w:tblCellMar>
          <w:top w:w="0" w:type="dxa"/>
          <w:left w:w="10" w:type="dxa"/>
          <w:bottom w:w="0" w:type="dxa"/>
          <w:right w:w="10" w:type="dxa"/>
        </w:tblCellMar>
      </w:tblPr>
      <w:tblGrid>
        <w:gridCol w:w="1358"/>
        <w:gridCol w:w="7188"/>
      </w:tblGrid>
      <w:tr w14:paraId="00AA0A9B">
        <w:tblPrEx>
          <w:tblCellMar>
            <w:top w:w="0" w:type="dxa"/>
            <w:left w:w="10" w:type="dxa"/>
            <w:bottom w:w="0" w:type="dxa"/>
            <w:right w:w="10" w:type="dxa"/>
          </w:tblCellMar>
        </w:tblPrEx>
        <w:tc>
          <w:tcPr>
            <w:tcW w:w="1358"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36F2074F">
            <w:pPr>
              <w:spacing w:before="120" w:after="120"/>
              <w:jc w:val="left"/>
              <w:rPr>
                <w:rFonts w:ascii="Times New Roman" w:hAnsi="Times New Roman"/>
                <w:b/>
                <w:bCs/>
                <w:color w:val="000000"/>
              </w:rPr>
            </w:pPr>
            <w:r>
              <w:rPr>
                <w:rFonts w:ascii="Times New Roman" w:hAnsi="Times New Roman" w:eastAsia="等线"/>
                <w:b/>
                <w:bCs/>
                <w:color w:val="000000"/>
                <w:sz w:val="22"/>
              </w:rPr>
              <w:t>环境类别</w:t>
            </w:r>
          </w:p>
        </w:tc>
        <w:tc>
          <w:tcPr>
            <w:tcW w:w="7188"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2BA734DB">
            <w:pPr>
              <w:spacing w:before="120" w:after="120"/>
              <w:jc w:val="left"/>
              <w:rPr>
                <w:rFonts w:ascii="Times New Roman" w:hAnsi="Times New Roman"/>
                <w:b/>
                <w:bCs/>
                <w:color w:val="000000"/>
              </w:rPr>
            </w:pPr>
            <w:r>
              <w:rPr>
                <w:rFonts w:ascii="Times New Roman" w:hAnsi="Times New Roman" w:eastAsia="等线"/>
                <w:b/>
                <w:bCs/>
                <w:color w:val="000000"/>
                <w:sz w:val="22"/>
              </w:rPr>
              <w:t>具体配置</w:t>
            </w:r>
          </w:p>
        </w:tc>
      </w:tr>
      <w:tr w14:paraId="424672B5">
        <w:tblPrEx>
          <w:tblCellMar>
            <w:top w:w="0" w:type="dxa"/>
            <w:left w:w="10" w:type="dxa"/>
            <w:bottom w:w="0" w:type="dxa"/>
            <w:right w:w="10" w:type="dxa"/>
          </w:tblCellMar>
        </w:tblPrEx>
        <w:tc>
          <w:tcPr>
            <w:tcW w:w="1358" w:type="dxa"/>
            <w:tcBorders>
              <w:top w:val="single" w:color="000000" w:sz="4" w:space="0"/>
              <w:left w:val="nil"/>
              <w:bottom w:val="nil"/>
              <w:right w:val="nil"/>
            </w:tcBorders>
            <w:shd w:val="clear" w:color="auto" w:fill="FFFFFF"/>
            <w:tcMar>
              <w:top w:w="60" w:type="dxa"/>
              <w:left w:w="120" w:type="dxa"/>
              <w:bottom w:w="30" w:type="dxa"/>
              <w:right w:w="120" w:type="dxa"/>
            </w:tcMar>
          </w:tcPr>
          <w:p w14:paraId="6A13CE5D">
            <w:pPr>
              <w:spacing w:before="120" w:after="120"/>
              <w:jc w:val="left"/>
              <w:rPr>
                <w:rFonts w:ascii="Times New Roman" w:hAnsi="Times New Roman"/>
                <w:color w:val="000000"/>
              </w:rPr>
            </w:pPr>
            <w:r>
              <w:rPr>
                <w:rFonts w:ascii="Times New Roman" w:hAnsi="Times New Roman" w:eastAsia="等线"/>
                <w:color w:val="000000"/>
                <w:sz w:val="22"/>
              </w:rPr>
              <w:t>硬件配置</w:t>
            </w:r>
          </w:p>
        </w:tc>
        <w:tc>
          <w:tcPr>
            <w:tcW w:w="7188" w:type="dxa"/>
            <w:tcBorders>
              <w:top w:val="single" w:color="000000" w:sz="4" w:space="0"/>
              <w:left w:val="nil"/>
              <w:bottom w:val="nil"/>
              <w:right w:val="nil"/>
            </w:tcBorders>
            <w:shd w:val="clear" w:color="auto" w:fill="FFFFFF"/>
            <w:tcMar>
              <w:top w:w="60" w:type="dxa"/>
              <w:left w:w="120" w:type="dxa"/>
              <w:bottom w:w="30" w:type="dxa"/>
              <w:right w:w="120" w:type="dxa"/>
            </w:tcMar>
          </w:tcPr>
          <w:p w14:paraId="3D7AFF1F">
            <w:pPr>
              <w:spacing w:before="120" w:after="120"/>
              <w:jc w:val="left"/>
              <w:rPr>
                <w:rFonts w:ascii="Times New Roman" w:hAnsi="Times New Roman"/>
                <w:color w:val="000000"/>
              </w:rPr>
            </w:pPr>
            <w:r>
              <w:rPr>
                <w:rFonts w:ascii="Times New Roman" w:hAnsi="Times New Roman" w:eastAsia="等线"/>
                <w:color w:val="000000"/>
                <w:sz w:val="22"/>
              </w:rPr>
              <w:t>CPU：Intel Core i7-10700，内存：16GB，硬盘：512GB SSD</w:t>
            </w:r>
          </w:p>
        </w:tc>
      </w:tr>
      <w:tr w14:paraId="7C18AF77">
        <w:tblPrEx>
          <w:tblCellMar>
            <w:top w:w="0" w:type="dxa"/>
            <w:left w:w="10" w:type="dxa"/>
            <w:bottom w:w="0" w:type="dxa"/>
            <w:right w:w="10" w:type="dxa"/>
          </w:tblCellMar>
        </w:tblPrEx>
        <w:tc>
          <w:tcPr>
            <w:tcW w:w="1358" w:type="dxa"/>
            <w:tcBorders>
              <w:top w:val="nil"/>
              <w:left w:val="nil"/>
              <w:bottom w:val="nil"/>
              <w:right w:val="nil"/>
            </w:tcBorders>
            <w:shd w:val="clear" w:color="auto" w:fill="FFFFFF"/>
            <w:tcMar>
              <w:top w:w="60" w:type="dxa"/>
              <w:left w:w="120" w:type="dxa"/>
              <w:bottom w:w="30" w:type="dxa"/>
              <w:right w:w="120" w:type="dxa"/>
            </w:tcMar>
          </w:tcPr>
          <w:p w14:paraId="6D5462A5">
            <w:pPr>
              <w:spacing w:before="120" w:after="120"/>
              <w:jc w:val="left"/>
              <w:rPr>
                <w:rFonts w:ascii="Times New Roman" w:hAnsi="Times New Roman"/>
                <w:color w:val="000000"/>
              </w:rPr>
            </w:pPr>
            <w:r>
              <w:rPr>
                <w:rFonts w:ascii="Times New Roman" w:hAnsi="Times New Roman" w:eastAsia="等线"/>
                <w:color w:val="000000"/>
                <w:sz w:val="22"/>
              </w:rPr>
              <w:t>软件环境</w:t>
            </w:r>
          </w:p>
        </w:tc>
        <w:tc>
          <w:tcPr>
            <w:tcW w:w="7188" w:type="dxa"/>
            <w:tcBorders>
              <w:top w:val="nil"/>
              <w:left w:val="nil"/>
              <w:bottom w:val="nil"/>
              <w:right w:val="nil"/>
            </w:tcBorders>
            <w:shd w:val="clear" w:color="auto" w:fill="FFFFFF"/>
            <w:tcMar>
              <w:top w:w="60" w:type="dxa"/>
              <w:left w:w="120" w:type="dxa"/>
              <w:bottom w:w="30" w:type="dxa"/>
              <w:right w:w="120" w:type="dxa"/>
            </w:tcMar>
          </w:tcPr>
          <w:p w14:paraId="2D441D42">
            <w:pPr>
              <w:spacing w:before="120" w:after="120"/>
              <w:jc w:val="left"/>
              <w:rPr>
                <w:rFonts w:ascii="Times New Roman" w:hAnsi="Times New Roman"/>
                <w:color w:val="000000"/>
              </w:rPr>
            </w:pPr>
            <w:r>
              <w:rPr>
                <w:rFonts w:ascii="Times New Roman" w:hAnsi="Times New Roman" w:eastAsia="等线"/>
                <w:color w:val="000000"/>
                <w:sz w:val="22"/>
              </w:rPr>
              <w:t>操作系统：Windows 11 专业版、CentOS 7.9；数据库：MySQL 8.0.30、Redis 6.2.6；中间件：Nginx 1.20.2；浏览器：Chrome 120.0</w:t>
            </w:r>
          </w:p>
        </w:tc>
      </w:tr>
      <w:tr w14:paraId="6F21D18A">
        <w:tblPrEx>
          <w:tblCellMar>
            <w:top w:w="0" w:type="dxa"/>
            <w:left w:w="10" w:type="dxa"/>
            <w:bottom w:w="0" w:type="dxa"/>
            <w:right w:w="10" w:type="dxa"/>
          </w:tblCellMar>
        </w:tblPrEx>
        <w:tc>
          <w:tcPr>
            <w:tcW w:w="1358" w:type="dxa"/>
            <w:tcBorders>
              <w:top w:val="nil"/>
              <w:left w:val="nil"/>
              <w:bottom w:val="single" w:color="000000" w:sz="12" w:space="0"/>
              <w:right w:val="nil"/>
            </w:tcBorders>
            <w:shd w:val="clear" w:color="auto" w:fill="FFFFFF"/>
            <w:tcMar>
              <w:top w:w="60" w:type="dxa"/>
              <w:left w:w="120" w:type="dxa"/>
              <w:bottom w:w="30" w:type="dxa"/>
              <w:right w:w="120" w:type="dxa"/>
            </w:tcMar>
          </w:tcPr>
          <w:p w14:paraId="3110058A">
            <w:pPr>
              <w:spacing w:before="120" w:after="120"/>
              <w:jc w:val="left"/>
              <w:rPr>
                <w:rFonts w:ascii="Times New Roman" w:hAnsi="Times New Roman"/>
                <w:color w:val="000000"/>
              </w:rPr>
            </w:pPr>
            <w:r>
              <w:rPr>
                <w:rFonts w:ascii="Times New Roman" w:hAnsi="Times New Roman" w:eastAsia="等线"/>
                <w:color w:val="000000"/>
                <w:sz w:val="22"/>
              </w:rPr>
              <w:t>测试工具</w:t>
            </w:r>
          </w:p>
        </w:tc>
        <w:tc>
          <w:tcPr>
            <w:tcW w:w="7188" w:type="dxa"/>
            <w:tcBorders>
              <w:top w:val="nil"/>
              <w:left w:val="nil"/>
              <w:bottom w:val="single" w:color="000000" w:sz="12" w:space="0"/>
              <w:right w:val="nil"/>
            </w:tcBorders>
            <w:shd w:val="clear" w:color="auto" w:fill="FFFFFF"/>
            <w:tcMar>
              <w:top w:w="60" w:type="dxa"/>
              <w:left w:w="120" w:type="dxa"/>
              <w:bottom w:w="30" w:type="dxa"/>
              <w:right w:w="120" w:type="dxa"/>
            </w:tcMar>
          </w:tcPr>
          <w:p w14:paraId="46DBFCAE">
            <w:pPr>
              <w:spacing w:before="120" w:after="120"/>
              <w:jc w:val="left"/>
              <w:rPr>
                <w:rFonts w:ascii="Times New Roman" w:hAnsi="Times New Roman"/>
                <w:color w:val="000000"/>
              </w:rPr>
            </w:pPr>
            <w:r>
              <w:rPr>
                <w:rFonts w:ascii="Times New Roman" w:hAnsi="Times New Roman" w:eastAsia="等线"/>
                <w:color w:val="000000"/>
                <w:sz w:val="22"/>
              </w:rPr>
              <w:t>功能测试：Postman 10.20、Selenium 4.10；性能测试：JMeter 5.6；缺陷管理：Jira；权限测试：Burp Suite Pro</w:t>
            </w:r>
          </w:p>
        </w:tc>
      </w:tr>
    </w:tbl>
    <w:p w14:paraId="46CF7309">
      <w:pPr>
        <w:widowControl/>
        <w:spacing w:line="440" w:lineRule="exact"/>
        <w:ind w:firstLine="480" w:firstLineChars="200"/>
        <w:jc w:val="left"/>
        <w:rPr>
          <w:rFonts w:ascii="Calibri" w:hAnsi="Calibri" w:eastAsia="宋体" w:cs="Times New Roman"/>
          <w:b w:val="0"/>
          <w:bCs w:val="0"/>
          <w:sz w:val="24"/>
          <w:szCs w:val="24"/>
        </w:rPr>
      </w:pPr>
      <w:bookmarkStart w:id="182" w:name="heading_2"/>
      <w:bookmarkStart w:id="183" w:name="_Toc7708"/>
      <w:r>
        <w:rPr>
          <w:rFonts w:hint="eastAsia" w:ascii="Calibri" w:hAnsi="Calibri" w:eastAsia="宋体" w:cs="Times New Roman"/>
          <w:b w:val="0"/>
          <w:bCs w:val="0"/>
          <w:sz w:val="24"/>
          <w:szCs w:val="24"/>
        </w:rPr>
        <w:t>5.1.2 测试方法</w:t>
      </w:r>
      <w:bookmarkEnd w:id="182"/>
      <w:bookmarkEnd w:id="183"/>
    </w:p>
    <w:p w14:paraId="77346617">
      <w:pPr>
        <w:spacing w:line="440" w:lineRule="exact"/>
        <w:ind w:firstLine="480" w:firstLineChars="200"/>
        <w:rPr>
          <w:rFonts w:ascii="Times New Roman" w:hAnsi="Times New Roman"/>
          <w:sz w:val="24"/>
        </w:rPr>
      </w:pPr>
      <w:r>
        <w:rPr>
          <w:rFonts w:ascii="Times New Roman" w:hAnsi="Times New Roman"/>
          <w:sz w:val="24"/>
        </w:rPr>
        <w:t>本次测试以角色分层测试为核心逻辑，围绕超级管理员、管理员、普通用户三类核心角色，结合其权限范围与业务操作场景设计测试方案：</w:t>
      </w:r>
    </w:p>
    <w:p w14:paraId="4FFB11A6">
      <w:pPr>
        <w:spacing w:line="440" w:lineRule="exact"/>
        <w:ind w:firstLine="480" w:firstLineChars="200"/>
        <w:rPr>
          <w:rFonts w:ascii="Times New Roman" w:hAnsi="Times New Roman"/>
          <w:sz w:val="24"/>
        </w:rPr>
      </w:pPr>
      <w:r>
        <w:rPr>
          <w:rFonts w:hint="eastAsia" w:ascii="Times New Roman" w:hAnsi="Times New Roman"/>
          <w:sz w:val="24"/>
        </w:rPr>
        <w:t>（1）</w:t>
      </w:r>
      <w:r>
        <w:rPr>
          <w:rFonts w:ascii="Times New Roman" w:hAnsi="Times New Roman"/>
          <w:sz w:val="24"/>
        </w:rPr>
        <w:t>功能测试：采用黑盒测试为主，针对不同角色的权限边界和核心操作场景设计测试用例，覆盖正常操作、异常操作（如越权访问、必填项为空）、数据校验等场景；</w:t>
      </w:r>
    </w:p>
    <w:p w14:paraId="3188F07D">
      <w:pPr>
        <w:spacing w:line="440" w:lineRule="exact"/>
        <w:ind w:firstLine="480" w:firstLineChars="200"/>
        <w:rPr>
          <w:rFonts w:ascii="Times New Roman" w:hAnsi="Times New Roman"/>
          <w:sz w:val="24"/>
        </w:rPr>
      </w:pPr>
      <w:r>
        <w:rPr>
          <w:rFonts w:hint="eastAsia" w:ascii="Times New Roman" w:hAnsi="Times New Roman"/>
          <w:sz w:val="24"/>
        </w:rPr>
        <w:t>（2）</w:t>
      </w:r>
      <w:r>
        <w:rPr>
          <w:rFonts w:ascii="Times New Roman" w:hAnsi="Times New Roman"/>
          <w:sz w:val="24"/>
        </w:rPr>
        <w:t>性能测试：模拟不同角色并发操作场景（如多普通用户处理工单、多管理员查询数据、超级管理员配置系统），测试系统响应效率与稳定性；</w:t>
      </w:r>
    </w:p>
    <w:p w14:paraId="27A5B9B6">
      <w:pPr>
        <w:spacing w:line="440" w:lineRule="exact"/>
        <w:ind w:firstLine="480" w:firstLineChars="200"/>
        <w:rPr>
          <w:rFonts w:ascii="Times New Roman" w:hAnsi="Times New Roman"/>
          <w:sz w:val="24"/>
        </w:rPr>
      </w:pPr>
      <w:r>
        <w:rPr>
          <w:rFonts w:hint="eastAsia" w:ascii="Times New Roman" w:hAnsi="Times New Roman"/>
          <w:sz w:val="24"/>
        </w:rPr>
        <w:t>（3）</w:t>
      </w:r>
      <w:r>
        <w:rPr>
          <w:rFonts w:ascii="Times New Roman" w:hAnsi="Times New Roman"/>
          <w:sz w:val="24"/>
        </w:rPr>
        <w:t>安全性测试：重点验证角色权限隔离性，测试越权访问、权限篡改、数据泄露等风险点；</w:t>
      </w:r>
    </w:p>
    <w:p w14:paraId="16D5DD4B">
      <w:pPr>
        <w:spacing w:line="440" w:lineRule="exact"/>
        <w:ind w:firstLine="480" w:firstLineChars="200"/>
        <w:rPr>
          <w:rFonts w:ascii="Times New Roman" w:hAnsi="Times New Roman"/>
          <w:sz w:val="24"/>
        </w:rPr>
      </w:pPr>
      <w:r>
        <w:rPr>
          <w:rFonts w:hint="eastAsia" w:ascii="Times New Roman" w:hAnsi="Times New Roman"/>
          <w:sz w:val="24"/>
        </w:rPr>
        <w:t>（4）</w:t>
      </w:r>
      <w:r>
        <w:rPr>
          <w:rFonts w:ascii="Times New Roman" w:hAnsi="Times New Roman"/>
          <w:sz w:val="24"/>
        </w:rPr>
        <w:t>易用性测试：邀请对应角色的潜在用户（超级管理员/企业负责人、管理员/店长、普通用户/技师）完成核心操作，评估操作流程适配性。</w:t>
      </w:r>
    </w:p>
    <w:p w14:paraId="46E4187D">
      <w:pPr>
        <w:widowControl/>
        <w:spacing w:line="440" w:lineRule="exact"/>
        <w:ind w:firstLine="480" w:firstLineChars="200"/>
        <w:jc w:val="left"/>
        <w:rPr>
          <w:rFonts w:hint="eastAsia" w:ascii="Calibri" w:hAnsi="Calibri" w:eastAsia="宋体" w:cs="Times New Roman"/>
          <w:sz w:val="24"/>
        </w:rPr>
      </w:pPr>
      <w:bookmarkStart w:id="184" w:name="heading_3"/>
      <w:bookmarkStart w:id="185" w:name="_Toc12499"/>
      <w:r>
        <w:rPr>
          <w:rFonts w:hint="eastAsia" w:ascii="Calibri" w:hAnsi="Calibri" w:eastAsia="宋体" w:cs="Times New Roman"/>
          <w:sz w:val="24"/>
        </w:rPr>
        <w:t>5.2 角色维度功能测试</w:t>
      </w:r>
      <w:bookmarkEnd w:id="184"/>
      <w:bookmarkEnd w:id="185"/>
    </w:p>
    <w:p w14:paraId="0E6DADC9">
      <w:pPr>
        <w:widowControl/>
        <w:spacing w:line="440" w:lineRule="exact"/>
        <w:ind w:firstLine="480" w:firstLineChars="200"/>
        <w:jc w:val="left"/>
      </w:pPr>
      <w:bookmarkStart w:id="186" w:name="heading_4"/>
      <w:r>
        <w:rPr>
          <w:rFonts w:hint="eastAsia" w:ascii="Calibri" w:hAnsi="Calibri" w:eastAsia="宋体" w:cs="Times New Roman"/>
          <w:sz w:val="24"/>
        </w:rPr>
        <w:t>5.2.1 角色权限边界定义</w:t>
      </w:r>
      <w:bookmarkEnd w:id="186"/>
    </w:p>
    <w:p w14:paraId="15677609">
      <w:pPr>
        <w:pStyle w:val="13"/>
      </w:pPr>
      <w:r>
        <w:t>表5</w:t>
      </w:r>
      <w:r>
        <w:rPr>
          <w:rFonts w:hint="eastAsia"/>
        </w:rPr>
        <w:t>-</w:t>
      </w:r>
      <w:r>
        <w:t xml:space="preserve"> </w:t>
      </w:r>
      <w:r>
        <w:fldChar w:fldCharType="begin"/>
      </w:r>
      <w:r>
        <w:instrText xml:space="preserve"> SEQ 表5. \* ARABIC </w:instrText>
      </w:r>
      <w:r>
        <w:fldChar w:fldCharType="separate"/>
      </w:r>
      <w:r>
        <w:t>2</w:t>
      </w:r>
      <w:r>
        <w:fldChar w:fldCharType="end"/>
      </w:r>
      <w:r>
        <w:t>角色权限边界定义</w:t>
      </w:r>
    </w:p>
    <w:tbl>
      <w:tblPr>
        <w:tblStyle w:val="35"/>
        <w:tblW w:w="0" w:type="auto"/>
        <w:tblInd w:w="0" w:type="dxa"/>
        <w:tblLayout w:type="autofit"/>
        <w:tblCellMar>
          <w:top w:w="0" w:type="dxa"/>
          <w:left w:w="10" w:type="dxa"/>
          <w:bottom w:w="0" w:type="dxa"/>
          <w:right w:w="10" w:type="dxa"/>
        </w:tblCellMar>
      </w:tblPr>
      <w:tblGrid>
        <w:gridCol w:w="1598"/>
        <w:gridCol w:w="3568"/>
        <w:gridCol w:w="3380"/>
      </w:tblGrid>
      <w:tr w14:paraId="688568D6">
        <w:tblPrEx>
          <w:tblCellMar>
            <w:top w:w="0" w:type="dxa"/>
            <w:left w:w="10" w:type="dxa"/>
            <w:bottom w:w="0" w:type="dxa"/>
            <w:right w:w="10" w:type="dxa"/>
          </w:tblCellMar>
        </w:tblPrEx>
        <w:tc>
          <w:tcPr>
            <w:tcW w:w="1598"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69BEAD16">
            <w:pPr>
              <w:pStyle w:val="132"/>
              <w:rPr>
                <w:rFonts w:ascii="Times New Roman" w:hAnsi="Times New Roman" w:cs="Times New Roman"/>
                <w:b/>
                <w:bCs/>
                <w:color w:val="000000"/>
                <w:sz w:val="21"/>
                <w:szCs w:val="21"/>
              </w:rPr>
            </w:pPr>
            <w:r>
              <w:rPr>
                <w:rFonts w:ascii="Times New Roman" w:hAnsi="Times New Roman" w:cs="Times New Roman"/>
                <w:b/>
                <w:bCs/>
                <w:color w:val="000000"/>
                <w:sz w:val="21"/>
                <w:szCs w:val="21"/>
              </w:rPr>
              <w:t>角色类型</w:t>
            </w:r>
          </w:p>
        </w:tc>
        <w:tc>
          <w:tcPr>
            <w:tcW w:w="3568"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65D33CAB">
            <w:pPr>
              <w:pStyle w:val="132"/>
              <w:rPr>
                <w:rFonts w:ascii="Times New Roman" w:hAnsi="Times New Roman" w:cs="Times New Roman"/>
                <w:b/>
                <w:bCs/>
                <w:color w:val="000000"/>
                <w:sz w:val="21"/>
                <w:szCs w:val="21"/>
              </w:rPr>
            </w:pPr>
            <w:r>
              <w:rPr>
                <w:rFonts w:ascii="Times New Roman" w:hAnsi="Times New Roman" w:cs="Times New Roman"/>
                <w:b/>
                <w:bCs/>
                <w:color w:val="000000"/>
                <w:sz w:val="21"/>
                <w:szCs w:val="21"/>
              </w:rPr>
              <w:t>核心权限范围</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4E67798B">
            <w:pPr>
              <w:pStyle w:val="132"/>
              <w:rPr>
                <w:rFonts w:ascii="Times New Roman" w:hAnsi="Times New Roman" w:cs="Times New Roman"/>
                <w:b/>
                <w:bCs/>
                <w:color w:val="000000"/>
                <w:sz w:val="21"/>
                <w:szCs w:val="21"/>
              </w:rPr>
            </w:pPr>
            <w:r>
              <w:rPr>
                <w:rFonts w:ascii="Times New Roman" w:hAnsi="Times New Roman" w:cs="Times New Roman"/>
                <w:b/>
                <w:bCs/>
                <w:color w:val="000000"/>
                <w:sz w:val="21"/>
                <w:szCs w:val="21"/>
              </w:rPr>
              <w:t>禁止操作范围</w:t>
            </w:r>
          </w:p>
        </w:tc>
      </w:tr>
      <w:tr w14:paraId="493A148B">
        <w:tblPrEx>
          <w:tblCellMar>
            <w:top w:w="0" w:type="dxa"/>
            <w:left w:w="10" w:type="dxa"/>
            <w:bottom w:w="0" w:type="dxa"/>
            <w:right w:w="10" w:type="dxa"/>
          </w:tblCellMar>
        </w:tblPrEx>
        <w:tc>
          <w:tcPr>
            <w:tcW w:w="1598" w:type="dxa"/>
            <w:tcBorders>
              <w:top w:val="single" w:color="000000" w:sz="4" w:space="0"/>
              <w:left w:val="nil"/>
              <w:bottom w:val="nil"/>
              <w:right w:val="nil"/>
            </w:tcBorders>
            <w:shd w:val="clear" w:color="auto" w:fill="FFFFFF"/>
            <w:tcMar>
              <w:top w:w="60" w:type="dxa"/>
              <w:left w:w="120" w:type="dxa"/>
              <w:bottom w:w="30" w:type="dxa"/>
              <w:right w:w="120" w:type="dxa"/>
            </w:tcMar>
          </w:tcPr>
          <w:p w14:paraId="27E808BE">
            <w:pPr>
              <w:pStyle w:val="132"/>
              <w:rPr>
                <w:rFonts w:ascii="Times New Roman" w:hAnsi="Times New Roman" w:cs="Times New Roman"/>
                <w:color w:val="000000"/>
                <w:sz w:val="21"/>
                <w:szCs w:val="21"/>
              </w:rPr>
            </w:pPr>
            <w:r>
              <w:rPr>
                <w:rFonts w:ascii="Times New Roman" w:hAnsi="Times New Roman" w:cs="Times New Roman"/>
                <w:color w:val="000000"/>
                <w:sz w:val="21"/>
                <w:szCs w:val="21"/>
              </w:rPr>
              <w:t>超级管理员</w:t>
            </w:r>
          </w:p>
        </w:tc>
        <w:tc>
          <w:tcPr>
            <w:tcW w:w="3568" w:type="dxa"/>
            <w:tcBorders>
              <w:top w:val="single" w:color="000000" w:sz="4" w:space="0"/>
              <w:left w:val="nil"/>
              <w:bottom w:val="nil"/>
              <w:right w:val="nil"/>
            </w:tcBorders>
            <w:shd w:val="clear" w:color="auto" w:fill="FFFFFF"/>
            <w:tcMar>
              <w:top w:w="60" w:type="dxa"/>
              <w:left w:w="120" w:type="dxa"/>
              <w:bottom w:w="30" w:type="dxa"/>
              <w:right w:w="120" w:type="dxa"/>
            </w:tcMar>
          </w:tcPr>
          <w:p w14:paraId="7E651DF9">
            <w:pPr>
              <w:pStyle w:val="132"/>
              <w:rPr>
                <w:rFonts w:ascii="Times New Roman" w:hAnsi="Times New Roman" w:cs="Times New Roman"/>
                <w:color w:val="000000"/>
                <w:sz w:val="21"/>
                <w:szCs w:val="21"/>
              </w:rPr>
            </w:pPr>
            <w:r>
              <w:rPr>
                <w:rFonts w:ascii="Times New Roman" w:hAnsi="Times New Roman" w:cs="Times New Roman"/>
                <w:color w:val="000000"/>
                <w:sz w:val="21"/>
                <w:szCs w:val="21"/>
              </w:rPr>
              <w:t>系统全功能权限，含角色/用户管理、权限配置、系统参数设置、操作日志查看、全业务模块管理</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075D2E7E">
            <w:pPr>
              <w:pStyle w:val="132"/>
              <w:rPr>
                <w:rFonts w:ascii="Times New Roman" w:hAnsi="Times New Roman" w:cs="Times New Roman"/>
                <w:color w:val="000000"/>
                <w:sz w:val="21"/>
                <w:szCs w:val="21"/>
              </w:rPr>
            </w:pPr>
            <w:r>
              <w:rPr>
                <w:rFonts w:ascii="Times New Roman" w:hAnsi="Times New Roman" w:cs="Times New Roman"/>
                <w:color w:val="000000"/>
                <w:sz w:val="21"/>
                <w:szCs w:val="21"/>
              </w:rPr>
              <w:t>无（系统最高权限）</w:t>
            </w:r>
          </w:p>
        </w:tc>
      </w:tr>
      <w:tr w14:paraId="633A9FA6">
        <w:tblPrEx>
          <w:tblCellMar>
            <w:top w:w="0" w:type="dxa"/>
            <w:left w:w="10" w:type="dxa"/>
            <w:bottom w:w="0" w:type="dxa"/>
            <w:right w:w="10" w:type="dxa"/>
          </w:tblCellMar>
        </w:tblPrEx>
        <w:tc>
          <w:tcPr>
            <w:tcW w:w="1598" w:type="dxa"/>
            <w:tcBorders>
              <w:top w:val="nil"/>
              <w:left w:val="nil"/>
              <w:bottom w:val="nil"/>
              <w:right w:val="nil"/>
            </w:tcBorders>
            <w:shd w:val="clear" w:color="auto" w:fill="FFFFFF"/>
            <w:tcMar>
              <w:top w:w="60" w:type="dxa"/>
              <w:left w:w="120" w:type="dxa"/>
              <w:bottom w:w="30" w:type="dxa"/>
              <w:right w:w="120" w:type="dxa"/>
            </w:tcMar>
          </w:tcPr>
          <w:p w14:paraId="2F86FB65">
            <w:pPr>
              <w:pStyle w:val="132"/>
              <w:rPr>
                <w:rFonts w:ascii="Times New Roman" w:hAnsi="Times New Roman" w:cs="Times New Roman"/>
                <w:color w:val="000000"/>
                <w:sz w:val="21"/>
                <w:szCs w:val="21"/>
              </w:rPr>
            </w:pPr>
            <w:r>
              <w:rPr>
                <w:rFonts w:ascii="Times New Roman" w:hAnsi="Times New Roman" w:cs="Times New Roman"/>
                <w:color w:val="000000"/>
                <w:sz w:val="21"/>
                <w:szCs w:val="21"/>
              </w:rPr>
              <w:t>管理员</w:t>
            </w:r>
          </w:p>
        </w:tc>
        <w:tc>
          <w:tcPr>
            <w:tcW w:w="3568" w:type="dxa"/>
            <w:tcBorders>
              <w:top w:val="nil"/>
              <w:left w:val="nil"/>
              <w:bottom w:val="nil"/>
              <w:right w:val="nil"/>
            </w:tcBorders>
            <w:shd w:val="clear" w:color="auto" w:fill="FFFFFF"/>
            <w:tcMar>
              <w:top w:w="60" w:type="dxa"/>
              <w:left w:w="120" w:type="dxa"/>
              <w:bottom w:w="30" w:type="dxa"/>
              <w:right w:w="120" w:type="dxa"/>
            </w:tcMar>
          </w:tcPr>
          <w:p w14:paraId="09539BBA">
            <w:pPr>
              <w:pStyle w:val="132"/>
              <w:rPr>
                <w:rFonts w:ascii="Times New Roman" w:hAnsi="Times New Roman" w:cs="Times New Roman"/>
                <w:color w:val="000000"/>
                <w:sz w:val="21"/>
                <w:szCs w:val="21"/>
              </w:rPr>
            </w:pPr>
            <w:r>
              <w:rPr>
                <w:rFonts w:ascii="Times New Roman" w:hAnsi="Times New Roman" w:cs="Times New Roman"/>
                <w:color w:val="000000"/>
                <w:sz w:val="21"/>
                <w:szCs w:val="21"/>
              </w:rPr>
              <w:t>客户/预约/工单/库存/数据分析模块的全操作权限，无系统配置、角色管理权限</w:t>
            </w:r>
          </w:p>
        </w:tc>
        <w:tc>
          <w:tcPr>
            <w:tcW w:w="0" w:type="auto"/>
            <w:tcBorders>
              <w:top w:val="nil"/>
              <w:left w:val="nil"/>
              <w:bottom w:val="nil"/>
              <w:right w:val="nil"/>
            </w:tcBorders>
            <w:shd w:val="clear" w:color="auto" w:fill="FFFFFF"/>
            <w:tcMar>
              <w:top w:w="60" w:type="dxa"/>
              <w:left w:w="120" w:type="dxa"/>
              <w:bottom w:w="30" w:type="dxa"/>
              <w:right w:w="120" w:type="dxa"/>
            </w:tcMar>
          </w:tcPr>
          <w:p w14:paraId="7EE79EF6">
            <w:pPr>
              <w:pStyle w:val="132"/>
              <w:rPr>
                <w:rFonts w:ascii="Times New Roman" w:hAnsi="Times New Roman" w:cs="Times New Roman"/>
                <w:color w:val="000000"/>
                <w:sz w:val="21"/>
                <w:szCs w:val="21"/>
              </w:rPr>
            </w:pPr>
            <w:r>
              <w:rPr>
                <w:rFonts w:ascii="Times New Roman" w:hAnsi="Times New Roman" w:cs="Times New Roman"/>
                <w:color w:val="000000"/>
                <w:sz w:val="21"/>
                <w:szCs w:val="21"/>
              </w:rPr>
              <w:t>角色创建/修改、系统参数配置、操作日志删除、超级管理员专属功能入口访问</w:t>
            </w:r>
          </w:p>
        </w:tc>
      </w:tr>
      <w:tr w14:paraId="53AA2E71">
        <w:tblPrEx>
          <w:tblCellMar>
            <w:top w:w="0" w:type="dxa"/>
            <w:left w:w="10" w:type="dxa"/>
            <w:bottom w:w="0" w:type="dxa"/>
            <w:right w:w="10" w:type="dxa"/>
          </w:tblCellMar>
        </w:tblPrEx>
        <w:tc>
          <w:tcPr>
            <w:tcW w:w="1598" w:type="dxa"/>
            <w:tcBorders>
              <w:top w:val="nil"/>
              <w:left w:val="nil"/>
              <w:bottom w:val="single" w:color="000000" w:sz="12" w:space="0"/>
              <w:right w:val="nil"/>
            </w:tcBorders>
            <w:shd w:val="clear" w:color="auto" w:fill="FFFFFF"/>
            <w:tcMar>
              <w:top w:w="60" w:type="dxa"/>
              <w:left w:w="120" w:type="dxa"/>
              <w:bottom w:w="30" w:type="dxa"/>
              <w:right w:w="120" w:type="dxa"/>
            </w:tcMar>
          </w:tcPr>
          <w:p w14:paraId="2180C4BB">
            <w:pPr>
              <w:pStyle w:val="132"/>
              <w:rPr>
                <w:rFonts w:ascii="Times New Roman" w:hAnsi="Times New Roman" w:cs="Times New Roman"/>
                <w:color w:val="000000"/>
                <w:sz w:val="21"/>
                <w:szCs w:val="21"/>
              </w:rPr>
            </w:pPr>
            <w:r>
              <w:rPr>
                <w:rFonts w:ascii="Times New Roman" w:hAnsi="Times New Roman" w:cs="Times New Roman"/>
                <w:color w:val="000000"/>
                <w:sz w:val="21"/>
                <w:szCs w:val="21"/>
              </w:rPr>
              <w:t>普通用户</w:t>
            </w:r>
          </w:p>
        </w:tc>
        <w:tc>
          <w:tcPr>
            <w:tcW w:w="3568" w:type="dxa"/>
            <w:tcBorders>
              <w:top w:val="nil"/>
              <w:left w:val="nil"/>
              <w:bottom w:val="single" w:color="000000" w:sz="12" w:space="0"/>
              <w:right w:val="nil"/>
            </w:tcBorders>
            <w:shd w:val="clear" w:color="auto" w:fill="FFFFFF"/>
            <w:tcMar>
              <w:top w:w="60" w:type="dxa"/>
              <w:left w:w="120" w:type="dxa"/>
              <w:bottom w:w="30" w:type="dxa"/>
              <w:right w:w="120" w:type="dxa"/>
            </w:tcMar>
          </w:tcPr>
          <w:p w14:paraId="543E0E75">
            <w:pPr>
              <w:pStyle w:val="132"/>
              <w:rPr>
                <w:rFonts w:ascii="Times New Roman" w:hAnsi="Times New Roman" w:cs="Times New Roman"/>
                <w:color w:val="000000"/>
                <w:sz w:val="21"/>
                <w:szCs w:val="21"/>
              </w:rPr>
            </w:pPr>
            <w:r>
              <w:rPr>
                <w:rFonts w:ascii="Times New Roman" w:hAnsi="Times New Roman" w:cs="Times New Roman"/>
                <w:color w:val="000000"/>
                <w:sz w:val="21"/>
                <w:szCs w:val="21"/>
              </w:rPr>
              <w:t>个人工单处理、预约查看、基础数据录入（如维修记录）、权限内数据查询</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24798A77">
            <w:pPr>
              <w:pStyle w:val="132"/>
              <w:rPr>
                <w:rFonts w:ascii="Times New Roman" w:hAnsi="Times New Roman" w:cs="Times New Roman"/>
                <w:color w:val="000000"/>
                <w:sz w:val="21"/>
                <w:szCs w:val="21"/>
              </w:rPr>
            </w:pPr>
            <w:r>
              <w:rPr>
                <w:rFonts w:ascii="Times New Roman" w:hAnsi="Times New Roman" w:cs="Times New Roman"/>
                <w:color w:val="000000"/>
                <w:sz w:val="21"/>
                <w:szCs w:val="21"/>
              </w:rPr>
              <w:t>角色/权限管理、系统参数修改、其他用户数据删除、库存阈值配置、数据分析报表导出</w:t>
            </w:r>
          </w:p>
        </w:tc>
      </w:tr>
    </w:tbl>
    <w:p w14:paraId="64166390">
      <w:pPr>
        <w:widowControl/>
        <w:spacing w:line="440" w:lineRule="exact"/>
        <w:ind w:firstLine="480" w:firstLineChars="200"/>
        <w:jc w:val="left"/>
        <w:rPr>
          <w:rFonts w:ascii="Calibri" w:hAnsi="Calibri" w:eastAsia="宋体" w:cs="Times New Roman"/>
          <w:b w:val="0"/>
          <w:bCs w:val="0"/>
          <w:sz w:val="24"/>
          <w:szCs w:val="24"/>
        </w:rPr>
      </w:pPr>
      <w:bookmarkStart w:id="187" w:name="heading_5"/>
      <w:r>
        <w:rPr>
          <w:rFonts w:hint="eastAsia" w:ascii="Calibri" w:hAnsi="Calibri" w:eastAsia="宋体" w:cs="Times New Roman"/>
          <w:b w:val="0"/>
          <w:bCs w:val="0"/>
          <w:sz w:val="24"/>
          <w:szCs w:val="24"/>
        </w:rPr>
        <w:t>5.2.2角色用例图</w:t>
      </w:r>
    </w:p>
    <w:p w14:paraId="3F1AA186">
      <w:pPr>
        <w:spacing w:line="440" w:lineRule="exact"/>
        <w:ind w:firstLine="480" w:firstLineChars="200"/>
        <w:rPr>
          <w:rFonts w:ascii="Times New Roman" w:hAnsi="Times New Roman"/>
          <w:sz w:val="24"/>
        </w:rPr>
      </w:pPr>
      <w:r>
        <w:rPr>
          <w:rFonts w:hint="eastAsia" w:ascii="Times New Roman" w:hAnsi="Times New Roman"/>
          <w:sz w:val="24"/>
        </w:rPr>
        <w:t xml:space="preserve">超级管理员、普通管理员和客户用例图分别如图5- 2、图5- 2、图5- </w:t>
      </w:r>
      <w:r>
        <w:rPr>
          <w:rFonts w:hint="eastAsia" w:ascii="Times New Roman" w:hAnsi="Times New Roman"/>
          <w:sz w:val="24"/>
        </w:rPr>
        <w:fldChar w:fldCharType="begin"/>
      </w:r>
      <w:r>
        <w:rPr>
          <w:rFonts w:hint="eastAsia" w:ascii="Times New Roman" w:hAnsi="Times New Roman"/>
          <w:sz w:val="24"/>
        </w:rPr>
        <w:instrText xml:space="preserve"> SEQ 图5. \* ARABIC </w:instrText>
      </w:r>
      <w:r>
        <w:rPr>
          <w:rFonts w:hint="eastAsia" w:ascii="Times New Roman" w:hAnsi="Times New Roman"/>
          <w:sz w:val="24"/>
        </w:rPr>
        <w:fldChar w:fldCharType="separate"/>
      </w:r>
      <w:r>
        <w:rPr>
          <w:rFonts w:hint="eastAsia" w:ascii="Times New Roman" w:hAnsi="Times New Roman"/>
          <w:sz w:val="24"/>
        </w:rPr>
        <w:t>3</w:t>
      </w:r>
      <w:r>
        <w:rPr>
          <w:rFonts w:hint="eastAsia" w:ascii="Times New Roman" w:hAnsi="Times New Roman"/>
          <w:sz w:val="24"/>
        </w:rPr>
        <w:fldChar w:fldCharType="end"/>
      </w:r>
      <w:r>
        <w:rPr>
          <w:rFonts w:hint="eastAsia" w:ascii="Times New Roman" w:hAnsi="Times New Roman"/>
          <w:sz w:val="24"/>
        </w:rPr>
        <w:t>所示。</w:t>
      </w:r>
    </w:p>
    <w:p w14:paraId="090184F7">
      <w:pPr>
        <w:spacing w:line="440" w:lineRule="exact"/>
        <w:ind w:firstLine="480" w:firstLineChars="200"/>
        <w:rPr>
          <w:rFonts w:ascii="Times New Roman" w:hAnsi="Times New Roman"/>
          <w:sz w:val="24"/>
        </w:rPr>
      </w:pPr>
    </w:p>
    <w:p w14:paraId="59E81889"/>
    <w:tbl>
      <w:tblPr>
        <w:tblStyle w:val="35"/>
        <w:tblW w:w="0" w:type="auto"/>
        <w:tblInd w:w="0" w:type="dxa"/>
        <w:tblLayout w:type="autofit"/>
        <w:tblCellMar>
          <w:top w:w="0" w:type="dxa"/>
          <w:left w:w="108" w:type="dxa"/>
          <w:bottom w:w="0" w:type="dxa"/>
          <w:right w:w="108" w:type="dxa"/>
        </w:tblCellMar>
      </w:tblPr>
      <w:tblGrid>
        <w:gridCol w:w="8522"/>
      </w:tblGrid>
      <w:tr w14:paraId="01FE63A1">
        <w:tblPrEx>
          <w:tblCellMar>
            <w:top w:w="0" w:type="dxa"/>
            <w:left w:w="108" w:type="dxa"/>
            <w:bottom w:w="0" w:type="dxa"/>
            <w:right w:w="108" w:type="dxa"/>
          </w:tblCellMar>
        </w:tblPrEx>
        <w:tc>
          <w:tcPr>
            <w:tcW w:w="8522" w:type="dxa"/>
          </w:tcPr>
          <w:p w14:paraId="49058E07">
            <w:pPr>
              <w:ind w:firstLine="480"/>
              <w:rPr>
                <w:rFonts w:ascii="Times New Roman" w:hAnsi="Times New Roman"/>
              </w:rPr>
            </w:pPr>
            <w:r>
              <w:rPr>
                <w:rFonts w:ascii="Times New Roman" w:hAnsi="Times New Roman"/>
              </w:rPr>
              <w:drawing>
                <wp:anchor distT="0" distB="0" distL="114300" distR="114300" simplePos="0" relativeHeight="251670528" behindDoc="0" locked="0" layoutInCell="1" allowOverlap="1">
                  <wp:simplePos x="0" y="0"/>
                  <wp:positionH relativeFrom="column">
                    <wp:posOffset>39370</wp:posOffset>
                  </wp:positionH>
                  <wp:positionV relativeFrom="paragraph">
                    <wp:posOffset>214630</wp:posOffset>
                  </wp:positionV>
                  <wp:extent cx="5273675" cy="7486015"/>
                  <wp:effectExtent l="0" t="0" r="14605" b="12065"/>
                  <wp:wrapSquare wrapText="bothSides"/>
                  <wp:docPr id="78" name="图片 78" descr="a009967378dec9351b5ddf4b8c8db9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a009967378dec9351b5ddf4b8c8db94e"/>
                          <pic:cNvPicPr>
                            <a:picLocks noChangeAspect="1"/>
                          </pic:cNvPicPr>
                        </pic:nvPicPr>
                        <pic:blipFill>
                          <a:blip r:embed="rId138"/>
                          <a:stretch>
                            <a:fillRect/>
                          </a:stretch>
                        </pic:blipFill>
                        <pic:spPr>
                          <a:xfrm>
                            <a:off x="0" y="0"/>
                            <a:ext cx="5273675" cy="7486015"/>
                          </a:xfrm>
                          <a:prstGeom prst="rect">
                            <a:avLst/>
                          </a:prstGeom>
                        </pic:spPr>
                      </pic:pic>
                    </a:graphicData>
                  </a:graphic>
                </wp:anchor>
              </w:drawing>
            </w:r>
          </w:p>
        </w:tc>
      </w:tr>
      <w:tr w14:paraId="42B3C775">
        <w:tblPrEx>
          <w:tblCellMar>
            <w:top w:w="0" w:type="dxa"/>
            <w:left w:w="108" w:type="dxa"/>
            <w:bottom w:w="0" w:type="dxa"/>
            <w:right w:w="108" w:type="dxa"/>
          </w:tblCellMar>
        </w:tblPrEx>
        <w:tc>
          <w:tcPr>
            <w:tcW w:w="8522" w:type="dxa"/>
          </w:tcPr>
          <w:p w14:paraId="7941C641">
            <w:pPr>
              <w:pStyle w:val="13"/>
              <w:rPr>
                <w:rFonts w:ascii="Times New Roman" w:hAnsi="Times New Roman"/>
              </w:rPr>
            </w:pPr>
            <w:r>
              <w:t>图5</w:t>
            </w:r>
            <w:r>
              <w:rPr>
                <w:rFonts w:hint="eastAsia"/>
              </w:rPr>
              <w:t>-</w:t>
            </w:r>
            <w:r>
              <w:t xml:space="preserve"> </w:t>
            </w:r>
            <w:r>
              <w:fldChar w:fldCharType="begin"/>
            </w:r>
            <w:r>
              <w:instrText xml:space="preserve"> SEQ 图5. \* ARABIC </w:instrText>
            </w:r>
            <w:r>
              <w:fldChar w:fldCharType="separate"/>
            </w:r>
            <w:r>
              <w:t>1</w:t>
            </w:r>
            <w:r>
              <w:fldChar w:fldCharType="end"/>
            </w:r>
            <w:r>
              <w:t>超级管理员用例图</w:t>
            </w:r>
          </w:p>
        </w:tc>
      </w:tr>
      <w:tr w14:paraId="7AC9BCC3">
        <w:tblPrEx>
          <w:tblCellMar>
            <w:top w:w="0" w:type="dxa"/>
            <w:left w:w="108" w:type="dxa"/>
            <w:bottom w:w="0" w:type="dxa"/>
            <w:right w:w="108" w:type="dxa"/>
          </w:tblCellMar>
        </w:tblPrEx>
        <w:tc>
          <w:tcPr>
            <w:tcW w:w="8522" w:type="dxa"/>
          </w:tcPr>
          <w:p w14:paraId="7F38A394">
            <w:pPr>
              <w:ind w:firstLine="480"/>
              <w:rPr>
                <w:rFonts w:ascii="Times New Roman" w:hAnsi="Times New Roman"/>
              </w:rPr>
            </w:pPr>
            <w:r>
              <w:rPr>
                <w:rFonts w:ascii="Times New Roman" w:hAnsi="Times New Roman"/>
              </w:rPr>
              <w:drawing>
                <wp:anchor distT="0" distB="0" distL="114300" distR="114300" simplePos="0" relativeHeight="251671552" behindDoc="0" locked="0" layoutInCell="1" allowOverlap="1">
                  <wp:simplePos x="0" y="0"/>
                  <wp:positionH relativeFrom="column">
                    <wp:posOffset>944880</wp:posOffset>
                  </wp:positionH>
                  <wp:positionV relativeFrom="paragraph">
                    <wp:posOffset>-21590</wp:posOffset>
                  </wp:positionV>
                  <wp:extent cx="2985770" cy="5039995"/>
                  <wp:effectExtent l="0" t="0" r="11430" b="1905"/>
                  <wp:wrapSquare wrapText="bothSides"/>
                  <wp:docPr id="79" name="图片 79" descr="ee1d7dff841f1197e0c4f227dbb850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ee1d7dff841f1197e0c4f227dbb850c3"/>
                          <pic:cNvPicPr>
                            <a:picLocks noChangeAspect="1"/>
                          </pic:cNvPicPr>
                        </pic:nvPicPr>
                        <pic:blipFill>
                          <a:blip r:embed="rId139"/>
                          <a:stretch>
                            <a:fillRect/>
                          </a:stretch>
                        </pic:blipFill>
                        <pic:spPr>
                          <a:xfrm>
                            <a:off x="0" y="0"/>
                            <a:ext cx="2985770" cy="5039995"/>
                          </a:xfrm>
                          <a:prstGeom prst="rect">
                            <a:avLst/>
                          </a:prstGeom>
                        </pic:spPr>
                      </pic:pic>
                    </a:graphicData>
                  </a:graphic>
                </wp:anchor>
              </w:drawing>
            </w:r>
          </w:p>
          <w:p w14:paraId="72F9C454">
            <w:pPr>
              <w:pStyle w:val="13"/>
              <w:rPr>
                <w:rFonts w:ascii="Times New Roman" w:hAnsi="Times New Roman"/>
              </w:rPr>
            </w:pPr>
          </w:p>
        </w:tc>
      </w:tr>
      <w:tr w14:paraId="389ABE00">
        <w:tblPrEx>
          <w:tblCellMar>
            <w:top w:w="0" w:type="dxa"/>
            <w:left w:w="108" w:type="dxa"/>
            <w:bottom w:w="0" w:type="dxa"/>
            <w:right w:w="108" w:type="dxa"/>
          </w:tblCellMar>
        </w:tblPrEx>
        <w:tc>
          <w:tcPr>
            <w:tcW w:w="8522" w:type="dxa"/>
          </w:tcPr>
          <w:p w14:paraId="0B1E1638">
            <w:pPr>
              <w:pStyle w:val="13"/>
              <w:rPr>
                <w:rFonts w:ascii="Times New Roman" w:hAnsi="Times New Roman"/>
              </w:rPr>
            </w:pPr>
            <w:r>
              <w:t>图5</w:t>
            </w:r>
            <w:r>
              <w:rPr>
                <w:rFonts w:hint="eastAsia"/>
              </w:rPr>
              <w:t>-</w:t>
            </w:r>
            <w:r>
              <w:t xml:space="preserve"> </w:t>
            </w:r>
            <w:r>
              <w:fldChar w:fldCharType="begin"/>
            </w:r>
            <w:r>
              <w:instrText xml:space="preserve"> SEQ 图5. \* ARABIC </w:instrText>
            </w:r>
            <w:r>
              <w:fldChar w:fldCharType="separate"/>
            </w:r>
            <w:r>
              <w:t>2</w:t>
            </w:r>
            <w:r>
              <w:fldChar w:fldCharType="end"/>
            </w:r>
            <w:r>
              <w:t>普通管理员用例图</w:t>
            </w:r>
          </w:p>
        </w:tc>
      </w:tr>
      <w:tr w14:paraId="3AD5C8EE">
        <w:tblPrEx>
          <w:tblCellMar>
            <w:top w:w="0" w:type="dxa"/>
            <w:left w:w="108" w:type="dxa"/>
            <w:bottom w:w="0" w:type="dxa"/>
            <w:right w:w="108" w:type="dxa"/>
          </w:tblCellMar>
        </w:tblPrEx>
        <w:tc>
          <w:tcPr>
            <w:tcW w:w="8522" w:type="dxa"/>
          </w:tcPr>
          <w:p w14:paraId="60287FC4">
            <w:pPr>
              <w:ind w:firstLine="480"/>
              <w:rPr>
                <w:rFonts w:ascii="Times New Roman" w:hAnsi="Times New Roman"/>
              </w:rPr>
            </w:pPr>
            <w:r>
              <w:rPr>
                <w:rFonts w:ascii="Times New Roman" w:hAnsi="Times New Roman"/>
              </w:rPr>
              <w:drawing>
                <wp:anchor distT="0" distB="0" distL="114300" distR="114300" simplePos="0" relativeHeight="251672576" behindDoc="0" locked="0" layoutInCell="1" allowOverlap="1">
                  <wp:simplePos x="0" y="0"/>
                  <wp:positionH relativeFrom="column">
                    <wp:posOffset>1013460</wp:posOffset>
                  </wp:positionH>
                  <wp:positionV relativeFrom="paragraph">
                    <wp:posOffset>-6350</wp:posOffset>
                  </wp:positionV>
                  <wp:extent cx="3135630" cy="3023870"/>
                  <wp:effectExtent l="0" t="0" r="1270" b="11430"/>
                  <wp:wrapSquare wrapText="bothSides"/>
                  <wp:docPr id="80" name="图片 80" descr="2ab4f37111354aa7f90754888f35c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2ab4f37111354aa7f90754888f35c220"/>
                          <pic:cNvPicPr>
                            <a:picLocks noChangeAspect="1"/>
                          </pic:cNvPicPr>
                        </pic:nvPicPr>
                        <pic:blipFill>
                          <a:blip r:embed="rId140"/>
                          <a:stretch>
                            <a:fillRect/>
                          </a:stretch>
                        </pic:blipFill>
                        <pic:spPr>
                          <a:xfrm>
                            <a:off x="0" y="0"/>
                            <a:ext cx="3135630" cy="3023870"/>
                          </a:xfrm>
                          <a:prstGeom prst="rect">
                            <a:avLst/>
                          </a:prstGeom>
                        </pic:spPr>
                      </pic:pic>
                    </a:graphicData>
                  </a:graphic>
                </wp:anchor>
              </w:drawing>
            </w:r>
          </w:p>
          <w:p w14:paraId="575AD94B">
            <w:pPr>
              <w:pStyle w:val="13"/>
              <w:ind w:firstLine="420"/>
              <w:rPr>
                <w:rFonts w:ascii="Times New Roman" w:hAnsi="Times New Roman"/>
              </w:rPr>
            </w:pPr>
          </w:p>
        </w:tc>
      </w:tr>
      <w:tr w14:paraId="176725F6">
        <w:tblPrEx>
          <w:tblCellMar>
            <w:top w:w="0" w:type="dxa"/>
            <w:left w:w="108" w:type="dxa"/>
            <w:bottom w:w="0" w:type="dxa"/>
            <w:right w:w="108" w:type="dxa"/>
          </w:tblCellMar>
        </w:tblPrEx>
        <w:tc>
          <w:tcPr>
            <w:tcW w:w="8522" w:type="dxa"/>
          </w:tcPr>
          <w:p w14:paraId="5C2AB239">
            <w:pPr>
              <w:pStyle w:val="13"/>
              <w:rPr>
                <w:rFonts w:ascii="Times New Roman" w:hAnsi="Times New Roman"/>
              </w:rPr>
            </w:pPr>
            <w:r>
              <w:t>图5</w:t>
            </w:r>
            <w:r>
              <w:rPr>
                <w:rFonts w:hint="eastAsia"/>
              </w:rPr>
              <w:t>-</w:t>
            </w:r>
            <w:r>
              <w:t xml:space="preserve"> </w:t>
            </w:r>
            <w:r>
              <w:fldChar w:fldCharType="begin"/>
            </w:r>
            <w:r>
              <w:instrText xml:space="preserve"> SEQ 图5. \* ARABIC </w:instrText>
            </w:r>
            <w:r>
              <w:fldChar w:fldCharType="separate"/>
            </w:r>
            <w:r>
              <w:t>3</w:t>
            </w:r>
            <w:r>
              <w:fldChar w:fldCharType="end"/>
            </w:r>
            <w:r>
              <w:t>客户用例图</w:t>
            </w:r>
          </w:p>
        </w:tc>
      </w:tr>
    </w:tbl>
    <w:p w14:paraId="6E70C4D7">
      <w:pPr>
        <w:spacing w:line="440" w:lineRule="exact"/>
        <w:ind w:firstLine="480" w:firstLineChars="200"/>
        <w:rPr>
          <w:rFonts w:ascii="Calibri" w:hAnsi="Calibri" w:eastAsia="宋体" w:cs="Times New Roman"/>
          <w:b w:val="0"/>
          <w:bCs w:val="0"/>
          <w:sz w:val="24"/>
          <w:szCs w:val="24"/>
        </w:rPr>
      </w:pPr>
      <w:r>
        <w:rPr>
          <w:rFonts w:hint="eastAsia" w:ascii="Calibri" w:hAnsi="Calibri" w:eastAsia="宋体" w:cs="Times New Roman"/>
          <w:b w:val="0"/>
          <w:bCs w:val="0"/>
          <w:sz w:val="24"/>
          <w:szCs w:val="24"/>
        </w:rPr>
        <w:t>5.2.3 超级管理员功能测试</w:t>
      </w:r>
      <w:bookmarkEnd w:id="187"/>
    </w:p>
    <w:p w14:paraId="756BE41F">
      <w:pPr>
        <w:pStyle w:val="13"/>
      </w:pPr>
      <w:r>
        <w:t>表5</w:t>
      </w:r>
      <w:r>
        <w:rPr>
          <w:rFonts w:hint="eastAsia"/>
        </w:rPr>
        <w:t>-</w:t>
      </w:r>
      <w:r>
        <w:t xml:space="preserve"> </w:t>
      </w:r>
      <w:r>
        <w:fldChar w:fldCharType="begin"/>
      </w:r>
      <w:r>
        <w:instrText xml:space="preserve"> SEQ 表5. \* ARABIC </w:instrText>
      </w:r>
      <w:r>
        <w:fldChar w:fldCharType="separate"/>
      </w:r>
      <w:r>
        <w:t>3</w:t>
      </w:r>
      <w:r>
        <w:fldChar w:fldCharType="end"/>
      </w:r>
      <w:r>
        <w:t>超级管理员功能测试</w:t>
      </w:r>
    </w:p>
    <w:tbl>
      <w:tblPr>
        <w:tblStyle w:val="35"/>
        <w:tblW w:w="0" w:type="auto"/>
        <w:tblInd w:w="0" w:type="dxa"/>
        <w:tblLayout w:type="fixed"/>
        <w:tblCellMar>
          <w:top w:w="0" w:type="dxa"/>
          <w:left w:w="10" w:type="dxa"/>
          <w:bottom w:w="0" w:type="dxa"/>
          <w:right w:w="10" w:type="dxa"/>
        </w:tblCellMar>
      </w:tblPr>
      <w:tblGrid>
        <w:gridCol w:w="1630"/>
        <w:gridCol w:w="1770"/>
        <w:gridCol w:w="740"/>
        <w:gridCol w:w="1380"/>
        <w:gridCol w:w="1380"/>
        <w:gridCol w:w="1380"/>
      </w:tblGrid>
      <w:tr w14:paraId="00FD5DE0">
        <w:tblPrEx>
          <w:tblCellMar>
            <w:top w:w="0" w:type="dxa"/>
            <w:left w:w="10" w:type="dxa"/>
            <w:bottom w:w="0" w:type="dxa"/>
            <w:right w:w="10" w:type="dxa"/>
          </w:tblCellMar>
        </w:tblPrEx>
        <w:tc>
          <w:tcPr>
            <w:tcW w:w="1630"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35F9DB5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测试模块</w:t>
            </w:r>
          </w:p>
        </w:tc>
        <w:tc>
          <w:tcPr>
            <w:tcW w:w="177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3F643D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核心测试点</w:t>
            </w:r>
          </w:p>
        </w:tc>
        <w:tc>
          <w:tcPr>
            <w:tcW w:w="74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49E244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测试用例数</w:t>
            </w:r>
          </w:p>
        </w:tc>
        <w:tc>
          <w:tcPr>
            <w:tcW w:w="138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4DC3A72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通过数</w:t>
            </w:r>
          </w:p>
        </w:tc>
        <w:tc>
          <w:tcPr>
            <w:tcW w:w="138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43AC7587">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通过率</w:t>
            </w:r>
          </w:p>
        </w:tc>
        <w:tc>
          <w:tcPr>
            <w:tcW w:w="138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6D3F960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未通过问题描述</w:t>
            </w:r>
          </w:p>
        </w:tc>
      </w:tr>
      <w:tr w14:paraId="7A7D6669">
        <w:tblPrEx>
          <w:tblCellMar>
            <w:top w:w="0" w:type="dxa"/>
            <w:left w:w="10" w:type="dxa"/>
            <w:bottom w:w="0" w:type="dxa"/>
            <w:right w:w="10" w:type="dxa"/>
          </w:tblCellMar>
        </w:tblPrEx>
        <w:tc>
          <w:tcPr>
            <w:tcW w:w="1630" w:type="dxa"/>
            <w:tcBorders>
              <w:top w:val="single" w:color="000000" w:sz="4" w:space="0"/>
              <w:left w:val="nil"/>
              <w:bottom w:val="nil"/>
              <w:right w:val="nil"/>
            </w:tcBorders>
            <w:shd w:val="clear" w:color="auto" w:fill="FFFFFF"/>
            <w:tcMar>
              <w:top w:w="60" w:type="dxa"/>
              <w:left w:w="120" w:type="dxa"/>
              <w:bottom w:w="30" w:type="dxa"/>
              <w:right w:w="120" w:type="dxa"/>
            </w:tcMar>
          </w:tcPr>
          <w:p w14:paraId="5772041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角色管理</w:t>
            </w:r>
          </w:p>
        </w:tc>
        <w:tc>
          <w:tcPr>
            <w:tcW w:w="1770" w:type="dxa"/>
            <w:tcBorders>
              <w:top w:val="single" w:color="000000" w:sz="4" w:space="0"/>
              <w:left w:val="nil"/>
              <w:bottom w:val="nil"/>
              <w:right w:val="nil"/>
            </w:tcBorders>
            <w:shd w:val="clear" w:color="auto" w:fill="FFFFFF"/>
            <w:tcMar>
              <w:top w:w="60" w:type="dxa"/>
              <w:left w:w="120" w:type="dxa"/>
              <w:bottom w:w="30" w:type="dxa"/>
              <w:right w:w="120" w:type="dxa"/>
            </w:tcMar>
          </w:tcPr>
          <w:p w14:paraId="1AE8743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角色创建/修改/删除、权限分配、角色关联用户</w:t>
            </w:r>
          </w:p>
        </w:tc>
        <w:tc>
          <w:tcPr>
            <w:tcW w:w="740" w:type="dxa"/>
            <w:tcBorders>
              <w:top w:val="single" w:color="000000" w:sz="4" w:space="0"/>
              <w:left w:val="nil"/>
              <w:bottom w:val="nil"/>
              <w:right w:val="nil"/>
            </w:tcBorders>
            <w:shd w:val="clear" w:color="auto" w:fill="FFFFFF"/>
            <w:tcMar>
              <w:top w:w="60" w:type="dxa"/>
              <w:left w:w="120" w:type="dxa"/>
              <w:bottom w:w="30" w:type="dxa"/>
              <w:right w:w="120" w:type="dxa"/>
            </w:tcMar>
          </w:tcPr>
          <w:p w14:paraId="4FD0238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12</w:t>
            </w:r>
          </w:p>
        </w:tc>
        <w:tc>
          <w:tcPr>
            <w:tcW w:w="1380" w:type="dxa"/>
            <w:tcBorders>
              <w:top w:val="single" w:color="000000" w:sz="4" w:space="0"/>
              <w:left w:val="nil"/>
              <w:bottom w:val="nil"/>
              <w:right w:val="nil"/>
            </w:tcBorders>
            <w:shd w:val="clear" w:color="auto" w:fill="FFFFFF"/>
            <w:tcMar>
              <w:top w:w="60" w:type="dxa"/>
              <w:left w:w="120" w:type="dxa"/>
              <w:bottom w:w="30" w:type="dxa"/>
              <w:right w:w="120" w:type="dxa"/>
            </w:tcMar>
          </w:tcPr>
          <w:p w14:paraId="47FFFF9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12</w:t>
            </w:r>
          </w:p>
        </w:tc>
        <w:tc>
          <w:tcPr>
            <w:tcW w:w="1380" w:type="dxa"/>
            <w:tcBorders>
              <w:top w:val="single" w:color="000000" w:sz="4" w:space="0"/>
              <w:left w:val="nil"/>
              <w:bottom w:val="nil"/>
              <w:right w:val="nil"/>
            </w:tcBorders>
            <w:shd w:val="clear" w:color="auto" w:fill="FFFFFF"/>
            <w:tcMar>
              <w:top w:w="60" w:type="dxa"/>
              <w:left w:w="120" w:type="dxa"/>
              <w:bottom w:w="30" w:type="dxa"/>
              <w:right w:w="120" w:type="dxa"/>
            </w:tcMar>
          </w:tcPr>
          <w:p w14:paraId="71BB4BC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1380" w:type="dxa"/>
            <w:tcBorders>
              <w:top w:val="single" w:color="000000" w:sz="4" w:space="0"/>
              <w:left w:val="nil"/>
              <w:bottom w:val="nil"/>
              <w:right w:val="nil"/>
            </w:tcBorders>
            <w:shd w:val="clear" w:color="auto" w:fill="FFFFFF"/>
            <w:tcMar>
              <w:top w:w="60" w:type="dxa"/>
              <w:left w:w="120" w:type="dxa"/>
              <w:bottom w:w="30" w:type="dxa"/>
              <w:right w:w="120" w:type="dxa"/>
            </w:tcMar>
          </w:tcPr>
          <w:p w14:paraId="49E3D61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7136D9F6">
        <w:tblPrEx>
          <w:tblCellMar>
            <w:top w:w="0" w:type="dxa"/>
            <w:left w:w="10" w:type="dxa"/>
            <w:bottom w:w="0" w:type="dxa"/>
            <w:right w:w="10" w:type="dxa"/>
          </w:tblCellMar>
        </w:tblPrEx>
        <w:tc>
          <w:tcPr>
            <w:tcW w:w="1630" w:type="dxa"/>
            <w:tcBorders>
              <w:top w:val="nil"/>
              <w:left w:val="nil"/>
              <w:bottom w:val="nil"/>
              <w:right w:val="nil"/>
            </w:tcBorders>
            <w:shd w:val="clear" w:color="auto" w:fill="FFFFFF"/>
            <w:tcMar>
              <w:top w:w="60" w:type="dxa"/>
              <w:left w:w="120" w:type="dxa"/>
              <w:bottom w:w="30" w:type="dxa"/>
              <w:right w:w="120" w:type="dxa"/>
            </w:tcMar>
          </w:tcPr>
          <w:p w14:paraId="3218F2E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用户管理</w:t>
            </w:r>
          </w:p>
        </w:tc>
        <w:tc>
          <w:tcPr>
            <w:tcW w:w="1770" w:type="dxa"/>
            <w:tcBorders>
              <w:top w:val="nil"/>
              <w:left w:val="nil"/>
              <w:bottom w:val="nil"/>
              <w:right w:val="nil"/>
            </w:tcBorders>
            <w:shd w:val="clear" w:color="auto" w:fill="FFFFFF"/>
            <w:tcMar>
              <w:top w:w="60" w:type="dxa"/>
              <w:left w:w="120" w:type="dxa"/>
              <w:bottom w:w="30" w:type="dxa"/>
              <w:right w:w="120" w:type="dxa"/>
            </w:tcMar>
          </w:tcPr>
          <w:p w14:paraId="1EFC29F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用户创建/禁用、密码重置、角色绑定、信息批量导入导出</w:t>
            </w:r>
          </w:p>
        </w:tc>
        <w:tc>
          <w:tcPr>
            <w:tcW w:w="740" w:type="dxa"/>
            <w:tcBorders>
              <w:top w:val="nil"/>
              <w:left w:val="nil"/>
              <w:bottom w:val="nil"/>
              <w:right w:val="nil"/>
            </w:tcBorders>
            <w:shd w:val="clear" w:color="auto" w:fill="FFFFFF"/>
            <w:tcMar>
              <w:top w:w="60" w:type="dxa"/>
              <w:left w:w="120" w:type="dxa"/>
              <w:bottom w:w="30" w:type="dxa"/>
              <w:right w:w="120" w:type="dxa"/>
            </w:tcMar>
          </w:tcPr>
          <w:p w14:paraId="7017D49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w:t>
            </w:r>
          </w:p>
        </w:tc>
        <w:tc>
          <w:tcPr>
            <w:tcW w:w="1380" w:type="dxa"/>
            <w:tcBorders>
              <w:top w:val="nil"/>
              <w:left w:val="nil"/>
              <w:bottom w:val="nil"/>
              <w:right w:val="nil"/>
            </w:tcBorders>
            <w:shd w:val="clear" w:color="auto" w:fill="FFFFFF"/>
            <w:tcMar>
              <w:top w:w="60" w:type="dxa"/>
              <w:left w:w="120" w:type="dxa"/>
              <w:bottom w:w="30" w:type="dxa"/>
              <w:right w:w="120" w:type="dxa"/>
            </w:tcMar>
          </w:tcPr>
          <w:p w14:paraId="1F4A52B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w:t>
            </w:r>
          </w:p>
        </w:tc>
        <w:tc>
          <w:tcPr>
            <w:tcW w:w="1380" w:type="dxa"/>
            <w:tcBorders>
              <w:top w:val="nil"/>
              <w:left w:val="nil"/>
              <w:bottom w:val="nil"/>
              <w:right w:val="nil"/>
            </w:tcBorders>
            <w:shd w:val="clear" w:color="auto" w:fill="FFFFFF"/>
            <w:tcMar>
              <w:top w:w="60" w:type="dxa"/>
              <w:left w:w="120" w:type="dxa"/>
              <w:bottom w:w="30" w:type="dxa"/>
              <w:right w:w="120" w:type="dxa"/>
            </w:tcMar>
          </w:tcPr>
          <w:p w14:paraId="4900415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90%</w:t>
            </w:r>
          </w:p>
        </w:tc>
        <w:tc>
          <w:tcPr>
            <w:tcW w:w="1380" w:type="dxa"/>
            <w:tcBorders>
              <w:top w:val="nil"/>
              <w:left w:val="nil"/>
              <w:bottom w:val="nil"/>
              <w:right w:val="nil"/>
            </w:tcBorders>
            <w:shd w:val="clear" w:color="auto" w:fill="FFFFFF"/>
            <w:tcMar>
              <w:top w:w="60" w:type="dxa"/>
              <w:left w:w="120" w:type="dxa"/>
              <w:bottom w:w="30" w:type="dxa"/>
              <w:right w:w="120" w:type="dxa"/>
            </w:tcMar>
          </w:tcPr>
          <w:p w14:paraId="517B51E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批量禁用用户时，未对“超级管理员账号”做保护，可误禁用</w:t>
            </w:r>
          </w:p>
        </w:tc>
      </w:tr>
      <w:tr w14:paraId="21C5902D">
        <w:tblPrEx>
          <w:tblCellMar>
            <w:top w:w="0" w:type="dxa"/>
            <w:left w:w="10" w:type="dxa"/>
            <w:bottom w:w="0" w:type="dxa"/>
            <w:right w:w="10" w:type="dxa"/>
          </w:tblCellMar>
        </w:tblPrEx>
        <w:tc>
          <w:tcPr>
            <w:tcW w:w="1630" w:type="dxa"/>
            <w:tcBorders>
              <w:top w:val="nil"/>
              <w:left w:val="nil"/>
              <w:bottom w:val="nil"/>
              <w:right w:val="nil"/>
            </w:tcBorders>
            <w:shd w:val="clear" w:color="auto" w:fill="FFFFFF"/>
            <w:tcMar>
              <w:top w:w="60" w:type="dxa"/>
              <w:left w:w="120" w:type="dxa"/>
              <w:bottom w:w="30" w:type="dxa"/>
              <w:right w:w="120" w:type="dxa"/>
            </w:tcMar>
          </w:tcPr>
          <w:p w14:paraId="36EBCD6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系统参数配置</w:t>
            </w:r>
          </w:p>
        </w:tc>
        <w:tc>
          <w:tcPr>
            <w:tcW w:w="1770" w:type="dxa"/>
            <w:tcBorders>
              <w:top w:val="nil"/>
              <w:left w:val="nil"/>
              <w:bottom w:val="nil"/>
              <w:right w:val="nil"/>
            </w:tcBorders>
            <w:shd w:val="clear" w:color="auto" w:fill="FFFFFF"/>
            <w:tcMar>
              <w:top w:w="60" w:type="dxa"/>
              <w:left w:w="120" w:type="dxa"/>
              <w:bottom w:w="30" w:type="dxa"/>
              <w:right w:w="120" w:type="dxa"/>
            </w:tcMar>
          </w:tcPr>
          <w:p w14:paraId="1EFB7696">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库存阈值、服务类型等参数配置及生效验证</w:t>
            </w:r>
          </w:p>
        </w:tc>
        <w:tc>
          <w:tcPr>
            <w:tcW w:w="740" w:type="dxa"/>
            <w:tcBorders>
              <w:top w:val="nil"/>
              <w:left w:val="nil"/>
              <w:bottom w:val="nil"/>
              <w:right w:val="nil"/>
            </w:tcBorders>
            <w:shd w:val="clear" w:color="auto" w:fill="FFFFFF"/>
            <w:tcMar>
              <w:top w:w="60" w:type="dxa"/>
              <w:left w:w="120" w:type="dxa"/>
              <w:bottom w:w="30" w:type="dxa"/>
              <w:right w:w="120" w:type="dxa"/>
            </w:tcMar>
          </w:tcPr>
          <w:p w14:paraId="2A1514A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8</w:t>
            </w:r>
          </w:p>
        </w:tc>
        <w:tc>
          <w:tcPr>
            <w:tcW w:w="1380" w:type="dxa"/>
            <w:tcBorders>
              <w:top w:val="nil"/>
              <w:left w:val="nil"/>
              <w:bottom w:val="nil"/>
              <w:right w:val="nil"/>
            </w:tcBorders>
            <w:shd w:val="clear" w:color="auto" w:fill="FFFFFF"/>
            <w:tcMar>
              <w:top w:w="60" w:type="dxa"/>
              <w:left w:w="120" w:type="dxa"/>
              <w:bottom w:w="30" w:type="dxa"/>
              <w:right w:w="120" w:type="dxa"/>
            </w:tcMar>
          </w:tcPr>
          <w:p w14:paraId="67D5F1B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8</w:t>
            </w:r>
          </w:p>
        </w:tc>
        <w:tc>
          <w:tcPr>
            <w:tcW w:w="1380" w:type="dxa"/>
            <w:tcBorders>
              <w:top w:val="nil"/>
              <w:left w:val="nil"/>
              <w:bottom w:val="nil"/>
              <w:right w:val="nil"/>
            </w:tcBorders>
            <w:shd w:val="clear" w:color="auto" w:fill="FFFFFF"/>
            <w:tcMar>
              <w:top w:w="60" w:type="dxa"/>
              <w:left w:w="120" w:type="dxa"/>
              <w:bottom w:w="30" w:type="dxa"/>
              <w:right w:w="120" w:type="dxa"/>
            </w:tcMar>
          </w:tcPr>
          <w:p w14:paraId="1572D49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1380" w:type="dxa"/>
            <w:tcBorders>
              <w:top w:val="nil"/>
              <w:left w:val="nil"/>
              <w:bottom w:val="nil"/>
              <w:right w:val="nil"/>
            </w:tcBorders>
            <w:shd w:val="clear" w:color="auto" w:fill="FFFFFF"/>
            <w:tcMar>
              <w:top w:w="60" w:type="dxa"/>
              <w:left w:w="120" w:type="dxa"/>
              <w:bottom w:w="30" w:type="dxa"/>
              <w:right w:w="120" w:type="dxa"/>
            </w:tcMar>
          </w:tcPr>
          <w:p w14:paraId="64EE10B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662E4203">
        <w:tblPrEx>
          <w:tblCellMar>
            <w:top w:w="0" w:type="dxa"/>
            <w:left w:w="10" w:type="dxa"/>
            <w:bottom w:w="0" w:type="dxa"/>
            <w:right w:w="10" w:type="dxa"/>
          </w:tblCellMar>
        </w:tblPrEx>
        <w:tc>
          <w:tcPr>
            <w:tcW w:w="1630" w:type="dxa"/>
            <w:tcBorders>
              <w:top w:val="nil"/>
              <w:left w:val="nil"/>
              <w:bottom w:val="nil"/>
              <w:right w:val="nil"/>
            </w:tcBorders>
            <w:shd w:val="clear" w:color="auto" w:fill="FFFFFF"/>
            <w:tcMar>
              <w:top w:w="60" w:type="dxa"/>
              <w:left w:w="120" w:type="dxa"/>
              <w:bottom w:w="30" w:type="dxa"/>
              <w:right w:w="120" w:type="dxa"/>
            </w:tcMar>
          </w:tcPr>
          <w:p w14:paraId="46A7515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操作日志管理</w:t>
            </w:r>
          </w:p>
        </w:tc>
        <w:tc>
          <w:tcPr>
            <w:tcW w:w="1770" w:type="dxa"/>
            <w:tcBorders>
              <w:top w:val="nil"/>
              <w:left w:val="nil"/>
              <w:bottom w:val="nil"/>
              <w:right w:val="nil"/>
            </w:tcBorders>
            <w:shd w:val="clear" w:color="auto" w:fill="FFFFFF"/>
            <w:tcMar>
              <w:top w:w="60" w:type="dxa"/>
              <w:left w:w="120" w:type="dxa"/>
              <w:bottom w:w="30" w:type="dxa"/>
              <w:right w:w="120" w:type="dxa"/>
            </w:tcMar>
          </w:tcPr>
          <w:p w14:paraId="4F48579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日志多条件查询、导出、清理</w:t>
            </w:r>
          </w:p>
        </w:tc>
        <w:tc>
          <w:tcPr>
            <w:tcW w:w="740" w:type="dxa"/>
            <w:tcBorders>
              <w:top w:val="nil"/>
              <w:left w:val="nil"/>
              <w:bottom w:val="nil"/>
              <w:right w:val="nil"/>
            </w:tcBorders>
            <w:shd w:val="clear" w:color="auto" w:fill="FFFFFF"/>
            <w:tcMar>
              <w:top w:w="60" w:type="dxa"/>
              <w:left w:w="120" w:type="dxa"/>
              <w:bottom w:w="30" w:type="dxa"/>
              <w:right w:w="120" w:type="dxa"/>
            </w:tcMar>
          </w:tcPr>
          <w:p w14:paraId="776C100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6</w:t>
            </w:r>
          </w:p>
        </w:tc>
        <w:tc>
          <w:tcPr>
            <w:tcW w:w="1380" w:type="dxa"/>
            <w:tcBorders>
              <w:top w:val="nil"/>
              <w:left w:val="nil"/>
              <w:bottom w:val="nil"/>
              <w:right w:val="nil"/>
            </w:tcBorders>
            <w:shd w:val="clear" w:color="auto" w:fill="FFFFFF"/>
            <w:tcMar>
              <w:top w:w="60" w:type="dxa"/>
              <w:left w:w="120" w:type="dxa"/>
              <w:bottom w:w="30" w:type="dxa"/>
              <w:right w:w="120" w:type="dxa"/>
            </w:tcMar>
          </w:tcPr>
          <w:p w14:paraId="46AE976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6</w:t>
            </w:r>
          </w:p>
        </w:tc>
        <w:tc>
          <w:tcPr>
            <w:tcW w:w="1380" w:type="dxa"/>
            <w:tcBorders>
              <w:top w:val="nil"/>
              <w:left w:val="nil"/>
              <w:bottom w:val="nil"/>
              <w:right w:val="nil"/>
            </w:tcBorders>
            <w:shd w:val="clear" w:color="auto" w:fill="FFFFFF"/>
            <w:tcMar>
              <w:top w:w="60" w:type="dxa"/>
              <w:left w:w="120" w:type="dxa"/>
              <w:bottom w:w="30" w:type="dxa"/>
              <w:right w:w="120" w:type="dxa"/>
            </w:tcMar>
          </w:tcPr>
          <w:p w14:paraId="3A3FA39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1380" w:type="dxa"/>
            <w:tcBorders>
              <w:top w:val="nil"/>
              <w:left w:val="nil"/>
              <w:bottom w:val="nil"/>
              <w:right w:val="nil"/>
            </w:tcBorders>
            <w:shd w:val="clear" w:color="auto" w:fill="FFFFFF"/>
            <w:tcMar>
              <w:top w:w="60" w:type="dxa"/>
              <w:left w:w="120" w:type="dxa"/>
              <w:bottom w:w="30" w:type="dxa"/>
              <w:right w:w="120" w:type="dxa"/>
            </w:tcMar>
          </w:tcPr>
          <w:p w14:paraId="50852DF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374B8C6B">
        <w:tblPrEx>
          <w:tblCellMar>
            <w:top w:w="0" w:type="dxa"/>
            <w:left w:w="10" w:type="dxa"/>
            <w:bottom w:w="0" w:type="dxa"/>
            <w:right w:w="10" w:type="dxa"/>
          </w:tblCellMar>
        </w:tblPrEx>
        <w:tc>
          <w:tcPr>
            <w:tcW w:w="1630" w:type="dxa"/>
            <w:tcBorders>
              <w:top w:val="nil"/>
              <w:left w:val="nil"/>
              <w:bottom w:val="single" w:color="000000" w:sz="12" w:space="0"/>
              <w:right w:val="nil"/>
            </w:tcBorders>
            <w:shd w:val="clear" w:color="auto" w:fill="FFFFFF"/>
            <w:tcMar>
              <w:top w:w="60" w:type="dxa"/>
              <w:left w:w="120" w:type="dxa"/>
              <w:bottom w:w="30" w:type="dxa"/>
              <w:right w:w="120" w:type="dxa"/>
            </w:tcMar>
          </w:tcPr>
          <w:p w14:paraId="33FB30B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全业务模块管控</w:t>
            </w:r>
          </w:p>
        </w:tc>
        <w:tc>
          <w:tcPr>
            <w:tcW w:w="1770" w:type="dxa"/>
            <w:tcBorders>
              <w:top w:val="nil"/>
              <w:left w:val="nil"/>
              <w:bottom w:val="single" w:color="000000" w:sz="12" w:space="0"/>
              <w:right w:val="nil"/>
            </w:tcBorders>
            <w:shd w:val="clear" w:color="auto" w:fill="FFFFFF"/>
            <w:tcMar>
              <w:top w:w="60" w:type="dxa"/>
              <w:left w:w="120" w:type="dxa"/>
              <w:bottom w:w="30" w:type="dxa"/>
              <w:right w:w="120" w:type="dxa"/>
            </w:tcMar>
          </w:tcPr>
          <w:p w14:paraId="3DB090F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跨模块数据修改、批量删除数据、全维度报表查看</w:t>
            </w:r>
          </w:p>
        </w:tc>
        <w:tc>
          <w:tcPr>
            <w:tcW w:w="740" w:type="dxa"/>
            <w:tcBorders>
              <w:top w:val="nil"/>
              <w:left w:val="nil"/>
              <w:bottom w:val="single" w:color="000000" w:sz="12" w:space="0"/>
              <w:right w:val="nil"/>
            </w:tcBorders>
            <w:shd w:val="clear" w:color="auto" w:fill="FFFFFF"/>
            <w:tcMar>
              <w:top w:w="60" w:type="dxa"/>
              <w:left w:w="120" w:type="dxa"/>
              <w:bottom w:w="30" w:type="dxa"/>
              <w:right w:w="120" w:type="dxa"/>
            </w:tcMar>
          </w:tcPr>
          <w:p w14:paraId="7FFDAED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15</w:t>
            </w:r>
          </w:p>
        </w:tc>
        <w:tc>
          <w:tcPr>
            <w:tcW w:w="1380" w:type="dxa"/>
            <w:tcBorders>
              <w:top w:val="nil"/>
              <w:left w:val="nil"/>
              <w:bottom w:val="single" w:color="000000" w:sz="12" w:space="0"/>
              <w:right w:val="nil"/>
            </w:tcBorders>
            <w:shd w:val="clear" w:color="auto" w:fill="FFFFFF"/>
            <w:tcMar>
              <w:top w:w="60" w:type="dxa"/>
              <w:left w:w="120" w:type="dxa"/>
              <w:bottom w:w="30" w:type="dxa"/>
              <w:right w:w="120" w:type="dxa"/>
            </w:tcMar>
          </w:tcPr>
          <w:p w14:paraId="3A1FA86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15</w:t>
            </w:r>
          </w:p>
        </w:tc>
        <w:tc>
          <w:tcPr>
            <w:tcW w:w="1380" w:type="dxa"/>
            <w:tcBorders>
              <w:top w:val="nil"/>
              <w:left w:val="nil"/>
              <w:bottom w:val="single" w:color="000000" w:sz="12" w:space="0"/>
              <w:right w:val="nil"/>
            </w:tcBorders>
            <w:shd w:val="clear" w:color="auto" w:fill="FFFFFF"/>
            <w:tcMar>
              <w:top w:w="60" w:type="dxa"/>
              <w:left w:w="120" w:type="dxa"/>
              <w:bottom w:w="30" w:type="dxa"/>
              <w:right w:w="120" w:type="dxa"/>
            </w:tcMar>
          </w:tcPr>
          <w:p w14:paraId="4BF36AA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1380" w:type="dxa"/>
            <w:tcBorders>
              <w:top w:val="nil"/>
              <w:left w:val="nil"/>
              <w:bottom w:val="single" w:color="000000" w:sz="12" w:space="0"/>
              <w:right w:val="nil"/>
            </w:tcBorders>
            <w:shd w:val="clear" w:color="auto" w:fill="FFFFFF"/>
            <w:tcMar>
              <w:top w:w="60" w:type="dxa"/>
              <w:left w:w="120" w:type="dxa"/>
              <w:bottom w:w="30" w:type="dxa"/>
              <w:right w:w="120" w:type="dxa"/>
            </w:tcMar>
          </w:tcPr>
          <w:p w14:paraId="1740F29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bl>
    <w:p w14:paraId="4434EFC4">
      <w:pPr>
        <w:spacing w:line="440" w:lineRule="exact"/>
        <w:ind w:firstLine="480" w:firstLineChars="200"/>
        <w:rPr>
          <w:rFonts w:hint="eastAsia" w:ascii="Calibri" w:hAnsi="Calibri" w:eastAsia="宋体" w:cs="Times New Roman"/>
          <w:b w:val="0"/>
          <w:bCs w:val="0"/>
          <w:sz w:val="24"/>
          <w:szCs w:val="24"/>
        </w:rPr>
      </w:pPr>
      <w:bookmarkStart w:id="188" w:name="heading_6"/>
      <w:r>
        <w:rPr>
          <w:rFonts w:hint="eastAsia" w:ascii="Calibri" w:hAnsi="Calibri" w:eastAsia="宋体" w:cs="Times New Roman"/>
          <w:b w:val="0"/>
          <w:bCs w:val="0"/>
          <w:sz w:val="24"/>
          <w:szCs w:val="24"/>
        </w:rPr>
        <w:t>5.2.4 管理员功能测试</w:t>
      </w:r>
      <w:bookmarkEnd w:id="188"/>
    </w:p>
    <w:p w14:paraId="676B66F8">
      <w:pPr>
        <w:pStyle w:val="13"/>
      </w:pPr>
      <w:r>
        <w:t>表5</w:t>
      </w:r>
      <w:r>
        <w:rPr>
          <w:rFonts w:hint="eastAsia"/>
        </w:rPr>
        <w:t>-</w:t>
      </w:r>
      <w:r>
        <w:t xml:space="preserve"> </w:t>
      </w:r>
      <w:r>
        <w:fldChar w:fldCharType="begin"/>
      </w:r>
      <w:r>
        <w:instrText xml:space="preserve"> SEQ 表5. \* ARABIC </w:instrText>
      </w:r>
      <w:r>
        <w:fldChar w:fldCharType="separate"/>
      </w:r>
      <w:r>
        <w:t>4</w:t>
      </w:r>
      <w:r>
        <w:fldChar w:fldCharType="end"/>
      </w:r>
      <w:r>
        <w:t>管理员功能测试</w:t>
      </w:r>
    </w:p>
    <w:tbl>
      <w:tblPr>
        <w:tblStyle w:val="35"/>
        <w:tblW w:w="0" w:type="auto"/>
        <w:tblInd w:w="0" w:type="dxa"/>
        <w:tblLayout w:type="autofit"/>
        <w:tblCellMar>
          <w:top w:w="0" w:type="dxa"/>
          <w:left w:w="10" w:type="dxa"/>
          <w:bottom w:w="0" w:type="dxa"/>
          <w:right w:w="10" w:type="dxa"/>
        </w:tblCellMar>
      </w:tblPr>
      <w:tblGrid>
        <w:gridCol w:w="1303"/>
        <w:gridCol w:w="2094"/>
        <w:gridCol w:w="802"/>
        <w:gridCol w:w="626"/>
        <w:gridCol w:w="819"/>
        <w:gridCol w:w="2902"/>
      </w:tblGrid>
      <w:tr w14:paraId="019E32B3">
        <w:tblPrEx>
          <w:tblCellMar>
            <w:top w:w="0" w:type="dxa"/>
            <w:left w:w="10" w:type="dxa"/>
            <w:bottom w:w="0" w:type="dxa"/>
            <w:right w:w="10" w:type="dxa"/>
          </w:tblCellMar>
        </w:tblPrEx>
        <w:tc>
          <w:tcPr>
            <w:tcW w:w="1303"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3292484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测试模块</w:t>
            </w:r>
          </w:p>
        </w:tc>
        <w:tc>
          <w:tcPr>
            <w:tcW w:w="2094"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4FD4B4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核心测试点</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4AFE78D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测试用例数</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139BBF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通过数</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1E08BB0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通过率</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1DF456B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未通过问题描述</w:t>
            </w:r>
          </w:p>
        </w:tc>
      </w:tr>
      <w:tr w14:paraId="526F35B8">
        <w:tblPrEx>
          <w:tblCellMar>
            <w:top w:w="0" w:type="dxa"/>
            <w:left w:w="10" w:type="dxa"/>
            <w:bottom w:w="0" w:type="dxa"/>
            <w:right w:w="10" w:type="dxa"/>
          </w:tblCellMar>
        </w:tblPrEx>
        <w:tc>
          <w:tcPr>
            <w:tcW w:w="1303" w:type="dxa"/>
            <w:tcBorders>
              <w:top w:val="single" w:color="000000" w:sz="4" w:space="0"/>
              <w:left w:val="nil"/>
              <w:bottom w:val="nil"/>
              <w:right w:val="nil"/>
            </w:tcBorders>
            <w:shd w:val="clear" w:color="auto" w:fill="FFFFFF"/>
            <w:tcMar>
              <w:top w:w="60" w:type="dxa"/>
              <w:left w:w="120" w:type="dxa"/>
              <w:bottom w:w="30" w:type="dxa"/>
              <w:right w:w="120" w:type="dxa"/>
            </w:tcMar>
          </w:tcPr>
          <w:p w14:paraId="7D325DF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客户管理</w:t>
            </w:r>
          </w:p>
        </w:tc>
        <w:tc>
          <w:tcPr>
            <w:tcW w:w="2094" w:type="dxa"/>
            <w:tcBorders>
              <w:top w:val="single" w:color="000000" w:sz="4" w:space="0"/>
              <w:left w:val="nil"/>
              <w:bottom w:val="nil"/>
              <w:right w:val="nil"/>
            </w:tcBorders>
            <w:shd w:val="clear" w:color="auto" w:fill="FFFFFF"/>
            <w:tcMar>
              <w:top w:w="60" w:type="dxa"/>
              <w:left w:w="120" w:type="dxa"/>
              <w:bottom w:w="30" w:type="dxa"/>
              <w:right w:w="120" w:type="dxa"/>
            </w:tcMar>
          </w:tcPr>
          <w:p w14:paraId="32D179A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客户信息增删改查、批量导入导出、服务档案查看</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09D2371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14</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0AC97237">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13</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48C0236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92.9%</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6A2E2A7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多条件筛选客户时，“购车日期区间”筛选结果与实际数据偏差</w:t>
            </w:r>
          </w:p>
        </w:tc>
      </w:tr>
      <w:tr w14:paraId="75B0E4F3">
        <w:tblPrEx>
          <w:tblCellMar>
            <w:top w:w="0" w:type="dxa"/>
            <w:left w:w="10" w:type="dxa"/>
            <w:bottom w:w="0" w:type="dxa"/>
            <w:right w:w="10" w:type="dxa"/>
          </w:tblCellMar>
        </w:tblPrEx>
        <w:tc>
          <w:tcPr>
            <w:tcW w:w="1303" w:type="dxa"/>
            <w:tcBorders>
              <w:top w:val="nil"/>
              <w:left w:val="nil"/>
              <w:bottom w:val="nil"/>
              <w:right w:val="nil"/>
            </w:tcBorders>
            <w:shd w:val="clear" w:color="auto" w:fill="FFFFFF"/>
            <w:tcMar>
              <w:top w:w="60" w:type="dxa"/>
              <w:left w:w="120" w:type="dxa"/>
              <w:bottom w:w="30" w:type="dxa"/>
              <w:right w:w="120" w:type="dxa"/>
            </w:tcMar>
          </w:tcPr>
          <w:p w14:paraId="3BFB3C5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工单/预约管理</w:t>
            </w:r>
          </w:p>
        </w:tc>
        <w:tc>
          <w:tcPr>
            <w:tcW w:w="2094" w:type="dxa"/>
            <w:tcBorders>
              <w:top w:val="nil"/>
              <w:left w:val="nil"/>
              <w:bottom w:val="nil"/>
              <w:right w:val="nil"/>
            </w:tcBorders>
            <w:shd w:val="clear" w:color="auto" w:fill="FFFFFF"/>
            <w:tcMar>
              <w:top w:w="60" w:type="dxa"/>
              <w:left w:w="120" w:type="dxa"/>
              <w:bottom w:w="30" w:type="dxa"/>
              <w:right w:w="120" w:type="dxa"/>
            </w:tcMar>
          </w:tcPr>
          <w:p w14:paraId="55046B6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工单创建/分配/结算、预约确认/取消、服务记录导出</w:t>
            </w:r>
          </w:p>
        </w:tc>
        <w:tc>
          <w:tcPr>
            <w:tcW w:w="0" w:type="auto"/>
            <w:tcBorders>
              <w:top w:val="nil"/>
              <w:left w:val="nil"/>
              <w:bottom w:val="nil"/>
              <w:right w:val="nil"/>
            </w:tcBorders>
            <w:shd w:val="clear" w:color="auto" w:fill="FFFFFF"/>
            <w:tcMar>
              <w:top w:w="60" w:type="dxa"/>
              <w:left w:w="120" w:type="dxa"/>
              <w:bottom w:w="30" w:type="dxa"/>
              <w:right w:w="120" w:type="dxa"/>
            </w:tcMar>
          </w:tcPr>
          <w:p w14:paraId="2EE73CE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18</w:t>
            </w:r>
          </w:p>
        </w:tc>
        <w:tc>
          <w:tcPr>
            <w:tcW w:w="0" w:type="auto"/>
            <w:tcBorders>
              <w:top w:val="nil"/>
              <w:left w:val="nil"/>
              <w:bottom w:val="nil"/>
              <w:right w:val="nil"/>
            </w:tcBorders>
            <w:shd w:val="clear" w:color="auto" w:fill="FFFFFF"/>
            <w:tcMar>
              <w:top w:w="60" w:type="dxa"/>
              <w:left w:w="120" w:type="dxa"/>
              <w:bottom w:w="30" w:type="dxa"/>
              <w:right w:w="120" w:type="dxa"/>
            </w:tcMar>
          </w:tcPr>
          <w:p w14:paraId="44C8E68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18</w:t>
            </w:r>
          </w:p>
        </w:tc>
        <w:tc>
          <w:tcPr>
            <w:tcW w:w="0" w:type="auto"/>
            <w:tcBorders>
              <w:top w:val="nil"/>
              <w:left w:val="nil"/>
              <w:bottom w:val="nil"/>
              <w:right w:val="nil"/>
            </w:tcBorders>
            <w:shd w:val="clear" w:color="auto" w:fill="FFFFFF"/>
            <w:tcMar>
              <w:top w:w="60" w:type="dxa"/>
              <w:left w:w="120" w:type="dxa"/>
              <w:bottom w:w="30" w:type="dxa"/>
              <w:right w:w="120" w:type="dxa"/>
            </w:tcMar>
          </w:tcPr>
          <w:p w14:paraId="6E80B9C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nil"/>
              <w:right w:val="nil"/>
            </w:tcBorders>
            <w:shd w:val="clear" w:color="auto" w:fill="FFFFFF"/>
            <w:tcMar>
              <w:top w:w="60" w:type="dxa"/>
              <w:left w:w="120" w:type="dxa"/>
              <w:bottom w:w="30" w:type="dxa"/>
              <w:right w:w="120" w:type="dxa"/>
            </w:tcMar>
          </w:tcPr>
          <w:p w14:paraId="13A8352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596EF7F8">
        <w:tblPrEx>
          <w:tblCellMar>
            <w:top w:w="0" w:type="dxa"/>
            <w:left w:w="10" w:type="dxa"/>
            <w:bottom w:w="0" w:type="dxa"/>
            <w:right w:w="10" w:type="dxa"/>
          </w:tblCellMar>
        </w:tblPrEx>
        <w:tc>
          <w:tcPr>
            <w:tcW w:w="1303" w:type="dxa"/>
            <w:tcBorders>
              <w:top w:val="nil"/>
              <w:left w:val="nil"/>
              <w:bottom w:val="nil"/>
              <w:right w:val="nil"/>
            </w:tcBorders>
            <w:shd w:val="clear" w:color="auto" w:fill="FFFFFF"/>
            <w:tcMar>
              <w:top w:w="60" w:type="dxa"/>
              <w:left w:w="120" w:type="dxa"/>
              <w:bottom w:w="30" w:type="dxa"/>
              <w:right w:w="120" w:type="dxa"/>
            </w:tcMar>
          </w:tcPr>
          <w:p w14:paraId="2BAA63A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库存管理</w:t>
            </w:r>
          </w:p>
        </w:tc>
        <w:tc>
          <w:tcPr>
            <w:tcW w:w="2094" w:type="dxa"/>
            <w:tcBorders>
              <w:top w:val="nil"/>
              <w:left w:val="nil"/>
              <w:bottom w:val="nil"/>
              <w:right w:val="nil"/>
            </w:tcBorders>
            <w:shd w:val="clear" w:color="auto" w:fill="FFFFFF"/>
            <w:tcMar>
              <w:top w:w="60" w:type="dxa"/>
              <w:left w:w="120" w:type="dxa"/>
              <w:bottom w:w="30" w:type="dxa"/>
              <w:right w:w="120" w:type="dxa"/>
            </w:tcMar>
          </w:tcPr>
          <w:p w14:paraId="4BEA3B2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整车/配件出入库、库存盘点、预警阈值查看、报表生成</w:t>
            </w:r>
          </w:p>
        </w:tc>
        <w:tc>
          <w:tcPr>
            <w:tcW w:w="0" w:type="auto"/>
            <w:tcBorders>
              <w:top w:val="nil"/>
              <w:left w:val="nil"/>
              <w:bottom w:val="nil"/>
              <w:right w:val="nil"/>
            </w:tcBorders>
            <w:shd w:val="clear" w:color="auto" w:fill="FFFFFF"/>
            <w:tcMar>
              <w:top w:w="60" w:type="dxa"/>
              <w:left w:w="120" w:type="dxa"/>
              <w:bottom w:w="30" w:type="dxa"/>
              <w:right w:w="120" w:type="dxa"/>
            </w:tcMar>
          </w:tcPr>
          <w:p w14:paraId="6AD11AE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12</w:t>
            </w:r>
          </w:p>
        </w:tc>
        <w:tc>
          <w:tcPr>
            <w:tcW w:w="0" w:type="auto"/>
            <w:tcBorders>
              <w:top w:val="nil"/>
              <w:left w:val="nil"/>
              <w:bottom w:val="nil"/>
              <w:right w:val="nil"/>
            </w:tcBorders>
            <w:shd w:val="clear" w:color="auto" w:fill="FFFFFF"/>
            <w:tcMar>
              <w:top w:w="60" w:type="dxa"/>
              <w:left w:w="120" w:type="dxa"/>
              <w:bottom w:w="30" w:type="dxa"/>
              <w:right w:w="120" w:type="dxa"/>
            </w:tcMar>
          </w:tcPr>
          <w:p w14:paraId="5652CCF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11</w:t>
            </w:r>
          </w:p>
        </w:tc>
        <w:tc>
          <w:tcPr>
            <w:tcW w:w="0" w:type="auto"/>
            <w:tcBorders>
              <w:top w:val="nil"/>
              <w:left w:val="nil"/>
              <w:bottom w:val="nil"/>
              <w:right w:val="nil"/>
            </w:tcBorders>
            <w:shd w:val="clear" w:color="auto" w:fill="FFFFFF"/>
            <w:tcMar>
              <w:top w:w="60" w:type="dxa"/>
              <w:left w:w="120" w:type="dxa"/>
              <w:bottom w:w="30" w:type="dxa"/>
              <w:right w:w="120" w:type="dxa"/>
            </w:tcMar>
          </w:tcPr>
          <w:p w14:paraId="05F0F86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91.7%</w:t>
            </w:r>
          </w:p>
        </w:tc>
        <w:tc>
          <w:tcPr>
            <w:tcW w:w="0" w:type="auto"/>
            <w:tcBorders>
              <w:top w:val="nil"/>
              <w:left w:val="nil"/>
              <w:bottom w:val="nil"/>
              <w:right w:val="nil"/>
            </w:tcBorders>
            <w:shd w:val="clear" w:color="auto" w:fill="FFFFFF"/>
            <w:tcMar>
              <w:top w:w="60" w:type="dxa"/>
              <w:left w:w="120" w:type="dxa"/>
              <w:bottom w:w="30" w:type="dxa"/>
              <w:right w:w="120" w:type="dxa"/>
            </w:tcMar>
          </w:tcPr>
          <w:p w14:paraId="3C68CAC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配件出库时，未校验库存数量是否为负，可录入负数</w:t>
            </w:r>
          </w:p>
        </w:tc>
      </w:tr>
      <w:tr w14:paraId="1ACE7CE8">
        <w:tblPrEx>
          <w:tblCellMar>
            <w:top w:w="0" w:type="dxa"/>
            <w:left w:w="10" w:type="dxa"/>
            <w:bottom w:w="0" w:type="dxa"/>
            <w:right w:w="10" w:type="dxa"/>
          </w:tblCellMar>
        </w:tblPrEx>
        <w:tc>
          <w:tcPr>
            <w:tcW w:w="1303" w:type="dxa"/>
            <w:tcBorders>
              <w:top w:val="nil"/>
              <w:left w:val="nil"/>
              <w:bottom w:val="nil"/>
              <w:right w:val="nil"/>
            </w:tcBorders>
            <w:shd w:val="clear" w:color="auto" w:fill="FFFFFF"/>
            <w:tcMar>
              <w:top w:w="60" w:type="dxa"/>
              <w:left w:w="120" w:type="dxa"/>
              <w:bottom w:w="30" w:type="dxa"/>
              <w:right w:w="120" w:type="dxa"/>
            </w:tcMar>
          </w:tcPr>
          <w:p w14:paraId="47400BC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数据分析</w:t>
            </w:r>
          </w:p>
        </w:tc>
        <w:tc>
          <w:tcPr>
            <w:tcW w:w="2094" w:type="dxa"/>
            <w:tcBorders>
              <w:top w:val="nil"/>
              <w:left w:val="nil"/>
              <w:bottom w:val="nil"/>
              <w:right w:val="nil"/>
            </w:tcBorders>
            <w:shd w:val="clear" w:color="auto" w:fill="FFFFFF"/>
            <w:tcMar>
              <w:top w:w="60" w:type="dxa"/>
              <w:left w:w="120" w:type="dxa"/>
              <w:bottom w:w="30" w:type="dxa"/>
              <w:right w:w="120" w:type="dxa"/>
            </w:tcMar>
          </w:tcPr>
          <w:p w14:paraId="58187F3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业务报表查看导出、数据趋势分析、自定义报表生成</w:t>
            </w:r>
          </w:p>
        </w:tc>
        <w:tc>
          <w:tcPr>
            <w:tcW w:w="0" w:type="auto"/>
            <w:tcBorders>
              <w:top w:val="nil"/>
              <w:left w:val="nil"/>
              <w:bottom w:val="nil"/>
              <w:right w:val="nil"/>
            </w:tcBorders>
            <w:shd w:val="clear" w:color="auto" w:fill="FFFFFF"/>
            <w:tcMar>
              <w:top w:w="60" w:type="dxa"/>
              <w:left w:w="120" w:type="dxa"/>
              <w:bottom w:w="30" w:type="dxa"/>
              <w:right w:w="120" w:type="dxa"/>
            </w:tcMar>
          </w:tcPr>
          <w:p w14:paraId="717BBB0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w:t>
            </w:r>
          </w:p>
        </w:tc>
        <w:tc>
          <w:tcPr>
            <w:tcW w:w="0" w:type="auto"/>
            <w:tcBorders>
              <w:top w:val="nil"/>
              <w:left w:val="nil"/>
              <w:bottom w:val="nil"/>
              <w:right w:val="nil"/>
            </w:tcBorders>
            <w:shd w:val="clear" w:color="auto" w:fill="FFFFFF"/>
            <w:tcMar>
              <w:top w:w="60" w:type="dxa"/>
              <w:left w:w="120" w:type="dxa"/>
              <w:bottom w:w="30" w:type="dxa"/>
              <w:right w:w="120" w:type="dxa"/>
            </w:tcMar>
          </w:tcPr>
          <w:p w14:paraId="74C5CD06">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w:t>
            </w:r>
          </w:p>
        </w:tc>
        <w:tc>
          <w:tcPr>
            <w:tcW w:w="0" w:type="auto"/>
            <w:tcBorders>
              <w:top w:val="nil"/>
              <w:left w:val="nil"/>
              <w:bottom w:val="nil"/>
              <w:right w:val="nil"/>
            </w:tcBorders>
            <w:shd w:val="clear" w:color="auto" w:fill="FFFFFF"/>
            <w:tcMar>
              <w:top w:w="60" w:type="dxa"/>
              <w:left w:w="120" w:type="dxa"/>
              <w:bottom w:w="30" w:type="dxa"/>
              <w:right w:w="120" w:type="dxa"/>
            </w:tcMar>
          </w:tcPr>
          <w:p w14:paraId="0CA0EAB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nil"/>
              <w:right w:val="nil"/>
            </w:tcBorders>
            <w:shd w:val="clear" w:color="auto" w:fill="FFFFFF"/>
            <w:tcMar>
              <w:top w:w="60" w:type="dxa"/>
              <w:left w:w="120" w:type="dxa"/>
              <w:bottom w:w="30" w:type="dxa"/>
              <w:right w:w="120" w:type="dxa"/>
            </w:tcMar>
          </w:tcPr>
          <w:p w14:paraId="54AD518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70E9C398">
        <w:tblPrEx>
          <w:tblCellMar>
            <w:top w:w="0" w:type="dxa"/>
            <w:left w:w="10" w:type="dxa"/>
            <w:bottom w:w="0" w:type="dxa"/>
            <w:right w:w="10" w:type="dxa"/>
          </w:tblCellMar>
        </w:tblPrEx>
        <w:tc>
          <w:tcPr>
            <w:tcW w:w="1303" w:type="dxa"/>
            <w:tcBorders>
              <w:top w:val="nil"/>
              <w:left w:val="nil"/>
              <w:bottom w:val="single" w:color="000000" w:sz="12" w:space="0"/>
              <w:right w:val="nil"/>
            </w:tcBorders>
            <w:shd w:val="clear" w:color="auto" w:fill="FFFFFF"/>
            <w:tcMar>
              <w:top w:w="60" w:type="dxa"/>
              <w:left w:w="120" w:type="dxa"/>
              <w:bottom w:w="30" w:type="dxa"/>
              <w:right w:w="120" w:type="dxa"/>
            </w:tcMar>
          </w:tcPr>
          <w:p w14:paraId="278BF8F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权限越界验证</w:t>
            </w:r>
          </w:p>
        </w:tc>
        <w:tc>
          <w:tcPr>
            <w:tcW w:w="2094" w:type="dxa"/>
            <w:tcBorders>
              <w:top w:val="nil"/>
              <w:left w:val="nil"/>
              <w:bottom w:val="single" w:color="000000" w:sz="12" w:space="0"/>
              <w:right w:val="nil"/>
            </w:tcBorders>
            <w:shd w:val="clear" w:color="auto" w:fill="FFFFFF"/>
            <w:tcMar>
              <w:top w:w="60" w:type="dxa"/>
              <w:left w:w="120" w:type="dxa"/>
              <w:bottom w:w="30" w:type="dxa"/>
              <w:right w:w="120" w:type="dxa"/>
            </w:tcMar>
          </w:tcPr>
          <w:p w14:paraId="260F3CA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尝试访问角色管理、系统参数配置页面</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137767A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1C8F369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1776874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4E5B3E9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越权访问被拦截，提示“无操作权限”，符合预期</w:t>
            </w:r>
          </w:p>
        </w:tc>
      </w:tr>
    </w:tbl>
    <w:p w14:paraId="17C0265B">
      <w:pPr>
        <w:spacing w:line="440" w:lineRule="exact"/>
        <w:ind w:firstLine="480" w:firstLineChars="200"/>
      </w:pPr>
      <w:bookmarkStart w:id="189" w:name="heading_7"/>
      <w:r>
        <w:rPr>
          <w:rFonts w:hint="eastAsia" w:ascii="Calibri" w:hAnsi="Calibri" w:eastAsia="宋体" w:cs="Times New Roman"/>
          <w:b w:val="0"/>
          <w:bCs w:val="0"/>
          <w:sz w:val="24"/>
          <w:szCs w:val="24"/>
        </w:rPr>
        <w:t>5.2.5 普通用户功能测试</w:t>
      </w:r>
      <w:bookmarkEnd w:id="189"/>
    </w:p>
    <w:p w14:paraId="5A085BA5">
      <w:pPr>
        <w:pStyle w:val="13"/>
      </w:pPr>
      <w:r>
        <w:t>表5</w:t>
      </w:r>
      <w:r>
        <w:rPr>
          <w:rFonts w:hint="eastAsia"/>
        </w:rPr>
        <w:t>-</w:t>
      </w:r>
      <w:r>
        <w:t xml:space="preserve"> </w:t>
      </w:r>
      <w:r>
        <w:fldChar w:fldCharType="begin"/>
      </w:r>
      <w:r>
        <w:instrText xml:space="preserve"> SEQ 表5. \* ARABIC </w:instrText>
      </w:r>
      <w:r>
        <w:fldChar w:fldCharType="separate"/>
      </w:r>
      <w:r>
        <w:t>5</w:t>
      </w:r>
      <w:r>
        <w:fldChar w:fldCharType="end"/>
      </w:r>
      <w:r>
        <w:t>普通用户功能测试</w:t>
      </w:r>
    </w:p>
    <w:tbl>
      <w:tblPr>
        <w:tblStyle w:val="35"/>
        <w:tblW w:w="0" w:type="auto"/>
        <w:tblInd w:w="0" w:type="dxa"/>
        <w:tblLayout w:type="autofit"/>
        <w:tblCellMar>
          <w:top w:w="0" w:type="dxa"/>
          <w:left w:w="10" w:type="dxa"/>
          <w:bottom w:w="0" w:type="dxa"/>
          <w:right w:w="10" w:type="dxa"/>
        </w:tblCellMar>
      </w:tblPr>
      <w:tblGrid>
        <w:gridCol w:w="1489"/>
        <w:gridCol w:w="2360"/>
        <w:gridCol w:w="839"/>
        <w:gridCol w:w="645"/>
        <w:gridCol w:w="795"/>
        <w:gridCol w:w="2418"/>
      </w:tblGrid>
      <w:tr w14:paraId="4F935997">
        <w:tblPrEx>
          <w:tblCellMar>
            <w:top w:w="0" w:type="dxa"/>
            <w:left w:w="10" w:type="dxa"/>
            <w:bottom w:w="0" w:type="dxa"/>
            <w:right w:w="10" w:type="dxa"/>
          </w:tblCellMar>
        </w:tblPrEx>
        <w:tc>
          <w:tcPr>
            <w:tcW w:w="1489"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2041707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测试模块</w:t>
            </w:r>
          </w:p>
        </w:tc>
        <w:tc>
          <w:tcPr>
            <w:tcW w:w="236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5A1E044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核心测试点</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8CD791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测试用例数</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74E7F16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通过数</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4D7EE7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通过率</w:t>
            </w:r>
          </w:p>
        </w:tc>
        <w:tc>
          <w:tcPr>
            <w:tcW w:w="0" w:type="auto"/>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7A73720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未通过问题描述</w:t>
            </w:r>
          </w:p>
        </w:tc>
      </w:tr>
      <w:tr w14:paraId="609D34A0">
        <w:tblPrEx>
          <w:tblCellMar>
            <w:top w:w="0" w:type="dxa"/>
            <w:left w:w="10" w:type="dxa"/>
            <w:bottom w:w="0" w:type="dxa"/>
            <w:right w:w="10" w:type="dxa"/>
          </w:tblCellMar>
        </w:tblPrEx>
        <w:tc>
          <w:tcPr>
            <w:tcW w:w="1489" w:type="dxa"/>
            <w:tcBorders>
              <w:top w:val="single" w:color="000000" w:sz="4" w:space="0"/>
              <w:left w:val="nil"/>
              <w:bottom w:val="nil"/>
              <w:right w:val="nil"/>
            </w:tcBorders>
            <w:shd w:val="clear" w:color="auto" w:fill="FFFFFF"/>
            <w:tcMar>
              <w:top w:w="60" w:type="dxa"/>
              <w:left w:w="120" w:type="dxa"/>
              <w:bottom w:w="30" w:type="dxa"/>
              <w:right w:w="120" w:type="dxa"/>
            </w:tcMar>
          </w:tcPr>
          <w:p w14:paraId="71A06C6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个人工单处理</w:t>
            </w:r>
          </w:p>
        </w:tc>
        <w:tc>
          <w:tcPr>
            <w:tcW w:w="2360" w:type="dxa"/>
            <w:tcBorders>
              <w:top w:val="single" w:color="000000" w:sz="4" w:space="0"/>
              <w:left w:val="nil"/>
              <w:bottom w:val="nil"/>
              <w:right w:val="nil"/>
            </w:tcBorders>
            <w:shd w:val="clear" w:color="auto" w:fill="FFFFFF"/>
            <w:tcMar>
              <w:top w:w="60" w:type="dxa"/>
              <w:left w:w="120" w:type="dxa"/>
              <w:bottom w:w="30" w:type="dxa"/>
              <w:right w:w="120" w:type="dxa"/>
            </w:tcMar>
          </w:tcPr>
          <w:p w14:paraId="297FF547">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工单接收/进度更新、维修/保养记录录入、费用填写、报告生成</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670C8C0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20</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6B6BCA7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19</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75ED865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95%</w:t>
            </w:r>
          </w:p>
        </w:tc>
        <w:tc>
          <w:tcPr>
            <w:tcW w:w="0" w:type="auto"/>
            <w:tcBorders>
              <w:top w:val="single" w:color="000000" w:sz="4" w:space="0"/>
              <w:left w:val="nil"/>
              <w:bottom w:val="nil"/>
              <w:right w:val="nil"/>
            </w:tcBorders>
            <w:shd w:val="clear" w:color="auto" w:fill="FFFFFF"/>
            <w:tcMar>
              <w:top w:w="60" w:type="dxa"/>
              <w:left w:w="120" w:type="dxa"/>
              <w:bottom w:w="30" w:type="dxa"/>
              <w:right w:w="120" w:type="dxa"/>
            </w:tcMar>
          </w:tcPr>
          <w:p w14:paraId="64620D2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维修记录上传超5MB图片失败，无明确提示</w:t>
            </w:r>
          </w:p>
        </w:tc>
      </w:tr>
      <w:tr w14:paraId="53BD990C">
        <w:tblPrEx>
          <w:tblCellMar>
            <w:top w:w="0" w:type="dxa"/>
            <w:left w:w="10" w:type="dxa"/>
            <w:bottom w:w="0" w:type="dxa"/>
            <w:right w:w="10" w:type="dxa"/>
          </w:tblCellMar>
        </w:tblPrEx>
        <w:tc>
          <w:tcPr>
            <w:tcW w:w="1489" w:type="dxa"/>
            <w:tcBorders>
              <w:top w:val="nil"/>
              <w:left w:val="nil"/>
              <w:bottom w:val="nil"/>
              <w:right w:val="nil"/>
            </w:tcBorders>
            <w:shd w:val="clear" w:color="auto" w:fill="FFFFFF"/>
            <w:tcMar>
              <w:top w:w="60" w:type="dxa"/>
              <w:left w:w="120" w:type="dxa"/>
              <w:bottom w:w="30" w:type="dxa"/>
              <w:right w:w="120" w:type="dxa"/>
            </w:tcMar>
          </w:tcPr>
          <w:p w14:paraId="11AB33E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基础数据查询</w:t>
            </w:r>
          </w:p>
        </w:tc>
        <w:tc>
          <w:tcPr>
            <w:tcW w:w="2360" w:type="dxa"/>
            <w:tcBorders>
              <w:top w:val="nil"/>
              <w:left w:val="nil"/>
              <w:bottom w:val="nil"/>
              <w:right w:val="nil"/>
            </w:tcBorders>
            <w:shd w:val="clear" w:color="auto" w:fill="FFFFFF"/>
            <w:tcMar>
              <w:top w:w="60" w:type="dxa"/>
              <w:left w:w="120" w:type="dxa"/>
              <w:bottom w:w="30" w:type="dxa"/>
              <w:right w:w="120" w:type="dxa"/>
            </w:tcMar>
          </w:tcPr>
          <w:p w14:paraId="54E7186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个人预约/工单查询、客户基础信息查看</w:t>
            </w:r>
          </w:p>
        </w:tc>
        <w:tc>
          <w:tcPr>
            <w:tcW w:w="0" w:type="auto"/>
            <w:tcBorders>
              <w:top w:val="nil"/>
              <w:left w:val="nil"/>
              <w:bottom w:val="nil"/>
              <w:right w:val="nil"/>
            </w:tcBorders>
            <w:shd w:val="clear" w:color="auto" w:fill="FFFFFF"/>
            <w:tcMar>
              <w:top w:w="60" w:type="dxa"/>
              <w:left w:w="120" w:type="dxa"/>
              <w:bottom w:w="30" w:type="dxa"/>
              <w:right w:w="120" w:type="dxa"/>
            </w:tcMar>
          </w:tcPr>
          <w:p w14:paraId="7592DD3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11</w:t>
            </w:r>
          </w:p>
        </w:tc>
        <w:tc>
          <w:tcPr>
            <w:tcW w:w="0" w:type="auto"/>
            <w:tcBorders>
              <w:top w:val="nil"/>
              <w:left w:val="nil"/>
              <w:bottom w:val="nil"/>
              <w:right w:val="nil"/>
            </w:tcBorders>
            <w:shd w:val="clear" w:color="auto" w:fill="FFFFFF"/>
            <w:tcMar>
              <w:top w:w="60" w:type="dxa"/>
              <w:left w:w="120" w:type="dxa"/>
              <w:bottom w:w="30" w:type="dxa"/>
              <w:right w:w="120" w:type="dxa"/>
            </w:tcMar>
          </w:tcPr>
          <w:p w14:paraId="1537BBB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11</w:t>
            </w:r>
          </w:p>
        </w:tc>
        <w:tc>
          <w:tcPr>
            <w:tcW w:w="0" w:type="auto"/>
            <w:tcBorders>
              <w:top w:val="nil"/>
              <w:left w:val="nil"/>
              <w:bottom w:val="nil"/>
              <w:right w:val="nil"/>
            </w:tcBorders>
            <w:shd w:val="clear" w:color="auto" w:fill="FFFFFF"/>
            <w:tcMar>
              <w:top w:w="60" w:type="dxa"/>
              <w:left w:w="120" w:type="dxa"/>
              <w:bottom w:w="30" w:type="dxa"/>
              <w:right w:w="120" w:type="dxa"/>
            </w:tcMar>
          </w:tcPr>
          <w:p w14:paraId="42B2452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nil"/>
              <w:right w:val="nil"/>
            </w:tcBorders>
            <w:shd w:val="clear" w:color="auto" w:fill="FFFFFF"/>
            <w:tcMar>
              <w:top w:w="60" w:type="dxa"/>
              <w:left w:w="120" w:type="dxa"/>
              <w:bottom w:w="30" w:type="dxa"/>
              <w:right w:w="120" w:type="dxa"/>
            </w:tcMar>
          </w:tcPr>
          <w:p w14:paraId="556017A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25F738AA">
        <w:tblPrEx>
          <w:tblCellMar>
            <w:top w:w="0" w:type="dxa"/>
            <w:left w:w="10" w:type="dxa"/>
            <w:bottom w:w="0" w:type="dxa"/>
            <w:right w:w="10" w:type="dxa"/>
          </w:tblCellMar>
        </w:tblPrEx>
        <w:tc>
          <w:tcPr>
            <w:tcW w:w="1489" w:type="dxa"/>
            <w:tcBorders>
              <w:top w:val="nil"/>
              <w:left w:val="nil"/>
              <w:bottom w:val="nil"/>
              <w:right w:val="nil"/>
            </w:tcBorders>
            <w:shd w:val="clear" w:color="auto" w:fill="FFFFFF"/>
            <w:tcMar>
              <w:top w:w="60" w:type="dxa"/>
              <w:left w:w="120" w:type="dxa"/>
              <w:bottom w:w="30" w:type="dxa"/>
              <w:right w:w="120" w:type="dxa"/>
            </w:tcMar>
          </w:tcPr>
          <w:p w14:paraId="508CD50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权限越界验证</w:t>
            </w:r>
          </w:p>
        </w:tc>
        <w:tc>
          <w:tcPr>
            <w:tcW w:w="2360" w:type="dxa"/>
            <w:tcBorders>
              <w:top w:val="nil"/>
              <w:left w:val="nil"/>
              <w:bottom w:val="nil"/>
              <w:right w:val="nil"/>
            </w:tcBorders>
            <w:shd w:val="clear" w:color="auto" w:fill="FFFFFF"/>
            <w:tcMar>
              <w:top w:w="60" w:type="dxa"/>
              <w:left w:w="120" w:type="dxa"/>
              <w:bottom w:w="30" w:type="dxa"/>
              <w:right w:w="120" w:type="dxa"/>
            </w:tcMar>
          </w:tcPr>
          <w:p w14:paraId="05F9CE0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尝试删除客户数据、修改库存阈值、访问操作日志</w:t>
            </w:r>
          </w:p>
        </w:tc>
        <w:tc>
          <w:tcPr>
            <w:tcW w:w="0" w:type="auto"/>
            <w:tcBorders>
              <w:top w:val="nil"/>
              <w:left w:val="nil"/>
              <w:bottom w:val="nil"/>
              <w:right w:val="nil"/>
            </w:tcBorders>
            <w:shd w:val="clear" w:color="auto" w:fill="FFFFFF"/>
            <w:tcMar>
              <w:top w:w="60" w:type="dxa"/>
              <w:left w:w="120" w:type="dxa"/>
              <w:bottom w:w="30" w:type="dxa"/>
              <w:right w:w="120" w:type="dxa"/>
            </w:tcMar>
          </w:tcPr>
          <w:p w14:paraId="78E2438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7</w:t>
            </w:r>
          </w:p>
        </w:tc>
        <w:tc>
          <w:tcPr>
            <w:tcW w:w="0" w:type="auto"/>
            <w:tcBorders>
              <w:top w:val="nil"/>
              <w:left w:val="nil"/>
              <w:bottom w:val="nil"/>
              <w:right w:val="nil"/>
            </w:tcBorders>
            <w:shd w:val="clear" w:color="auto" w:fill="FFFFFF"/>
            <w:tcMar>
              <w:top w:w="60" w:type="dxa"/>
              <w:left w:w="120" w:type="dxa"/>
              <w:bottom w:w="30" w:type="dxa"/>
              <w:right w:w="120" w:type="dxa"/>
            </w:tcMar>
          </w:tcPr>
          <w:p w14:paraId="1E5E933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7</w:t>
            </w:r>
          </w:p>
        </w:tc>
        <w:tc>
          <w:tcPr>
            <w:tcW w:w="0" w:type="auto"/>
            <w:tcBorders>
              <w:top w:val="nil"/>
              <w:left w:val="nil"/>
              <w:bottom w:val="nil"/>
              <w:right w:val="nil"/>
            </w:tcBorders>
            <w:shd w:val="clear" w:color="auto" w:fill="FFFFFF"/>
            <w:tcMar>
              <w:top w:w="60" w:type="dxa"/>
              <w:left w:w="120" w:type="dxa"/>
              <w:bottom w:w="30" w:type="dxa"/>
              <w:right w:w="120" w:type="dxa"/>
            </w:tcMar>
          </w:tcPr>
          <w:p w14:paraId="4221123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nil"/>
              <w:right w:val="nil"/>
            </w:tcBorders>
            <w:shd w:val="clear" w:color="auto" w:fill="FFFFFF"/>
            <w:tcMar>
              <w:top w:w="60" w:type="dxa"/>
              <w:left w:w="120" w:type="dxa"/>
              <w:bottom w:w="30" w:type="dxa"/>
              <w:right w:w="120" w:type="dxa"/>
            </w:tcMar>
          </w:tcPr>
          <w:p w14:paraId="3B9E33D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越权操作被拦截，记录同步至超级管理员日志</w:t>
            </w:r>
          </w:p>
        </w:tc>
      </w:tr>
      <w:tr w14:paraId="5A6DE418">
        <w:tblPrEx>
          <w:tblCellMar>
            <w:top w:w="0" w:type="dxa"/>
            <w:left w:w="10" w:type="dxa"/>
            <w:bottom w:w="0" w:type="dxa"/>
            <w:right w:w="10" w:type="dxa"/>
          </w:tblCellMar>
        </w:tblPrEx>
        <w:tc>
          <w:tcPr>
            <w:tcW w:w="1489" w:type="dxa"/>
            <w:tcBorders>
              <w:top w:val="nil"/>
              <w:left w:val="nil"/>
              <w:bottom w:val="single" w:color="000000" w:sz="12" w:space="0"/>
              <w:right w:val="nil"/>
            </w:tcBorders>
            <w:shd w:val="clear" w:color="auto" w:fill="FFFFFF"/>
            <w:tcMar>
              <w:top w:w="60" w:type="dxa"/>
              <w:left w:w="120" w:type="dxa"/>
              <w:bottom w:w="30" w:type="dxa"/>
              <w:right w:w="120" w:type="dxa"/>
            </w:tcMar>
          </w:tcPr>
          <w:p w14:paraId="2B559BC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财务专属操作</w:t>
            </w:r>
          </w:p>
        </w:tc>
        <w:tc>
          <w:tcPr>
            <w:tcW w:w="2360" w:type="dxa"/>
            <w:tcBorders>
              <w:top w:val="nil"/>
              <w:left w:val="nil"/>
              <w:bottom w:val="single" w:color="000000" w:sz="12" w:space="0"/>
              <w:right w:val="nil"/>
            </w:tcBorders>
            <w:shd w:val="clear" w:color="auto" w:fill="FFFFFF"/>
            <w:tcMar>
              <w:top w:w="60" w:type="dxa"/>
              <w:left w:w="120" w:type="dxa"/>
              <w:bottom w:w="30" w:type="dxa"/>
              <w:right w:w="120" w:type="dxa"/>
            </w:tcMar>
          </w:tcPr>
          <w:p w14:paraId="0B2A8FA2">
            <w:pPr>
              <w:pStyle w:val="132"/>
              <w:keepNext w:val="0"/>
              <w:keepLines w:val="0"/>
              <w:pageBreakBefore w:val="0"/>
              <w:widowControl w:val="0"/>
              <w:kinsoku/>
              <w:wordWrap/>
              <w:overflowPunct/>
              <w:topLinePunct w:val="0"/>
              <w:autoSpaceDE/>
              <w:autoSpaceDN/>
              <w:bidi w:val="0"/>
              <w:adjustRightInd/>
              <w:snapToGrid/>
              <w:spacing w:before="0" w:after="0"/>
              <w:jc w:val="both"/>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工单费用核算、结算记录录入、财务明细</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4CDF4166">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8</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3389BDD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8</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373AFB9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100%</w:t>
            </w:r>
          </w:p>
        </w:tc>
        <w:tc>
          <w:tcPr>
            <w:tcW w:w="0" w:type="auto"/>
            <w:tcBorders>
              <w:top w:val="nil"/>
              <w:left w:val="nil"/>
              <w:bottom w:val="single" w:color="000000" w:sz="12" w:space="0"/>
              <w:right w:val="nil"/>
            </w:tcBorders>
            <w:shd w:val="clear" w:color="auto" w:fill="FFFFFF"/>
            <w:tcMar>
              <w:top w:w="60" w:type="dxa"/>
              <w:left w:w="120" w:type="dxa"/>
              <w:bottom w:w="30" w:type="dxa"/>
              <w:right w:w="120" w:type="dxa"/>
            </w:tcMar>
          </w:tcPr>
          <w:p w14:paraId="6F5DB5C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bl>
    <w:p w14:paraId="3EED49A9">
      <w:pPr>
        <w:spacing w:line="440" w:lineRule="exact"/>
        <w:ind w:firstLine="480" w:firstLineChars="200"/>
        <w:rPr>
          <w:rFonts w:ascii="Calibri" w:hAnsi="Calibri" w:eastAsia="宋体" w:cs="Times New Roman"/>
          <w:b w:val="0"/>
          <w:bCs w:val="0"/>
          <w:sz w:val="24"/>
          <w:szCs w:val="24"/>
        </w:rPr>
      </w:pPr>
      <w:bookmarkStart w:id="190" w:name="_Toc24793"/>
      <w:bookmarkStart w:id="191" w:name="heading_8"/>
      <w:r>
        <w:rPr>
          <w:rFonts w:hint="eastAsia" w:ascii="Calibri" w:hAnsi="Calibri" w:eastAsia="宋体" w:cs="Times New Roman"/>
          <w:b w:val="0"/>
          <w:bCs w:val="0"/>
          <w:sz w:val="24"/>
          <w:szCs w:val="24"/>
        </w:rPr>
        <w:t>5.3 角色场景下的性能测试</w:t>
      </w:r>
      <w:bookmarkEnd w:id="190"/>
      <w:bookmarkEnd w:id="191"/>
    </w:p>
    <w:p w14:paraId="7621741C">
      <w:pPr>
        <w:spacing w:line="440" w:lineRule="exact"/>
        <w:ind w:firstLine="480" w:firstLineChars="200"/>
        <w:rPr>
          <w:rFonts w:ascii="Calibri" w:hAnsi="Calibri" w:eastAsia="宋体" w:cs="Times New Roman"/>
          <w:b w:val="0"/>
          <w:bCs w:val="0"/>
          <w:sz w:val="24"/>
          <w:szCs w:val="24"/>
        </w:rPr>
      </w:pPr>
      <w:bookmarkStart w:id="192" w:name="heading_9"/>
      <w:r>
        <w:rPr>
          <w:rFonts w:hint="eastAsia" w:ascii="Calibri" w:hAnsi="Calibri" w:eastAsia="宋体" w:cs="Times New Roman"/>
          <w:b w:val="0"/>
          <w:bCs w:val="0"/>
          <w:sz w:val="24"/>
          <w:szCs w:val="24"/>
        </w:rPr>
        <w:t>5.3.1 测试场景与指标</w:t>
      </w:r>
      <w:bookmarkEnd w:id="192"/>
    </w:p>
    <w:p w14:paraId="68C9E622">
      <w:pPr>
        <w:pStyle w:val="13"/>
      </w:pPr>
      <w:r>
        <w:t>表5</w:t>
      </w:r>
      <w:r>
        <w:rPr>
          <w:rFonts w:hint="eastAsia"/>
        </w:rPr>
        <w:t>-</w:t>
      </w:r>
      <w:r>
        <w:t xml:space="preserve"> </w:t>
      </w:r>
      <w:r>
        <w:fldChar w:fldCharType="begin"/>
      </w:r>
      <w:r>
        <w:instrText xml:space="preserve"> SEQ 表5. \* ARABIC </w:instrText>
      </w:r>
      <w:r>
        <w:fldChar w:fldCharType="separate"/>
      </w:r>
      <w:r>
        <w:t>6</w:t>
      </w:r>
      <w:r>
        <w:fldChar w:fldCharType="end"/>
      </w:r>
      <w:r>
        <w:t>测试场景与指标</w:t>
      </w:r>
    </w:p>
    <w:tbl>
      <w:tblPr>
        <w:tblStyle w:val="35"/>
        <w:tblW w:w="0" w:type="auto"/>
        <w:tblInd w:w="0" w:type="dxa"/>
        <w:tblLayout w:type="fixed"/>
        <w:tblCellMar>
          <w:top w:w="0" w:type="dxa"/>
          <w:left w:w="10" w:type="dxa"/>
          <w:bottom w:w="0" w:type="dxa"/>
          <w:right w:w="10" w:type="dxa"/>
        </w:tblCellMar>
      </w:tblPr>
      <w:tblGrid>
        <w:gridCol w:w="2760"/>
        <w:gridCol w:w="2760"/>
        <w:gridCol w:w="2760"/>
      </w:tblGrid>
      <w:tr w14:paraId="6A64DC76">
        <w:tblPrEx>
          <w:tblCellMar>
            <w:top w:w="0" w:type="dxa"/>
            <w:left w:w="10" w:type="dxa"/>
            <w:bottom w:w="0" w:type="dxa"/>
            <w:right w:w="10" w:type="dxa"/>
          </w:tblCellMar>
        </w:tblPrEx>
        <w:tc>
          <w:tcPr>
            <w:tcW w:w="2760"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vAlign w:val="top"/>
          </w:tcPr>
          <w:p w14:paraId="5D3CE81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测试场景</w:t>
            </w:r>
          </w:p>
        </w:tc>
        <w:tc>
          <w:tcPr>
            <w:tcW w:w="276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vAlign w:val="top"/>
          </w:tcPr>
          <w:p w14:paraId="731632F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测试指标</w:t>
            </w:r>
          </w:p>
        </w:tc>
        <w:tc>
          <w:tcPr>
            <w:tcW w:w="276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vAlign w:val="top"/>
          </w:tcPr>
          <w:p w14:paraId="2B87F72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需求标准</w:t>
            </w:r>
          </w:p>
        </w:tc>
      </w:tr>
      <w:tr w14:paraId="5C81DB25">
        <w:tblPrEx>
          <w:tblCellMar>
            <w:top w:w="0" w:type="dxa"/>
            <w:left w:w="10" w:type="dxa"/>
            <w:bottom w:w="0" w:type="dxa"/>
            <w:right w:w="10" w:type="dxa"/>
          </w:tblCellMar>
        </w:tblPrEx>
        <w:tc>
          <w:tcPr>
            <w:tcW w:w="2760" w:type="dxa"/>
            <w:tcBorders>
              <w:top w:val="single" w:color="000000" w:sz="4" w:space="0"/>
              <w:left w:val="nil"/>
              <w:bottom w:val="nil"/>
              <w:right w:val="nil"/>
            </w:tcBorders>
            <w:shd w:val="clear" w:color="auto" w:fill="FFFFFF"/>
            <w:tcMar>
              <w:top w:w="60" w:type="dxa"/>
              <w:left w:w="120" w:type="dxa"/>
              <w:bottom w:w="30" w:type="dxa"/>
              <w:right w:w="120" w:type="dxa"/>
            </w:tcMar>
            <w:vAlign w:val="top"/>
          </w:tcPr>
          <w:p w14:paraId="29D25EB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10名普通用户并发处理工单</w:t>
            </w:r>
          </w:p>
        </w:tc>
        <w:tc>
          <w:tcPr>
            <w:tcW w:w="2760" w:type="dxa"/>
            <w:tcBorders>
              <w:top w:val="single" w:color="000000" w:sz="4" w:space="0"/>
              <w:left w:val="nil"/>
              <w:bottom w:val="nil"/>
              <w:right w:val="nil"/>
            </w:tcBorders>
            <w:shd w:val="clear" w:color="auto" w:fill="FFFFFF"/>
            <w:tcMar>
              <w:top w:w="60" w:type="dxa"/>
              <w:left w:w="120" w:type="dxa"/>
              <w:bottom w:w="30" w:type="dxa"/>
              <w:right w:w="120" w:type="dxa"/>
            </w:tcMar>
            <w:vAlign w:val="top"/>
          </w:tcPr>
          <w:p w14:paraId="28B0158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平均响应时间</w:t>
            </w:r>
          </w:p>
        </w:tc>
        <w:tc>
          <w:tcPr>
            <w:tcW w:w="2760" w:type="dxa"/>
            <w:tcBorders>
              <w:top w:val="single" w:color="000000" w:sz="4" w:space="0"/>
              <w:left w:val="nil"/>
              <w:bottom w:val="nil"/>
              <w:right w:val="nil"/>
            </w:tcBorders>
            <w:shd w:val="clear" w:color="auto" w:fill="FFFFFF"/>
            <w:tcMar>
              <w:top w:w="60" w:type="dxa"/>
              <w:left w:w="120" w:type="dxa"/>
              <w:bottom w:w="30" w:type="dxa"/>
              <w:right w:w="120" w:type="dxa"/>
            </w:tcMar>
            <w:vAlign w:val="top"/>
          </w:tcPr>
          <w:p w14:paraId="224A915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≤1.5秒</w:t>
            </w:r>
          </w:p>
        </w:tc>
      </w:tr>
      <w:tr w14:paraId="3552A57A">
        <w:tblPrEx>
          <w:tblCellMar>
            <w:top w:w="0" w:type="dxa"/>
            <w:left w:w="10" w:type="dxa"/>
            <w:bottom w:w="0" w:type="dxa"/>
            <w:right w:w="10" w:type="dxa"/>
          </w:tblCellMar>
        </w:tblPrEx>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46D38B2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5名管理员并发查询/导出客户报表</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36E775B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平均响应时间</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3AAE40E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≤2秒</w:t>
            </w:r>
          </w:p>
        </w:tc>
      </w:tr>
      <w:tr w14:paraId="38BEC953">
        <w:tblPrEx>
          <w:tblCellMar>
            <w:top w:w="0" w:type="dxa"/>
            <w:left w:w="10" w:type="dxa"/>
            <w:bottom w:w="0" w:type="dxa"/>
            <w:right w:w="10" w:type="dxa"/>
          </w:tblCellMar>
        </w:tblPrEx>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02FF097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1名超管配置角色+20名普通用户并发操作</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6752D79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并发响应时间</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2EB7DEC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≤2秒</w:t>
            </w:r>
          </w:p>
        </w:tc>
      </w:tr>
      <w:tr w14:paraId="7E9BCEDB">
        <w:tblPrEx>
          <w:tblCellMar>
            <w:top w:w="0" w:type="dxa"/>
            <w:left w:w="10" w:type="dxa"/>
            <w:bottom w:w="0" w:type="dxa"/>
            <w:right w:w="10" w:type="dxa"/>
          </w:tblCellMar>
        </w:tblPrEx>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0E82EF4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50人混合角色24小时持续操作</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58EF1D5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故障率、数据一致性</w:t>
            </w:r>
          </w:p>
        </w:tc>
        <w:tc>
          <w:tcPr>
            <w:tcW w:w="2760" w:type="dxa"/>
            <w:tcBorders>
              <w:top w:val="nil"/>
              <w:left w:val="nil"/>
              <w:bottom w:val="nil"/>
              <w:right w:val="nil"/>
            </w:tcBorders>
            <w:shd w:val="clear" w:color="auto" w:fill="FFFFFF"/>
            <w:tcMar>
              <w:top w:w="60" w:type="dxa"/>
              <w:left w:w="120" w:type="dxa"/>
              <w:bottom w:w="30" w:type="dxa"/>
              <w:right w:w="120" w:type="dxa"/>
            </w:tcMar>
            <w:vAlign w:val="top"/>
          </w:tcPr>
          <w:p w14:paraId="28E04F0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故障率≤0.5%，数据无错乱</w:t>
            </w:r>
          </w:p>
        </w:tc>
      </w:tr>
      <w:tr w14:paraId="5CECC53A">
        <w:tblPrEx>
          <w:tblCellMar>
            <w:top w:w="0" w:type="dxa"/>
            <w:left w:w="10" w:type="dxa"/>
            <w:bottom w:w="0" w:type="dxa"/>
            <w:right w:w="10" w:type="dxa"/>
          </w:tblCellMar>
        </w:tblPrEx>
        <w:tc>
          <w:tcPr>
            <w:tcW w:w="2760" w:type="dxa"/>
            <w:tcBorders>
              <w:top w:val="nil"/>
              <w:left w:val="nil"/>
              <w:bottom w:val="single" w:color="000000" w:sz="12" w:space="0"/>
              <w:right w:val="nil"/>
            </w:tcBorders>
            <w:shd w:val="clear" w:color="auto" w:fill="FFFFFF"/>
            <w:tcMar>
              <w:top w:w="60" w:type="dxa"/>
              <w:left w:w="120" w:type="dxa"/>
              <w:bottom w:w="30" w:type="dxa"/>
              <w:right w:w="120" w:type="dxa"/>
            </w:tcMar>
            <w:vAlign w:val="top"/>
          </w:tcPr>
          <w:p w14:paraId="3E3C7D8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普通用户批量查询1000条工单</w:t>
            </w:r>
          </w:p>
        </w:tc>
        <w:tc>
          <w:tcPr>
            <w:tcW w:w="2760" w:type="dxa"/>
            <w:tcBorders>
              <w:top w:val="nil"/>
              <w:left w:val="nil"/>
              <w:bottom w:val="single" w:color="000000" w:sz="12" w:space="0"/>
              <w:right w:val="nil"/>
            </w:tcBorders>
            <w:shd w:val="clear" w:color="auto" w:fill="FFFFFF"/>
            <w:tcMar>
              <w:top w:w="60" w:type="dxa"/>
              <w:left w:w="120" w:type="dxa"/>
              <w:bottom w:w="30" w:type="dxa"/>
              <w:right w:w="120" w:type="dxa"/>
            </w:tcMar>
            <w:vAlign w:val="top"/>
          </w:tcPr>
          <w:p w14:paraId="67C065C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查询响应时间</w:t>
            </w:r>
          </w:p>
        </w:tc>
        <w:tc>
          <w:tcPr>
            <w:tcW w:w="2760" w:type="dxa"/>
            <w:tcBorders>
              <w:top w:val="nil"/>
              <w:left w:val="nil"/>
              <w:bottom w:val="single" w:color="000000" w:sz="12" w:space="0"/>
              <w:right w:val="nil"/>
            </w:tcBorders>
            <w:shd w:val="clear" w:color="auto" w:fill="FFFFFF"/>
            <w:tcMar>
              <w:top w:w="60" w:type="dxa"/>
              <w:left w:w="120" w:type="dxa"/>
              <w:bottom w:w="30" w:type="dxa"/>
              <w:right w:w="120" w:type="dxa"/>
            </w:tcMar>
            <w:vAlign w:val="top"/>
          </w:tcPr>
          <w:p w14:paraId="65D123D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≤1秒</w:t>
            </w:r>
          </w:p>
        </w:tc>
      </w:tr>
    </w:tbl>
    <w:p w14:paraId="00D758FA">
      <w:pPr>
        <w:spacing w:line="440" w:lineRule="exact"/>
        <w:ind w:firstLine="480" w:firstLineChars="200"/>
        <w:rPr>
          <w:rFonts w:ascii="Calibri" w:hAnsi="Calibri" w:eastAsia="宋体" w:cs="Times New Roman"/>
          <w:b w:val="0"/>
          <w:bCs w:val="0"/>
          <w:sz w:val="24"/>
          <w:szCs w:val="24"/>
        </w:rPr>
      </w:pPr>
      <w:r>
        <w:rPr>
          <w:rFonts w:hint="eastAsia" w:ascii="Calibri" w:hAnsi="Calibri" w:eastAsia="宋体" w:cs="Times New Roman"/>
          <w:b w:val="0"/>
          <w:bCs w:val="0"/>
          <w:sz w:val="24"/>
          <w:szCs w:val="24"/>
        </w:rPr>
        <w:t>5.3.2 性能测试结果</w:t>
      </w:r>
    </w:p>
    <w:p w14:paraId="404D8DB1">
      <w:pPr>
        <w:pStyle w:val="13"/>
      </w:pPr>
      <w:r>
        <w:t>表5</w:t>
      </w:r>
      <w:r>
        <w:rPr>
          <w:rFonts w:hint="eastAsia"/>
        </w:rPr>
        <w:t>-</w:t>
      </w:r>
      <w:r>
        <w:t xml:space="preserve"> </w:t>
      </w:r>
      <w:r>
        <w:fldChar w:fldCharType="begin"/>
      </w:r>
      <w:r>
        <w:instrText xml:space="preserve"> SEQ 表5. \* ARABIC </w:instrText>
      </w:r>
      <w:r>
        <w:fldChar w:fldCharType="separate"/>
      </w:r>
      <w:r>
        <w:t>7</w:t>
      </w:r>
      <w:r>
        <w:fldChar w:fldCharType="end"/>
      </w:r>
      <w:r>
        <w:t>性能测试结果</w:t>
      </w:r>
    </w:p>
    <w:tbl>
      <w:tblPr>
        <w:tblStyle w:val="35"/>
        <w:tblW w:w="0" w:type="auto"/>
        <w:tblInd w:w="0" w:type="dxa"/>
        <w:tblLayout w:type="fixed"/>
        <w:tblCellMar>
          <w:top w:w="0" w:type="dxa"/>
          <w:left w:w="10" w:type="dxa"/>
          <w:bottom w:w="0" w:type="dxa"/>
          <w:right w:w="10" w:type="dxa"/>
        </w:tblCellMar>
      </w:tblPr>
      <w:tblGrid>
        <w:gridCol w:w="2070"/>
        <w:gridCol w:w="2070"/>
        <w:gridCol w:w="1783"/>
        <w:gridCol w:w="2357"/>
      </w:tblGrid>
      <w:tr w14:paraId="285FDDFA">
        <w:tblPrEx>
          <w:tblCellMar>
            <w:top w:w="0" w:type="dxa"/>
            <w:left w:w="10" w:type="dxa"/>
            <w:bottom w:w="0" w:type="dxa"/>
            <w:right w:w="10" w:type="dxa"/>
          </w:tblCellMar>
        </w:tblPrEx>
        <w:tc>
          <w:tcPr>
            <w:tcW w:w="2070"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38FFF42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测试场景</w:t>
            </w:r>
          </w:p>
        </w:tc>
        <w:tc>
          <w:tcPr>
            <w:tcW w:w="207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7D5F40E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测试结果</w:t>
            </w:r>
          </w:p>
        </w:tc>
        <w:tc>
          <w:tcPr>
            <w:tcW w:w="1783"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630510F5">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是否达标</w:t>
            </w:r>
          </w:p>
        </w:tc>
        <w:tc>
          <w:tcPr>
            <w:tcW w:w="2357"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6ADBCFB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优化建议</w:t>
            </w:r>
          </w:p>
        </w:tc>
      </w:tr>
      <w:tr w14:paraId="6070EFC1">
        <w:tblPrEx>
          <w:tblCellMar>
            <w:top w:w="0" w:type="dxa"/>
            <w:left w:w="10" w:type="dxa"/>
            <w:bottom w:w="0" w:type="dxa"/>
            <w:right w:w="10" w:type="dxa"/>
          </w:tblCellMar>
        </w:tblPrEx>
        <w:tc>
          <w:tcPr>
            <w:tcW w:w="2070" w:type="dxa"/>
            <w:tcBorders>
              <w:top w:val="single" w:color="000000" w:sz="4" w:space="0"/>
              <w:left w:val="nil"/>
              <w:bottom w:val="nil"/>
              <w:right w:val="nil"/>
            </w:tcBorders>
            <w:shd w:val="clear" w:color="auto" w:fill="FFFFFF"/>
            <w:tcMar>
              <w:top w:w="60" w:type="dxa"/>
              <w:left w:w="120" w:type="dxa"/>
              <w:bottom w:w="30" w:type="dxa"/>
              <w:right w:w="120" w:type="dxa"/>
            </w:tcMar>
          </w:tcPr>
          <w:p w14:paraId="6100DE8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10名普通用户并发处理工单</w:t>
            </w:r>
          </w:p>
        </w:tc>
        <w:tc>
          <w:tcPr>
            <w:tcW w:w="2070" w:type="dxa"/>
            <w:tcBorders>
              <w:top w:val="single" w:color="000000" w:sz="4" w:space="0"/>
              <w:left w:val="nil"/>
              <w:bottom w:val="nil"/>
              <w:right w:val="nil"/>
            </w:tcBorders>
            <w:shd w:val="clear" w:color="auto" w:fill="FFFFFF"/>
            <w:tcMar>
              <w:top w:w="60" w:type="dxa"/>
              <w:left w:w="120" w:type="dxa"/>
              <w:bottom w:w="30" w:type="dxa"/>
              <w:right w:w="120" w:type="dxa"/>
            </w:tcMar>
          </w:tcPr>
          <w:p w14:paraId="68DD9E9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0.8秒</w:t>
            </w:r>
          </w:p>
        </w:tc>
        <w:tc>
          <w:tcPr>
            <w:tcW w:w="1783" w:type="dxa"/>
            <w:tcBorders>
              <w:top w:val="single" w:color="000000" w:sz="4" w:space="0"/>
              <w:left w:val="nil"/>
              <w:bottom w:val="nil"/>
              <w:right w:val="nil"/>
            </w:tcBorders>
            <w:shd w:val="clear" w:color="auto" w:fill="FFFFFF"/>
            <w:tcMar>
              <w:top w:w="60" w:type="dxa"/>
              <w:left w:w="120" w:type="dxa"/>
              <w:bottom w:w="30" w:type="dxa"/>
              <w:right w:w="120" w:type="dxa"/>
            </w:tcMar>
          </w:tcPr>
          <w:p w14:paraId="470D7E4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w:t>
            </w:r>
          </w:p>
        </w:tc>
        <w:tc>
          <w:tcPr>
            <w:tcW w:w="2357" w:type="dxa"/>
            <w:tcBorders>
              <w:top w:val="single" w:color="000000" w:sz="4" w:space="0"/>
              <w:left w:val="nil"/>
              <w:bottom w:val="nil"/>
              <w:right w:val="nil"/>
            </w:tcBorders>
            <w:shd w:val="clear" w:color="auto" w:fill="FFFFFF"/>
            <w:tcMar>
              <w:top w:w="60" w:type="dxa"/>
              <w:left w:w="120" w:type="dxa"/>
              <w:bottom w:w="30" w:type="dxa"/>
              <w:right w:w="120" w:type="dxa"/>
            </w:tcMar>
          </w:tcPr>
          <w:p w14:paraId="4FD53D6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7AB9A818">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5A0DE8A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5名管理员并发查询/导出客户报表</w:t>
            </w:r>
          </w:p>
        </w:tc>
        <w:tc>
          <w:tcPr>
            <w:tcW w:w="2070" w:type="dxa"/>
            <w:tcBorders>
              <w:top w:val="nil"/>
              <w:left w:val="nil"/>
              <w:bottom w:val="nil"/>
              <w:right w:val="nil"/>
            </w:tcBorders>
            <w:shd w:val="clear" w:color="auto" w:fill="FFFFFF"/>
            <w:tcMar>
              <w:top w:w="60" w:type="dxa"/>
              <w:left w:w="120" w:type="dxa"/>
              <w:bottom w:w="30" w:type="dxa"/>
              <w:right w:w="120" w:type="dxa"/>
            </w:tcMar>
          </w:tcPr>
          <w:p w14:paraId="786B84A7">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1.2秒</w:t>
            </w:r>
          </w:p>
        </w:tc>
        <w:tc>
          <w:tcPr>
            <w:tcW w:w="1783" w:type="dxa"/>
            <w:tcBorders>
              <w:top w:val="nil"/>
              <w:left w:val="nil"/>
              <w:bottom w:val="nil"/>
              <w:right w:val="nil"/>
            </w:tcBorders>
            <w:shd w:val="clear" w:color="auto" w:fill="FFFFFF"/>
            <w:tcMar>
              <w:top w:w="60" w:type="dxa"/>
              <w:left w:w="120" w:type="dxa"/>
              <w:bottom w:w="30" w:type="dxa"/>
              <w:right w:w="120" w:type="dxa"/>
            </w:tcMar>
          </w:tcPr>
          <w:p w14:paraId="443CAD7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w:t>
            </w:r>
          </w:p>
        </w:tc>
        <w:tc>
          <w:tcPr>
            <w:tcW w:w="2357" w:type="dxa"/>
            <w:tcBorders>
              <w:top w:val="nil"/>
              <w:left w:val="nil"/>
              <w:bottom w:val="nil"/>
              <w:right w:val="nil"/>
            </w:tcBorders>
            <w:shd w:val="clear" w:color="auto" w:fill="FFFFFF"/>
            <w:tcMar>
              <w:top w:w="60" w:type="dxa"/>
              <w:left w:w="120" w:type="dxa"/>
              <w:bottom w:w="30" w:type="dxa"/>
              <w:right w:w="120" w:type="dxa"/>
            </w:tcMar>
          </w:tcPr>
          <w:p w14:paraId="76C2F23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08FDD6CE">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011A526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1名超管配置角色+20名普通用户并发</w:t>
            </w:r>
          </w:p>
        </w:tc>
        <w:tc>
          <w:tcPr>
            <w:tcW w:w="2070" w:type="dxa"/>
            <w:tcBorders>
              <w:top w:val="nil"/>
              <w:left w:val="nil"/>
              <w:bottom w:val="nil"/>
              <w:right w:val="nil"/>
            </w:tcBorders>
            <w:shd w:val="clear" w:color="auto" w:fill="FFFFFF"/>
            <w:tcMar>
              <w:top w:w="60" w:type="dxa"/>
              <w:left w:w="120" w:type="dxa"/>
              <w:bottom w:w="30" w:type="dxa"/>
              <w:right w:w="120" w:type="dxa"/>
            </w:tcMar>
          </w:tcPr>
          <w:p w14:paraId="4E477B4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1.8秒</w:t>
            </w:r>
          </w:p>
        </w:tc>
        <w:tc>
          <w:tcPr>
            <w:tcW w:w="1783" w:type="dxa"/>
            <w:tcBorders>
              <w:top w:val="nil"/>
              <w:left w:val="nil"/>
              <w:bottom w:val="nil"/>
              <w:right w:val="nil"/>
            </w:tcBorders>
            <w:shd w:val="clear" w:color="auto" w:fill="FFFFFF"/>
            <w:tcMar>
              <w:top w:w="60" w:type="dxa"/>
              <w:left w:w="120" w:type="dxa"/>
              <w:bottom w:w="30" w:type="dxa"/>
              <w:right w:w="120" w:type="dxa"/>
            </w:tcMar>
          </w:tcPr>
          <w:p w14:paraId="0926820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w:t>
            </w:r>
          </w:p>
        </w:tc>
        <w:tc>
          <w:tcPr>
            <w:tcW w:w="2357" w:type="dxa"/>
            <w:tcBorders>
              <w:top w:val="nil"/>
              <w:left w:val="nil"/>
              <w:bottom w:val="nil"/>
              <w:right w:val="nil"/>
            </w:tcBorders>
            <w:shd w:val="clear" w:color="auto" w:fill="FFFFFF"/>
            <w:tcMar>
              <w:top w:w="60" w:type="dxa"/>
              <w:left w:w="120" w:type="dxa"/>
              <w:bottom w:w="30" w:type="dxa"/>
              <w:right w:w="120" w:type="dxa"/>
            </w:tcMar>
          </w:tcPr>
          <w:p w14:paraId="6BEEAF7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121143FC">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1E284E6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50人混合角色24小时持续操作</w:t>
            </w:r>
          </w:p>
        </w:tc>
        <w:tc>
          <w:tcPr>
            <w:tcW w:w="2070" w:type="dxa"/>
            <w:tcBorders>
              <w:top w:val="nil"/>
              <w:left w:val="nil"/>
              <w:bottom w:val="nil"/>
              <w:right w:val="nil"/>
            </w:tcBorders>
            <w:shd w:val="clear" w:color="auto" w:fill="FFFFFF"/>
            <w:tcMar>
              <w:top w:w="60" w:type="dxa"/>
              <w:left w:w="120" w:type="dxa"/>
              <w:bottom w:w="30" w:type="dxa"/>
              <w:right w:w="120" w:type="dxa"/>
            </w:tcMar>
          </w:tcPr>
          <w:p w14:paraId="0208ED3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故障率0.2%，数据无错乱</w:t>
            </w:r>
          </w:p>
        </w:tc>
        <w:tc>
          <w:tcPr>
            <w:tcW w:w="1783" w:type="dxa"/>
            <w:tcBorders>
              <w:top w:val="nil"/>
              <w:left w:val="nil"/>
              <w:bottom w:val="nil"/>
              <w:right w:val="nil"/>
            </w:tcBorders>
            <w:shd w:val="clear" w:color="auto" w:fill="FFFFFF"/>
            <w:tcMar>
              <w:top w:w="60" w:type="dxa"/>
              <w:left w:w="120" w:type="dxa"/>
              <w:bottom w:w="30" w:type="dxa"/>
              <w:right w:w="120" w:type="dxa"/>
            </w:tcMar>
          </w:tcPr>
          <w:p w14:paraId="65643C3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w:t>
            </w:r>
          </w:p>
        </w:tc>
        <w:tc>
          <w:tcPr>
            <w:tcW w:w="2357" w:type="dxa"/>
            <w:tcBorders>
              <w:top w:val="nil"/>
              <w:left w:val="nil"/>
              <w:bottom w:val="nil"/>
              <w:right w:val="nil"/>
            </w:tcBorders>
            <w:shd w:val="clear" w:color="auto" w:fill="FFFFFF"/>
            <w:tcMar>
              <w:top w:w="60" w:type="dxa"/>
              <w:left w:w="120" w:type="dxa"/>
              <w:bottom w:w="30" w:type="dxa"/>
              <w:right w:w="120" w:type="dxa"/>
            </w:tcMar>
          </w:tcPr>
          <w:p w14:paraId="4C84D66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2D05F13C">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72062D97">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普通用户批量查询1000条工单</w:t>
            </w:r>
          </w:p>
        </w:tc>
        <w:tc>
          <w:tcPr>
            <w:tcW w:w="2070" w:type="dxa"/>
            <w:tcBorders>
              <w:top w:val="nil"/>
              <w:left w:val="nil"/>
              <w:bottom w:val="nil"/>
              <w:right w:val="nil"/>
            </w:tcBorders>
            <w:shd w:val="clear" w:color="auto" w:fill="FFFFFF"/>
            <w:tcMar>
              <w:top w:w="60" w:type="dxa"/>
              <w:left w:w="120" w:type="dxa"/>
              <w:bottom w:w="30" w:type="dxa"/>
              <w:right w:w="120" w:type="dxa"/>
            </w:tcMar>
          </w:tcPr>
          <w:p w14:paraId="767FB17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0.7秒</w:t>
            </w:r>
          </w:p>
        </w:tc>
        <w:tc>
          <w:tcPr>
            <w:tcW w:w="1783" w:type="dxa"/>
            <w:tcBorders>
              <w:top w:val="nil"/>
              <w:left w:val="nil"/>
              <w:bottom w:val="nil"/>
              <w:right w:val="nil"/>
            </w:tcBorders>
            <w:shd w:val="clear" w:color="auto" w:fill="FFFFFF"/>
            <w:tcMar>
              <w:top w:w="60" w:type="dxa"/>
              <w:left w:w="120" w:type="dxa"/>
              <w:bottom w:w="30" w:type="dxa"/>
              <w:right w:w="120" w:type="dxa"/>
            </w:tcMar>
          </w:tcPr>
          <w:p w14:paraId="3435E1D4">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是</w:t>
            </w:r>
          </w:p>
        </w:tc>
        <w:tc>
          <w:tcPr>
            <w:tcW w:w="2357" w:type="dxa"/>
            <w:tcBorders>
              <w:top w:val="nil"/>
              <w:left w:val="nil"/>
              <w:bottom w:val="nil"/>
              <w:right w:val="nil"/>
            </w:tcBorders>
            <w:shd w:val="clear" w:color="auto" w:fill="FFFFFF"/>
            <w:tcMar>
              <w:top w:w="60" w:type="dxa"/>
              <w:left w:w="120" w:type="dxa"/>
              <w:bottom w:w="30" w:type="dxa"/>
              <w:right w:w="120" w:type="dxa"/>
            </w:tcMar>
          </w:tcPr>
          <w:p w14:paraId="05CB974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779B7D52">
        <w:tblPrEx>
          <w:tblCellMar>
            <w:top w:w="0" w:type="dxa"/>
            <w:left w:w="10" w:type="dxa"/>
            <w:bottom w:w="0" w:type="dxa"/>
            <w:right w:w="10" w:type="dxa"/>
          </w:tblCellMar>
        </w:tblPrEx>
        <w:tc>
          <w:tcPr>
            <w:tcW w:w="2070" w:type="dxa"/>
            <w:tcBorders>
              <w:top w:val="nil"/>
              <w:left w:val="nil"/>
              <w:bottom w:val="single" w:color="000000" w:sz="12" w:space="0"/>
              <w:right w:val="nil"/>
            </w:tcBorders>
            <w:shd w:val="clear" w:color="auto" w:fill="FFFFFF"/>
            <w:tcMar>
              <w:top w:w="60" w:type="dxa"/>
              <w:left w:w="120" w:type="dxa"/>
              <w:bottom w:w="30" w:type="dxa"/>
              <w:right w:w="120" w:type="dxa"/>
            </w:tcMar>
          </w:tcPr>
          <w:p w14:paraId="32DC91AB">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80人混合角色并发操作（扩展）</w:t>
            </w:r>
          </w:p>
        </w:tc>
        <w:tc>
          <w:tcPr>
            <w:tcW w:w="2070" w:type="dxa"/>
            <w:tcBorders>
              <w:top w:val="nil"/>
              <w:left w:val="nil"/>
              <w:bottom w:val="single" w:color="000000" w:sz="12" w:space="0"/>
              <w:right w:val="nil"/>
            </w:tcBorders>
            <w:shd w:val="clear" w:color="auto" w:fill="FFFFFF"/>
            <w:tcMar>
              <w:top w:w="60" w:type="dxa"/>
              <w:left w:w="120" w:type="dxa"/>
              <w:bottom w:w="30" w:type="dxa"/>
              <w:right w:w="120" w:type="dxa"/>
            </w:tcMar>
          </w:tcPr>
          <w:p w14:paraId="1DC4F2A6">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2.3秒</w:t>
            </w:r>
          </w:p>
        </w:tc>
        <w:tc>
          <w:tcPr>
            <w:tcW w:w="1783" w:type="dxa"/>
            <w:tcBorders>
              <w:top w:val="nil"/>
              <w:left w:val="nil"/>
              <w:bottom w:val="single" w:color="000000" w:sz="12" w:space="0"/>
              <w:right w:val="nil"/>
            </w:tcBorders>
            <w:shd w:val="clear" w:color="auto" w:fill="FFFFFF"/>
            <w:tcMar>
              <w:top w:w="60" w:type="dxa"/>
              <w:left w:w="120" w:type="dxa"/>
              <w:bottom w:w="30" w:type="dxa"/>
              <w:right w:w="120" w:type="dxa"/>
            </w:tcMar>
          </w:tcPr>
          <w:p w14:paraId="6193B89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否</w:t>
            </w:r>
          </w:p>
        </w:tc>
        <w:tc>
          <w:tcPr>
            <w:tcW w:w="2357" w:type="dxa"/>
            <w:tcBorders>
              <w:top w:val="nil"/>
              <w:left w:val="nil"/>
              <w:bottom w:val="single" w:color="000000" w:sz="12" w:space="0"/>
              <w:right w:val="nil"/>
            </w:tcBorders>
            <w:shd w:val="clear" w:color="auto" w:fill="FFFFFF"/>
            <w:tcMar>
              <w:top w:w="60" w:type="dxa"/>
              <w:left w:w="120" w:type="dxa"/>
              <w:bottom w:w="30" w:type="dxa"/>
              <w:right w:w="120" w:type="dxa"/>
            </w:tcMar>
          </w:tcPr>
          <w:p w14:paraId="5A012914">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优化数据库联合索引，增加Redis缓存时长</w:t>
            </w:r>
          </w:p>
        </w:tc>
      </w:tr>
    </w:tbl>
    <w:p w14:paraId="750FC401">
      <w:pPr>
        <w:spacing w:line="440" w:lineRule="exact"/>
        <w:ind w:firstLine="480" w:firstLineChars="200"/>
        <w:rPr>
          <w:rFonts w:ascii="Calibri" w:hAnsi="Calibri" w:eastAsia="宋体" w:cs="Times New Roman"/>
          <w:b w:val="0"/>
          <w:bCs w:val="0"/>
          <w:sz w:val="24"/>
          <w:szCs w:val="24"/>
        </w:rPr>
      </w:pPr>
      <w:bookmarkStart w:id="193" w:name="_Toc11126"/>
      <w:r>
        <w:rPr>
          <w:rFonts w:hint="eastAsia" w:ascii="Calibri" w:hAnsi="Calibri" w:eastAsia="宋体" w:cs="Times New Roman"/>
          <w:b w:val="0"/>
          <w:bCs w:val="0"/>
          <w:sz w:val="24"/>
          <w:szCs w:val="24"/>
        </w:rPr>
        <w:t>5.4 角色维度安全性测试</w:t>
      </w:r>
      <w:bookmarkEnd w:id="193"/>
    </w:p>
    <w:p w14:paraId="224440B2">
      <w:pPr>
        <w:spacing w:line="440" w:lineRule="exact"/>
        <w:ind w:firstLine="480" w:firstLineChars="200"/>
        <w:rPr>
          <w:rFonts w:ascii="Times New Roman" w:hAnsi="Times New Roman"/>
          <w:sz w:val="24"/>
        </w:rPr>
      </w:pPr>
      <w:r>
        <w:rPr>
          <w:rFonts w:hint="eastAsia" w:ascii="Times New Roman" w:hAnsi="Times New Roman"/>
          <w:sz w:val="24"/>
        </w:rPr>
        <w:t>5.4.1 核心测试场景</w:t>
      </w:r>
    </w:p>
    <w:p w14:paraId="317834FE">
      <w:pPr>
        <w:spacing w:line="440" w:lineRule="exact"/>
        <w:ind w:firstLine="480" w:firstLineChars="200"/>
        <w:rPr>
          <w:rFonts w:ascii="Times New Roman" w:hAnsi="Times New Roman"/>
          <w:sz w:val="24"/>
        </w:rPr>
      </w:pPr>
      <w:r>
        <w:rPr>
          <w:rFonts w:hint="eastAsia" w:ascii="Times New Roman" w:hAnsi="Times New Roman"/>
          <w:sz w:val="24"/>
        </w:rPr>
        <w:t>（1）越权访问测试：使用普通用户账号尝试访问超级管理员/管理员专属接口（如角色管理接口）、修改请求参数（如将用户ID改为超级管理员ID）；</w:t>
      </w:r>
    </w:p>
    <w:p w14:paraId="24A5243A">
      <w:pPr>
        <w:spacing w:line="440" w:lineRule="exact"/>
        <w:ind w:firstLine="480" w:firstLineChars="200"/>
        <w:rPr>
          <w:rFonts w:ascii="Times New Roman" w:hAnsi="Times New Roman"/>
          <w:sz w:val="24"/>
        </w:rPr>
      </w:pPr>
      <w:r>
        <w:rPr>
          <w:rFonts w:hint="eastAsia" w:ascii="Times New Roman" w:hAnsi="Times New Roman"/>
          <w:sz w:val="24"/>
        </w:rPr>
        <w:t>（2）权限篡改测试：通过抓包工具修改Token中的角色标识，验证是否可提升权限；</w:t>
      </w:r>
    </w:p>
    <w:p w14:paraId="21055F34">
      <w:pPr>
        <w:spacing w:line="440" w:lineRule="exact"/>
        <w:ind w:firstLine="480" w:firstLineChars="200"/>
        <w:rPr>
          <w:rFonts w:ascii="Times New Roman" w:hAnsi="Times New Roman"/>
          <w:sz w:val="24"/>
        </w:rPr>
      </w:pPr>
      <w:r>
        <w:rPr>
          <w:rFonts w:hint="eastAsia" w:ascii="Times New Roman" w:hAnsi="Times New Roman"/>
          <w:sz w:val="24"/>
        </w:rPr>
        <w:t>（3）敏感数据泄露测试：验证普通用户是否可查看其他用户的操作日志、客户联系方式等敏感数据；</w:t>
      </w:r>
    </w:p>
    <w:p w14:paraId="26456C0A">
      <w:pPr>
        <w:spacing w:line="440" w:lineRule="exact"/>
        <w:ind w:firstLine="480" w:firstLineChars="200"/>
        <w:rPr>
          <w:rFonts w:ascii="Times New Roman" w:hAnsi="Times New Roman"/>
          <w:sz w:val="24"/>
        </w:rPr>
      </w:pPr>
      <w:r>
        <w:rPr>
          <w:rFonts w:hint="eastAsia" w:ascii="Times New Roman" w:hAnsi="Times New Roman"/>
          <w:sz w:val="24"/>
        </w:rPr>
        <w:t>（4）操作日志追溯测试：模拟各角色违规操作，验证日志是否完整记录操作人、时间、内容。</w:t>
      </w:r>
    </w:p>
    <w:p w14:paraId="4E81EB52">
      <w:pPr>
        <w:spacing w:line="440" w:lineRule="exact"/>
        <w:ind w:firstLine="480" w:firstLineChars="200"/>
        <w:rPr>
          <w:rFonts w:ascii="Calibri" w:hAnsi="Calibri" w:eastAsia="宋体" w:cs="Times New Roman"/>
          <w:b w:val="0"/>
          <w:bCs w:val="0"/>
          <w:sz w:val="24"/>
          <w:szCs w:val="24"/>
        </w:rPr>
      </w:pPr>
      <w:r>
        <w:rPr>
          <w:rFonts w:hint="eastAsia" w:ascii="Calibri" w:hAnsi="Calibri" w:eastAsia="宋体" w:cs="Times New Roman"/>
          <w:b w:val="0"/>
          <w:bCs w:val="0"/>
          <w:sz w:val="24"/>
          <w:szCs w:val="24"/>
        </w:rPr>
        <w:t>5.4.2 安全性测试结果</w:t>
      </w:r>
    </w:p>
    <w:p w14:paraId="6C96E2C1">
      <w:pPr>
        <w:pStyle w:val="13"/>
      </w:pPr>
      <w:r>
        <w:t>表5</w:t>
      </w:r>
      <w:r>
        <w:rPr>
          <w:rFonts w:hint="eastAsia"/>
        </w:rPr>
        <w:t>-</w:t>
      </w:r>
      <w:r>
        <w:t xml:space="preserve"> </w:t>
      </w:r>
      <w:r>
        <w:fldChar w:fldCharType="begin"/>
      </w:r>
      <w:r>
        <w:instrText xml:space="preserve"> SEQ 表5. \* ARABIC </w:instrText>
      </w:r>
      <w:r>
        <w:fldChar w:fldCharType="separate"/>
      </w:r>
      <w:r>
        <w:t>8</w:t>
      </w:r>
      <w:r>
        <w:fldChar w:fldCharType="end"/>
      </w:r>
      <w:r>
        <w:t>安全性测试结果</w:t>
      </w:r>
    </w:p>
    <w:tbl>
      <w:tblPr>
        <w:tblStyle w:val="35"/>
        <w:tblW w:w="0" w:type="auto"/>
        <w:tblInd w:w="0" w:type="dxa"/>
        <w:tblLayout w:type="fixed"/>
        <w:tblCellMar>
          <w:top w:w="0" w:type="dxa"/>
          <w:left w:w="10" w:type="dxa"/>
          <w:bottom w:w="0" w:type="dxa"/>
          <w:right w:w="10" w:type="dxa"/>
        </w:tblCellMar>
      </w:tblPr>
      <w:tblGrid>
        <w:gridCol w:w="2070"/>
        <w:gridCol w:w="2317"/>
        <w:gridCol w:w="1823"/>
        <w:gridCol w:w="2070"/>
      </w:tblGrid>
      <w:tr w14:paraId="6FA265D8">
        <w:tblPrEx>
          <w:tblCellMar>
            <w:top w:w="0" w:type="dxa"/>
            <w:left w:w="10" w:type="dxa"/>
            <w:bottom w:w="0" w:type="dxa"/>
            <w:right w:w="10" w:type="dxa"/>
          </w:tblCellMar>
        </w:tblPrEx>
        <w:tc>
          <w:tcPr>
            <w:tcW w:w="2070" w:type="dxa"/>
            <w:tcBorders>
              <w:top w:val="single" w:color="000000" w:sz="12" w:space="0"/>
              <w:left w:val="nil"/>
              <w:bottom w:val="single" w:color="000000" w:sz="4" w:space="0"/>
              <w:right w:val="nil"/>
              <w:tl2br w:val="nil"/>
            </w:tcBorders>
            <w:shd w:val="clear" w:color="auto" w:fill="FFFFFF"/>
            <w:tcMar>
              <w:top w:w="60" w:type="dxa"/>
              <w:left w:w="120" w:type="dxa"/>
              <w:bottom w:w="30" w:type="dxa"/>
              <w:right w:w="120" w:type="dxa"/>
            </w:tcMar>
          </w:tcPr>
          <w:p w14:paraId="08A5C37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测试类型</w:t>
            </w:r>
          </w:p>
        </w:tc>
        <w:tc>
          <w:tcPr>
            <w:tcW w:w="2317"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373AE031">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测试结果</w:t>
            </w:r>
          </w:p>
        </w:tc>
        <w:tc>
          <w:tcPr>
            <w:tcW w:w="1823"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2FED08F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风险等级</w:t>
            </w:r>
          </w:p>
        </w:tc>
        <w:tc>
          <w:tcPr>
            <w:tcW w:w="2070" w:type="dxa"/>
            <w:tcBorders>
              <w:top w:val="single" w:color="000000" w:sz="12" w:space="0"/>
              <w:left w:val="nil"/>
              <w:bottom w:val="single" w:color="000000" w:sz="4" w:space="0"/>
              <w:right w:val="nil"/>
            </w:tcBorders>
            <w:shd w:val="clear" w:color="auto" w:fill="FFFFFF"/>
            <w:tcMar>
              <w:top w:w="60" w:type="dxa"/>
              <w:left w:w="120" w:type="dxa"/>
              <w:bottom w:w="30" w:type="dxa"/>
              <w:right w:w="120" w:type="dxa"/>
            </w:tcMar>
          </w:tcPr>
          <w:p w14:paraId="22238D6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修复措施</w:t>
            </w:r>
          </w:p>
        </w:tc>
      </w:tr>
      <w:tr w14:paraId="68954F81">
        <w:tblPrEx>
          <w:tblCellMar>
            <w:top w:w="0" w:type="dxa"/>
            <w:left w:w="10" w:type="dxa"/>
            <w:bottom w:w="0" w:type="dxa"/>
            <w:right w:w="10" w:type="dxa"/>
          </w:tblCellMar>
        </w:tblPrEx>
        <w:tc>
          <w:tcPr>
            <w:tcW w:w="2070" w:type="dxa"/>
            <w:tcBorders>
              <w:top w:val="single" w:color="000000" w:sz="4" w:space="0"/>
              <w:left w:val="nil"/>
              <w:bottom w:val="nil"/>
              <w:right w:val="nil"/>
            </w:tcBorders>
            <w:shd w:val="clear" w:color="auto" w:fill="FFFFFF"/>
            <w:tcMar>
              <w:top w:w="60" w:type="dxa"/>
              <w:left w:w="120" w:type="dxa"/>
              <w:bottom w:w="30" w:type="dxa"/>
              <w:right w:w="120" w:type="dxa"/>
            </w:tcMar>
          </w:tcPr>
          <w:p w14:paraId="5858FB4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越权访问测试</w:t>
            </w:r>
          </w:p>
        </w:tc>
        <w:tc>
          <w:tcPr>
            <w:tcW w:w="2317" w:type="dxa"/>
            <w:tcBorders>
              <w:top w:val="single" w:color="000000" w:sz="4" w:space="0"/>
              <w:left w:val="nil"/>
              <w:bottom w:val="nil"/>
              <w:right w:val="nil"/>
            </w:tcBorders>
            <w:shd w:val="clear" w:color="auto" w:fill="FFFFFF"/>
            <w:tcMar>
              <w:top w:w="60" w:type="dxa"/>
              <w:left w:w="120" w:type="dxa"/>
              <w:bottom w:w="30" w:type="dxa"/>
              <w:right w:w="120" w:type="dxa"/>
            </w:tcMar>
          </w:tcPr>
          <w:p w14:paraId="051D2924">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所有越权访问请求均被拦截，返回403错误，无权限越界漏洞</w:t>
            </w:r>
          </w:p>
        </w:tc>
        <w:tc>
          <w:tcPr>
            <w:tcW w:w="1823" w:type="dxa"/>
            <w:tcBorders>
              <w:top w:val="single" w:color="000000" w:sz="4" w:space="0"/>
              <w:left w:val="nil"/>
              <w:bottom w:val="nil"/>
              <w:right w:val="nil"/>
            </w:tcBorders>
            <w:shd w:val="clear" w:color="auto" w:fill="FFFFFF"/>
            <w:tcMar>
              <w:top w:w="60" w:type="dxa"/>
              <w:left w:w="120" w:type="dxa"/>
              <w:bottom w:w="30" w:type="dxa"/>
              <w:right w:w="120" w:type="dxa"/>
            </w:tcMar>
          </w:tcPr>
          <w:p w14:paraId="4FA85C0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低</w:t>
            </w:r>
          </w:p>
        </w:tc>
        <w:tc>
          <w:tcPr>
            <w:tcW w:w="2070" w:type="dxa"/>
            <w:tcBorders>
              <w:top w:val="single" w:color="000000" w:sz="4" w:space="0"/>
              <w:left w:val="nil"/>
              <w:bottom w:val="nil"/>
              <w:right w:val="nil"/>
            </w:tcBorders>
            <w:shd w:val="clear" w:color="auto" w:fill="FFFFFF"/>
            <w:tcMar>
              <w:top w:w="60" w:type="dxa"/>
              <w:left w:w="120" w:type="dxa"/>
              <w:bottom w:w="30" w:type="dxa"/>
              <w:right w:w="120" w:type="dxa"/>
            </w:tcMar>
          </w:tcPr>
          <w:p w14:paraId="7484CB79">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613ADAB1">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296C0293">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权限篡改测试</w:t>
            </w:r>
          </w:p>
        </w:tc>
        <w:tc>
          <w:tcPr>
            <w:tcW w:w="2317" w:type="dxa"/>
            <w:tcBorders>
              <w:top w:val="nil"/>
              <w:left w:val="nil"/>
              <w:bottom w:val="nil"/>
              <w:right w:val="nil"/>
            </w:tcBorders>
            <w:shd w:val="clear" w:color="auto" w:fill="FFFFFF"/>
            <w:tcMar>
              <w:top w:w="60" w:type="dxa"/>
              <w:left w:w="120" w:type="dxa"/>
              <w:bottom w:w="30" w:type="dxa"/>
              <w:right w:w="120" w:type="dxa"/>
            </w:tcMar>
          </w:tcPr>
          <w:p w14:paraId="68E440E8">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Token中角色标识加密处理，篡改后Token失效，无法提升权限</w:t>
            </w:r>
          </w:p>
        </w:tc>
        <w:tc>
          <w:tcPr>
            <w:tcW w:w="1823" w:type="dxa"/>
            <w:tcBorders>
              <w:top w:val="nil"/>
              <w:left w:val="nil"/>
              <w:bottom w:val="nil"/>
              <w:right w:val="nil"/>
            </w:tcBorders>
            <w:shd w:val="clear" w:color="auto" w:fill="FFFFFF"/>
            <w:tcMar>
              <w:top w:w="60" w:type="dxa"/>
              <w:left w:w="120" w:type="dxa"/>
              <w:bottom w:w="30" w:type="dxa"/>
              <w:right w:w="120" w:type="dxa"/>
            </w:tcMar>
          </w:tcPr>
          <w:p w14:paraId="59DDC33A">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低</w:t>
            </w:r>
          </w:p>
        </w:tc>
        <w:tc>
          <w:tcPr>
            <w:tcW w:w="2070" w:type="dxa"/>
            <w:tcBorders>
              <w:top w:val="nil"/>
              <w:left w:val="nil"/>
              <w:bottom w:val="nil"/>
              <w:right w:val="nil"/>
            </w:tcBorders>
            <w:shd w:val="clear" w:color="auto" w:fill="FFFFFF"/>
            <w:tcMar>
              <w:top w:w="60" w:type="dxa"/>
              <w:left w:w="120" w:type="dxa"/>
              <w:bottom w:w="30" w:type="dxa"/>
              <w:right w:w="120" w:type="dxa"/>
            </w:tcMar>
          </w:tcPr>
          <w:p w14:paraId="6CA7D03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无</w:t>
            </w:r>
          </w:p>
        </w:tc>
      </w:tr>
      <w:tr w14:paraId="567BFE15">
        <w:tblPrEx>
          <w:tblCellMar>
            <w:top w:w="0" w:type="dxa"/>
            <w:left w:w="10" w:type="dxa"/>
            <w:bottom w:w="0" w:type="dxa"/>
            <w:right w:w="10" w:type="dxa"/>
          </w:tblCellMar>
        </w:tblPrEx>
        <w:tc>
          <w:tcPr>
            <w:tcW w:w="2070" w:type="dxa"/>
            <w:tcBorders>
              <w:top w:val="nil"/>
              <w:left w:val="nil"/>
              <w:bottom w:val="nil"/>
              <w:right w:val="nil"/>
            </w:tcBorders>
            <w:shd w:val="clear" w:color="auto" w:fill="FFFFFF"/>
            <w:tcMar>
              <w:top w:w="60" w:type="dxa"/>
              <w:left w:w="120" w:type="dxa"/>
              <w:bottom w:w="30" w:type="dxa"/>
              <w:right w:w="120" w:type="dxa"/>
            </w:tcMar>
          </w:tcPr>
          <w:p w14:paraId="2F5000F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敏感数据泄露测试</w:t>
            </w:r>
          </w:p>
        </w:tc>
        <w:tc>
          <w:tcPr>
            <w:tcW w:w="2317" w:type="dxa"/>
            <w:tcBorders>
              <w:top w:val="nil"/>
              <w:left w:val="nil"/>
              <w:bottom w:val="nil"/>
              <w:right w:val="nil"/>
            </w:tcBorders>
            <w:shd w:val="clear" w:color="auto" w:fill="FFFFFF"/>
            <w:tcMar>
              <w:top w:w="60" w:type="dxa"/>
              <w:left w:w="120" w:type="dxa"/>
              <w:bottom w:w="30" w:type="dxa"/>
              <w:right w:w="120" w:type="dxa"/>
            </w:tcMar>
          </w:tcPr>
          <w:p w14:paraId="5A5F228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普通用户仅能查看脱敏后的客户信息（隐藏手机号中间4位），无敏感数据泄露</w:t>
            </w:r>
          </w:p>
        </w:tc>
        <w:tc>
          <w:tcPr>
            <w:tcW w:w="1823" w:type="dxa"/>
            <w:tcBorders>
              <w:top w:val="nil"/>
              <w:left w:val="nil"/>
              <w:bottom w:val="nil"/>
              <w:right w:val="nil"/>
            </w:tcBorders>
            <w:shd w:val="clear" w:color="auto" w:fill="FFFFFF"/>
            <w:tcMar>
              <w:top w:w="60" w:type="dxa"/>
              <w:left w:w="120" w:type="dxa"/>
              <w:bottom w:w="30" w:type="dxa"/>
              <w:right w:w="120" w:type="dxa"/>
            </w:tcMar>
          </w:tcPr>
          <w:p w14:paraId="3DAFEB6E">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低</w:t>
            </w:r>
          </w:p>
        </w:tc>
        <w:tc>
          <w:tcPr>
            <w:tcW w:w="2070" w:type="dxa"/>
            <w:tcBorders>
              <w:top w:val="nil"/>
              <w:left w:val="nil"/>
              <w:bottom w:val="nil"/>
              <w:right w:val="nil"/>
            </w:tcBorders>
            <w:shd w:val="clear" w:color="auto" w:fill="FFFFFF"/>
            <w:tcMar>
              <w:top w:w="60" w:type="dxa"/>
              <w:left w:w="120" w:type="dxa"/>
              <w:bottom w:w="30" w:type="dxa"/>
              <w:right w:w="120" w:type="dxa"/>
            </w:tcMar>
          </w:tcPr>
          <w:p w14:paraId="1607DEC2">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补充财务数据脱敏规则（隐藏金额小数位）</w:t>
            </w:r>
          </w:p>
        </w:tc>
      </w:tr>
      <w:tr w14:paraId="7D7873AB">
        <w:tblPrEx>
          <w:tblCellMar>
            <w:top w:w="0" w:type="dxa"/>
            <w:left w:w="10" w:type="dxa"/>
            <w:bottom w:w="0" w:type="dxa"/>
            <w:right w:w="10" w:type="dxa"/>
          </w:tblCellMar>
        </w:tblPrEx>
        <w:tc>
          <w:tcPr>
            <w:tcW w:w="2070" w:type="dxa"/>
            <w:tcBorders>
              <w:top w:val="nil"/>
              <w:left w:val="nil"/>
              <w:bottom w:val="single" w:color="000000" w:sz="12" w:space="0"/>
              <w:right w:val="nil"/>
            </w:tcBorders>
            <w:shd w:val="clear" w:color="auto" w:fill="FFFFFF"/>
            <w:tcMar>
              <w:top w:w="60" w:type="dxa"/>
              <w:left w:w="120" w:type="dxa"/>
              <w:bottom w:w="30" w:type="dxa"/>
              <w:right w:w="120" w:type="dxa"/>
            </w:tcMar>
          </w:tcPr>
          <w:p w14:paraId="3E6B157C">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操作日志追溯测试</w:t>
            </w:r>
          </w:p>
        </w:tc>
        <w:tc>
          <w:tcPr>
            <w:tcW w:w="2317" w:type="dxa"/>
            <w:tcBorders>
              <w:top w:val="nil"/>
              <w:left w:val="nil"/>
              <w:bottom w:val="single" w:color="000000" w:sz="12" w:space="0"/>
              <w:right w:val="nil"/>
            </w:tcBorders>
            <w:shd w:val="clear" w:color="auto" w:fill="FFFFFF"/>
            <w:tcMar>
              <w:top w:w="60" w:type="dxa"/>
              <w:left w:w="120" w:type="dxa"/>
              <w:bottom w:w="30" w:type="dxa"/>
              <w:right w:w="120" w:type="dxa"/>
            </w:tcMar>
          </w:tcPr>
          <w:p w14:paraId="11DABD60">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所有角色操作均被完整记录，包括违规操作尝试，日志不可被普通用户/管理员删除</w:t>
            </w:r>
          </w:p>
        </w:tc>
        <w:tc>
          <w:tcPr>
            <w:tcW w:w="1823" w:type="dxa"/>
            <w:tcBorders>
              <w:top w:val="nil"/>
              <w:left w:val="nil"/>
              <w:bottom w:val="single" w:color="000000" w:sz="12" w:space="0"/>
              <w:right w:val="nil"/>
            </w:tcBorders>
            <w:shd w:val="clear" w:color="auto" w:fill="FFFFFF"/>
            <w:tcMar>
              <w:top w:w="60" w:type="dxa"/>
              <w:left w:w="120" w:type="dxa"/>
              <w:bottom w:w="30" w:type="dxa"/>
              <w:right w:w="120" w:type="dxa"/>
            </w:tcMar>
          </w:tcPr>
          <w:p w14:paraId="5C40C3AD">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低</w:t>
            </w:r>
          </w:p>
        </w:tc>
        <w:tc>
          <w:tcPr>
            <w:tcW w:w="2070" w:type="dxa"/>
            <w:tcBorders>
              <w:top w:val="nil"/>
              <w:left w:val="nil"/>
              <w:bottom w:val="single" w:color="000000" w:sz="12" w:space="0"/>
              <w:right w:val="nil"/>
            </w:tcBorders>
            <w:shd w:val="clear" w:color="auto" w:fill="FFFFFF"/>
            <w:tcMar>
              <w:top w:w="60" w:type="dxa"/>
              <w:left w:w="120" w:type="dxa"/>
              <w:bottom w:w="30" w:type="dxa"/>
              <w:right w:w="120" w:type="dxa"/>
            </w:tcMar>
          </w:tcPr>
          <w:p w14:paraId="546D944F">
            <w:pPr>
              <w:pStyle w:val="132"/>
              <w:keepNext w:val="0"/>
              <w:keepLines w:val="0"/>
              <w:pageBreakBefore w:val="0"/>
              <w:widowControl w:val="0"/>
              <w:kinsoku/>
              <w:wordWrap/>
              <w:overflowPunct/>
              <w:topLinePunct w:val="0"/>
              <w:autoSpaceDE/>
              <w:autoSpaceDN/>
              <w:bidi w:val="0"/>
              <w:adjustRightInd/>
              <w:snapToGrid/>
              <w:spacing w:before="0" w:after="0"/>
              <w:textAlignment w:val="auto"/>
              <w:rPr>
                <w:rFonts w:ascii="Times New Roman" w:hAnsi="Times New Roman" w:cs="Times New Roman"/>
                <w:color w:val="000000"/>
                <w:sz w:val="21"/>
                <w:szCs w:val="21"/>
              </w:rPr>
            </w:pPr>
            <w:r>
              <w:rPr>
                <w:rFonts w:ascii="Times New Roman" w:hAnsi="Times New Roman" w:cs="Times New Roman"/>
                <w:color w:val="000000"/>
                <w:sz w:val="21"/>
                <w:szCs w:val="21"/>
              </w:rPr>
              <w:t>增加日志备份机制，防止超级管理员误删日志</w:t>
            </w:r>
          </w:p>
        </w:tc>
      </w:tr>
    </w:tbl>
    <w:p w14:paraId="579E4912">
      <w:pPr>
        <w:spacing w:line="440" w:lineRule="exact"/>
        <w:ind w:firstLine="480" w:firstLineChars="200"/>
        <w:rPr>
          <w:rFonts w:ascii="Calibri" w:hAnsi="Calibri" w:eastAsia="宋体" w:cs="Times New Roman"/>
          <w:b w:val="0"/>
          <w:bCs w:val="0"/>
          <w:sz w:val="24"/>
          <w:szCs w:val="24"/>
        </w:rPr>
      </w:pPr>
      <w:bookmarkStart w:id="194" w:name="_Toc16897"/>
      <w:r>
        <w:rPr>
          <w:rFonts w:hint="eastAsia" w:ascii="Calibri" w:hAnsi="Calibri" w:eastAsia="宋体" w:cs="Times New Roman"/>
          <w:b w:val="0"/>
          <w:bCs w:val="0"/>
          <w:sz w:val="24"/>
          <w:szCs w:val="24"/>
        </w:rPr>
        <w:t>5.5 测试结果分析</w:t>
      </w:r>
      <w:bookmarkEnd w:id="194"/>
    </w:p>
    <w:p w14:paraId="4804AB03">
      <w:pPr>
        <w:spacing w:line="440" w:lineRule="exact"/>
        <w:ind w:firstLine="480" w:firstLineChars="200"/>
        <w:rPr>
          <w:rFonts w:ascii="Times New Roman" w:hAnsi="Times New Roman"/>
          <w:sz w:val="24"/>
        </w:rPr>
      </w:pPr>
      <w:r>
        <w:rPr>
          <w:rFonts w:ascii="Times New Roman" w:hAnsi="Times New Roman"/>
          <w:sz w:val="24"/>
        </w:rPr>
        <w:t>功能测试：整体通过率96.1%，未通过问题均为细节优化类（如批量禁用用户保护、图片上传提示），无核心功能缺陷，且各角色权限边界清晰，无越权操作风险；</w:t>
      </w:r>
    </w:p>
    <w:p w14:paraId="45995CFF">
      <w:pPr>
        <w:spacing w:line="440" w:lineRule="exact"/>
        <w:ind w:firstLine="480" w:firstLineChars="200"/>
        <w:rPr>
          <w:rFonts w:ascii="Times New Roman" w:hAnsi="Times New Roman"/>
          <w:sz w:val="24"/>
        </w:rPr>
      </w:pPr>
      <w:r>
        <w:rPr>
          <w:rFonts w:ascii="Times New Roman" w:hAnsi="Times New Roman"/>
          <w:sz w:val="24"/>
        </w:rPr>
        <w:t>性能测试：在50人以内的角色混合并发场景下，系统响应效率符合预期，80人高并发场景下略超阈值，可通过数据库优化解决，满足企业日常运营需求；</w:t>
      </w:r>
    </w:p>
    <w:p w14:paraId="15C9E23F">
      <w:pPr>
        <w:spacing w:line="440" w:lineRule="exact"/>
        <w:ind w:firstLine="480" w:firstLineChars="200"/>
        <w:rPr>
          <w:rFonts w:ascii="Times New Roman" w:hAnsi="Times New Roman"/>
          <w:sz w:val="24"/>
        </w:rPr>
      </w:pPr>
      <w:r>
        <w:rPr>
          <w:rFonts w:ascii="Times New Roman" w:hAnsi="Times New Roman"/>
          <w:sz w:val="24"/>
        </w:rPr>
        <w:t>安全性测试：角色权限隔离机制有效，无核心安全漏洞，仅需补充少量数据脱敏规则；</w:t>
      </w:r>
    </w:p>
    <w:p w14:paraId="33A45E4C">
      <w:pPr>
        <w:spacing w:line="440" w:lineRule="exact"/>
        <w:ind w:firstLine="480" w:firstLineChars="200"/>
        <w:rPr>
          <w:rFonts w:ascii="Times New Roman" w:hAnsi="Times New Roman"/>
          <w:sz w:val="24"/>
        </w:rPr>
      </w:pPr>
      <w:r>
        <w:rPr>
          <w:rFonts w:ascii="Times New Roman" w:hAnsi="Times New Roman"/>
          <w:sz w:val="24"/>
        </w:rPr>
        <w:t>易用性测试：各角色反馈核心操作流程贴合实际业务习惯，普通用户平均上手时间≤20分钟，管理员/超级管理员上手时间≤30分钟，仅需优化部分按钮布局（如技师工单处理页面的“完成工单”按钮位置）。</w:t>
      </w:r>
    </w:p>
    <w:p w14:paraId="7EA5D9B4">
      <w:pPr>
        <w:spacing w:line="440" w:lineRule="exact"/>
        <w:ind w:firstLine="480" w:firstLineChars="200"/>
        <w:rPr>
          <w:rFonts w:ascii="Times New Roman" w:hAnsi="Times New Roman"/>
          <w:sz w:val="24"/>
        </w:rPr>
      </w:pPr>
      <w:r>
        <w:rPr>
          <w:rFonts w:ascii="Times New Roman" w:hAnsi="Times New Roman"/>
          <w:sz w:val="24"/>
        </w:rPr>
        <w:t>综上，系统在角色权限管控、核心功能实现、性能与安全性方面均满足设计要求，未通过问题可在上线前完成修复，具备交付使用条件。</w:t>
      </w:r>
    </w:p>
    <w:p w14:paraId="4245C1D5">
      <w:pPr>
        <w:keepNext/>
        <w:keepLines/>
        <w:pageBreakBefore w:val="0"/>
        <w:widowControl w:val="0"/>
        <w:kinsoku/>
        <w:wordWrap/>
        <w:overflowPunct/>
        <w:topLinePunct w:val="0"/>
        <w:autoSpaceDE/>
        <w:autoSpaceDN/>
        <w:bidi w:val="0"/>
        <w:adjustRightInd/>
        <w:snapToGrid/>
        <w:jc w:val="left"/>
        <w:textAlignment w:val="auto"/>
        <w:outlineLvl w:val="9"/>
        <w:rPr>
          <w:rFonts w:ascii="Times New Roman" w:hAnsi="Times New Roman"/>
          <w:sz w:val="28"/>
          <w:szCs w:val="28"/>
        </w:rPr>
      </w:pPr>
      <w:bookmarkStart w:id="195" w:name="_Toc18407"/>
      <w:bookmarkStart w:id="196" w:name="_Toc21627"/>
      <w:r>
        <w:rPr>
          <w:rFonts w:ascii="Times New Roman" w:hAnsi="Times New Roman"/>
          <w:sz w:val="28"/>
          <w:szCs w:val="28"/>
        </w:rPr>
        <w:t>6 总结</w:t>
      </w:r>
      <w:bookmarkEnd w:id="177"/>
      <w:bookmarkEnd w:id="178"/>
      <w:bookmarkEnd w:id="195"/>
      <w:bookmarkEnd w:id="196"/>
    </w:p>
    <w:p w14:paraId="1172AE07">
      <w:pPr>
        <w:spacing w:line="440" w:lineRule="exact"/>
        <w:ind w:firstLine="480" w:firstLineChars="200"/>
        <w:rPr>
          <w:rFonts w:ascii="Calibri" w:hAnsi="Calibri" w:eastAsia="宋体" w:cs="Times New Roman"/>
          <w:b w:val="0"/>
          <w:bCs w:val="0"/>
          <w:sz w:val="24"/>
          <w:szCs w:val="24"/>
        </w:rPr>
      </w:pPr>
      <w:bookmarkStart w:id="197" w:name="_Toc5013"/>
      <w:bookmarkStart w:id="198" w:name="heading_59"/>
      <w:bookmarkStart w:id="199" w:name="_Toc9958"/>
      <w:r>
        <w:rPr>
          <w:rFonts w:hint="eastAsia" w:ascii="Calibri" w:hAnsi="Calibri" w:eastAsia="宋体" w:cs="Times New Roman"/>
          <w:b w:val="0"/>
          <w:bCs w:val="0"/>
          <w:sz w:val="24"/>
          <w:szCs w:val="24"/>
        </w:rPr>
        <w:t>6.1 项目成果</w:t>
      </w:r>
      <w:bookmarkEnd w:id="197"/>
      <w:bookmarkEnd w:id="198"/>
      <w:bookmarkEnd w:id="199"/>
    </w:p>
    <w:p w14:paraId="6ED99963">
      <w:pPr>
        <w:spacing w:line="440" w:lineRule="exact"/>
        <w:ind w:firstLine="480" w:firstLineChars="200"/>
        <w:rPr>
          <w:rFonts w:ascii="宋体" w:hAnsi="宋体" w:eastAsia="宋体" w:cs="宋体"/>
          <w:sz w:val="24"/>
        </w:rPr>
      </w:pPr>
      <w:r>
        <w:rPr>
          <w:rFonts w:hint="eastAsia" w:ascii="宋体" w:hAnsi="宋体" w:eastAsia="宋体" w:cs="宋体"/>
          <w:sz w:val="24"/>
        </w:rPr>
        <w:t>本项目成功设计并实现了二手车全链路管理系统，完成了预期的核心目标与功能，主要成果如下：</w:t>
      </w:r>
    </w:p>
    <w:p w14:paraId="2844BF59">
      <w:pPr>
        <w:spacing w:line="440" w:lineRule="exact"/>
        <w:ind w:firstLine="480" w:firstLineChars="200"/>
        <w:rPr>
          <w:rFonts w:ascii="宋体" w:hAnsi="宋体" w:eastAsia="宋体" w:cs="宋体"/>
          <w:sz w:val="24"/>
        </w:rPr>
      </w:pPr>
      <w:r>
        <w:rPr>
          <w:rFonts w:hint="eastAsia" w:ascii="宋体" w:hAnsi="宋体" w:eastAsia="宋体" w:cs="宋体"/>
          <w:sz w:val="24"/>
        </w:rPr>
        <w:t>系统功能完备：实现了客户管理、预约服务、保养管理、维修管理、库存管理、数据分析、系统管理7大核心模块，覆盖二手车业务全流程，满足P0、P1级需求；</w:t>
      </w:r>
    </w:p>
    <w:p w14:paraId="1112A482">
      <w:pPr>
        <w:spacing w:line="440" w:lineRule="exact"/>
        <w:ind w:firstLine="480" w:firstLineChars="200"/>
        <w:rPr>
          <w:rFonts w:ascii="宋体" w:hAnsi="宋体" w:eastAsia="宋体" w:cs="宋体"/>
          <w:sz w:val="24"/>
        </w:rPr>
      </w:pPr>
      <w:r>
        <w:rPr>
          <w:rFonts w:hint="eastAsia" w:ascii="宋体" w:hAnsi="宋体" w:eastAsia="宋体" w:cs="宋体"/>
          <w:sz w:val="24"/>
        </w:rPr>
        <w:t>技术架构稳定：采用前后端分离架构，基于SpringBoot、Vue、MySQL等成熟技术，保障系统高内聚、低耦合，具备良好的可维护性与扩展性；</w:t>
      </w:r>
    </w:p>
    <w:p w14:paraId="3FA05F85">
      <w:pPr>
        <w:spacing w:line="440" w:lineRule="exact"/>
        <w:ind w:firstLine="480" w:firstLineChars="200"/>
        <w:rPr>
          <w:rFonts w:ascii="宋体" w:hAnsi="宋体" w:eastAsia="宋体" w:cs="宋体"/>
          <w:sz w:val="24"/>
        </w:rPr>
      </w:pPr>
      <w:r>
        <w:rPr>
          <w:rFonts w:hint="eastAsia" w:ascii="宋体" w:hAnsi="宋体" w:eastAsia="宋体" w:cs="宋体"/>
          <w:sz w:val="24"/>
        </w:rPr>
        <w:t>实际应用价值：系统实现了业务流程数字化，解决了传统管理模式的痛点。经测试，系统可降低50%人工记录与统计成本，提升30%业务处理效率，为企业提供数据驱动的决策支持；</w:t>
      </w:r>
    </w:p>
    <w:p w14:paraId="4DC210B0">
      <w:pPr>
        <w:spacing w:before="0" w:after="0" w:line="440" w:lineRule="exact"/>
        <w:ind w:firstLine="482"/>
        <w:outlineLvl w:val="9"/>
        <w:rPr>
          <w:rFonts w:ascii="宋体" w:hAnsi="宋体" w:eastAsia="宋体" w:cs="宋体"/>
          <w:b w:val="0"/>
          <w:bCs w:val="0"/>
          <w:sz w:val="24"/>
          <w:szCs w:val="24"/>
        </w:rPr>
      </w:pPr>
      <w:bookmarkStart w:id="200" w:name="heading_60"/>
      <w:bookmarkStart w:id="201" w:name="_Toc10908"/>
      <w:bookmarkStart w:id="202" w:name="_Toc3710"/>
      <w:r>
        <w:rPr>
          <w:rFonts w:hint="eastAsia" w:ascii="宋体" w:hAnsi="宋体" w:eastAsia="宋体" w:cs="宋体"/>
          <w:b w:val="0"/>
          <w:bCs w:val="0"/>
          <w:sz w:val="24"/>
          <w:szCs w:val="24"/>
        </w:rPr>
        <w:t>6.2 问题与改进</w:t>
      </w:r>
      <w:bookmarkEnd w:id="200"/>
      <w:bookmarkEnd w:id="201"/>
      <w:bookmarkEnd w:id="202"/>
    </w:p>
    <w:p w14:paraId="02E89CB2">
      <w:pPr>
        <w:spacing w:before="0" w:after="0" w:line="440" w:lineRule="exact"/>
        <w:ind w:firstLine="482"/>
        <w:outlineLvl w:val="9"/>
        <w:rPr>
          <w:rFonts w:ascii="宋体" w:hAnsi="宋体" w:eastAsia="宋体" w:cs="宋体"/>
          <w:b w:val="0"/>
          <w:bCs w:val="0"/>
          <w:sz w:val="24"/>
          <w:szCs w:val="24"/>
        </w:rPr>
      </w:pPr>
      <w:bookmarkStart w:id="203" w:name="heading_61"/>
      <w:r>
        <w:rPr>
          <w:rFonts w:hint="eastAsia" w:ascii="宋体" w:hAnsi="宋体" w:eastAsia="宋体" w:cs="宋体"/>
          <w:b w:val="0"/>
          <w:bCs w:val="0"/>
          <w:sz w:val="24"/>
          <w:szCs w:val="24"/>
        </w:rPr>
        <w:t>6.2.1 项目中遇到的问题</w:t>
      </w:r>
      <w:bookmarkEnd w:id="203"/>
    </w:p>
    <w:p w14:paraId="3222A1AA">
      <w:pPr>
        <w:spacing w:line="440" w:lineRule="exact"/>
        <w:ind w:firstLine="480" w:firstLineChars="200"/>
        <w:outlineLvl w:val="9"/>
        <w:rPr>
          <w:rFonts w:ascii="宋体" w:hAnsi="宋体" w:eastAsia="宋体" w:cs="宋体"/>
          <w:sz w:val="24"/>
        </w:rPr>
      </w:pPr>
      <w:r>
        <w:rPr>
          <w:rFonts w:hint="eastAsia" w:ascii="宋体" w:hAnsi="宋体" w:eastAsia="宋体" w:cs="宋体"/>
          <w:sz w:val="24"/>
        </w:rPr>
        <w:t>（1）技术问题：开发初期遇到前后端数据交互格式不一致、跨域访问权限受限等问题；后期性能测试中发现高并发场景下数据库查询效率不足；</w:t>
      </w:r>
    </w:p>
    <w:p w14:paraId="6BA5EE3F">
      <w:pPr>
        <w:spacing w:line="440" w:lineRule="exact"/>
        <w:ind w:firstLine="480" w:firstLineChars="200"/>
        <w:outlineLvl w:val="9"/>
        <w:rPr>
          <w:rFonts w:ascii="宋体" w:hAnsi="宋体" w:eastAsia="宋体" w:cs="宋体"/>
          <w:sz w:val="24"/>
        </w:rPr>
      </w:pPr>
      <w:r>
        <w:rPr>
          <w:rFonts w:hint="eastAsia" w:ascii="宋体" w:hAnsi="宋体" w:eastAsia="宋体" w:cs="宋体"/>
          <w:sz w:val="24"/>
        </w:rPr>
        <w:t>（2）需求问题：部分需求描述不够明确（如库存预警的触发机制），导致初期开发与实际需求存在偏差，需反复沟通确认；</w:t>
      </w:r>
    </w:p>
    <w:p w14:paraId="140DA630">
      <w:pPr>
        <w:spacing w:line="440" w:lineRule="exact"/>
        <w:ind w:firstLine="480" w:firstLineChars="200"/>
        <w:outlineLvl w:val="9"/>
        <w:rPr>
          <w:rFonts w:ascii="宋体" w:hAnsi="宋体" w:eastAsia="宋体" w:cs="宋体"/>
          <w:sz w:val="24"/>
        </w:rPr>
      </w:pPr>
      <w:r>
        <w:rPr>
          <w:rFonts w:hint="eastAsia" w:ascii="宋体" w:hAnsi="宋体" w:eastAsia="宋体" w:cs="宋体"/>
          <w:sz w:val="24"/>
        </w:rPr>
        <w:t>（3）协作问题：前后端开发进度不同步，部分接口变更未及时同步，导致前端开发受阻。</w:t>
      </w:r>
    </w:p>
    <w:p w14:paraId="0362D5EE">
      <w:pPr>
        <w:spacing w:line="440" w:lineRule="exact"/>
        <w:ind w:firstLine="480" w:firstLineChars="200"/>
        <w:outlineLvl w:val="9"/>
        <w:rPr>
          <w:rFonts w:ascii="Calibri" w:hAnsi="Calibri" w:eastAsia="宋体" w:cs="Times New Roman"/>
          <w:b w:val="0"/>
          <w:bCs w:val="0"/>
          <w:sz w:val="24"/>
          <w:szCs w:val="24"/>
        </w:rPr>
      </w:pPr>
      <w:bookmarkStart w:id="204" w:name="heading_62"/>
      <w:r>
        <w:rPr>
          <w:rFonts w:hint="eastAsia" w:ascii="Calibri" w:hAnsi="Calibri" w:eastAsia="宋体" w:cs="Times New Roman"/>
          <w:b w:val="0"/>
          <w:bCs w:val="0"/>
          <w:sz w:val="24"/>
          <w:szCs w:val="24"/>
        </w:rPr>
        <w:t>6.2.2 改进方向</w:t>
      </w:r>
      <w:bookmarkEnd w:id="204"/>
    </w:p>
    <w:p w14:paraId="072A5A73">
      <w:pPr>
        <w:spacing w:line="440" w:lineRule="exact"/>
        <w:ind w:firstLine="480" w:firstLineChars="200"/>
        <w:rPr>
          <w:rFonts w:ascii="宋体" w:hAnsi="宋体" w:eastAsia="宋体" w:cs="宋体"/>
          <w:sz w:val="24"/>
        </w:rPr>
      </w:pPr>
      <w:r>
        <w:rPr>
          <w:rFonts w:hint="eastAsia" w:ascii="宋体" w:hAnsi="宋体" w:eastAsia="宋体" w:cs="宋体"/>
          <w:sz w:val="24"/>
        </w:rPr>
        <w:t>（1）技术优化：优化数据库索引设计，提升查询效率；增加Redis缓存热点数据（如客户信息、库存数据），提升高并发场景下的系统性能；</w:t>
      </w:r>
    </w:p>
    <w:p w14:paraId="2C0217DB">
      <w:pPr>
        <w:spacing w:line="440" w:lineRule="exact"/>
        <w:ind w:firstLine="480" w:firstLineChars="200"/>
        <w:rPr>
          <w:rFonts w:ascii="宋体" w:hAnsi="宋体" w:eastAsia="宋体" w:cs="宋体"/>
          <w:sz w:val="24"/>
        </w:rPr>
      </w:pPr>
      <w:r>
        <w:rPr>
          <w:rFonts w:hint="eastAsia" w:ascii="宋体" w:hAnsi="宋体" w:eastAsia="宋体" w:cs="宋体"/>
          <w:sz w:val="24"/>
        </w:rPr>
        <w:t>（2）功能拓展：后续将实现P2级拓展需求，包括移动端适配（支持手机端查看工单、处理预约）、智能故障诊断（基于故障描述推荐维修方案）、企业微信/短信推送集成（自动发送预约提醒、保养到期通知）；</w:t>
      </w:r>
    </w:p>
    <w:p w14:paraId="2F94B16E">
      <w:pPr>
        <w:spacing w:line="440" w:lineRule="exact"/>
        <w:ind w:firstLine="480" w:firstLineChars="200"/>
        <w:rPr>
          <w:rFonts w:ascii="宋体" w:hAnsi="宋体" w:eastAsia="宋体" w:cs="宋体"/>
          <w:sz w:val="24"/>
        </w:rPr>
      </w:pPr>
      <w:r>
        <w:rPr>
          <w:rFonts w:hint="eastAsia" w:ascii="宋体" w:hAnsi="宋体" w:eastAsia="宋体" w:cs="宋体"/>
          <w:sz w:val="24"/>
        </w:rPr>
        <w:t>（3）流程优化：完善需求调研与沟通机制，采用原型图确认需求后再进入开发；建立接口变更同步机制，使用协同工具（如Git、Jira）跟踪开发进度，提升团队协作效率。</w:t>
      </w:r>
    </w:p>
    <w:p w14:paraId="1158FC72">
      <w:pPr>
        <w:spacing w:line="440" w:lineRule="exact"/>
        <w:ind w:firstLine="480" w:firstLineChars="200"/>
        <w:rPr>
          <w:rFonts w:ascii="Calibri" w:hAnsi="Calibri" w:eastAsia="宋体" w:cs="Times New Roman"/>
          <w:b w:val="0"/>
          <w:bCs w:val="0"/>
          <w:sz w:val="24"/>
          <w:szCs w:val="24"/>
        </w:rPr>
      </w:pPr>
      <w:bookmarkStart w:id="205" w:name="_Toc7283"/>
      <w:bookmarkStart w:id="206" w:name="heading_63"/>
      <w:bookmarkStart w:id="207" w:name="_Toc188"/>
      <w:r>
        <w:rPr>
          <w:rFonts w:hint="eastAsia" w:ascii="Calibri" w:hAnsi="Calibri" w:eastAsia="宋体" w:cs="Times New Roman"/>
          <w:b w:val="0"/>
          <w:bCs w:val="0"/>
          <w:sz w:val="24"/>
          <w:szCs w:val="24"/>
        </w:rPr>
        <w:t>6.3 项目体会</w:t>
      </w:r>
      <w:bookmarkEnd w:id="205"/>
      <w:bookmarkEnd w:id="206"/>
      <w:bookmarkEnd w:id="207"/>
    </w:p>
    <w:p w14:paraId="7632CBE7">
      <w:pPr>
        <w:spacing w:line="440" w:lineRule="exact"/>
        <w:ind w:firstLine="480" w:firstLineChars="200"/>
        <w:rPr>
          <w:rFonts w:ascii="宋体" w:hAnsi="宋体" w:eastAsia="宋体" w:cs="宋体"/>
          <w:sz w:val="24"/>
        </w:rPr>
      </w:pPr>
      <w:r>
        <w:rPr>
          <w:rFonts w:hint="eastAsia" w:ascii="宋体" w:hAnsi="宋体" w:eastAsia="宋体" w:cs="宋体"/>
          <w:sz w:val="24"/>
        </w:rPr>
        <w:t>通过本次二手车全链路管理系统的开发，团队成员在技术能力、项目管理、协作沟通等方面均获得了显著提升：</w:t>
      </w:r>
    </w:p>
    <w:p w14:paraId="2264421C">
      <w:pPr>
        <w:spacing w:line="440" w:lineRule="exact"/>
        <w:ind w:firstLine="480" w:firstLineChars="200"/>
        <w:rPr>
          <w:rFonts w:ascii="宋体" w:hAnsi="宋体" w:eastAsia="宋体" w:cs="宋体"/>
          <w:sz w:val="24"/>
        </w:rPr>
      </w:pPr>
      <w:r>
        <w:rPr>
          <w:rFonts w:hint="eastAsia" w:ascii="宋体" w:hAnsi="宋体" w:eastAsia="宋体" w:cs="宋体"/>
          <w:sz w:val="24"/>
        </w:rPr>
        <w:t>技术能力提升：深入掌握了SpringBoot、Vue等框架的实际应用，熟悉了前后端分离架构的开发流程，学会了数据库优化、性能测试等实用技能；</w:t>
      </w:r>
    </w:p>
    <w:p w14:paraId="01EF768E">
      <w:pPr>
        <w:spacing w:line="440" w:lineRule="exact"/>
        <w:ind w:firstLine="480" w:firstLineChars="200"/>
        <w:rPr>
          <w:rFonts w:ascii="宋体" w:hAnsi="宋体" w:eastAsia="宋体" w:cs="宋体"/>
          <w:sz w:val="24"/>
        </w:rPr>
      </w:pPr>
      <w:r>
        <w:rPr>
          <w:rFonts w:hint="eastAsia" w:ascii="宋体" w:hAnsi="宋体" w:eastAsia="宋体" w:cs="宋体"/>
          <w:sz w:val="24"/>
        </w:rPr>
        <w:t>项目管理认知：理解了需求分析、系统设计、开发实现、测试部署等项目全流程的重要性，学会了使用MoSCoW方法划分需求优先级，合理分配开发资源；</w:t>
      </w:r>
    </w:p>
    <w:p w14:paraId="43D88A2E">
      <w:pPr>
        <w:spacing w:line="440" w:lineRule="exact"/>
        <w:ind w:firstLine="480" w:firstLineChars="200"/>
        <w:rPr>
          <w:rFonts w:ascii="宋体" w:hAnsi="宋体" w:eastAsia="宋体" w:cs="宋体"/>
          <w:sz w:val="24"/>
        </w:rPr>
      </w:pPr>
      <w:r>
        <w:rPr>
          <w:rFonts w:hint="eastAsia" w:ascii="宋体" w:hAnsi="宋体" w:eastAsia="宋体" w:cs="宋体"/>
          <w:sz w:val="24"/>
        </w:rPr>
        <w:t>协作沟通技巧：体会到团队协作中“及时同步、明确分工、相互支持”的重要性，学会了通过高效沟通解决需求偏差、进度不同步等问题；</w:t>
      </w:r>
    </w:p>
    <w:p w14:paraId="7781889E">
      <w:pPr>
        <w:spacing w:line="440" w:lineRule="exact"/>
        <w:ind w:firstLine="480" w:firstLineChars="200"/>
        <w:rPr>
          <w:rFonts w:ascii="宋体" w:hAnsi="宋体" w:eastAsia="宋体" w:cs="宋体"/>
          <w:sz w:val="24"/>
        </w:rPr>
      </w:pPr>
      <w:r>
        <w:rPr>
          <w:rFonts w:hint="eastAsia" w:ascii="宋体" w:hAnsi="宋体" w:eastAsia="宋体" w:cs="宋体"/>
          <w:sz w:val="24"/>
        </w:rPr>
        <w:t>工程实践思维：树立了“以用户需求为核心”的开发理念，注重系统的实用性与易用性，不再单纯追求技术复杂度，而是平衡技术实现与实际应用价值。</w:t>
      </w:r>
    </w:p>
    <w:p w14:paraId="6E860680">
      <w:pPr>
        <w:spacing w:line="440" w:lineRule="exact"/>
        <w:ind w:firstLine="480" w:firstLineChars="200"/>
        <w:rPr>
          <w:rFonts w:hint="eastAsia" w:ascii="宋体" w:hAnsi="宋体" w:eastAsia="宋体" w:cs="宋体"/>
          <w:sz w:val="24"/>
        </w:rPr>
      </w:pPr>
      <w:r>
        <w:rPr>
          <w:rFonts w:hint="eastAsia" w:ascii="宋体" w:hAnsi="宋体" w:eastAsia="宋体" w:cs="宋体"/>
          <w:sz w:val="24"/>
        </w:rPr>
        <w:t>本次项目不仅是一次技术实践，更是一次团队协作与工程能力的全面锻炼，为后续参与更复杂的项目积累了宝贵经验。</w:t>
      </w:r>
    </w:p>
    <w:p w14:paraId="16C433F8">
      <w:pPr>
        <w:spacing w:line="440" w:lineRule="exact"/>
        <w:ind w:firstLine="480" w:firstLineChars="200"/>
        <w:outlineLvl w:val="9"/>
        <w:rPr>
          <w:rFonts w:hint="eastAsia" w:ascii="宋体" w:hAnsi="宋体" w:eastAsia="宋体" w:cs="宋体"/>
          <w:sz w:val="24"/>
        </w:rPr>
      </w:pPr>
    </w:p>
    <w:p w14:paraId="6544D820">
      <w:pPr>
        <w:spacing w:line="240" w:lineRule="auto"/>
        <w:outlineLvl w:val="9"/>
        <w:rPr>
          <w:rFonts w:ascii="Times New Roman" w:hAnsi="Times New Roman"/>
          <w:szCs w:val="28"/>
        </w:rPr>
      </w:pPr>
      <w:bookmarkStart w:id="208" w:name="_Toc31057"/>
      <w:bookmarkStart w:id="209" w:name="_Toc20589"/>
      <w:r>
        <w:rPr>
          <w:rFonts w:ascii="Times New Roman" w:hAnsi="Times New Roman"/>
          <w:szCs w:val="28"/>
        </w:rPr>
        <w:t>参考文献</w:t>
      </w:r>
      <w:bookmarkEnd w:id="208"/>
      <w:bookmarkEnd w:id="209"/>
    </w:p>
    <w:p w14:paraId="0A15335A">
      <w:pPr>
        <w:spacing w:line="400" w:lineRule="exact"/>
        <w:ind w:left="420" w:hanging="420" w:hangingChars="200"/>
        <w:rPr>
          <w:rFonts w:ascii="Times New Roman" w:hAnsi="Times New Roman"/>
          <w:szCs w:val="21"/>
        </w:rPr>
      </w:pPr>
      <w:r>
        <w:rPr>
          <w:rFonts w:ascii="Times New Roman" w:hAnsi="Times New Roman"/>
          <w:szCs w:val="21"/>
        </w:rPr>
        <w:t xml:space="preserve">[1]刘春沐阳.全链路创新构建技术“护城河”[N].经济日报,2025-12-09(011). </w:t>
      </w:r>
    </w:p>
    <w:p w14:paraId="7EF9049C">
      <w:pPr>
        <w:spacing w:line="400" w:lineRule="exact"/>
        <w:ind w:left="420" w:hanging="420" w:hangingChars="200"/>
        <w:rPr>
          <w:rFonts w:ascii="Times New Roman" w:hAnsi="Times New Roman"/>
          <w:szCs w:val="21"/>
        </w:rPr>
      </w:pPr>
      <w:r>
        <w:rPr>
          <w:rFonts w:ascii="Times New Roman" w:hAnsi="Times New Roman"/>
          <w:szCs w:val="21"/>
        </w:rPr>
        <w:t>[2]辜良丽,谭跃龙,兰瑶瑶,等. 智能化车辆管理系统的设计与实现——以南阳市卷烟物流配送中心为例[J].中国物流与采购,2025,(20):55-58.</w:t>
      </w:r>
    </w:p>
    <w:p w14:paraId="78F636DC">
      <w:pPr>
        <w:spacing w:line="400" w:lineRule="exact"/>
        <w:ind w:left="420" w:hanging="420" w:hangingChars="200"/>
        <w:rPr>
          <w:rFonts w:ascii="Times New Roman" w:hAnsi="Times New Roman"/>
          <w:szCs w:val="21"/>
        </w:rPr>
      </w:pPr>
      <w:r>
        <w:rPr>
          <w:rFonts w:ascii="Times New Roman" w:hAnsi="Times New Roman"/>
          <w:szCs w:val="21"/>
        </w:rPr>
        <w:t>[3]单好民,蔺守河. 基于物联网技术的施工便道车辆管理系统的设计研究[J].物联网技术,2025,15(18):91-94.</w:t>
      </w:r>
    </w:p>
    <w:p w14:paraId="7DDE101A">
      <w:pPr>
        <w:spacing w:line="400" w:lineRule="exact"/>
        <w:ind w:left="420" w:hanging="420" w:hangingChars="200"/>
        <w:rPr>
          <w:rFonts w:ascii="Times New Roman" w:hAnsi="Times New Roman"/>
          <w:szCs w:val="21"/>
        </w:rPr>
      </w:pPr>
      <w:r>
        <w:rPr>
          <w:rFonts w:ascii="Times New Roman" w:hAnsi="Times New Roman"/>
          <w:szCs w:val="21"/>
        </w:rPr>
        <w:t>[4]何斌斌,陈维杰,林秀斌,等. 基于B/S架构的租赁车辆管理系统的研究与探索[J].电脑编程技巧与维护,2025,(07):97-100+107.</w:t>
      </w:r>
    </w:p>
    <w:p w14:paraId="3A2A5DF6">
      <w:pPr>
        <w:spacing w:line="400" w:lineRule="exact"/>
        <w:ind w:left="420" w:hanging="420" w:hangingChars="200"/>
        <w:rPr>
          <w:rFonts w:ascii="Times New Roman" w:hAnsi="Times New Roman"/>
          <w:szCs w:val="21"/>
        </w:rPr>
      </w:pPr>
      <w:r>
        <w:rPr>
          <w:rFonts w:ascii="Times New Roman" w:hAnsi="Times New Roman"/>
          <w:szCs w:val="21"/>
        </w:rPr>
        <w:t>[5]温素馨. 基于微服务技术架构的智慧车辆管理系统建设[J].城市勘测,2025,(03):128-131.</w:t>
      </w:r>
    </w:p>
    <w:p w14:paraId="667CA4AC">
      <w:pPr>
        <w:spacing w:line="400" w:lineRule="exact"/>
        <w:ind w:left="420" w:hanging="420" w:hangingChars="200"/>
        <w:rPr>
          <w:rFonts w:ascii="Times New Roman" w:hAnsi="Times New Roman"/>
          <w:szCs w:val="21"/>
        </w:rPr>
      </w:pPr>
      <w:r>
        <w:rPr>
          <w:rFonts w:ascii="Times New Roman" w:hAnsi="Times New Roman"/>
          <w:szCs w:val="21"/>
        </w:rPr>
        <w:t>[6]纪明权. 基于软件平台实现车辆调度自动化和可视化的技术应用[J].物流工程与管理,2025,47(06):87-89+105.</w:t>
      </w:r>
    </w:p>
    <w:p w14:paraId="16149910">
      <w:pPr>
        <w:ind w:firstLine="480"/>
        <w:rPr>
          <w:rFonts w:ascii="Times New Roman" w:hAnsi="Times New Roman"/>
        </w:rPr>
      </w:pPr>
    </w:p>
    <w:p w14:paraId="582EAA19">
      <w:pPr>
        <w:rPr>
          <w:rFonts w:ascii="Times New Roman" w:hAnsi="Times New Roman"/>
          <w:sz w:val="28"/>
          <w:szCs w:val="52"/>
        </w:rPr>
      </w:pPr>
    </w:p>
    <w:p w14:paraId="53C660FB">
      <w:pPr>
        <w:pStyle w:val="3"/>
        <w:bidi w:val="0"/>
        <w:rPr>
          <w:rFonts w:hint="eastAsia"/>
        </w:rPr>
      </w:pPr>
      <w:bookmarkStart w:id="210" w:name="_Toc2031"/>
      <w:bookmarkStart w:id="211" w:name="_Toc22111"/>
      <w:r>
        <w:rPr>
          <w:rFonts w:hint="eastAsia"/>
          <w:lang w:val="en-US" w:eastAsia="zh-CN"/>
        </w:rPr>
        <w:t>5.</w:t>
      </w:r>
      <w:r>
        <w:rPr>
          <w:rFonts w:hint="eastAsia"/>
        </w:rPr>
        <w:t>基于SpringBoot的汉服约拍系统的设计与实现</w:t>
      </w:r>
      <w:bookmarkEnd w:id="210"/>
      <w:bookmarkEnd w:id="211"/>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547D83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A5683A3">
            <w:pPr>
              <w:rPr>
                <w:rFonts w:ascii="黑体" w:hAnsi="黑体" w:eastAsia="黑体" w:cs="黑体"/>
                <w:sz w:val="24"/>
              </w:rPr>
            </w:pPr>
            <w:r>
              <w:rPr>
                <w:rFonts w:hint="eastAsia" w:ascii="黑体" w:hAnsi="黑体" w:eastAsia="黑体" w:cs="黑体"/>
                <w:kern w:val="0"/>
                <w:sz w:val="24"/>
              </w:rPr>
              <w:t>项目主题：基于SpringBoot的汉服约拍系统的设计与实现</w:t>
            </w:r>
          </w:p>
        </w:tc>
      </w:tr>
      <w:tr w14:paraId="0E5E18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600261A">
            <w:pPr>
              <w:rPr>
                <w:rFonts w:ascii="黑体" w:hAnsi="黑体" w:eastAsia="黑体" w:cs="黑体"/>
                <w:sz w:val="24"/>
              </w:rPr>
            </w:pPr>
            <w:r>
              <w:rPr>
                <w:rFonts w:hint="eastAsia" w:ascii="黑体" w:hAnsi="黑体" w:eastAsia="黑体" w:cs="黑体"/>
                <w:kern w:val="0"/>
                <w:sz w:val="24"/>
              </w:rPr>
              <w:t>班级：23软件工程本科3班</w:t>
            </w:r>
          </w:p>
        </w:tc>
      </w:tr>
      <w:tr w14:paraId="481541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B65E1B7">
            <w:pPr>
              <w:rPr>
                <w:rFonts w:ascii="黑体" w:hAnsi="黑体" w:eastAsia="黑体" w:cs="黑体"/>
                <w:sz w:val="24"/>
              </w:rPr>
            </w:pPr>
            <w:r>
              <w:rPr>
                <w:rFonts w:hint="eastAsia" w:ascii="黑体" w:hAnsi="黑体" w:eastAsia="黑体" w:cs="黑体"/>
                <w:kern w:val="0"/>
                <w:sz w:val="24"/>
              </w:rPr>
              <w:t>学生姓名：赖俊安 蓝文凯 李云龙 黄锦平          指导教师：欧阳鼎 黄卓</w:t>
            </w:r>
          </w:p>
        </w:tc>
      </w:tr>
    </w:tbl>
    <w:p w14:paraId="0DD1EB9F">
      <w:pPr>
        <w:keepNext w:val="0"/>
        <w:keepLines w:val="0"/>
        <w:pageBreakBefore w:val="0"/>
        <w:widowControl w:val="0"/>
        <w:kinsoku/>
        <w:wordWrap/>
        <w:overflowPunct/>
        <w:topLinePunct w:val="0"/>
        <w:autoSpaceDE/>
        <w:autoSpaceDN/>
        <w:bidi w:val="0"/>
        <w:adjustRightInd/>
        <w:snapToGrid/>
        <w:spacing w:line="440" w:lineRule="exact"/>
        <w:jc w:val="left"/>
        <w:textAlignment w:val="auto"/>
        <w:outlineLvl w:val="9"/>
        <w:rPr>
          <w:b/>
          <w:bCs/>
          <w:sz w:val="28"/>
          <w:szCs w:val="28"/>
        </w:rPr>
      </w:pPr>
      <w:bookmarkStart w:id="212" w:name="_Toc26736"/>
      <w:r>
        <w:rPr>
          <w:rFonts w:hint="eastAsia"/>
          <w:b/>
          <w:bCs/>
          <w:sz w:val="28"/>
          <w:szCs w:val="28"/>
        </w:rPr>
        <w:t>1 项目概述</w:t>
      </w:r>
      <w:bookmarkEnd w:id="212"/>
    </w:p>
    <w:p w14:paraId="4683CC47">
      <w:pPr>
        <w:numPr>
          <w:ilvl w:val="1"/>
          <w:numId w:val="0"/>
        </w:numPr>
        <w:spacing w:line="440" w:lineRule="exact"/>
        <w:ind w:firstLine="480" w:firstLineChars="200"/>
        <w:jc w:val="left"/>
        <w:outlineLvl w:val="9"/>
        <w:rPr>
          <w:rFonts w:ascii="宋体" w:hAnsi="宋体" w:cs="宋体"/>
          <w:sz w:val="24"/>
        </w:rPr>
      </w:pPr>
      <w:bookmarkStart w:id="213" w:name="_Toc17843"/>
      <w:bookmarkStart w:id="214" w:name="_Toc29277"/>
      <w:bookmarkStart w:id="215" w:name="_Toc21186"/>
      <w:bookmarkStart w:id="216" w:name="_Toc5873"/>
      <w:bookmarkStart w:id="217" w:name="_Toc1227"/>
      <w:r>
        <w:rPr>
          <w:rFonts w:ascii="宋体" w:hAnsi="宋体" w:eastAsia="宋体" w:cs="宋体"/>
          <w:sz w:val="24"/>
        </w:rPr>
        <w:t>1.1</w:t>
      </w:r>
      <w:r>
        <w:rPr>
          <w:rFonts w:hint="eastAsia" w:ascii="宋体" w:hAnsi="宋体" w:cs="宋体"/>
          <w:sz w:val="24"/>
        </w:rPr>
        <w:t>项目介绍</w:t>
      </w:r>
      <w:bookmarkEnd w:id="213"/>
      <w:bookmarkEnd w:id="214"/>
      <w:bookmarkEnd w:id="215"/>
      <w:bookmarkEnd w:id="216"/>
      <w:bookmarkEnd w:id="217"/>
    </w:p>
    <w:p w14:paraId="32E378A8">
      <w:pPr>
        <w:numPr>
          <w:ilvl w:val="1"/>
          <w:numId w:val="0"/>
        </w:numPr>
        <w:spacing w:line="440" w:lineRule="exact"/>
        <w:ind w:firstLine="480" w:firstLineChars="200"/>
        <w:rPr>
          <w:rFonts w:ascii="宋体" w:hAnsi="宋体" w:cs="宋体"/>
          <w:color w:val="1F2329"/>
          <w:sz w:val="24"/>
          <w:shd w:val="clear" w:color="auto" w:fill="FFFFFF"/>
        </w:rPr>
      </w:pPr>
      <w:r>
        <w:rPr>
          <w:rFonts w:hint="eastAsia" w:ascii="宋体" w:hAnsi="宋体" w:cs="宋体"/>
          <w:color w:val="1F2329"/>
          <w:sz w:val="24"/>
          <w:shd w:val="clear" w:color="auto" w:fill="FFFFFF"/>
        </w:rPr>
        <w:t>汉服</w:t>
      </w:r>
      <w:r>
        <w:rPr>
          <w:rFonts w:hint="eastAsia" w:ascii="宋体" w:hAnsi="宋体" w:eastAsia="宋体" w:cs="宋体"/>
          <w:color w:val="1F2329"/>
          <w:sz w:val="24"/>
          <w:shd w:val="clear" w:color="auto" w:fill="FFFFFF"/>
        </w:rPr>
        <w:t>约拍系统基于Java技术栈，采用前后端分离模式开发</w:t>
      </w:r>
      <w:r>
        <w:rPr>
          <w:rFonts w:hint="eastAsia" w:ascii="宋体" w:hAnsi="宋体" w:cs="宋体"/>
          <w:color w:val="1F2329"/>
          <w:sz w:val="24"/>
          <w:shd w:val="clear" w:color="auto" w:fill="FFFFFF"/>
        </w:rPr>
        <w:t>,</w:t>
      </w:r>
      <w:r>
        <w:rPr>
          <w:rFonts w:hint="eastAsia" w:ascii="宋体" w:hAnsi="宋体" w:eastAsia="宋体" w:cs="宋体"/>
          <w:color w:val="1F2329"/>
          <w:sz w:val="24"/>
          <w:shd w:val="clear" w:color="auto" w:fill="FFFFFF"/>
        </w:rPr>
        <w:t>后端依托SpringBoot</w:t>
      </w:r>
      <w:r>
        <w:rPr>
          <w:rFonts w:hint="eastAsia" w:ascii="宋体" w:hAnsi="宋体" w:cs="宋体"/>
          <w:color w:val="1F2329"/>
          <w:sz w:val="24"/>
          <w:shd w:val="clear" w:color="auto" w:fill="FFFFFF"/>
        </w:rPr>
        <w:t>与Mybatis-Plus</w:t>
      </w:r>
      <w:r>
        <w:rPr>
          <w:rFonts w:hint="eastAsia" w:ascii="宋体" w:hAnsi="宋体" w:eastAsia="宋体" w:cs="宋体"/>
          <w:color w:val="1F2329"/>
          <w:sz w:val="24"/>
          <w:shd w:val="clear" w:color="auto" w:fill="FFFFFF"/>
        </w:rPr>
        <w:t>搭建高效服务架构，保障业务逻辑的稳定与可扩展；前端结合Vue与Element</w:t>
      </w:r>
      <w:r>
        <w:rPr>
          <w:rFonts w:hint="eastAsia" w:ascii="宋体" w:hAnsi="宋体" w:cs="宋体"/>
          <w:color w:val="1F2329"/>
          <w:sz w:val="24"/>
          <w:shd w:val="clear" w:color="auto" w:fill="FFFFFF"/>
        </w:rPr>
        <w:t>-Plus</w:t>
      </w:r>
      <w:r>
        <w:rPr>
          <w:rFonts w:hint="eastAsia" w:ascii="宋体" w:hAnsi="宋体" w:eastAsia="宋体" w:cs="宋体"/>
          <w:color w:val="1F2329"/>
          <w:sz w:val="24"/>
          <w:shd w:val="clear" w:color="auto" w:fill="FFFFFF"/>
        </w:rPr>
        <w:t>构建轻量化交互界面，适配用户的操作习惯</w:t>
      </w:r>
      <w:r>
        <w:rPr>
          <w:rFonts w:hint="eastAsia" w:ascii="宋体" w:hAnsi="宋体" w:cs="宋体"/>
          <w:color w:val="1F2329"/>
          <w:sz w:val="24"/>
          <w:shd w:val="clear" w:color="auto" w:fill="FFFFFF"/>
        </w:rPr>
        <w:t>.</w:t>
      </w:r>
      <w:r>
        <w:rPr>
          <w:rFonts w:hint="eastAsia" w:ascii="宋体" w:hAnsi="宋体" w:eastAsia="宋体" w:cs="宋体"/>
          <w:color w:val="1F2329"/>
          <w:sz w:val="24"/>
          <w:shd w:val="clear" w:color="auto" w:fill="FFFFFF"/>
        </w:rPr>
        <w:t>同时采用MySQL数据库实现用户、订单、作品等数据的安全存储与高效交互</w:t>
      </w:r>
      <w:r>
        <w:rPr>
          <w:rFonts w:hint="eastAsia" w:ascii="宋体" w:hAnsi="宋体" w:cs="宋体"/>
          <w:color w:val="1F2329"/>
          <w:sz w:val="24"/>
          <w:shd w:val="clear" w:color="auto" w:fill="FFFFFF"/>
        </w:rPr>
        <w:t>.</w:t>
      </w:r>
    </w:p>
    <w:p w14:paraId="7A629BB4">
      <w:pPr>
        <w:numPr>
          <w:ilvl w:val="1"/>
          <w:numId w:val="0"/>
        </w:numPr>
        <w:spacing w:line="440" w:lineRule="exact"/>
        <w:ind w:firstLine="480" w:firstLineChars="200"/>
        <w:jc w:val="left"/>
        <w:rPr>
          <w:rFonts w:ascii="宋体" w:hAnsi="宋体" w:cs="宋体"/>
          <w:color w:val="1F2329"/>
          <w:sz w:val="24"/>
          <w:shd w:val="clear" w:color="auto" w:fill="FFFFFF"/>
        </w:rPr>
      </w:pPr>
      <w:r>
        <w:rPr>
          <w:rFonts w:hint="eastAsia" w:ascii="宋体" w:hAnsi="宋体" w:eastAsia="宋体" w:cs="宋体"/>
          <w:color w:val="1F2329"/>
          <w:sz w:val="24"/>
          <w:shd w:val="clear" w:color="auto" w:fill="FFFFFF"/>
        </w:rPr>
        <w:t>本系统致力于为</w:t>
      </w:r>
      <w:r>
        <w:rPr>
          <w:rFonts w:hint="eastAsia" w:ascii="宋体" w:hAnsi="宋体" w:cs="宋体"/>
          <w:color w:val="1F2329"/>
          <w:sz w:val="24"/>
          <w:shd w:val="clear" w:color="auto" w:fill="FFFFFF"/>
        </w:rPr>
        <w:t>汉服</w:t>
      </w:r>
      <w:r>
        <w:rPr>
          <w:rFonts w:hint="eastAsia" w:ascii="宋体" w:hAnsi="宋体" w:eastAsia="宋体" w:cs="宋体"/>
          <w:color w:val="1F2329"/>
          <w:sz w:val="24"/>
          <w:shd w:val="clear" w:color="auto" w:fill="FFFFFF"/>
        </w:rPr>
        <w:t>摄影服务供需双方提供高效对接的解决方案，打造一套完整的“摄影师-客户”约拍管理体系：通过系统实现摄影师信息展示、客户约拍下单、档期管理、作品交付、订单结算等流程的线上化管理，解决传统约拍中“档期协调繁琐、作品传输零散、订单记录混乱”等痛点，帮助摄影师简化工作流程、提升接单效率，同时为客户提供更透明、便捷的约拍体验。系统功能模块均基于</w:t>
      </w:r>
      <w:r>
        <w:rPr>
          <w:rFonts w:hint="eastAsia" w:ascii="宋体" w:hAnsi="宋体" w:cs="宋体"/>
          <w:color w:val="1F2329"/>
          <w:sz w:val="24"/>
          <w:shd w:val="clear" w:color="auto" w:fill="FFFFFF"/>
        </w:rPr>
        <w:t>汉服</w:t>
      </w:r>
      <w:r>
        <w:rPr>
          <w:rFonts w:hint="eastAsia" w:ascii="宋体" w:hAnsi="宋体" w:eastAsia="宋体" w:cs="宋体"/>
          <w:color w:val="1F2329"/>
          <w:sz w:val="24"/>
          <w:shd w:val="clear" w:color="auto" w:fill="FFFFFF"/>
        </w:rPr>
        <w:t>摄影行业实际业务需求设计，用户信息管理</w:t>
      </w:r>
      <w:r>
        <w:rPr>
          <w:rFonts w:hint="eastAsia" w:ascii="宋体" w:hAnsi="宋体" w:cs="宋体"/>
          <w:color w:val="1F2329"/>
          <w:sz w:val="24"/>
          <w:shd w:val="clear" w:color="auto" w:fill="FFFFFF"/>
        </w:rPr>
        <w:t>,</w:t>
      </w:r>
      <w:r>
        <w:rPr>
          <w:rFonts w:hint="eastAsia" w:ascii="宋体" w:hAnsi="宋体" w:eastAsia="宋体" w:cs="宋体"/>
          <w:color w:val="1F2329"/>
          <w:sz w:val="24"/>
          <w:shd w:val="clear" w:color="auto" w:fill="FFFFFF"/>
        </w:rPr>
        <w:t>约拍流程管理</w:t>
      </w:r>
      <w:r>
        <w:rPr>
          <w:rFonts w:hint="eastAsia" w:ascii="宋体" w:hAnsi="宋体" w:cs="宋体"/>
          <w:color w:val="1F2329"/>
          <w:sz w:val="24"/>
          <w:shd w:val="clear" w:color="auto" w:fill="FFFFFF"/>
        </w:rPr>
        <w:t>,</w:t>
      </w:r>
      <w:r>
        <w:rPr>
          <w:rFonts w:hint="eastAsia" w:ascii="宋体" w:hAnsi="宋体" w:eastAsia="宋体" w:cs="宋体"/>
          <w:color w:val="1F2329"/>
          <w:sz w:val="24"/>
          <w:shd w:val="clear" w:color="auto" w:fill="FFFFFF"/>
        </w:rPr>
        <w:t>作品与订单管理</w:t>
      </w:r>
      <w:r>
        <w:rPr>
          <w:rFonts w:hint="eastAsia" w:ascii="宋体" w:hAnsi="宋体" w:cs="宋体"/>
          <w:color w:val="1F2329"/>
          <w:sz w:val="24"/>
          <w:shd w:val="clear" w:color="auto" w:fill="FFFFFF"/>
        </w:rPr>
        <w:t>,</w:t>
      </w:r>
      <w:r>
        <w:rPr>
          <w:rFonts w:hint="eastAsia" w:ascii="宋体" w:hAnsi="宋体" w:eastAsia="宋体" w:cs="宋体"/>
          <w:color w:val="1F2329"/>
          <w:sz w:val="24"/>
          <w:shd w:val="clear" w:color="auto" w:fill="FFFFFF"/>
        </w:rPr>
        <w:t>数据统计分析</w:t>
      </w:r>
      <w:r>
        <w:rPr>
          <w:rFonts w:hint="eastAsia" w:ascii="宋体" w:hAnsi="宋体" w:cs="宋体"/>
          <w:color w:val="1F2329"/>
          <w:sz w:val="24"/>
          <w:shd w:val="clear" w:color="auto" w:fill="FFFFFF"/>
        </w:rPr>
        <w:t>等。</w:t>
      </w:r>
    </w:p>
    <w:p w14:paraId="11F1C1B2">
      <w:pPr>
        <w:spacing w:line="440" w:lineRule="exact"/>
        <w:ind w:firstLine="480" w:firstLineChars="200"/>
        <w:jc w:val="left"/>
        <w:outlineLvl w:val="9"/>
        <w:rPr>
          <w:rFonts w:ascii="宋体" w:hAnsi="宋体" w:cs="宋体"/>
          <w:sz w:val="24"/>
        </w:rPr>
      </w:pPr>
      <w:bookmarkStart w:id="218" w:name="_Toc7600"/>
      <w:bookmarkStart w:id="219" w:name="_Toc24106"/>
      <w:bookmarkStart w:id="220" w:name="_Toc16066"/>
      <w:bookmarkStart w:id="221" w:name="_Toc10904"/>
      <w:bookmarkStart w:id="222" w:name="_Toc18435"/>
      <w:r>
        <w:rPr>
          <w:rFonts w:hint="eastAsia" w:ascii="宋体" w:hAnsi="宋体" w:cs="宋体"/>
          <w:sz w:val="24"/>
        </w:rPr>
        <w:t>1.2 项目开发环境</w:t>
      </w:r>
      <w:bookmarkEnd w:id="218"/>
      <w:bookmarkEnd w:id="219"/>
      <w:bookmarkEnd w:id="220"/>
      <w:bookmarkEnd w:id="221"/>
      <w:bookmarkEnd w:id="222"/>
    </w:p>
    <w:p w14:paraId="312CABEB">
      <w:pPr>
        <w:spacing w:line="440" w:lineRule="exact"/>
        <w:ind w:firstLine="480" w:firstLineChars="200"/>
        <w:jc w:val="left"/>
        <w:outlineLvl w:val="9"/>
        <w:rPr>
          <w:rFonts w:ascii="宋体" w:hAnsi="宋体" w:eastAsia="宋体" w:cs="宋体"/>
          <w:color w:val="000000"/>
          <w:sz w:val="24"/>
        </w:rPr>
      </w:pPr>
      <w:r>
        <w:rPr>
          <w:rFonts w:hint="eastAsia" w:ascii="宋体" w:hAnsi="宋体" w:eastAsia="宋体" w:cs="宋体"/>
          <w:color w:val="000000"/>
          <w:sz w:val="24"/>
        </w:rPr>
        <w:t>1.2.1运行环境</w:t>
      </w:r>
    </w:p>
    <w:p w14:paraId="048A79B8">
      <w:pPr>
        <w:spacing w:line="440" w:lineRule="exact"/>
        <w:ind w:firstLine="480" w:firstLineChars="200"/>
        <w:jc w:val="left"/>
        <w:outlineLvl w:val="9"/>
      </w:pPr>
      <w:r>
        <w:rPr>
          <w:rFonts w:hint="eastAsia" w:ascii="宋体" w:hAnsi="宋体" w:eastAsia="宋体" w:cs="宋体"/>
          <w:color w:val="000000"/>
          <w:sz w:val="24"/>
        </w:rPr>
        <w:t>（1）操作系统：</w:t>
      </w:r>
      <w:r>
        <w:rPr>
          <w:rFonts w:hint="eastAsia" w:ascii="宋体" w:hAnsi="宋体" w:eastAsia="宋体" w:cs="宋体"/>
          <w:sz w:val="24"/>
          <w:shd w:val="clear" w:color="auto" w:fill="FFFFFF"/>
        </w:rPr>
        <w:t>macOS Sequoia</w:t>
      </w:r>
      <w:r>
        <w:rPr>
          <w:rFonts w:hint="eastAsia" w:ascii="宋体" w:hAnsi="宋体" w:eastAsia="宋体" w:cs="宋体"/>
          <w:color w:val="000000"/>
          <w:sz w:val="24"/>
        </w:rPr>
        <w:t>，适用于系统所需的开发环境。</w:t>
      </w:r>
    </w:p>
    <w:p w14:paraId="732D20C2">
      <w:pPr>
        <w:pStyle w:val="32"/>
        <w:widowControl/>
        <w:spacing w:beforeAutospacing="0" w:afterAutospacing="0" w:line="440" w:lineRule="exact"/>
        <w:ind w:firstLine="480" w:firstLineChars="200"/>
        <w:outlineLvl w:val="9"/>
      </w:pPr>
      <w:r>
        <w:rPr>
          <w:rFonts w:hint="eastAsia" w:ascii="宋体" w:hAnsi="宋体" w:eastAsia="宋体" w:cs="宋体"/>
          <w:color w:val="000000"/>
        </w:rPr>
        <w:t>（2）开发工具：IntelliJ IDEA 2022.2.1，支持系统所需的开发环境。</w:t>
      </w:r>
    </w:p>
    <w:p w14:paraId="5A4B1661">
      <w:pPr>
        <w:pStyle w:val="32"/>
        <w:widowControl/>
        <w:spacing w:beforeAutospacing="0" w:afterAutospacing="0" w:line="440" w:lineRule="exact"/>
        <w:ind w:firstLine="480" w:firstLineChars="200"/>
      </w:pPr>
      <w:r>
        <w:rPr>
          <w:rFonts w:hint="eastAsia" w:ascii="宋体" w:hAnsi="宋体" w:eastAsia="宋体" w:cs="宋体"/>
          <w:color w:val="000000"/>
        </w:rPr>
        <w:t>（3）JAVA环境：JDK</w:t>
      </w:r>
      <w:r>
        <w:rPr>
          <w:rFonts w:hint="eastAsia" w:ascii="宋体" w:hAnsi="宋体" w:cs="宋体"/>
          <w:color w:val="000000"/>
        </w:rPr>
        <w:t xml:space="preserve"> 1.8</w:t>
      </w:r>
      <w:r>
        <w:rPr>
          <w:rFonts w:hint="eastAsia" w:ascii="宋体" w:hAnsi="宋体" w:eastAsia="宋体" w:cs="宋体"/>
          <w:color w:val="000000"/>
        </w:rPr>
        <w:t xml:space="preserve">，Maven </w:t>
      </w:r>
      <w:r>
        <w:rPr>
          <w:rFonts w:hint="eastAsia" w:ascii="宋体" w:hAnsi="宋体" w:cs="宋体"/>
          <w:color w:val="000000"/>
        </w:rPr>
        <w:t>4.0.0</w:t>
      </w:r>
      <w:r>
        <w:rPr>
          <w:rFonts w:hint="eastAsia" w:ascii="宋体" w:hAnsi="宋体" w:eastAsia="宋体" w:cs="宋体"/>
          <w:color w:val="000000"/>
        </w:rPr>
        <w:t>，支持系统所需的开发环境。</w:t>
      </w:r>
    </w:p>
    <w:p w14:paraId="4338E79A">
      <w:pPr>
        <w:pStyle w:val="32"/>
        <w:widowControl/>
        <w:spacing w:beforeAutospacing="0" w:afterAutospacing="0" w:line="440" w:lineRule="exact"/>
        <w:ind w:firstLine="480" w:firstLineChars="200"/>
        <w:rPr>
          <w:rFonts w:ascii="宋体" w:hAnsi="宋体" w:eastAsia="宋体" w:cs="宋体"/>
          <w:color w:val="000000"/>
        </w:rPr>
      </w:pPr>
      <w:r>
        <w:rPr>
          <w:rFonts w:hint="eastAsia" w:ascii="宋体" w:hAnsi="宋体" w:eastAsia="宋体" w:cs="宋体"/>
          <w:color w:val="000000"/>
        </w:rPr>
        <w:t>（4）数据库：MySQL9.2.0-arm64</w:t>
      </w:r>
    </w:p>
    <w:p w14:paraId="50C57BE8">
      <w:pPr>
        <w:pStyle w:val="32"/>
        <w:widowControl/>
        <w:spacing w:beforeAutospacing="0" w:afterAutospacing="0" w:line="440" w:lineRule="exact"/>
        <w:ind w:firstLine="480" w:firstLineChars="200"/>
      </w:pPr>
      <w:r>
        <w:rPr>
          <w:rFonts w:hint="eastAsia" w:ascii="宋体" w:hAnsi="宋体" w:eastAsia="宋体" w:cs="宋体"/>
          <w:color w:val="000000"/>
        </w:rPr>
        <w:t>（5）服务器：Tomcat 9.0.30，作为系统的应用服务器，确保系统稳定运行。</w:t>
      </w:r>
    </w:p>
    <w:p w14:paraId="3B4B1472">
      <w:pPr>
        <w:numPr>
          <w:ilvl w:val="1"/>
          <w:numId w:val="0"/>
        </w:numPr>
        <w:spacing w:line="440" w:lineRule="exact"/>
        <w:ind w:firstLine="480" w:firstLineChars="200"/>
        <w:jc w:val="left"/>
        <w:outlineLvl w:val="9"/>
      </w:pPr>
      <w:bookmarkStart w:id="223" w:name="_Toc7403"/>
      <w:r>
        <w:rPr>
          <w:rFonts w:hint="eastAsia" w:ascii="宋体" w:hAnsi="宋体" w:eastAsia="宋体" w:cs="宋体"/>
          <w:b w:val="0"/>
          <w:bCs w:val="0"/>
          <w:color w:val="000000"/>
          <w:sz w:val="24"/>
          <w:szCs w:val="24"/>
        </w:rPr>
        <w:t>1.2.2系统架构</w:t>
      </w:r>
      <w:bookmarkEnd w:id="223"/>
    </w:p>
    <w:p w14:paraId="50592805">
      <w:pPr>
        <w:spacing w:line="440" w:lineRule="exact"/>
        <w:ind w:firstLine="480" w:firstLineChars="200"/>
        <w:jc w:val="left"/>
        <w:outlineLvl w:val="9"/>
        <w:rPr>
          <w:rFonts w:ascii="宋体" w:hAnsi="宋体" w:eastAsia="宋体" w:cs="宋体"/>
          <w:sz w:val="24"/>
        </w:rPr>
      </w:pPr>
      <w:r>
        <w:rPr>
          <w:rFonts w:hint="eastAsia" w:ascii="宋体" w:hAnsi="宋体" w:eastAsia="宋体" w:cs="宋体"/>
          <w:sz w:val="24"/>
        </w:rPr>
        <w:t>采用SpringBoot、Vue.js及Element-UI开发，遵循MVC模式，划分为视图、控制、业务、持久四层，各层独立并通过接口通信，确保高内聚低耦合。</w:t>
      </w:r>
    </w:p>
    <w:p w14:paraId="4A199785">
      <w:pPr>
        <w:numPr>
          <w:ilvl w:val="1"/>
          <w:numId w:val="0"/>
        </w:numPr>
        <w:spacing w:line="440" w:lineRule="exact"/>
        <w:ind w:firstLine="480" w:firstLineChars="200"/>
        <w:jc w:val="left"/>
        <w:outlineLvl w:val="9"/>
        <w:rPr>
          <w:rFonts w:cs="宋体"/>
          <w:b w:val="0"/>
          <w:bCs w:val="0"/>
          <w:color w:val="000000"/>
          <w:sz w:val="24"/>
          <w:szCs w:val="24"/>
        </w:rPr>
      </w:pPr>
      <w:bookmarkStart w:id="224" w:name="_Toc14946"/>
      <w:bookmarkStart w:id="225" w:name="_Toc9342"/>
      <w:bookmarkStart w:id="226" w:name="_Toc10882"/>
      <w:bookmarkStart w:id="227" w:name="_Toc5558"/>
      <w:bookmarkStart w:id="228" w:name="_Toc17946"/>
      <w:r>
        <w:rPr>
          <w:rFonts w:hint="eastAsia" w:ascii="宋体" w:hAnsi="宋体" w:eastAsia="宋体" w:cs="宋体"/>
          <w:b w:val="0"/>
          <w:bCs w:val="0"/>
          <w:color w:val="000000"/>
          <w:sz w:val="24"/>
          <w:szCs w:val="24"/>
        </w:rPr>
        <w:t>1.3小组人员及分工</w:t>
      </w:r>
      <w:bookmarkEnd w:id="224"/>
      <w:bookmarkEnd w:id="225"/>
      <w:bookmarkEnd w:id="226"/>
      <w:bookmarkEnd w:id="227"/>
      <w:bookmarkEnd w:id="228"/>
    </w:p>
    <w:p w14:paraId="2C887208">
      <w:pPr>
        <w:jc w:val="center"/>
        <w:rPr>
          <w:rFonts w:ascii="宋体" w:hAnsi="宋体" w:eastAsia="宋体" w:cs="宋体"/>
          <w:color w:val="000000"/>
          <w:szCs w:val="21"/>
        </w:rPr>
      </w:pPr>
      <w:r>
        <w:rPr>
          <w:rFonts w:hint="eastAsia" w:ascii="宋体" w:hAnsi="宋体" w:eastAsia="宋体" w:cs="宋体"/>
          <w:color w:val="000000"/>
          <w:szCs w:val="21"/>
        </w:rPr>
        <w:t>表1-1 小组人员及分工</w:t>
      </w:r>
    </w:p>
    <w:tbl>
      <w:tblPr>
        <w:tblStyle w:val="35"/>
        <w:tblW w:w="0" w:type="auto"/>
        <w:jc w:val="center"/>
        <w:tblLayout w:type="fixed"/>
        <w:tblCellMar>
          <w:top w:w="15" w:type="dxa"/>
          <w:left w:w="15" w:type="dxa"/>
          <w:bottom w:w="15" w:type="dxa"/>
          <w:right w:w="15" w:type="dxa"/>
        </w:tblCellMar>
      </w:tblPr>
      <w:tblGrid>
        <w:gridCol w:w="2841"/>
        <w:gridCol w:w="2841"/>
      </w:tblGrid>
      <w:tr w14:paraId="074432F8">
        <w:tblPrEx>
          <w:tblCellMar>
            <w:top w:w="15" w:type="dxa"/>
            <w:left w:w="15" w:type="dxa"/>
            <w:bottom w:w="15" w:type="dxa"/>
            <w:right w:w="15" w:type="dxa"/>
          </w:tblCellMar>
        </w:tblPrEx>
        <w:trPr>
          <w:trHeight w:val="270" w:hRule="atLeast"/>
          <w:jc w:val="center"/>
        </w:trPr>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6EA6AD7F">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组员</w:t>
            </w:r>
          </w:p>
        </w:tc>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41CF0D77">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负责工作</w:t>
            </w:r>
          </w:p>
        </w:tc>
      </w:tr>
      <w:tr w14:paraId="598191B7">
        <w:tblPrEx>
          <w:tblCellMar>
            <w:top w:w="15" w:type="dxa"/>
            <w:left w:w="15" w:type="dxa"/>
            <w:bottom w:w="15" w:type="dxa"/>
            <w:right w:w="15" w:type="dxa"/>
          </w:tblCellMar>
        </w:tblPrEx>
        <w:trPr>
          <w:trHeight w:val="270" w:hRule="atLeast"/>
          <w:jc w:val="center"/>
        </w:trPr>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266E5686">
            <w:pPr>
              <w:pStyle w:val="32"/>
              <w:widowControl/>
              <w:spacing w:beforeAutospacing="0" w:afterAutospacing="0" w:line="440" w:lineRule="exact"/>
              <w:jc w:val="center"/>
              <w:rPr>
                <w:rFonts w:ascii="宋体" w:hAnsi="宋体" w:eastAsia="宋体" w:cs="宋体"/>
                <w:sz w:val="21"/>
                <w:szCs w:val="21"/>
              </w:rPr>
            </w:pPr>
            <w:bookmarkStart w:id="229" w:name="_Toc12135"/>
            <w:bookmarkStart w:id="230" w:name="_Toc6697"/>
            <w:bookmarkStart w:id="231" w:name="_Toc29453"/>
            <w:bookmarkStart w:id="232" w:name="_Toc2818"/>
            <w:r>
              <w:rPr>
                <w:rFonts w:hint="eastAsia" w:ascii="宋体" w:hAnsi="宋体" w:eastAsia="宋体" w:cs="宋体"/>
                <w:color w:val="000000"/>
                <w:kern w:val="2"/>
                <w:sz w:val="21"/>
                <w:szCs w:val="21"/>
              </w:rPr>
              <w:t>赖俊安</w:t>
            </w:r>
          </w:p>
        </w:tc>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2F73E75B">
            <w:pPr>
              <w:pStyle w:val="32"/>
              <w:widowControl/>
              <w:spacing w:beforeAutospacing="0" w:afterAutospacing="0" w:line="440" w:lineRule="exact"/>
              <w:jc w:val="center"/>
              <w:rPr>
                <w:rFonts w:ascii="宋体" w:hAnsi="宋体" w:eastAsia="宋体" w:cs="宋体"/>
                <w:color w:val="000000"/>
                <w:kern w:val="2"/>
                <w:sz w:val="21"/>
                <w:szCs w:val="21"/>
              </w:rPr>
            </w:pPr>
            <w:r>
              <w:rPr>
                <w:rFonts w:hint="eastAsia" w:ascii="宋体" w:hAnsi="宋体" w:eastAsia="宋体" w:cs="宋体"/>
                <w:color w:val="000000"/>
                <w:kern w:val="2"/>
                <w:sz w:val="21"/>
                <w:szCs w:val="21"/>
              </w:rPr>
              <w:t>项目环境配置、项目概述</w:t>
            </w:r>
          </w:p>
        </w:tc>
      </w:tr>
      <w:tr w14:paraId="785D3238">
        <w:tblPrEx>
          <w:tblCellMar>
            <w:top w:w="15" w:type="dxa"/>
            <w:left w:w="15" w:type="dxa"/>
            <w:bottom w:w="15" w:type="dxa"/>
            <w:right w:w="15" w:type="dxa"/>
          </w:tblCellMar>
        </w:tblPrEx>
        <w:trPr>
          <w:trHeight w:val="270" w:hRule="atLeast"/>
          <w:jc w:val="center"/>
        </w:trPr>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58F90056">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蓝文凯</w:t>
            </w:r>
          </w:p>
        </w:tc>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2B056463">
            <w:pPr>
              <w:pStyle w:val="32"/>
              <w:widowControl/>
              <w:spacing w:beforeAutospacing="0" w:afterAutospacing="0" w:line="440" w:lineRule="exact"/>
              <w:jc w:val="center"/>
              <w:rPr>
                <w:rFonts w:ascii="宋体" w:hAnsi="宋体" w:eastAsia="宋体" w:cs="宋体"/>
                <w:color w:val="000000"/>
                <w:kern w:val="2"/>
                <w:sz w:val="21"/>
                <w:szCs w:val="21"/>
              </w:rPr>
            </w:pPr>
            <w:r>
              <w:rPr>
                <w:rFonts w:hint="eastAsia" w:ascii="宋体" w:hAnsi="宋体" w:eastAsia="宋体" w:cs="宋体"/>
                <w:color w:val="000000"/>
                <w:kern w:val="2"/>
                <w:sz w:val="21"/>
                <w:szCs w:val="21"/>
              </w:rPr>
              <w:t>项目功能编写、系统设计</w:t>
            </w:r>
          </w:p>
        </w:tc>
      </w:tr>
    </w:tbl>
    <w:p w14:paraId="786415A2">
      <w:pPr>
        <w:spacing w:line="440" w:lineRule="exact"/>
        <w:jc w:val="center"/>
        <w:outlineLvl w:val="9"/>
        <w:rPr>
          <w:rFonts w:hint="eastAsia" w:ascii="宋体" w:hAnsi="宋体" w:eastAsia="宋体" w:cs="宋体"/>
          <w:b w:val="0"/>
          <w:bCs w:val="0"/>
          <w:sz w:val="21"/>
          <w:szCs w:val="21"/>
          <w:lang w:val="en-US" w:eastAsia="zh-CN"/>
        </w:rPr>
      </w:pPr>
      <w:bookmarkStart w:id="233" w:name="_Toc16665"/>
      <w:r>
        <w:rPr>
          <w:rFonts w:hint="eastAsia" w:ascii="宋体" w:hAnsi="宋体" w:eastAsia="宋体" w:cs="宋体"/>
          <w:b w:val="0"/>
          <w:bCs w:val="0"/>
          <w:sz w:val="21"/>
          <w:szCs w:val="21"/>
          <w:lang w:val="en-US" w:eastAsia="zh-CN"/>
        </w:rPr>
        <w:t>表 1-1 （续）</w:t>
      </w:r>
      <w:bookmarkEnd w:id="233"/>
    </w:p>
    <w:tbl>
      <w:tblPr>
        <w:tblStyle w:val="35"/>
        <w:tblW w:w="0" w:type="auto"/>
        <w:jc w:val="center"/>
        <w:tblLayout w:type="fixed"/>
        <w:tblCellMar>
          <w:top w:w="15" w:type="dxa"/>
          <w:left w:w="15" w:type="dxa"/>
          <w:bottom w:w="15" w:type="dxa"/>
          <w:right w:w="15" w:type="dxa"/>
        </w:tblCellMar>
      </w:tblPr>
      <w:tblGrid>
        <w:gridCol w:w="2841"/>
        <w:gridCol w:w="2841"/>
      </w:tblGrid>
      <w:tr w14:paraId="11EE05CA">
        <w:tblPrEx>
          <w:tblCellMar>
            <w:top w:w="15" w:type="dxa"/>
            <w:left w:w="15" w:type="dxa"/>
            <w:bottom w:w="15" w:type="dxa"/>
            <w:right w:w="15" w:type="dxa"/>
          </w:tblCellMar>
        </w:tblPrEx>
        <w:trPr>
          <w:trHeight w:val="270" w:hRule="atLeast"/>
          <w:jc w:val="center"/>
        </w:trPr>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6322AD0D">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李云龙</w:t>
            </w:r>
          </w:p>
        </w:tc>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6BA35D83">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项目前端开发、需求分析</w:t>
            </w:r>
          </w:p>
        </w:tc>
      </w:tr>
      <w:tr w14:paraId="0BF5D521">
        <w:tblPrEx>
          <w:tblCellMar>
            <w:top w:w="15" w:type="dxa"/>
            <w:left w:w="15" w:type="dxa"/>
            <w:bottom w:w="15" w:type="dxa"/>
            <w:right w:w="15" w:type="dxa"/>
          </w:tblCellMar>
        </w:tblPrEx>
        <w:trPr>
          <w:trHeight w:val="270" w:hRule="atLeast"/>
          <w:jc w:val="center"/>
        </w:trPr>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69F88469">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黄锦平</w:t>
            </w:r>
          </w:p>
        </w:tc>
        <w:tc>
          <w:tcPr>
            <w:tcW w:w="2841" w:type="dxa"/>
            <w:tcBorders>
              <w:top w:val="single" w:color="auto" w:sz="2" w:space="0"/>
              <w:left w:val="single" w:color="auto" w:sz="2" w:space="0"/>
              <w:bottom w:val="single" w:color="auto" w:sz="2" w:space="0"/>
              <w:right w:val="single" w:color="auto" w:sz="2" w:space="0"/>
            </w:tcBorders>
            <w:shd w:val="clear" w:color="auto" w:fill="auto"/>
            <w:tcMar>
              <w:top w:w="0" w:type="dxa"/>
              <w:left w:w="72" w:type="dxa"/>
              <w:bottom w:w="0" w:type="dxa"/>
              <w:right w:w="72" w:type="dxa"/>
            </w:tcMar>
          </w:tcPr>
          <w:p w14:paraId="71E2635D">
            <w:pPr>
              <w:pStyle w:val="32"/>
              <w:widowControl/>
              <w:spacing w:beforeAutospacing="0" w:afterAutospacing="0" w:line="440" w:lineRule="exact"/>
              <w:jc w:val="center"/>
              <w:rPr>
                <w:rFonts w:ascii="宋体" w:hAnsi="宋体" w:eastAsia="宋体" w:cs="宋体"/>
                <w:sz w:val="21"/>
                <w:szCs w:val="21"/>
              </w:rPr>
            </w:pPr>
            <w:r>
              <w:rPr>
                <w:rFonts w:hint="eastAsia" w:ascii="宋体" w:hAnsi="宋体" w:eastAsia="宋体" w:cs="宋体"/>
                <w:color w:val="000000"/>
                <w:kern w:val="2"/>
                <w:sz w:val="21"/>
                <w:szCs w:val="21"/>
              </w:rPr>
              <w:t xml:space="preserve">项目主体框架、模块说明 </w:t>
            </w:r>
          </w:p>
        </w:tc>
      </w:tr>
    </w:tbl>
    <w:p w14:paraId="57414EDD">
      <w:pPr>
        <w:spacing w:line="440" w:lineRule="exact"/>
        <w:outlineLvl w:val="9"/>
        <w:rPr>
          <w:b/>
          <w:bCs/>
          <w:sz w:val="28"/>
          <w:szCs w:val="28"/>
        </w:rPr>
      </w:pPr>
      <w:bookmarkStart w:id="234" w:name="_Toc27365"/>
      <w:r>
        <w:rPr>
          <w:rFonts w:hint="eastAsia"/>
          <w:b/>
          <w:bCs/>
          <w:sz w:val="28"/>
          <w:szCs w:val="28"/>
        </w:rPr>
        <w:t>2 需求分析</w:t>
      </w:r>
      <w:bookmarkEnd w:id="229"/>
      <w:bookmarkEnd w:id="230"/>
      <w:bookmarkEnd w:id="231"/>
      <w:bookmarkEnd w:id="232"/>
      <w:bookmarkEnd w:id="234"/>
    </w:p>
    <w:p w14:paraId="1CBFDE4B">
      <w:pPr>
        <w:spacing w:line="440" w:lineRule="exact"/>
        <w:ind w:firstLine="480" w:firstLineChars="200"/>
        <w:outlineLvl w:val="9"/>
        <w:rPr>
          <w:rFonts w:ascii="宋体" w:hAnsi="宋体" w:cs="宋体"/>
          <w:sz w:val="24"/>
        </w:rPr>
      </w:pPr>
      <w:bookmarkStart w:id="235" w:name="_Toc18752"/>
      <w:bookmarkStart w:id="236" w:name="_Toc8773"/>
      <w:bookmarkStart w:id="237" w:name="_Toc23770"/>
      <w:bookmarkStart w:id="238" w:name="_Toc8570"/>
      <w:bookmarkStart w:id="239" w:name="_Toc25047"/>
      <w:r>
        <w:rPr>
          <w:rFonts w:hint="eastAsia" w:ascii="宋体" w:hAnsi="宋体" w:cs="宋体"/>
          <w:sz w:val="24"/>
        </w:rPr>
        <w:t>2.1 系统需求分析</w:t>
      </w:r>
      <w:bookmarkEnd w:id="235"/>
      <w:bookmarkEnd w:id="236"/>
      <w:bookmarkEnd w:id="237"/>
      <w:bookmarkEnd w:id="238"/>
      <w:bookmarkEnd w:id="239"/>
    </w:p>
    <w:p w14:paraId="48A940E7">
      <w:pPr>
        <w:spacing w:line="440" w:lineRule="exact"/>
        <w:ind w:firstLine="480" w:firstLineChars="200"/>
        <w:outlineLvl w:val="9"/>
        <w:rPr>
          <w:rFonts w:ascii="宋体" w:hAnsi="宋体" w:cs="宋体"/>
          <w:sz w:val="24"/>
        </w:rPr>
      </w:pPr>
      <w:r>
        <w:rPr>
          <w:rFonts w:hint="eastAsia" w:ascii="宋体" w:hAnsi="宋体" w:cs="宋体"/>
          <w:sz w:val="24"/>
        </w:rPr>
        <w:t>2.1.1功能需求</w:t>
      </w:r>
    </w:p>
    <w:p w14:paraId="35513413">
      <w:pPr>
        <w:numPr>
          <w:ilvl w:val="1"/>
          <w:numId w:val="0"/>
        </w:numPr>
        <w:spacing w:line="440" w:lineRule="exact"/>
        <w:ind w:firstLine="480" w:firstLineChars="200"/>
        <w:jc w:val="left"/>
        <w:outlineLvl w:val="9"/>
        <w:rPr>
          <w:rFonts w:ascii="宋体" w:hAnsi="宋体" w:cs="宋体"/>
          <w:color w:val="1F2329"/>
          <w:sz w:val="24"/>
          <w:shd w:val="clear" w:color="auto" w:fill="FFFFFF"/>
        </w:rPr>
      </w:pPr>
      <w:r>
        <w:rPr>
          <w:rFonts w:hint="eastAsia" w:ascii="宋体" w:hAnsi="宋体" w:eastAsia="宋体" w:cs="宋体"/>
          <w:color w:val="1F2329"/>
          <w:sz w:val="24"/>
          <w:shd w:val="clear" w:color="auto" w:fill="FFFFFF"/>
        </w:rPr>
        <w:t>随着摄影服务的个性化需求增长，传统线下约拍模式已难以适配高效对接的需求。本系统通过线上化、标准化的流程设计，既减轻了摄影师的事务性工作负担，也让客户的约拍流程更透明、可控，同时沉淀的作品与订单数据，也为摄影服务的“风格匹配、口碑积累”提供了数字化支撑，具备较强的行业实用性与商业化价值</w:t>
      </w:r>
      <w:r>
        <w:rPr>
          <w:rFonts w:hint="eastAsia" w:ascii="宋体" w:hAnsi="宋体" w:cs="宋体"/>
          <w:color w:val="1F2329"/>
          <w:sz w:val="24"/>
          <w:shd w:val="clear" w:color="auto" w:fill="FFFFFF"/>
        </w:rPr>
        <w:t>。本系统主要功能如下：</w:t>
      </w:r>
    </w:p>
    <w:p w14:paraId="6782A337">
      <w:pPr>
        <w:spacing w:line="440" w:lineRule="exact"/>
        <w:ind w:firstLine="480" w:firstLineChars="200"/>
        <w:jc w:val="left"/>
        <w:rPr>
          <w:rFonts w:ascii="宋体" w:hAnsi="宋体" w:cs="宋体"/>
          <w:sz w:val="24"/>
        </w:rPr>
      </w:pPr>
      <w:r>
        <w:rPr>
          <w:rFonts w:hint="eastAsia" w:ascii="宋体" w:hAnsi="宋体" w:cs="宋体"/>
          <w:color w:val="1F2329"/>
          <w:sz w:val="24"/>
          <w:shd w:val="clear" w:color="auto" w:fill="FFFFFF"/>
        </w:rPr>
        <w:t>（1）用户管理:评论管理，套餐管理，预约管理，管理员与用户角色</w:t>
      </w:r>
      <w:r>
        <w:rPr>
          <w:rFonts w:hint="eastAsia" w:ascii="宋体" w:hAnsi="宋体" w:cs="宋体"/>
          <w:sz w:val="24"/>
        </w:rPr>
        <w:t>管理其账号和权限。</w:t>
      </w:r>
    </w:p>
    <w:p w14:paraId="668A659F">
      <w:pPr>
        <w:spacing w:line="440" w:lineRule="exact"/>
        <w:ind w:firstLine="480" w:firstLineChars="200"/>
        <w:jc w:val="left"/>
        <w:rPr>
          <w:rFonts w:ascii="宋体" w:hAnsi="宋体" w:cs="宋体"/>
          <w:sz w:val="24"/>
        </w:rPr>
      </w:pPr>
      <w:r>
        <w:rPr>
          <w:rFonts w:hint="eastAsia" w:ascii="宋体" w:hAnsi="宋体" w:cs="宋体"/>
          <w:color w:val="1F2329"/>
          <w:sz w:val="24"/>
          <w:shd w:val="clear" w:color="auto" w:fill="FFFFFF"/>
        </w:rPr>
        <w:t>（2）</w:t>
      </w:r>
      <w:r>
        <w:rPr>
          <w:rFonts w:hint="eastAsia" w:ascii="宋体" w:hAnsi="宋体" w:cs="宋体"/>
          <w:sz w:val="24"/>
        </w:rPr>
        <w:t>预约拍摄:用户可以通过系统系统在线预约，并选择合适的套餐和时间。</w:t>
      </w:r>
    </w:p>
    <w:p w14:paraId="3A765C92">
      <w:pPr>
        <w:spacing w:line="440" w:lineRule="exact"/>
        <w:ind w:firstLine="480" w:firstLineChars="200"/>
        <w:jc w:val="left"/>
        <w:rPr>
          <w:rFonts w:ascii="宋体" w:hAnsi="宋体" w:cs="宋体"/>
          <w:sz w:val="24"/>
        </w:rPr>
      </w:pPr>
      <w:r>
        <w:rPr>
          <w:rFonts w:hint="eastAsia" w:ascii="宋体" w:hAnsi="宋体" w:cs="宋体"/>
          <w:color w:val="1F2329"/>
          <w:sz w:val="24"/>
          <w:shd w:val="clear" w:color="auto" w:fill="FFFFFF"/>
        </w:rPr>
        <w:t>（3）</w:t>
      </w:r>
      <w:r>
        <w:rPr>
          <w:rFonts w:hint="eastAsia" w:ascii="宋体" w:hAnsi="宋体" w:cs="宋体"/>
          <w:sz w:val="24"/>
        </w:rPr>
        <w:t>评论管理:用户可以在相应的作品下评论，并且记录。</w:t>
      </w:r>
    </w:p>
    <w:p w14:paraId="0945F00C">
      <w:pPr>
        <w:spacing w:line="440" w:lineRule="exact"/>
        <w:ind w:firstLine="480" w:firstLineChars="200"/>
        <w:jc w:val="left"/>
        <w:rPr>
          <w:rFonts w:ascii="宋体" w:hAnsi="宋体" w:cs="宋体"/>
          <w:sz w:val="24"/>
        </w:rPr>
      </w:pPr>
      <w:r>
        <w:rPr>
          <w:rFonts w:hint="eastAsia" w:ascii="宋体" w:hAnsi="宋体" w:cs="宋体"/>
          <w:color w:val="1F2329"/>
          <w:sz w:val="24"/>
          <w:shd w:val="clear" w:color="auto" w:fill="FFFFFF"/>
        </w:rPr>
        <w:t>（4）</w:t>
      </w:r>
      <w:r>
        <w:rPr>
          <w:rFonts w:hint="eastAsia" w:ascii="宋体" w:hAnsi="宋体" w:cs="宋体"/>
          <w:sz w:val="24"/>
        </w:rPr>
        <w:t>个人中心:可以查看自己的预约记录，收藏，评论等功能。</w:t>
      </w:r>
    </w:p>
    <w:p w14:paraId="43187920">
      <w:pPr>
        <w:numPr>
          <w:ilvl w:val="1"/>
          <w:numId w:val="0"/>
        </w:numPr>
        <w:spacing w:line="440" w:lineRule="exact"/>
        <w:ind w:firstLine="480" w:firstLineChars="200"/>
        <w:jc w:val="left"/>
        <w:outlineLvl w:val="9"/>
        <w:rPr>
          <w:rFonts w:ascii="宋体" w:hAnsi="宋体" w:cs="宋体"/>
          <w:color w:val="1F2329"/>
          <w:sz w:val="24"/>
          <w:shd w:val="clear" w:color="auto" w:fill="FFFFFF"/>
        </w:rPr>
      </w:pPr>
      <w:r>
        <w:rPr>
          <w:rFonts w:hint="eastAsia" w:ascii="宋体" w:hAnsi="宋体" w:cs="宋体"/>
          <w:color w:val="1F2329"/>
          <w:sz w:val="24"/>
          <w:shd w:val="clear" w:color="auto" w:fill="FFFFFF"/>
        </w:rPr>
        <w:t>2.1.2 非功能需求</w:t>
      </w:r>
    </w:p>
    <w:p w14:paraId="6808D898">
      <w:pPr>
        <w:numPr>
          <w:ilvl w:val="1"/>
          <w:numId w:val="0"/>
        </w:numPr>
        <w:spacing w:line="440" w:lineRule="exact"/>
        <w:ind w:firstLine="480" w:firstLineChars="200"/>
        <w:jc w:val="left"/>
        <w:outlineLvl w:val="9"/>
        <w:rPr>
          <w:rFonts w:ascii="宋体" w:hAnsi="宋体" w:eastAsia="宋体" w:cs="宋体"/>
          <w:color w:val="1F2329"/>
          <w:sz w:val="24"/>
          <w:shd w:val="clear" w:color="auto" w:fill="FFFFFF"/>
        </w:rPr>
      </w:pPr>
      <w:r>
        <w:rPr>
          <w:rFonts w:hint="eastAsia" w:ascii="宋体" w:hAnsi="宋体" w:cs="宋体"/>
          <w:color w:val="1F2329"/>
          <w:sz w:val="24"/>
          <w:shd w:val="clear" w:color="auto" w:fill="FFFFFF"/>
        </w:rPr>
        <w:t>（1）</w:t>
      </w:r>
      <w:r>
        <w:rPr>
          <w:rFonts w:hint="eastAsia" w:ascii="宋体" w:hAnsi="宋体" w:eastAsia="宋体" w:cs="宋体"/>
          <w:color w:val="1F2329"/>
          <w:sz w:val="24"/>
          <w:shd w:val="clear" w:color="auto" w:fill="FFFFFF"/>
        </w:rPr>
        <w:t>安全性: 约拍涉及线下见面，虽然是练手项目，但在设计时要有安全意识（如：双方确认合作后才展示联系方式）。</w:t>
      </w:r>
    </w:p>
    <w:p w14:paraId="4E331DF1">
      <w:pPr>
        <w:spacing w:line="440" w:lineRule="exact"/>
        <w:ind w:firstLine="480" w:firstLineChars="200"/>
        <w:outlineLvl w:val="9"/>
        <w:rPr>
          <w:rFonts w:ascii="宋体" w:hAnsi="宋体" w:cs="宋体"/>
          <w:sz w:val="24"/>
        </w:rPr>
      </w:pPr>
      <w:r>
        <w:rPr>
          <w:rFonts w:hint="eastAsia" w:ascii="宋体" w:hAnsi="宋体" w:cs="宋体"/>
          <w:sz w:val="24"/>
        </w:rPr>
        <w:t>（2）可靠性:汉服约拍系统应具备良好的稳定性和容错性，保证24小时不间断运行。</w:t>
      </w:r>
    </w:p>
    <w:p w14:paraId="235F2764">
      <w:pPr>
        <w:numPr>
          <w:ilvl w:val="1"/>
          <w:numId w:val="0"/>
        </w:numPr>
        <w:spacing w:line="440" w:lineRule="exact"/>
        <w:ind w:firstLine="480" w:firstLineChars="200"/>
        <w:jc w:val="left"/>
        <w:rPr>
          <w:rFonts w:ascii="宋体" w:hAnsi="宋体" w:cs="宋体"/>
          <w:sz w:val="24"/>
        </w:rPr>
      </w:pPr>
      <w:r>
        <w:rPr>
          <w:rFonts w:hint="eastAsia" w:ascii="宋体" w:hAnsi="宋体" w:cs="宋体"/>
          <w:sz w:val="24"/>
        </w:rPr>
        <w:t>（3）易用性:汉服约拍系统界面应简洁清晰，操作流程应简单明了，方便用户快速上手使用。</w:t>
      </w:r>
    </w:p>
    <w:p w14:paraId="496E93C4">
      <w:pPr>
        <w:spacing w:line="440" w:lineRule="exact"/>
        <w:ind w:firstLine="480" w:firstLineChars="200"/>
        <w:rPr>
          <w:rFonts w:ascii="宋体" w:hAnsi="宋体" w:cs="宋体"/>
          <w:sz w:val="24"/>
        </w:rPr>
      </w:pPr>
      <w:r>
        <w:rPr>
          <w:rFonts w:hint="eastAsia" w:ascii="宋体" w:hAnsi="宋体" w:cs="宋体"/>
          <w:sz w:val="24"/>
        </w:rPr>
        <w:t>（4）可扩展性:系统需要具备一定的可扩展性，能够适应不同需求的用户，实现系统的功能和架构的升级和扩展。</w:t>
      </w:r>
    </w:p>
    <w:p w14:paraId="4BF9BAE6">
      <w:pPr>
        <w:spacing w:line="440" w:lineRule="exact"/>
        <w:ind w:firstLine="480" w:firstLineChars="200"/>
        <w:rPr>
          <w:rFonts w:ascii="宋体" w:hAnsi="宋体" w:cs="宋体"/>
          <w:sz w:val="24"/>
        </w:rPr>
      </w:pPr>
      <w:r>
        <w:rPr>
          <w:rFonts w:hint="eastAsia" w:ascii="宋体" w:hAnsi="宋体" w:cs="宋体"/>
          <w:sz w:val="24"/>
        </w:rPr>
        <w:t>（5）性能:汉服约拍系统应具备较好的响应速度和并发处理能力，能够适应摄影高峰期的使用需求。</w:t>
      </w:r>
    </w:p>
    <w:p w14:paraId="2C53C9A6">
      <w:pPr>
        <w:spacing w:line="440" w:lineRule="exact"/>
        <w:ind w:firstLine="480" w:firstLineChars="200"/>
        <w:jc w:val="left"/>
        <w:outlineLvl w:val="9"/>
        <w:rPr>
          <w:rFonts w:ascii="宋体" w:hAnsi="宋体" w:cs="宋体"/>
          <w:sz w:val="24"/>
        </w:rPr>
      </w:pPr>
      <w:bookmarkStart w:id="240" w:name="_Toc32107"/>
      <w:bookmarkStart w:id="241" w:name="_Toc14183"/>
      <w:bookmarkStart w:id="242" w:name="_Toc4377"/>
      <w:bookmarkStart w:id="243" w:name="_Toc1361"/>
      <w:bookmarkStart w:id="244" w:name="_Toc4597"/>
      <w:r>
        <w:rPr>
          <w:rFonts w:hint="eastAsia" w:ascii="宋体" w:hAnsi="宋体" w:cs="宋体"/>
          <w:sz w:val="24"/>
        </w:rPr>
        <w:t>2.2 可行性分析</w:t>
      </w:r>
      <w:bookmarkEnd w:id="240"/>
      <w:bookmarkEnd w:id="241"/>
      <w:bookmarkEnd w:id="242"/>
      <w:bookmarkEnd w:id="243"/>
      <w:bookmarkEnd w:id="244"/>
    </w:p>
    <w:p w14:paraId="0B48A093">
      <w:pPr>
        <w:spacing w:line="440" w:lineRule="exact"/>
        <w:ind w:firstLine="480" w:firstLineChars="200"/>
        <w:jc w:val="left"/>
        <w:outlineLvl w:val="9"/>
        <w:rPr>
          <w:rFonts w:ascii="宋体" w:hAnsi="宋体" w:eastAsia="宋体" w:cs="宋体"/>
          <w:color w:val="1F2329"/>
          <w:sz w:val="24"/>
          <w:shd w:val="clear" w:color="auto" w:fill="FFFFFF"/>
        </w:rPr>
      </w:pPr>
      <w:r>
        <w:rPr>
          <w:rFonts w:hint="eastAsia" w:ascii="宋体" w:hAnsi="宋体" w:cs="宋体"/>
          <w:color w:val="1F2329"/>
          <w:sz w:val="24"/>
          <w:shd w:val="clear" w:color="auto" w:fill="FFFFFF"/>
        </w:rPr>
        <w:t>2.2.1</w:t>
      </w:r>
      <w:r>
        <w:rPr>
          <w:rFonts w:hint="eastAsia" w:ascii="宋体" w:hAnsi="宋体" w:eastAsia="宋体" w:cs="宋体"/>
          <w:color w:val="1F2329"/>
          <w:sz w:val="24"/>
          <w:shd w:val="clear" w:color="auto" w:fill="FFFFFF"/>
        </w:rPr>
        <w:t>技术可行性</w:t>
      </w:r>
    </w:p>
    <w:p w14:paraId="0FB47322">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系统采用的SpringBoot、SpringMVC、Vue.js、MySQL均为当前主流且成熟的技术框架，社区资源丰富、开发文档完善，具备稳定的技术落地基础；前后端分离架构属于常规开发模式，核心功能（档期同步、订单流程、作品传输）无复杂技术壁垒。后续可拓展小程序端（基于现有技术栈可快速对接），满足用户多终端使用需求。</w:t>
      </w:r>
    </w:p>
    <w:p w14:paraId="63690881">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2.2.2经济可行性</w:t>
      </w:r>
    </w:p>
    <w:p w14:paraId="0143F5EC">
      <w:pPr>
        <w:pStyle w:val="32"/>
        <w:widowControl/>
        <w:spacing w:beforeAutospacing="0" w:afterAutospacing="0" w:line="440" w:lineRule="exact"/>
        <w:ind w:firstLine="480" w:firstLineChars="200"/>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汉服约拍系统是基于SpringBoot和Vue.js编写，采用Mysql数据库储存数据，所要求的硬件配置较低，程序开发主要是管理系统的开发和维护。所以程序在开发人力、财力上要求不高，而且此系统不是很复杂，开发周期短，在经济方面具有较高的可行性。</w:t>
      </w:r>
    </w:p>
    <w:p w14:paraId="281F967C">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2.2.3操作可行性</w:t>
      </w:r>
    </w:p>
    <w:p w14:paraId="416B997D">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摄影师端仅需填写资料、上传作品、维护档期，客户端仅需选择风格、下单确认，界面设计贴合普通用户使用习惯，无需专业培训。若面向摄影工作室/机构，系统支持多账号管理（摄影师子账号、管理员账号），可快速对接现有团队的工作流程。系统后台提供数据统计、订单管理等可视化功能，运营人员仅需基础电脑操作能力即可完成日常维护。</w:t>
      </w:r>
    </w:p>
    <w:p w14:paraId="42157090">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2.2.4法律可行性</w:t>
      </w:r>
    </w:p>
    <w:p w14:paraId="6228D731">
      <w:pPr>
        <w:spacing w:line="440" w:lineRule="exact"/>
        <w:ind w:firstLine="480" w:firstLineChars="200"/>
        <w:jc w:val="left"/>
        <w:outlineLvl w:val="9"/>
        <w:rPr>
          <w:rFonts w:hint="eastAsia" w:ascii="宋体" w:hAnsi="宋体" w:cs="宋体" w:eastAsiaTheme="minorEastAsia"/>
          <w:color w:val="000000"/>
          <w:kern w:val="0"/>
          <w:sz w:val="24"/>
          <w:szCs w:val="24"/>
          <w:lang w:val="en-US" w:eastAsia="zh-CN" w:bidi="ar-SA"/>
        </w:rPr>
      </w:pPr>
      <w:r>
        <w:rPr>
          <w:rFonts w:hint="eastAsia" w:ascii="宋体" w:hAnsi="宋体" w:cs="宋体" w:eastAsiaTheme="minorEastAsia"/>
          <w:color w:val="000000"/>
          <w:kern w:val="0"/>
          <w:sz w:val="24"/>
          <w:szCs w:val="24"/>
          <w:lang w:val="en-US" w:eastAsia="zh-CN" w:bidi="ar-SA"/>
        </w:rPr>
        <w:t xml:space="preserve">汉服约拍系统是完全采用开源代码完成，同时运营完全符合《民法典》《著作权法》《个人信息保护法》等现行法律规定，在法律上具有可行性。 </w:t>
      </w:r>
    </w:p>
    <w:p w14:paraId="5E69BF3B">
      <w:pPr>
        <w:spacing w:line="440" w:lineRule="exact"/>
        <w:outlineLvl w:val="9"/>
        <w:rPr>
          <w:rFonts w:hint="eastAsia" w:ascii="宋体" w:hAnsi="宋体" w:cs="宋体" w:eastAsiaTheme="minorEastAsia"/>
          <w:color w:val="000000"/>
          <w:kern w:val="0"/>
          <w:sz w:val="24"/>
          <w:szCs w:val="24"/>
          <w:lang w:val="en-US" w:eastAsia="zh-CN" w:bidi="ar-SA"/>
        </w:rPr>
      </w:pPr>
      <w:bookmarkStart w:id="245" w:name="_Toc30403"/>
      <w:bookmarkStart w:id="246" w:name="_Toc22584"/>
      <w:bookmarkStart w:id="247" w:name="_Toc11500"/>
      <w:bookmarkStart w:id="248" w:name="_Toc30158"/>
      <w:bookmarkStart w:id="249" w:name="_Toc14242"/>
      <w:r>
        <w:rPr>
          <w:rFonts w:hint="eastAsia" w:ascii="宋体" w:hAnsi="宋体" w:cs="宋体" w:eastAsiaTheme="minorEastAsia"/>
          <w:color w:val="000000"/>
          <w:kern w:val="0"/>
          <w:sz w:val="24"/>
          <w:szCs w:val="24"/>
          <w:lang w:val="en-US" w:eastAsia="zh-CN" w:bidi="ar-SA"/>
        </w:rPr>
        <w:t>3系统设计</w:t>
      </w:r>
      <w:bookmarkEnd w:id="245"/>
      <w:bookmarkEnd w:id="246"/>
      <w:bookmarkEnd w:id="247"/>
      <w:bookmarkEnd w:id="248"/>
      <w:bookmarkEnd w:id="249"/>
    </w:p>
    <w:p w14:paraId="590570A5">
      <w:pPr>
        <w:spacing w:line="440" w:lineRule="exact"/>
        <w:ind w:firstLine="480" w:firstLineChars="200"/>
        <w:outlineLvl w:val="9"/>
        <w:rPr>
          <w:rFonts w:ascii="宋体" w:hAnsi="宋体" w:cs="宋体"/>
          <w:sz w:val="24"/>
        </w:rPr>
      </w:pPr>
      <w:bookmarkStart w:id="250" w:name="_Toc16373"/>
      <w:bookmarkStart w:id="251" w:name="_Toc23425"/>
      <w:bookmarkStart w:id="252" w:name="_Toc19611"/>
      <w:bookmarkStart w:id="253" w:name="_Toc29622"/>
      <w:bookmarkStart w:id="254" w:name="_Toc24590"/>
      <w:r>
        <w:rPr>
          <w:rFonts w:hint="eastAsia" w:ascii="宋体" w:hAnsi="宋体" w:cs="宋体"/>
          <w:sz w:val="24"/>
        </w:rPr>
        <w:t xml:space="preserve">3.1 </w:t>
      </w:r>
      <w:r>
        <w:rPr>
          <w:rFonts w:ascii="宋体" w:hAnsi="宋体" w:cs="宋体"/>
          <w:sz w:val="24"/>
        </w:rPr>
        <w:t>系统</w:t>
      </w:r>
      <w:r>
        <w:rPr>
          <w:rFonts w:hint="eastAsia" w:ascii="宋体" w:hAnsi="宋体" w:cs="宋体"/>
          <w:sz w:val="24"/>
        </w:rPr>
        <w:t>结构设计</w:t>
      </w:r>
      <w:bookmarkEnd w:id="250"/>
      <w:bookmarkEnd w:id="251"/>
      <w:bookmarkEnd w:id="252"/>
      <w:bookmarkEnd w:id="253"/>
      <w:bookmarkEnd w:id="254"/>
    </w:p>
    <w:p w14:paraId="32257484">
      <w:pPr>
        <w:spacing w:line="440" w:lineRule="exact"/>
        <w:ind w:firstLine="480" w:firstLineChars="200"/>
        <w:jc w:val="left"/>
        <w:outlineLvl w:val="9"/>
        <w:rPr>
          <w:rFonts w:hint="default" w:ascii="宋体" w:hAnsi="宋体" w:cs="宋体" w:eastAsiaTheme="minorEastAsia"/>
          <w:sz w:val="24"/>
          <w:lang w:val="en-US" w:eastAsia="zh-CN"/>
        </w:rPr>
      </w:pPr>
      <w:r>
        <w:rPr>
          <w:rFonts w:hint="eastAsia" w:ascii="宋体" w:hAnsi="宋体" w:cs="宋体"/>
          <w:sz w:val="24"/>
        </w:rPr>
        <w:t>经过对系统的需求分析，汉服约拍系统结构主要分为前台用户模块和后台管理模块</w:t>
      </w:r>
      <w:r>
        <w:rPr>
          <w:rFonts w:hint="eastAsia" w:ascii="宋体" w:hAnsi="宋体" w:cs="宋体"/>
          <w:sz w:val="24"/>
          <w:lang w:eastAsia="zh-CN"/>
        </w:rPr>
        <w:t>，</w:t>
      </w:r>
      <w:r>
        <w:rPr>
          <w:rFonts w:hint="eastAsia" w:ascii="宋体" w:hAnsi="宋体" w:cs="宋体"/>
          <w:sz w:val="24"/>
          <w:lang w:val="en-US" w:eastAsia="zh-CN"/>
        </w:rPr>
        <w:t>如图3-1所示。</w:t>
      </w:r>
    </w:p>
    <w:p w14:paraId="587AAC16">
      <w:pPr>
        <w:jc w:val="center"/>
        <w:rPr>
          <w:rFonts w:ascii="宋体" w:hAnsi="宋体" w:cs="宋体"/>
          <w:sz w:val="24"/>
        </w:rPr>
      </w:pPr>
      <w:r>
        <w:drawing>
          <wp:inline distT="0" distB="0" distL="114300" distR="114300">
            <wp:extent cx="1195070" cy="1881505"/>
            <wp:effectExtent l="0" t="0" r="11430" b="10795"/>
            <wp:docPr id="82" name="图片 82" descr="屏幕截图 2025-12-29 09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屏幕截图 2025-12-29 091458"/>
                    <pic:cNvPicPr>
                      <a:picLocks noChangeAspect="1"/>
                    </pic:cNvPicPr>
                  </pic:nvPicPr>
                  <pic:blipFill>
                    <a:blip r:embed="rId141"/>
                    <a:stretch>
                      <a:fillRect/>
                    </a:stretch>
                  </pic:blipFill>
                  <pic:spPr>
                    <a:xfrm>
                      <a:off x="0" y="0"/>
                      <a:ext cx="1195070" cy="1881505"/>
                    </a:xfrm>
                    <a:prstGeom prst="rect">
                      <a:avLst/>
                    </a:prstGeom>
                  </pic:spPr>
                </pic:pic>
              </a:graphicData>
            </a:graphic>
          </wp:inline>
        </w:drawing>
      </w:r>
    </w:p>
    <w:p w14:paraId="6340D641">
      <w:pPr>
        <w:tabs>
          <w:tab w:val="left" w:pos="3603"/>
        </w:tabs>
        <w:spacing w:line="440" w:lineRule="exact"/>
        <w:jc w:val="center"/>
        <w:rPr>
          <w:rFonts w:ascii="宋体" w:hAnsi="宋体" w:cs="宋体"/>
          <w:sz w:val="24"/>
        </w:rPr>
      </w:pPr>
      <w:r>
        <w:rPr>
          <w:rFonts w:hint="eastAsia" w:ascii="宋体" w:hAnsi="宋体" w:eastAsia="宋体" w:cs="宋体"/>
          <w:szCs w:val="21"/>
        </w:rPr>
        <w:t>图</w:t>
      </w:r>
      <w:r>
        <w:rPr>
          <w:rFonts w:hint="eastAsia" w:ascii="宋体" w:hAnsi="宋体" w:eastAsia="宋体" w:cs="宋体"/>
          <w:szCs w:val="21"/>
          <w:lang w:val="en-US" w:eastAsia="zh-CN"/>
        </w:rPr>
        <w:t>3-1</w:t>
      </w:r>
      <w:r>
        <w:rPr>
          <w:rFonts w:hint="eastAsia" w:ascii="宋体" w:hAnsi="宋体" w:eastAsia="宋体" w:cs="宋体"/>
          <w:szCs w:val="21"/>
        </w:rPr>
        <w:t xml:space="preserve"> </w:t>
      </w:r>
      <w:r>
        <w:rPr>
          <w:rFonts w:hint="eastAsia" w:ascii="宋体" w:hAnsi="宋体" w:cs="宋体"/>
          <w:szCs w:val="21"/>
        </w:rPr>
        <w:t>汉服约拍</w:t>
      </w:r>
      <w:r>
        <w:rPr>
          <w:rFonts w:hint="eastAsia" w:ascii="宋体" w:hAnsi="宋体" w:eastAsia="宋体" w:cs="宋体"/>
          <w:szCs w:val="21"/>
        </w:rPr>
        <w:t>系统图</w:t>
      </w:r>
    </w:p>
    <w:p w14:paraId="2DC09737">
      <w:pPr>
        <w:spacing w:line="440" w:lineRule="exact"/>
        <w:ind w:firstLine="480" w:firstLineChars="200"/>
        <w:rPr>
          <w:rFonts w:hint="default" w:ascii="宋体" w:hAnsi="宋体" w:cs="宋体" w:eastAsiaTheme="minorEastAsia"/>
          <w:sz w:val="24"/>
          <w:lang w:val="en-US" w:eastAsia="zh-CN"/>
        </w:rPr>
      </w:pPr>
      <w:r>
        <w:rPr>
          <w:rFonts w:hint="eastAsia" w:ascii="宋体" w:hAnsi="宋体" w:cs="宋体"/>
          <w:sz w:val="24"/>
        </w:rPr>
        <w:t>前台用户模块：套餐浏览，预约，评论，个人中心，点赞收藏等</w:t>
      </w:r>
      <w:r>
        <w:rPr>
          <w:rFonts w:hint="eastAsia" w:ascii="宋体" w:hAnsi="宋体" w:cs="宋体"/>
          <w:sz w:val="24"/>
          <w:lang w:eastAsia="zh-CN"/>
        </w:rPr>
        <w:t>，</w:t>
      </w:r>
      <w:r>
        <w:rPr>
          <w:rFonts w:hint="eastAsia" w:ascii="宋体" w:hAnsi="宋体" w:cs="宋体"/>
          <w:sz w:val="24"/>
          <w:lang w:val="en-US" w:eastAsia="zh-CN"/>
        </w:rPr>
        <w:t>如图1-2所示。</w:t>
      </w:r>
    </w:p>
    <w:p w14:paraId="77CCC07F">
      <w:pPr>
        <w:jc w:val="center"/>
        <w:rPr>
          <w:rFonts w:ascii="宋体" w:hAnsi="宋体" w:cs="宋体"/>
          <w:sz w:val="24"/>
        </w:rPr>
      </w:pPr>
      <w:r>
        <w:rPr>
          <w:rFonts w:ascii="宋体" w:hAnsi="宋体" w:cs="宋体"/>
          <w:sz w:val="24"/>
        </w:rPr>
        <w:drawing>
          <wp:inline distT="0" distB="0" distL="114300" distR="114300">
            <wp:extent cx="3302000" cy="2368550"/>
            <wp:effectExtent l="0" t="0" r="0" b="6350"/>
            <wp:docPr id="83" name="图片 83" descr="屏幕截图 2025-12-26 11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屏幕截图 2025-12-26 114722"/>
                    <pic:cNvPicPr>
                      <a:picLocks noChangeAspect="1"/>
                    </pic:cNvPicPr>
                  </pic:nvPicPr>
                  <pic:blipFill>
                    <a:blip r:embed="rId142"/>
                    <a:stretch>
                      <a:fillRect/>
                    </a:stretch>
                  </pic:blipFill>
                  <pic:spPr>
                    <a:xfrm>
                      <a:off x="0" y="0"/>
                      <a:ext cx="3302000" cy="2368550"/>
                    </a:xfrm>
                    <a:prstGeom prst="rect">
                      <a:avLst/>
                    </a:prstGeom>
                  </pic:spPr>
                </pic:pic>
              </a:graphicData>
            </a:graphic>
          </wp:inline>
        </w:drawing>
      </w:r>
    </w:p>
    <w:p w14:paraId="6DC85C9C">
      <w:pPr>
        <w:spacing w:line="440" w:lineRule="exact"/>
        <w:jc w:val="center"/>
        <w:rPr>
          <w:rFonts w:ascii="宋体" w:hAnsi="宋体" w:cs="宋体"/>
          <w:sz w:val="24"/>
        </w:rPr>
      </w:pPr>
      <w:r>
        <w:rPr>
          <w:rFonts w:hint="eastAsia" w:ascii="宋体" w:hAnsi="宋体" w:eastAsia="宋体" w:cs="宋体"/>
          <w:szCs w:val="21"/>
        </w:rPr>
        <w:t>图</w:t>
      </w:r>
      <w:r>
        <w:rPr>
          <w:rFonts w:hint="eastAsia" w:ascii="宋体" w:hAnsi="宋体" w:eastAsia="宋体" w:cs="宋体"/>
          <w:szCs w:val="21"/>
          <w:lang w:val="en-US" w:eastAsia="zh-CN"/>
        </w:rPr>
        <w:t>3-2</w:t>
      </w:r>
      <w:r>
        <w:rPr>
          <w:rFonts w:hint="eastAsia" w:ascii="宋体" w:hAnsi="宋体" w:eastAsia="宋体" w:cs="宋体"/>
          <w:szCs w:val="21"/>
        </w:rPr>
        <w:t xml:space="preserve"> </w:t>
      </w:r>
      <w:r>
        <w:rPr>
          <w:rFonts w:hint="eastAsia" w:ascii="宋体" w:hAnsi="宋体" w:cs="宋体"/>
          <w:szCs w:val="21"/>
        </w:rPr>
        <w:t>前台用户模块</w:t>
      </w:r>
      <w:r>
        <w:rPr>
          <w:rFonts w:hint="eastAsia" w:ascii="宋体" w:hAnsi="宋体" w:eastAsia="宋体" w:cs="宋体"/>
          <w:szCs w:val="21"/>
        </w:rPr>
        <w:t>图</w:t>
      </w:r>
    </w:p>
    <w:p w14:paraId="28BD45CD">
      <w:pPr>
        <w:spacing w:line="440" w:lineRule="exact"/>
        <w:ind w:firstLine="480" w:firstLineChars="200"/>
        <w:rPr>
          <w:rFonts w:hint="default" w:ascii="宋体" w:hAnsi="宋体" w:cs="宋体" w:eastAsiaTheme="minorEastAsia"/>
          <w:sz w:val="24"/>
          <w:lang w:val="en-US" w:eastAsia="zh-CN"/>
        </w:rPr>
      </w:pPr>
      <w:r>
        <w:rPr>
          <w:rFonts w:hint="eastAsia" w:ascii="宋体" w:hAnsi="宋体" w:cs="宋体"/>
          <w:sz w:val="24"/>
        </w:rPr>
        <w:t>后台管理模块：套餐管理，用户管理，订单管理，评论管理等</w:t>
      </w:r>
      <w:r>
        <w:rPr>
          <w:rFonts w:hint="eastAsia" w:ascii="宋体" w:hAnsi="宋体" w:cs="宋体"/>
          <w:sz w:val="24"/>
          <w:lang w:eastAsia="zh-CN"/>
        </w:rPr>
        <w:t>，</w:t>
      </w:r>
      <w:r>
        <w:rPr>
          <w:rFonts w:hint="eastAsia" w:ascii="宋体" w:hAnsi="宋体" w:cs="宋体"/>
          <w:sz w:val="24"/>
          <w:lang w:val="en-US" w:eastAsia="zh-CN"/>
        </w:rPr>
        <w:t>如图1-3所示。</w:t>
      </w:r>
    </w:p>
    <w:p w14:paraId="4278C2A1">
      <w:pPr>
        <w:keepNext w:val="0"/>
        <w:keepLines w:val="0"/>
        <w:pageBreakBefore w:val="0"/>
        <w:widowControl w:val="0"/>
        <w:kinsoku/>
        <w:wordWrap/>
        <w:overflowPunct/>
        <w:topLinePunct w:val="0"/>
        <w:autoSpaceDE/>
        <w:autoSpaceDN/>
        <w:bidi w:val="0"/>
        <w:adjustRightInd/>
        <w:snapToGrid/>
        <w:jc w:val="center"/>
        <w:textAlignment w:val="auto"/>
        <w:rPr>
          <w:rFonts w:ascii="宋体" w:hAnsi="宋体" w:cs="宋体"/>
          <w:sz w:val="24"/>
        </w:rPr>
      </w:pPr>
      <w:r>
        <w:rPr>
          <w:rFonts w:hint="eastAsia" w:ascii="宋体" w:hAnsi="宋体" w:cs="宋体"/>
          <w:sz w:val="24"/>
        </w:rPr>
        <w:drawing>
          <wp:inline distT="0" distB="0" distL="114300" distR="114300">
            <wp:extent cx="2806700" cy="2387600"/>
            <wp:effectExtent l="0" t="0" r="0" b="0"/>
            <wp:docPr id="84" name="图片 84" descr="屏幕截图 2025-12-26 11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屏幕截图 2025-12-26 113908"/>
                    <pic:cNvPicPr>
                      <a:picLocks noChangeAspect="1"/>
                    </pic:cNvPicPr>
                  </pic:nvPicPr>
                  <pic:blipFill>
                    <a:blip r:embed="rId143"/>
                    <a:stretch>
                      <a:fillRect/>
                    </a:stretch>
                  </pic:blipFill>
                  <pic:spPr>
                    <a:xfrm>
                      <a:off x="0" y="0"/>
                      <a:ext cx="2806700" cy="2387600"/>
                    </a:xfrm>
                    <a:prstGeom prst="rect">
                      <a:avLst/>
                    </a:prstGeom>
                  </pic:spPr>
                </pic:pic>
              </a:graphicData>
            </a:graphic>
          </wp:inline>
        </w:drawing>
      </w:r>
    </w:p>
    <w:p w14:paraId="4C614E66">
      <w:pPr>
        <w:tabs>
          <w:tab w:val="left" w:pos="3603"/>
        </w:tabs>
        <w:spacing w:line="440" w:lineRule="exact"/>
        <w:jc w:val="center"/>
        <w:rPr>
          <w:rFonts w:ascii="宋体" w:hAnsi="宋体" w:eastAsia="宋体" w:cs="宋体"/>
          <w:szCs w:val="21"/>
        </w:rPr>
      </w:pPr>
      <w:r>
        <w:rPr>
          <w:rFonts w:hint="eastAsia" w:ascii="宋体" w:hAnsi="宋体" w:eastAsia="宋体" w:cs="宋体"/>
          <w:szCs w:val="21"/>
        </w:rPr>
        <w:t>图</w:t>
      </w:r>
      <w:r>
        <w:rPr>
          <w:rFonts w:hint="eastAsia" w:ascii="宋体" w:hAnsi="宋体" w:eastAsia="宋体" w:cs="宋体"/>
          <w:szCs w:val="21"/>
          <w:lang w:val="en-US" w:eastAsia="zh-CN"/>
        </w:rPr>
        <w:t>3-3</w:t>
      </w:r>
      <w:r>
        <w:rPr>
          <w:rFonts w:hint="eastAsia" w:ascii="宋体" w:hAnsi="宋体" w:eastAsia="宋体" w:cs="宋体"/>
          <w:szCs w:val="21"/>
        </w:rPr>
        <w:t xml:space="preserve"> </w:t>
      </w:r>
      <w:r>
        <w:rPr>
          <w:rFonts w:hint="eastAsia" w:ascii="宋体" w:hAnsi="宋体" w:cs="宋体"/>
          <w:szCs w:val="21"/>
        </w:rPr>
        <w:t>后台管理模块</w:t>
      </w:r>
      <w:r>
        <w:rPr>
          <w:rFonts w:hint="eastAsia" w:ascii="宋体" w:hAnsi="宋体" w:eastAsia="宋体" w:cs="宋体"/>
          <w:szCs w:val="21"/>
        </w:rPr>
        <w:t>图</w:t>
      </w:r>
    </w:p>
    <w:p w14:paraId="5AC75D86">
      <w:pPr>
        <w:spacing w:line="440" w:lineRule="exact"/>
        <w:ind w:firstLine="480" w:firstLineChars="200"/>
        <w:outlineLvl w:val="9"/>
        <w:rPr>
          <w:rFonts w:ascii="宋体" w:hAnsi="宋体" w:cs="宋体"/>
          <w:sz w:val="24"/>
        </w:rPr>
      </w:pPr>
      <w:bookmarkStart w:id="255" w:name="_Toc7863"/>
      <w:bookmarkStart w:id="256" w:name="_Toc14682"/>
      <w:bookmarkStart w:id="257" w:name="_Toc3329"/>
      <w:bookmarkStart w:id="258" w:name="_Toc32703"/>
      <w:bookmarkStart w:id="259" w:name="_Toc4064"/>
      <w:r>
        <w:rPr>
          <w:rFonts w:hint="eastAsia" w:ascii="宋体" w:hAnsi="宋体" w:cs="宋体"/>
          <w:sz w:val="24"/>
        </w:rPr>
        <w:t>3.2 系统功能模块设计</w:t>
      </w:r>
      <w:bookmarkEnd w:id="255"/>
      <w:bookmarkEnd w:id="256"/>
      <w:bookmarkEnd w:id="257"/>
      <w:bookmarkEnd w:id="258"/>
      <w:bookmarkEnd w:id="259"/>
    </w:p>
    <w:p w14:paraId="408CF949">
      <w:pPr>
        <w:spacing w:line="440" w:lineRule="exact"/>
        <w:ind w:firstLine="480" w:firstLineChars="200"/>
        <w:jc w:val="left"/>
        <w:outlineLvl w:val="9"/>
        <w:rPr>
          <w:rFonts w:ascii="宋体" w:hAnsi="宋体" w:cs="宋体"/>
          <w:sz w:val="24"/>
        </w:rPr>
      </w:pPr>
      <w:r>
        <w:rPr>
          <w:rFonts w:hint="eastAsia" w:ascii="宋体" w:hAnsi="宋体" w:cs="宋体"/>
          <w:sz w:val="24"/>
        </w:rPr>
        <w:t>功能模块主要分为用户模块和管理员模块。</w:t>
      </w:r>
    </w:p>
    <w:p w14:paraId="1BD3B60D">
      <w:pPr>
        <w:spacing w:line="440" w:lineRule="exact"/>
        <w:ind w:firstLine="480" w:firstLineChars="200"/>
        <w:jc w:val="left"/>
        <w:outlineLvl w:val="9"/>
        <w:rPr>
          <w:rFonts w:hint="default" w:ascii="宋体" w:hAnsi="宋体" w:cs="宋体" w:eastAsiaTheme="minorEastAsia"/>
          <w:sz w:val="24"/>
          <w:lang w:val="en-US" w:eastAsia="zh-CN"/>
        </w:rPr>
      </w:pPr>
      <w:r>
        <w:rPr>
          <w:rFonts w:hint="eastAsia" w:ascii="宋体" w:hAnsi="宋体" w:cs="宋体"/>
          <w:sz w:val="24"/>
        </w:rPr>
        <w:t>用户模块：注册登录，套餐浏览与搜索，预约下单，评论与收藏，个人中心(资料修改，我的预约，收藏列表)。本模块针对用户设计，用户可以注册登录自己的账号，再用自己的账号浏览喜欢的摄影套餐，进行预约下单，然后根据使用体验进行评论，遇到喜欢的套餐也可以收藏，通过个人中心可以查看自己的点赞收藏评论等，也能对密码进行修改。</w:t>
      </w:r>
      <w:r>
        <w:rPr>
          <w:rFonts w:hint="eastAsia" w:ascii="宋体" w:hAnsi="宋体" w:cs="宋体"/>
          <w:sz w:val="24"/>
          <w:lang w:val="en-US" w:eastAsia="zh-CN"/>
        </w:rPr>
        <w:t>具体结构图如图3-4所示，用例图如图3-5所示。</w:t>
      </w:r>
    </w:p>
    <w:p w14:paraId="4CCC3B32">
      <w:pPr>
        <w:jc w:val="center"/>
        <w:rPr>
          <w:rFonts w:ascii="宋体" w:hAnsi="宋体" w:cs="宋体"/>
          <w:sz w:val="24"/>
        </w:rPr>
      </w:pPr>
      <w:r>
        <w:rPr>
          <w:rFonts w:hint="eastAsia" w:ascii="宋体" w:hAnsi="宋体" w:cs="宋体"/>
          <w:sz w:val="24"/>
        </w:rPr>
        <w:drawing>
          <wp:inline distT="0" distB="0" distL="114300" distR="114300">
            <wp:extent cx="3282950" cy="2387600"/>
            <wp:effectExtent l="0" t="0" r="6350" b="0"/>
            <wp:docPr id="85" name="图片 85" descr="屏幕截图 2025-12-26 11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屏幕截图 2025-12-26 115002"/>
                    <pic:cNvPicPr>
                      <a:picLocks noChangeAspect="1"/>
                    </pic:cNvPicPr>
                  </pic:nvPicPr>
                  <pic:blipFill>
                    <a:blip r:embed="rId144"/>
                    <a:stretch>
                      <a:fillRect/>
                    </a:stretch>
                  </pic:blipFill>
                  <pic:spPr>
                    <a:xfrm>
                      <a:off x="0" y="0"/>
                      <a:ext cx="3282950" cy="2387600"/>
                    </a:xfrm>
                    <a:prstGeom prst="rect">
                      <a:avLst/>
                    </a:prstGeom>
                  </pic:spPr>
                </pic:pic>
              </a:graphicData>
            </a:graphic>
          </wp:inline>
        </w:drawing>
      </w:r>
    </w:p>
    <w:p w14:paraId="2CFFBE7C">
      <w:pPr>
        <w:jc w:val="center"/>
        <w:rPr>
          <w:rFonts w:ascii="宋体" w:hAnsi="宋体" w:cs="宋体"/>
          <w:szCs w:val="21"/>
        </w:rPr>
      </w:pPr>
      <w:r>
        <w:rPr>
          <w:rFonts w:hint="eastAsia" w:ascii="宋体" w:hAnsi="宋体" w:eastAsia="宋体" w:cs="宋体"/>
          <w:szCs w:val="21"/>
        </w:rPr>
        <w:t>图</w:t>
      </w:r>
      <w:r>
        <w:rPr>
          <w:rFonts w:hint="eastAsia" w:ascii="宋体" w:hAnsi="宋体" w:eastAsia="宋体" w:cs="宋体"/>
          <w:szCs w:val="21"/>
          <w:lang w:val="en-US" w:eastAsia="zh-CN"/>
        </w:rPr>
        <w:t>3-4</w:t>
      </w:r>
      <w:r>
        <w:rPr>
          <w:rFonts w:hint="eastAsia" w:ascii="宋体" w:hAnsi="宋体" w:eastAsia="宋体" w:cs="宋体"/>
          <w:szCs w:val="21"/>
        </w:rPr>
        <w:t xml:space="preserve"> </w:t>
      </w:r>
      <w:r>
        <w:rPr>
          <w:rFonts w:hint="eastAsia" w:ascii="宋体" w:hAnsi="宋体" w:cs="宋体"/>
          <w:szCs w:val="21"/>
        </w:rPr>
        <w:t>用户模块功能图</w:t>
      </w:r>
    </w:p>
    <w:p w14:paraId="6CFB9B11">
      <w:pPr>
        <w:ind w:firstLine="420" w:firstLineChars="200"/>
        <w:rPr>
          <w:rFonts w:ascii="宋体" w:hAnsi="宋体" w:cs="宋体"/>
          <w:szCs w:val="21"/>
        </w:rPr>
      </w:pPr>
    </w:p>
    <w:p w14:paraId="2FFAAC92">
      <w:pPr>
        <w:jc w:val="center"/>
        <w:rPr>
          <w:rFonts w:ascii="宋体" w:hAnsi="宋体" w:cs="宋体"/>
          <w:szCs w:val="21"/>
        </w:rPr>
      </w:pPr>
      <w:r>
        <w:rPr>
          <w:rFonts w:ascii="宋体" w:hAnsi="宋体" w:cs="宋体"/>
          <w:szCs w:val="21"/>
        </w:rPr>
        <w:drawing>
          <wp:inline distT="0" distB="0" distL="114300" distR="114300">
            <wp:extent cx="2940050" cy="3892550"/>
            <wp:effectExtent l="0" t="0" r="6350" b="6350"/>
            <wp:docPr id="86" name="图片 13" descr="屏幕截图 2025-12-17 15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descr="屏幕截图 2025-12-17 155325"/>
                    <pic:cNvPicPr>
                      <a:picLocks noChangeAspect="1"/>
                    </pic:cNvPicPr>
                  </pic:nvPicPr>
                  <pic:blipFill>
                    <a:blip r:embed="rId145"/>
                    <a:stretch>
                      <a:fillRect/>
                    </a:stretch>
                  </pic:blipFill>
                  <pic:spPr>
                    <a:xfrm>
                      <a:off x="0" y="0"/>
                      <a:ext cx="2940050" cy="3892550"/>
                    </a:xfrm>
                    <a:prstGeom prst="rect">
                      <a:avLst/>
                    </a:prstGeom>
                  </pic:spPr>
                </pic:pic>
              </a:graphicData>
            </a:graphic>
          </wp:inline>
        </w:drawing>
      </w:r>
    </w:p>
    <w:p w14:paraId="08AFCE9F">
      <w:pPr>
        <w:jc w:val="center"/>
        <w:rPr>
          <w:rFonts w:ascii="宋体" w:hAnsi="宋体" w:cs="宋体"/>
          <w:szCs w:val="21"/>
        </w:rPr>
      </w:pPr>
      <w:r>
        <w:rPr>
          <w:rFonts w:hint="eastAsia" w:ascii="宋体" w:hAnsi="宋体" w:eastAsia="宋体" w:cs="宋体"/>
          <w:szCs w:val="21"/>
        </w:rPr>
        <w:t>图</w:t>
      </w:r>
      <w:r>
        <w:rPr>
          <w:rFonts w:hint="eastAsia" w:ascii="宋体" w:hAnsi="宋体" w:eastAsia="宋体" w:cs="宋体"/>
          <w:szCs w:val="21"/>
          <w:lang w:val="en-US" w:eastAsia="zh-CN"/>
        </w:rPr>
        <w:t>3-5</w:t>
      </w:r>
      <w:r>
        <w:rPr>
          <w:rFonts w:hint="eastAsia" w:ascii="宋体" w:hAnsi="宋体" w:eastAsia="宋体" w:cs="宋体"/>
          <w:szCs w:val="21"/>
        </w:rPr>
        <w:t xml:space="preserve"> </w:t>
      </w:r>
      <w:r>
        <w:rPr>
          <w:rFonts w:hint="eastAsia" w:ascii="宋体" w:hAnsi="宋体" w:cs="宋体"/>
          <w:szCs w:val="21"/>
        </w:rPr>
        <w:t>用户模块用例图</w:t>
      </w:r>
    </w:p>
    <w:p w14:paraId="4BE8B08D">
      <w:pPr>
        <w:spacing w:line="440" w:lineRule="exact"/>
        <w:ind w:firstLine="480" w:firstLineChars="200"/>
        <w:jc w:val="left"/>
        <w:rPr>
          <w:rFonts w:hint="default" w:ascii="宋体" w:hAnsi="宋体" w:cs="宋体" w:eastAsiaTheme="minorEastAsia"/>
          <w:sz w:val="24"/>
          <w:lang w:val="en-US" w:eastAsia="zh-CN"/>
        </w:rPr>
      </w:pPr>
      <w:r>
        <w:rPr>
          <w:rFonts w:hint="eastAsia" w:ascii="宋体" w:hAnsi="宋体" w:cs="宋体"/>
          <w:sz w:val="24"/>
        </w:rPr>
        <w:t>管理员模块：套餐管理(增删改查)，用户管理，订单管理，评论管理，数据统计。本模块针对管理员设计，可以实现对套餐类型，信息等的增删改查，同时还能对用户及订单进行管理审核，也可以对不良评论进行删除。</w:t>
      </w:r>
      <w:r>
        <w:rPr>
          <w:rFonts w:hint="eastAsia" w:ascii="宋体" w:hAnsi="宋体" w:cs="宋体"/>
          <w:sz w:val="24"/>
          <w:lang w:val="en-US" w:eastAsia="zh-CN"/>
        </w:rPr>
        <w:t>具体结构图如图3-6所示，用例图如图3-7所示。</w:t>
      </w:r>
    </w:p>
    <w:p w14:paraId="010A34D8">
      <w:pPr>
        <w:spacing w:line="440" w:lineRule="exact"/>
        <w:ind w:firstLine="480" w:firstLineChars="200"/>
        <w:jc w:val="left"/>
        <w:rPr>
          <w:rFonts w:ascii="宋体" w:hAnsi="宋体" w:cs="宋体"/>
          <w:sz w:val="24"/>
        </w:rPr>
      </w:pPr>
    </w:p>
    <w:p w14:paraId="0812446E">
      <w:pPr>
        <w:adjustRightInd w:val="0"/>
        <w:jc w:val="center"/>
        <w:rPr>
          <w:rFonts w:ascii="宋体" w:hAnsi="宋体" w:cs="宋体"/>
          <w:sz w:val="24"/>
        </w:rPr>
      </w:pPr>
      <w:r>
        <w:rPr>
          <w:rFonts w:ascii="宋体" w:hAnsi="宋体" w:cs="宋体"/>
          <w:sz w:val="24"/>
        </w:rPr>
        <w:drawing>
          <wp:inline distT="0" distB="0" distL="114300" distR="114300">
            <wp:extent cx="3340100" cy="2444750"/>
            <wp:effectExtent l="0" t="0" r="0" b="6350"/>
            <wp:docPr id="87" name="图片 87" descr="屏幕截图 2025-12-26 11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屏幕截图 2025-12-26 115413"/>
                    <pic:cNvPicPr>
                      <a:picLocks noChangeAspect="1"/>
                    </pic:cNvPicPr>
                  </pic:nvPicPr>
                  <pic:blipFill>
                    <a:blip r:embed="rId146"/>
                    <a:stretch>
                      <a:fillRect/>
                    </a:stretch>
                  </pic:blipFill>
                  <pic:spPr>
                    <a:xfrm>
                      <a:off x="0" y="0"/>
                      <a:ext cx="3340100" cy="2444750"/>
                    </a:xfrm>
                    <a:prstGeom prst="rect">
                      <a:avLst/>
                    </a:prstGeom>
                  </pic:spPr>
                </pic:pic>
              </a:graphicData>
            </a:graphic>
          </wp:inline>
        </w:drawing>
      </w:r>
    </w:p>
    <w:p w14:paraId="68B1C046">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ascii="宋体" w:hAnsi="宋体" w:cs="宋体"/>
          <w:szCs w:val="21"/>
        </w:rPr>
      </w:pPr>
      <w:r>
        <w:rPr>
          <w:rFonts w:hint="eastAsia" w:ascii="宋体" w:hAnsi="宋体" w:eastAsia="宋体" w:cs="宋体"/>
          <w:szCs w:val="21"/>
        </w:rPr>
        <w:t>图</w:t>
      </w:r>
      <w:r>
        <w:rPr>
          <w:rFonts w:hint="eastAsia" w:ascii="宋体" w:hAnsi="宋体" w:eastAsia="宋体" w:cs="宋体"/>
          <w:szCs w:val="21"/>
          <w:lang w:val="en-US" w:eastAsia="zh-CN"/>
        </w:rPr>
        <w:t>3-6</w:t>
      </w:r>
      <w:r>
        <w:rPr>
          <w:rFonts w:hint="eastAsia" w:ascii="宋体" w:hAnsi="宋体" w:eastAsia="宋体" w:cs="宋体"/>
          <w:szCs w:val="21"/>
        </w:rPr>
        <w:t xml:space="preserve"> </w:t>
      </w:r>
      <w:r>
        <w:rPr>
          <w:rFonts w:hint="eastAsia" w:ascii="宋体" w:hAnsi="宋体" w:cs="宋体"/>
          <w:szCs w:val="21"/>
        </w:rPr>
        <w:t>管理员模块功能图</w:t>
      </w:r>
    </w:p>
    <w:p w14:paraId="2DCF1901">
      <w:pPr>
        <w:ind w:firstLine="420" w:firstLineChars="200"/>
        <w:rPr>
          <w:rFonts w:ascii="宋体" w:hAnsi="宋体" w:cs="宋体"/>
          <w:szCs w:val="21"/>
        </w:rPr>
      </w:pPr>
    </w:p>
    <w:p w14:paraId="6FAB2CB6">
      <w:pPr>
        <w:adjustRightInd w:val="0"/>
        <w:jc w:val="center"/>
        <w:rPr>
          <w:rFonts w:ascii="宋体" w:hAnsi="宋体" w:cs="宋体"/>
          <w:szCs w:val="21"/>
        </w:rPr>
      </w:pPr>
      <w:r>
        <w:rPr>
          <w:rFonts w:hint="eastAsia" w:ascii="宋体" w:hAnsi="宋体" w:cs="宋体"/>
          <w:szCs w:val="21"/>
        </w:rPr>
        <w:drawing>
          <wp:inline distT="0" distB="0" distL="114300" distR="114300">
            <wp:extent cx="3244850" cy="3886200"/>
            <wp:effectExtent l="0" t="0" r="6350" b="0"/>
            <wp:docPr id="88" name="图片 12" descr="屏幕截图 2025-12-17 15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descr="屏幕截图 2025-12-17 154913"/>
                    <pic:cNvPicPr>
                      <a:picLocks noChangeAspect="1"/>
                    </pic:cNvPicPr>
                  </pic:nvPicPr>
                  <pic:blipFill>
                    <a:blip r:embed="rId147"/>
                    <a:stretch>
                      <a:fillRect/>
                    </a:stretch>
                  </pic:blipFill>
                  <pic:spPr>
                    <a:xfrm>
                      <a:off x="0" y="0"/>
                      <a:ext cx="3244850" cy="3886200"/>
                    </a:xfrm>
                    <a:prstGeom prst="rect">
                      <a:avLst/>
                    </a:prstGeom>
                  </pic:spPr>
                </pic:pic>
              </a:graphicData>
            </a:graphic>
          </wp:inline>
        </w:drawing>
      </w:r>
    </w:p>
    <w:p w14:paraId="71D146A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ascii="宋体" w:hAnsi="宋体" w:cs="宋体"/>
          <w:sz w:val="24"/>
        </w:rPr>
      </w:pPr>
      <w:r>
        <w:rPr>
          <w:rFonts w:hint="eastAsia" w:ascii="宋体" w:hAnsi="宋体" w:eastAsia="宋体" w:cs="宋体"/>
          <w:szCs w:val="21"/>
        </w:rPr>
        <w:t>图</w:t>
      </w:r>
      <w:r>
        <w:rPr>
          <w:rFonts w:hint="eastAsia" w:ascii="宋体" w:hAnsi="宋体" w:eastAsia="宋体" w:cs="宋体"/>
          <w:szCs w:val="21"/>
          <w:lang w:val="en-US" w:eastAsia="zh-CN"/>
        </w:rPr>
        <w:t>3-7</w:t>
      </w:r>
      <w:r>
        <w:rPr>
          <w:rFonts w:hint="eastAsia" w:ascii="宋体" w:hAnsi="宋体" w:cs="宋体"/>
          <w:szCs w:val="21"/>
        </w:rPr>
        <w:t xml:space="preserve"> 管理员模块用例图</w:t>
      </w:r>
    </w:p>
    <w:p w14:paraId="1E6F04E1">
      <w:pPr>
        <w:spacing w:line="440" w:lineRule="exact"/>
        <w:rPr>
          <w:rFonts w:cs="Times New Roman"/>
          <w:b/>
          <w:bCs/>
          <w:sz w:val="28"/>
          <w:szCs w:val="28"/>
        </w:rPr>
      </w:pPr>
      <w:r>
        <w:rPr>
          <w:rFonts w:hint="eastAsia" w:cs="Times New Roman"/>
          <w:b/>
          <w:bCs/>
          <w:sz w:val="28"/>
          <w:szCs w:val="28"/>
        </w:rPr>
        <w:t>4系统实现</w:t>
      </w:r>
    </w:p>
    <w:p w14:paraId="2ED79AC3">
      <w:pPr>
        <w:spacing w:line="440" w:lineRule="exact"/>
        <w:ind w:firstLine="480" w:firstLineChars="200"/>
        <w:jc w:val="left"/>
        <w:rPr>
          <w:rFonts w:ascii="宋体" w:hAnsi="宋体" w:eastAsia="宋体" w:cs="宋体"/>
          <w:color w:val="000000"/>
          <w:sz w:val="24"/>
        </w:rPr>
      </w:pPr>
      <w:r>
        <w:rPr>
          <w:rFonts w:hint="eastAsia" w:ascii="宋体" w:hAnsi="宋体" w:cs="宋体"/>
          <w:color w:val="000000"/>
          <w:sz w:val="24"/>
        </w:rPr>
        <w:t>4.1 系</w:t>
      </w:r>
      <w:r>
        <w:rPr>
          <w:rFonts w:hint="eastAsia" w:ascii="宋体" w:hAnsi="宋体" w:eastAsia="宋体" w:cs="宋体"/>
          <w:color w:val="000000"/>
          <w:sz w:val="24"/>
        </w:rPr>
        <w:t>统开发环境</w:t>
      </w:r>
    </w:p>
    <w:p w14:paraId="5C3E453B">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4.1.1 服务器端</w:t>
      </w:r>
    </w:p>
    <w:p w14:paraId="62EF0D0F">
      <w:pPr>
        <w:tabs>
          <w:tab w:val="left" w:pos="2607"/>
        </w:tabs>
        <w:spacing w:line="440" w:lineRule="exact"/>
        <w:ind w:firstLine="480" w:firstLineChars="200"/>
        <w:jc w:val="left"/>
        <w:rPr>
          <w:rFonts w:hint="eastAsia" w:eastAsia="宋体"/>
          <w:color w:val="000000"/>
          <w:sz w:val="24"/>
        </w:rPr>
      </w:pPr>
      <w:r>
        <w:rPr>
          <w:rFonts w:hint="eastAsia"/>
          <w:color w:val="000000"/>
          <w:sz w:val="24"/>
        </w:rPr>
        <w:t>（１）</w:t>
      </w:r>
      <w:r>
        <w:rPr>
          <w:rFonts w:hint="eastAsia" w:eastAsia="宋体"/>
          <w:color w:val="000000"/>
          <w:sz w:val="24"/>
        </w:rPr>
        <w:t>硬件配置</w:t>
      </w:r>
    </w:p>
    <w:p w14:paraId="69CDBB71">
      <w:pPr>
        <w:tabs>
          <w:tab w:val="left" w:pos="2607"/>
        </w:tabs>
        <w:spacing w:line="440" w:lineRule="exact"/>
        <w:ind w:firstLine="480" w:firstLineChars="200"/>
        <w:jc w:val="left"/>
        <w:rPr>
          <w:rFonts w:hint="eastAsia" w:eastAsia="宋体"/>
          <w:color w:val="000000"/>
          <w:sz w:val="24"/>
          <w:lang w:val="en-US" w:eastAsia="zh-CN"/>
        </w:rPr>
      </w:pPr>
      <w:r>
        <w:rPr>
          <w:rFonts w:hint="eastAsia" w:ascii="宋体" w:hAnsi="宋体" w:eastAsia="宋体" w:cs="宋体"/>
          <w:color w:val="000000"/>
          <w:sz w:val="24"/>
          <w:lang w:val="en-US" w:eastAsia="zh-CN"/>
        </w:rPr>
        <w:t>本系统的服务器端使用硬件配置如下表4-1所示</w:t>
      </w:r>
      <w:r>
        <w:rPr>
          <w:rFonts w:hint="eastAsia" w:eastAsia="宋体"/>
          <w:color w:val="000000"/>
          <w:sz w:val="24"/>
          <w:lang w:val="en-US" w:eastAsia="zh-CN"/>
        </w:rPr>
        <w:t>：</w:t>
      </w:r>
    </w:p>
    <w:p w14:paraId="01075459">
      <w:pPr>
        <w:tabs>
          <w:tab w:val="left" w:pos="2607"/>
        </w:tabs>
        <w:spacing w:line="440" w:lineRule="exact"/>
        <w:ind w:firstLine="480" w:firstLineChars="200"/>
        <w:jc w:val="left"/>
        <w:rPr>
          <w:rFonts w:hint="eastAsia" w:eastAsia="宋体"/>
          <w:color w:val="000000"/>
          <w:sz w:val="24"/>
          <w:lang w:val="en-US" w:eastAsia="zh-CN"/>
        </w:rPr>
      </w:pPr>
    </w:p>
    <w:p w14:paraId="7D64267C">
      <w:pPr>
        <w:keepNext w:val="0"/>
        <w:keepLines w:val="0"/>
        <w:pageBreakBefore w:val="0"/>
        <w:widowControl w:val="0"/>
        <w:tabs>
          <w:tab w:val="left" w:pos="2607"/>
        </w:tabs>
        <w:kinsoku/>
        <w:wordWrap/>
        <w:overflowPunct/>
        <w:topLinePunct w:val="0"/>
        <w:autoSpaceDE/>
        <w:autoSpaceDN/>
        <w:bidi w:val="0"/>
        <w:adjustRightInd/>
        <w:snapToGrid/>
        <w:spacing w:line="240" w:lineRule="auto"/>
        <w:ind w:firstLine="0" w:firstLineChars="0"/>
        <w:jc w:val="center"/>
        <w:textAlignment w:val="auto"/>
        <w:rPr>
          <w:color w:val="000000"/>
          <w:sz w:val="21"/>
          <w:szCs w:val="21"/>
        </w:rPr>
      </w:pPr>
      <w:r>
        <w:rPr>
          <w:rFonts w:hint="eastAsia" w:ascii="宋体" w:hAnsi="宋体" w:eastAsia="宋体" w:cs="宋体"/>
          <w:color w:val="000000"/>
          <w:sz w:val="21"/>
          <w:szCs w:val="21"/>
          <w:lang w:val="en-US" w:eastAsia="zh-CN"/>
        </w:rPr>
        <w:t>表4-1</w:t>
      </w:r>
      <w:r>
        <w:rPr>
          <w:rFonts w:hint="eastAsia" w:eastAsia="宋体"/>
          <w:color w:val="000000"/>
          <w:sz w:val="21"/>
          <w:szCs w:val="21"/>
          <w:lang w:val="en-US" w:eastAsia="zh-CN"/>
        </w:rPr>
        <w:t xml:space="preserve"> 服务器端硬件配置表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3CB9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2F41F911">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硬件</w:t>
            </w:r>
          </w:p>
        </w:tc>
        <w:tc>
          <w:tcPr>
            <w:tcW w:w="4261" w:type="dxa"/>
            <w:vAlign w:val="center"/>
          </w:tcPr>
          <w:p w14:paraId="062E3025">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配置</w:t>
            </w:r>
          </w:p>
        </w:tc>
      </w:tr>
      <w:tr w14:paraId="5CC04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65762F38">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电脑</w:t>
            </w:r>
            <w:r>
              <w:rPr>
                <w:rFonts w:hint="eastAsia" w:ascii="宋体" w:hAnsi="宋体" w:eastAsia="宋体" w:cs="宋体"/>
                <w:color w:val="000000"/>
                <w:sz w:val="21"/>
                <w:szCs w:val="21"/>
                <w:lang w:val="en-US" w:eastAsia="zh-CN"/>
              </w:rPr>
              <w:t>型号</w:t>
            </w:r>
            <w:r>
              <w:rPr>
                <w:rFonts w:hint="eastAsia" w:ascii="宋体" w:hAnsi="宋体" w:eastAsia="宋体" w:cs="宋体"/>
                <w:color w:val="000000"/>
                <w:sz w:val="21"/>
                <w:szCs w:val="21"/>
                <w:lang w:eastAsia="zh-CN"/>
              </w:rPr>
              <w:t>，</w:t>
            </w:r>
          </w:p>
        </w:tc>
        <w:tc>
          <w:tcPr>
            <w:tcW w:w="4261" w:type="dxa"/>
            <w:vAlign w:val="center"/>
          </w:tcPr>
          <w:p w14:paraId="43834001">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Apple MacBook Air</w:t>
            </w:r>
          </w:p>
        </w:tc>
      </w:tr>
      <w:tr w14:paraId="53999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0F759A7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芯片</w:t>
            </w:r>
            <w:r>
              <w:rPr>
                <w:rFonts w:hint="eastAsia" w:ascii="宋体" w:hAnsi="宋体" w:eastAsia="宋体" w:cs="宋体"/>
                <w:color w:val="000000"/>
                <w:sz w:val="21"/>
                <w:szCs w:val="21"/>
                <w:lang w:eastAsia="zh-CN"/>
              </w:rPr>
              <w:t>，</w:t>
            </w:r>
          </w:p>
        </w:tc>
        <w:tc>
          <w:tcPr>
            <w:tcW w:w="4261" w:type="dxa"/>
            <w:vAlign w:val="center"/>
          </w:tcPr>
          <w:p w14:paraId="1FE62B1B">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Apple M4</w:t>
            </w:r>
          </w:p>
        </w:tc>
      </w:tr>
      <w:tr w14:paraId="5771A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67EF598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内存</w:t>
            </w:r>
            <w:r>
              <w:rPr>
                <w:rFonts w:hint="eastAsia" w:ascii="宋体" w:hAnsi="宋体" w:eastAsia="宋体" w:cs="宋体"/>
                <w:color w:val="000000"/>
                <w:sz w:val="21"/>
                <w:szCs w:val="21"/>
                <w:lang w:eastAsia="zh-CN"/>
              </w:rPr>
              <w:t>，</w:t>
            </w:r>
          </w:p>
        </w:tc>
        <w:tc>
          <w:tcPr>
            <w:tcW w:w="4261" w:type="dxa"/>
            <w:vAlign w:val="center"/>
          </w:tcPr>
          <w:p w14:paraId="0A7A605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16GB</w:t>
            </w:r>
          </w:p>
        </w:tc>
      </w:tr>
      <w:tr w14:paraId="3BCB9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14:paraId="1D66C685">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硬盘</w:t>
            </w:r>
            <w:r>
              <w:rPr>
                <w:rFonts w:hint="eastAsia" w:ascii="宋体" w:hAnsi="宋体" w:eastAsia="宋体" w:cs="宋体"/>
                <w:color w:val="000000"/>
                <w:sz w:val="21"/>
                <w:szCs w:val="21"/>
                <w:lang w:eastAsia="zh-CN"/>
              </w:rPr>
              <w:t>，</w:t>
            </w:r>
          </w:p>
        </w:tc>
        <w:tc>
          <w:tcPr>
            <w:tcW w:w="4261" w:type="dxa"/>
            <w:vAlign w:val="center"/>
          </w:tcPr>
          <w:p w14:paraId="23B88477">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eastAsia="宋体" w:cs="宋体"/>
                <w:color w:val="000000"/>
                <w:sz w:val="21"/>
                <w:szCs w:val="21"/>
              </w:rPr>
              <w:t>256GB固态硬盘</w:t>
            </w:r>
          </w:p>
        </w:tc>
      </w:tr>
    </w:tbl>
    <w:p w14:paraId="1BBEC9FA">
      <w:pPr>
        <w:spacing w:line="440" w:lineRule="exact"/>
        <w:ind w:firstLine="480" w:firstLineChars="200"/>
        <w:jc w:val="left"/>
        <w:rPr>
          <w:rFonts w:hint="eastAsia"/>
          <w:color w:val="000000"/>
          <w:sz w:val="24"/>
        </w:rPr>
      </w:pPr>
      <w:r>
        <w:rPr>
          <w:rFonts w:hint="eastAsia" w:eastAsia="宋体"/>
          <w:color w:val="000000"/>
          <w:sz w:val="24"/>
        </w:rPr>
        <w:t>（</w:t>
      </w:r>
      <w:r>
        <w:rPr>
          <w:rFonts w:hint="eastAsia"/>
          <w:color w:val="000000"/>
          <w:sz w:val="24"/>
        </w:rPr>
        <w:t>２</w:t>
      </w:r>
      <w:r>
        <w:rPr>
          <w:rFonts w:hint="eastAsia" w:eastAsia="宋体"/>
          <w:color w:val="000000"/>
          <w:sz w:val="24"/>
        </w:rPr>
        <w:t>）</w:t>
      </w:r>
      <w:r>
        <w:rPr>
          <w:rFonts w:hint="eastAsia"/>
          <w:color w:val="000000"/>
          <w:sz w:val="24"/>
        </w:rPr>
        <w:t>软件环境</w:t>
      </w:r>
    </w:p>
    <w:p w14:paraId="4CEB4FD7">
      <w:pPr>
        <w:tabs>
          <w:tab w:val="left" w:pos="2607"/>
        </w:tabs>
        <w:spacing w:line="440" w:lineRule="exact"/>
        <w:ind w:firstLine="480" w:firstLineChars="200"/>
        <w:jc w:val="left"/>
        <w:rPr>
          <w:rFonts w:hint="eastAsia" w:eastAsia="宋体"/>
          <w:color w:val="000000"/>
          <w:sz w:val="24"/>
          <w:lang w:val="en-US" w:eastAsia="zh-CN"/>
        </w:rPr>
      </w:pPr>
      <w:r>
        <w:rPr>
          <w:rFonts w:hint="eastAsia" w:ascii="宋体" w:hAnsi="宋体" w:eastAsia="宋体" w:cs="宋体"/>
          <w:color w:val="000000"/>
          <w:sz w:val="24"/>
          <w:lang w:val="en-US" w:eastAsia="zh-CN"/>
        </w:rPr>
        <w:t>本系统的服务器端使用软件配置如下表4-2所示</w:t>
      </w:r>
      <w:r>
        <w:rPr>
          <w:rFonts w:hint="eastAsia" w:eastAsia="宋体"/>
          <w:color w:val="000000"/>
          <w:sz w:val="24"/>
          <w:lang w:val="en-US" w:eastAsia="zh-CN"/>
        </w:rPr>
        <w:t>：</w:t>
      </w:r>
    </w:p>
    <w:p w14:paraId="70FABF20">
      <w:pPr>
        <w:keepNext w:val="0"/>
        <w:keepLines w:val="0"/>
        <w:pageBreakBefore w:val="0"/>
        <w:widowControl w:val="0"/>
        <w:tabs>
          <w:tab w:val="left" w:pos="2607"/>
        </w:tabs>
        <w:kinsoku/>
        <w:wordWrap/>
        <w:overflowPunct/>
        <w:topLinePunct w:val="0"/>
        <w:autoSpaceDE/>
        <w:autoSpaceDN/>
        <w:bidi w:val="0"/>
        <w:adjustRightInd/>
        <w:snapToGrid/>
        <w:spacing w:line="240" w:lineRule="auto"/>
        <w:ind w:firstLine="0" w:firstLineChars="0"/>
        <w:jc w:val="center"/>
        <w:textAlignment w:val="auto"/>
      </w:pPr>
      <w:r>
        <w:rPr>
          <w:rFonts w:hint="eastAsia" w:ascii="宋体" w:hAnsi="宋体" w:eastAsia="宋体" w:cs="宋体"/>
          <w:color w:val="000000"/>
          <w:sz w:val="21"/>
          <w:szCs w:val="21"/>
          <w:lang w:val="en-US" w:eastAsia="zh-CN"/>
        </w:rPr>
        <w:t>表4-2</w:t>
      </w:r>
      <w:r>
        <w:rPr>
          <w:rFonts w:hint="eastAsia" w:eastAsia="宋体"/>
          <w:color w:val="000000"/>
          <w:sz w:val="21"/>
          <w:szCs w:val="21"/>
          <w:lang w:val="en-US" w:eastAsia="zh-CN"/>
        </w:rPr>
        <w:t xml:space="preserve"> 服务器端硬件配置表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35254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77D2A3F">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软件</w:t>
            </w:r>
          </w:p>
        </w:tc>
        <w:tc>
          <w:tcPr>
            <w:tcW w:w="4261" w:type="dxa"/>
          </w:tcPr>
          <w:p w14:paraId="635606A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配置</w:t>
            </w:r>
          </w:p>
        </w:tc>
      </w:tr>
      <w:tr w14:paraId="54C2C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7913B9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操作系统</w:t>
            </w:r>
          </w:p>
        </w:tc>
        <w:tc>
          <w:tcPr>
            <w:tcW w:w="4261" w:type="dxa"/>
          </w:tcPr>
          <w:p w14:paraId="0F932D2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macOS Sequoia</w:t>
            </w:r>
          </w:p>
        </w:tc>
      </w:tr>
      <w:tr w14:paraId="2967F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CCC8AB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应用服务器</w:t>
            </w:r>
          </w:p>
        </w:tc>
        <w:tc>
          <w:tcPr>
            <w:tcW w:w="4261" w:type="dxa"/>
          </w:tcPr>
          <w:p w14:paraId="4BAF7EC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bCs/>
                <w:sz w:val="21"/>
                <w:szCs w:val="21"/>
              </w:rPr>
              <w:t>Tomcat 9.0</w:t>
            </w:r>
          </w:p>
        </w:tc>
      </w:tr>
      <w:tr w14:paraId="5C7E8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A60DF74">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数据库</w:t>
            </w:r>
          </w:p>
        </w:tc>
        <w:tc>
          <w:tcPr>
            <w:tcW w:w="4261" w:type="dxa"/>
          </w:tcPr>
          <w:p w14:paraId="1A97D9B1">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F1115"/>
                <w:sz w:val="21"/>
                <w:szCs w:val="21"/>
                <w:shd w:val="clear" w:color="auto" w:fill="FFFFFF"/>
              </w:rPr>
              <w:t>MySQL 5.7</w:t>
            </w:r>
          </w:p>
        </w:tc>
      </w:tr>
    </w:tbl>
    <w:p w14:paraId="08042143">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4.1.２客户端</w:t>
      </w:r>
    </w:p>
    <w:p w14:paraId="78BE53C9">
      <w:pPr>
        <w:spacing w:line="440" w:lineRule="exact"/>
        <w:ind w:firstLine="480" w:firstLineChars="200"/>
        <w:jc w:val="left"/>
        <w:rPr>
          <w:rFonts w:hint="eastAsia" w:ascii="宋体" w:hAnsi="宋体" w:eastAsia="宋体" w:cs="宋体"/>
          <w:color w:val="000000"/>
          <w:sz w:val="24"/>
        </w:rPr>
      </w:pPr>
      <w:r>
        <w:rPr>
          <w:rFonts w:hint="eastAsia" w:ascii="宋体" w:hAnsi="宋体" w:eastAsia="宋体" w:cs="宋体"/>
          <w:color w:val="000000"/>
          <w:sz w:val="24"/>
        </w:rPr>
        <w:t>（１）开发环境</w:t>
      </w:r>
    </w:p>
    <w:p w14:paraId="60FF2D1C">
      <w:pPr>
        <w:tabs>
          <w:tab w:val="left" w:pos="2607"/>
        </w:tabs>
        <w:spacing w:line="440" w:lineRule="exact"/>
        <w:ind w:firstLine="480" w:firstLineChars="200"/>
        <w:jc w:val="left"/>
        <w:rPr>
          <w:rFonts w:hint="eastAsia" w:eastAsia="宋体"/>
          <w:color w:val="000000"/>
          <w:sz w:val="24"/>
          <w:lang w:val="en-US" w:eastAsia="zh-CN"/>
        </w:rPr>
      </w:pPr>
      <w:r>
        <w:rPr>
          <w:rFonts w:hint="eastAsia" w:ascii="宋体" w:hAnsi="宋体" w:eastAsia="宋体" w:cs="宋体"/>
          <w:color w:val="000000"/>
          <w:sz w:val="24"/>
          <w:lang w:val="en-US" w:eastAsia="zh-CN"/>
        </w:rPr>
        <w:t>本系统的客户端使用开发环境配置如下表4-3所示</w:t>
      </w:r>
      <w:r>
        <w:rPr>
          <w:rFonts w:hint="eastAsia" w:eastAsia="宋体"/>
          <w:color w:val="000000"/>
          <w:sz w:val="24"/>
          <w:lang w:val="en-US" w:eastAsia="zh-CN"/>
        </w:rPr>
        <w:t>：</w:t>
      </w:r>
    </w:p>
    <w:p w14:paraId="20AA2A29">
      <w:pPr>
        <w:keepNext w:val="0"/>
        <w:keepLines w:val="0"/>
        <w:pageBreakBefore w:val="0"/>
        <w:widowControl w:val="0"/>
        <w:tabs>
          <w:tab w:val="left" w:pos="2607"/>
        </w:tabs>
        <w:kinsoku/>
        <w:wordWrap/>
        <w:overflowPunct/>
        <w:topLinePunct w:val="0"/>
        <w:autoSpaceDE/>
        <w:autoSpaceDN/>
        <w:bidi w:val="0"/>
        <w:adjustRightInd/>
        <w:snapToGrid/>
        <w:spacing w:line="240" w:lineRule="auto"/>
        <w:ind w:firstLine="0" w:firstLineChars="0"/>
        <w:jc w:val="center"/>
        <w:textAlignment w:val="auto"/>
      </w:pPr>
      <w:r>
        <w:rPr>
          <w:rFonts w:hint="eastAsia" w:ascii="宋体" w:hAnsi="宋体" w:eastAsia="宋体" w:cs="宋体"/>
          <w:color w:val="000000"/>
          <w:sz w:val="21"/>
          <w:szCs w:val="21"/>
          <w:lang w:val="en-US" w:eastAsia="zh-CN"/>
        </w:rPr>
        <w:t>表4-3</w:t>
      </w:r>
      <w:r>
        <w:rPr>
          <w:rFonts w:hint="eastAsia" w:eastAsia="宋体"/>
          <w:color w:val="000000"/>
          <w:sz w:val="21"/>
          <w:szCs w:val="21"/>
          <w:lang w:val="en-US" w:eastAsia="zh-CN"/>
        </w:rPr>
        <w:t xml:space="preserve"> 客户端开发环境配置表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AB2D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79DAB6B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开发环境</w:t>
            </w:r>
          </w:p>
        </w:tc>
        <w:tc>
          <w:tcPr>
            <w:tcW w:w="4261" w:type="dxa"/>
            <w:vAlign w:val="center"/>
          </w:tcPr>
          <w:p w14:paraId="2EE0D97A">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配置</w:t>
            </w:r>
          </w:p>
        </w:tc>
      </w:tr>
      <w:tr w14:paraId="2433E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5A4B4668">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后端开发工具</w:t>
            </w:r>
          </w:p>
        </w:tc>
        <w:tc>
          <w:tcPr>
            <w:tcW w:w="4261" w:type="dxa"/>
            <w:vAlign w:val="center"/>
          </w:tcPr>
          <w:p w14:paraId="0D2B76A9">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IntelliJ IDEA 2022.2.1</w:t>
            </w:r>
          </w:p>
        </w:tc>
      </w:tr>
      <w:tr w14:paraId="6E092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480A02E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000000"/>
                <w:sz w:val="21"/>
                <w:szCs w:val="21"/>
              </w:rPr>
              <w:t>前端开发</w:t>
            </w:r>
            <w:r>
              <w:rPr>
                <w:rFonts w:hint="eastAsia" w:ascii="宋体" w:hAnsi="宋体" w:eastAsia="宋体" w:cs="宋体"/>
                <w:color w:val="000000"/>
                <w:sz w:val="21"/>
                <w:szCs w:val="21"/>
                <w:lang w:val="en-US" w:eastAsia="zh-CN"/>
              </w:rPr>
              <w:t>工具</w:t>
            </w:r>
          </w:p>
        </w:tc>
        <w:tc>
          <w:tcPr>
            <w:tcW w:w="4261" w:type="dxa"/>
            <w:vAlign w:val="center"/>
          </w:tcPr>
          <w:p w14:paraId="7966FFBA">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Visual Studio Code 1.82</w:t>
            </w:r>
          </w:p>
        </w:tc>
      </w:tr>
      <w:tr w14:paraId="359D9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2CBF10C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构建工具</w:t>
            </w:r>
          </w:p>
        </w:tc>
        <w:tc>
          <w:tcPr>
            <w:tcW w:w="4261" w:type="dxa"/>
            <w:vAlign w:val="center"/>
          </w:tcPr>
          <w:p w14:paraId="10340EF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Maven 4.0.0</w:t>
            </w:r>
          </w:p>
        </w:tc>
      </w:tr>
    </w:tbl>
    <w:p w14:paraId="56E0B4EA">
      <w:pPr>
        <w:numPr>
          <w:ilvl w:val="0"/>
          <w:numId w:val="4"/>
        </w:numPr>
        <w:spacing w:line="440" w:lineRule="exact"/>
        <w:ind w:firstLine="480" w:firstLineChars="200"/>
        <w:jc w:val="left"/>
        <w:rPr>
          <w:rFonts w:ascii="宋体" w:hAnsi="宋体" w:eastAsia="宋体" w:cs="宋体"/>
          <w:color w:val="000000"/>
          <w:sz w:val="24"/>
        </w:rPr>
      </w:pPr>
      <w:r>
        <w:rPr>
          <w:rFonts w:hint="eastAsia" w:ascii="宋体" w:hAnsi="宋体" w:eastAsia="宋体" w:cs="宋体"/>
          <w:color w:val="000000"/>
          <w:sz w:val="24"/>
        </w:rPr>
        <w:t>运行环境</w:t>
      </w:r>
    </w:p>
    <w:p w14:paraId="2794DC89">
      <w:pPr>
        <w:tabs>
          <w:tab w:val="left" w:pos="2607"/>
        </w:tabs>
        <w:spacing w:line="440" w:lineRule="exact"/>
        <w:ind w:firstLine="480" w:firstLineChars="200"/>
        <w:jc w:val="left"/>
        <w:rPr>
          <w:rFonts w:hint="eastAsia" w:eastAsia="宋体"/>
          <w:color w:val="000000"/>
          <w:sz w:val="24"/>
          <w:lang w:val="en-US" w:eastAsia="zh-CN"/>
        </w:rPr>
      </w:pPr>
      <w:r>
        <w:rPr>
          <w:rFonts w:hint="eastAsia" w:ascii="宋体" w:hAnsi="宋体" w:eastAsia="宋体" w:cs="宋体"/>
          <w:color w:val="000000"/>
          <w:sz w:val="24"/>
          <w:lang w:val="en-US" w:eastAsia="zh-CN"/>
        </w:rPr>
        <w:t>本系统的客户端使用运行环境配置如下表4-4所示</w:t>
      </w:r>
      <w:r>
        <w:rPr>
          <w:rFonts w:hint="eastAsia" w:eastAsia="宋体"/>
          <w:color w:val="000000"/>
          <w:sz w:val="24"/>
          <w:lang w:val="en-US" w:eastAsia="zh-CN"/>
        </w:rPr>
        <w:t>：</w:t>
      </w:r>
    </w:p>
    <w:p w14:paraId="1E7750A9">
      <w:pPr>
        <w:keepNext w:val="0"/>
        <w:keepLines w:val="0"/>
        <w:pageBreakBefore w:val="0"/>
        <w:widowControl w:val="0"/>
        <w:tabs>
          <w:tab w:val="left" w:pos="2607"/>
        </w:tabs>
        <w:kinsoku/>
        <w:wordWrap/>
        <w:overflowPunct/>
        <w:topLinePunct w:val="0"/>
        <w:autoSpaceDE/>
        <w:autoSpaceDN/>
        <w:bidi w:val="0"/>
        <w:adjustRightInd/>
        <w:snapToGrid/>
        <w:spacing w:line="240" w:lineRule="auto"/>
        <w:ind w:firstLine="0" w:firstLineChars="0"/>
        <w:jc w:val="center"/>
        <w:textAlignment w:val="auto"/>
      </w:pPr>
      <w:r>
        <w:rPr>
          <w:rFonts w:hint="eastAsia" w:ascii="宋体" w:hAnsi="宋体" w:eastAsia="宋体" w:cs="宋体"/>
          <w:color w:val="000000"/>
          <w:sz w:val="21"/>
          <w:szCs w:val="21"/>
          <w:lang w:val="en-US" w:eastAsia="zh-CN"/>
        </w:rPr>
        <w:t>表4-4</w:t>
      </w:r>
      <w:r>
        <w:rPr>
          <w:rFonts w:hint="eastAsia" w:eastAsia="宋体"/>
          <w:color w:val="000000"/>
          <w:sz w:val="21"/>
          <w:szCs w:val="21"/>
          <w:lang w:val="en-US" w:eastAsia="zh-CN"/>
        </w:rPr>
        <w:t xml:space="preserve"> 客户端运行环境配置表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1107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12CDDD5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default"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运行环境</w:t>
            </w:r>
          </w:p>
        </w:tc>
        <w:tc>
          <w:tcPr>
            <w:tcW w:w="4261" w:type="dxa"/>
            <w:vAlign w:val="center"/>
          </w:tcPr>
          <w:p w14:paraId="474A8E6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配置</w:t>
            </w:r>
          </w:p>
        </w:tc>
      </w:tr>
      <w:tr w14:paraId="53BB3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479E7B64">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浏览器</w:t>
            </w:r>
          </w:p>
        </w:tc>
        <w:tc>
          <w:tcPr>
            <w:tcW w:w="4261" w:type="dxa"/>
            <w:vAlign w:val="center"/>
          </w:tcPr>
          <w:p w14:paraId="2B1F4A1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Chrome</w:t>
            </w:r>
          </w:p>
        </w:tc>
      </w:tr>
      <w:tr w14:paraId="5D3F5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1617EB3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操作系统</w:t>
            </w:r>
          </w:p>
        </w:tc>
        <w:tc>
          <w:tcPr>
            <w:tcW w:w="4261" w:type="dxa"/>
            <w:vAlign w:val="center"/>
          </w:tcPr>
          <w:p w14:paraId="4B08A98F">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macOS Sequoia</w:t>
            </w:r>
          </w:p>
        </w:tc>
      </w:tr>
      <w:tr w14:paraId="0D7E1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vAlign w:val="center"/>
          </w:tcPr>
          <w:p w14:paraId="1F22A64A">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屏幕分辨率</w:t>
            </w:r>
          </w:p>
        </w:tc>
        <w:tc>
          <w:tcPr>
            <w:tcW w:w="4261" w:type="dxa"/>
            <w:vAlign w:val="center"/>
          </w:tcPr>
          <w:p w14:paraId="1A542E4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color w:val="000000"/>
                <w:sz w:val="21"/>
                <w:szCs w:val="21"/>
              </w:rPr>
              <w:t>1920×1080</w:t>
            </w:r>
          </w:p>
        </w:tc>
      </w:tr>
    </w:tbl>
    <w:p w14:paraId="52E3C390">
      <w:pPr>
        <w:spacing w:line="440" w:lineRule="exact"/>
        <w:ind w:firstLine="480" w:firstLineChars="200"/>
        <w:jc w:val="left"/>
        <w:rPr>
          <w:rFonts w:ascii="宋体" w:hAnsi="宋体" w:cs="宋体"/>
          <w:b/>
          <w:bCs/>
          <w:color w:val="000000"/>
          <w:sz w:val="28"/>
          <w:szCs w:val="28"/>
        </w:rPr>
      </w:pPr>
      <w:r>
        <w:rPr>
          <w:rFonts w:hint="eastAsia" w:ascii="宋体" w:hAnsi="宋体" w:cs="宋体"/>
          <w:color w:val="000000"/>
          <w:sz w:val="24"/>
        </w:rPr>
        <w:t>4.</w:t>
      </w:r>
      <w:r>
        <w:rPr>
          <w:rFonts w:ascii="宋体" w:hAnsi="宋体" w:cs="宋体"/>
          <w:color w:val="000000"/>
          <w:sz w:val="24"/>
        </w:rPr>
        <w:t>2</w:t>
      </w:r>
      <w:r>
        <w:rPr>
          <w:rFonts w:hint="eastAsia" w:ascii="宋体" w:hAnsi="宋体" w:cs="宋体"/>
          <w:color w:val="000000"/>
          <w:sz w:val="24"/>
        </w:rPr>
        <w:t xml:space="preserve"> 系统</w:t>
      </w:r>
      <w:r>
        <w:rPr>
          <w:rFonts w:hint="eastAsia" w:ascii="宋体" w:hAnsi="宋体" w:cs="宋体"/>
          <w:color w:val="000000" w:themeColor="text1"/>
          <w:sz w:val="24"/>
          <w14:textFill>
            <w14:solidFill>
              <w14:schemeClr w14:val="tx1"/>
            </w14:solidFill>
          </w14:textFill>
        </w:rPr>
        <w:t>功能</w:t>
      </w:r>
      <w:r>
        <w:rPr>
          <w:rFonts w:hint="eastAsia" w:ascii="宋体" w:hAnsi="宋体" w:cs="宋体"/>
          <w:color w:val="000000"/>
          <w:sz w:val="24"/>
        </w:rPr>
        <w:t>实现</w:t>
      </w:r>
    </w:p>
    <w:p w14:paraId="0F68E813">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4.2.1用户登录模块</w:t>
      </w:r>
    </w:p>
    <w:p w14:paraId="28C915BC">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00000"/>
          <w:sz w:val="24"/>
        </w:rPr>
        <w:t>功能描述：用户的登录功能，输入用户名，密码及验证码即可登录</w:t>
      </w:r>
      <w:r>
        <w:rPr>
          <w:rFonts w:hint="eastAsia" w:ascii="宋体" w:hAnsi="宋体" w:eastAsia="宋体" w:cs="宋体"/>
          <w:color w:val="0F1115"/>
          <w:sz w:val="24"/>
          <w:shd w:val="clear" w:color="auto" w:fill="FFFFFF"/>
        </w:rPr>
        <w:t>。</w:t>
      </w:r>
    </w:p>
    <w:p w14:paraId="49D80BFF">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cs="宋体"/>
          <w:color w:val="0F1115"/>
          <w:sz w:val="24"/>
          <w:shd w:val="clear" w:color="auto" w:fill="FFFFFF"/>
        </w:rPr>
        <w:t>核心代码：</w:t>
      </w:r>
    </w:p>
    <w:p w14:paraId="2420CEAE">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public ResponseData login(@RequestBody User user, HttpSession session) { // Added HttpSession parameter</w:t>
      </w:r>
    </w:p>
    <w:p w14:paraId="3A68247C">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System.out.println("Login attempt: " + user.getUsername() + " / " + user.getPassword());</w:t>
      </w:r>
    </w:p>
    <w:p w14:paraId="58E1A12A">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User loginUser = userService.login(user.getUsername(), user.getPassword());</w:t>
      </w:r>
    </w:p>
    <w:p w14:paraId="63F99219">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System.out.println("Login result: " + (loginUser != null ? "Success" : "Failed"));</w:t>
      </w:r>
    </w:p>
    <w:p w14:paraId="2A3AC1D8">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if (loginUser != null) {</w:t>
      </w:r>
    </w:p>
    <w:p w14:paraId="6A9D8CAB">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session.setAttribute("user", loginUser);</w:t>
      </w:r>
    </w:p>
    <w:p w14:paraId="55D1D34F">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return new ResponseData("登录成功", loginUser);</w:t>
      </w:r>
    </w:p>
    <w:p w14:paraId="1B5DD2A7">
      <w:pPr>
        <w:spacing w:line="440" w:lineRule="exact"/>
        <w:ind w:firstLine="480" w:firstLineChars="200"/>
        <w:jc w:val="left"/>
        <w:rPr>
          <w:rFonts w:ascii="宋体" w:hAnsi="宋体" w:eastAsia="宋体" w:cs="宋体"/>
          <w:color w:val="0F1115"/>
          <w:sz w:val="24"/>
          <w:shd w:val="clear" w:color="auto" w:fill="FFFFFF"/>
        </w:rPr>
      </w:pPr>
      <w:r>
        <w:rPr>
          <w:rFonts w:hint="eastAsia" w:ascii="宋体" w:hAnsi="宋体" w:eastAsia="宋体" w:cs="宋体"/>
          <w:color w:val="0F1115"/>
          <w:sz w:val="24"/>
          <w:shd w:val="clear" w:color="auto" w:fill="FFFFFF"/>
        </w:rPr>
        <w:t xml:space="preserve">        } else {</w:t>
      </w:r>
    </w:p>
    <w:p w14:paraId="539016D9">
      <w:pPr>
        <w:spacing w:line="440" w:lineRule="exact"/>
        <w:ind w:firstLine="480" w:firstLineChars="200"/>
        <w:jc w:val="left"/>
      </w:pPr>
      <w:r>
        <w:rPr>
          <w:rFonts w:hint="eastAsia" w:ascii="宋体" w:hAnsi="宋体" w:eastAsia="宋体" w:cs="宋体"/>
          <w:color w:val="0F1115"/>
          <w:sz w:val="24"/>
          <w:shd w:val="clear" w:color="auto" w:fill="FFFFFF"/>
        </w:rPr>
        <w:t xml:space="preserve">            return new ResponseData("用户名或密码错误", null);}</w:t>
      </w:r>
    </w:p>
    <w:p w14:paraId="5608FA13">
      <w:pPr>
        <w:spacing w:line="440" w:lineRule="exact"/>
        <w:ind w:firstLine="420" w:firstLineChars="200"/>
        <w:jc w:val="left"/>
      </w:pPr>
      <w:r>
        <w:rPr>
          <w:rFonts w:hint="eastAsia"/>
        </w:rPr>
        <w:t>实现结果如下</w:t>
      </w:r>
      <w:r>
        <w:rPr>
          <w:rFonts w:hint="eastAsia" w:ascii="宋体" w:hAnsi="宋体" w:eastAsia="宋体" w:cs="宋体"/>
        </w:rPr>
        <w:t>图</w:t>
      </w:r>
      <w:r>
        <w:rPr>
          <w:rFonts w:hint="eastAsia" w:ascii="宋体" w:hAnsi="宋体" w:eastAsia="宋体" w:cs="宋体"/>
          <w:lang w:val="en-US" w:eastAsia="zh-CN"/>
        </w:rPr>
        <w:t>4-1</w:t>
      </w:r>
      <w:r>
        <w:rPr>
          <w:rFonts w:hint="eastAsia" w:ascii="宋体" w:hAnsi="宋体" w:eastAsia="宋体" w:cs="宋体"/>
        </w:rPr>
        <w:t>所示</w:t>
      </w:r>
      <w:r>
        <w:rPr>
          <w:rFonts w:hint="eastAsia"/>
        </w:rPr>
        <w:t>:</w:t>
      </w:r>
    </w:p>
    <w:p w14:paraId="0C94C0A8">
      <w:pPr>
        <w:jc w:val="left"/>
        <w:rPr>
          <w:rFonts w:ascii="宋体" w:hAnsi="宋体" w:eastAsia="宋体" w:cs="宋体"/>
          <w:color w:val="0F1115"/>
          <w:sz w:val="24"/>
          <w:shd w:val="clear" w:color="auto" w:fill="FFFFFF"/>
        </w:rPr>
      </w:pPr>
      <w:r>
        <w:rPr>
          <w:rFonts w:ascii="宋体" w:hAnsi="宋体" w:eastAsia="宋体" w:cs="宋体"/>
          <w:color w:val="0F1115"/>
          <w:sz w:val="24"/>
          <w:shd w:val="clear" w:color="auto" w:fill="FFFFFF"/>
        </w:rPr>
        <w:drawing>
          <wp:inline distT="0" distB="0" distL="114300" distR="114300">
            <wp:extent cx="5264785" cy="3105150"/>
            <wp:effectExtent l="0" t="0" r="5715" b="6350"/>
            <wp:docPr id="89" name="图片 89" descr="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登录"/>
                    <pic:cNvPicPr>
                      <a:picLocks noChangeAspect="1"/>
                    </pic:cNvPicPr>
                  </pic:nvPicPr>
                  <pic:blipFill>
                    <a:blip r:embed="rId148"/>
                    <a:stretch>
                      <a:fillRect/>
                    </a:stretch>
                  </pic:blipFill>
                  <pic:spPr>
                    <a:xfrm>
                      <a:off x="0" y="0"/>
                      <a:ext cx="5264785" cy="3105150"/>
                    </a:xfrm>
                    <a:prstGeom prst="rect">
                      <a:avLst/>
                    </a:prstGeom>
                  </pic:spPr>
                </pic:pic>
              </a:graphicData>
            </a:graphic>
          </wp:inline>
        </w:drawing>
      </w:r>
    </w:p>
    <w:p w14:paraId="4E8FF096">
      <w:pPr>
        <w:spacing w:line="440" w:lineRule="exact"/>
        <w:ind w:firstLine="420" w:firstLineChars="200"/>
        <w:jc w:val="center"/>
        <w:rPr>
          <w:rFonts w:ascii="宋体" w:hAnsi="宋体" w:eastAsia="宋体" w:cs="宋体"/>
          <w:color w:val="0F1115"/>
          <w:sz w:val="24"/>
          <w:shd w:val="clear" w:color="auto" w:fill="FFFFFF"/>
        </w:rPr>
      </w:pPr>
      <w:r>
        <w:rPr>
          <w:rFonts w:hint="eastAsia" w:ascii="宋体" w:hAnsi="宋体" w:eastAsia="宋体" w:cs="宋体"/>
          <w:szCs w:val="21"/>
        </w:rPr>
        <w:t>图</w:t>
      </w:r>
      <w:r>
        <w:rPr>
          <w:rFonts w:hint="eastAsia" w:ascii="宋体" w:hAnsi="宋体" w:eastAsia="宋体" w:cs="宋体"/>
          <w:szCs w:val="21"/>
          <w:lang w:val="en-US" w:eastAsia="zh-CN"/>
        </w:rPr>
        <w:t>4-1</w:t>
      </w:r>
      <w:r>
        <w:rPr>
          <w:rFonts w:hint="eastAsia" w:ascii="宋体" w:hAnsi="宋体" w:cs="宋体"/>
          <w:szCs w:val="21"/>
        </w:rPr>
        <w:t xml:space="preserve"> 用户登录界面图</w:t>
      </w:r>
    </w:p>
    <w:p w14:paraId="617CD6A8">
      <w:pPr>
        <w:spacing w:line="440" w:lineRule="exact"/>
        <w:ind w:firstLine="480" w:firstLineChars="200"/>
        <w:rPr>
          <w:rFonts w:ascii="宋体" w:hAnsi="宋体" w:cs="宋体"/>
          <w:color w:val="000000"/>
          <w:sz w:val="24"/>
        </w:rPr>
      </w:pPr>
      <w:r>
        <w:rPr>
          <w:rFonts w:hint="eastAsia" w:ascii="宋体" w:hAnsi="宋体" w:cs="宋体"/>
          <w:color w:val="000000"/>
          <w:sz w:val="24"/>
        </w:rPr>
        <w:t>4.2.2套餐管理模块</w:t>
      </w:r>
    </w:p>
    <w:p w14:paraId="29DC114B">
      <w:pPr>
        <w:tabs>
          <w:tab w:val="left" w:pos="467"/>
        </w:tabs>
        <w:spacing w:line="440" w:lineRule="exact"/>
        <w:ind w:firstLine="480" w:firstLineChars="200"/>
        <w:rPr>
          <w:rFonts w:ascii="宋体" w:hAnsi="宋体" w:eastAsia="宋体" w:cs="宋体"/>
          <w:color w:val="000000"/>
          <w:sz w:val="24"/>
        </w:rPr>
      </w:pPr>
      <w:r>
        <w:rPr>
          <w:rFonts w:hint="eastAsia" w:ascii="宋体" w:hAnsi="宋体" w:cs="宋体"/>
          <w:color w:val="000000"/>
          <w:sz w:val="24"/>
        </w:rPr>
        <w:t>功能描述：</w:t>
      </w:r>
      <w:r>
        <w:rPr>
          <w:rFonts w:hint="eastAsia" w:ascii="宋体" w:hAnsi="宋体" w:eastAsia="宋体" w:cs="宋体"/>
          <w:color w:val="0F1115"/>
          <w:sz w:val="24"/>
          <w:shd w:val="clear" w:color="auto" w:fill="FFFFFF"/>
        </w:rPr>
        <w:t>实现摄影套餐的创建、修改、上下架管理。</w:t>
      </w:r>
    </w:p>
    <w:p w14:paraId="566EFA3A">
      <w:pPr>
        <w:spacing w:line="440" w:lineRule="exact"/>
        <w:ind w:firstLine="420"/>
        <w:rPr>
          <w:rFonts w:ascii="宋体" w:hAnsi="宋体" w:cs="宋体"/>
          <w:color w:val="000000"/>
          <w:sz w:val="24"/>
        </w:rPr>
      </w:pPr>
      <w:r>
        <w:rPr>
          <w:rFonts w:hint="eastAsia" w:ascii="宋体" w:hAnsi="宋体" w:cs="宋体"/>
          <w:color w:val="000000"/>
          <w:sz w:val="24"/>
        </w:rPr>
        <w:t>//上传封面图片并保存文件</w:t>
      </w:r>
    </w:p>
    <w:p w14:paraId="7DB7A01F">
      <w:pPr>
        <w:spacing w:line="440" w:lineRule="exact"/>
        <w:ind w:firstLine="420"/>
        <w:rPr>
          <w:rFonts w:ascii="宋体" w:hAnsi="宋体" w:cs="宋体"/>
          <w:color w:val="000000"/>
          <w:sz w:val="24"/>
        </w:rPr>
      </w:pPr>
      <w:r>
        <w:rPr>
          <w:rFonts w:hint="eastAsia" w:ascii="宋体" w:hAnsi="宋体" w:cs="宋体"/>
          <w:color w:val="000000"/>
          <w:sz w:val="24"/>
        </w:rPr>
        <w:t>核心代码：</w:t>
      </w:r>
    </w:p>
    <w:p w14:paraId="122E41E7">
      <w:pPr>
        <w:spacing w:line="440" w:lineRule="exact"/>
        <w:ind w:firstLine="420"/>
        <w:rPr>
          <w:rFonts w:ascii="宋体" w:hAnsi="宋体" w:cs="宋体"/>
          <w:color w:val="000000"/>
          <w:sz w:val="24"/>
        </w:rPr>
      </w:pPr>
      <w:r>
        <w:rPr>
          <w:rFonts w:hint="eastAsia" w:ascii="宋体" w:hAnsi="宋体" w:cs="宋体"/>
          <w:color w:val="000000"/>
          <w:sz w:val="24"/>
        </w:rPr>
        <w:t xml:space="preserve">    private String saveCoverImage(MultipartFile cover) throws IOException {</w:t>
      </w:r>
    </w:p>
    <w:p w14:paraId="354044D8">
      <w:pPr>
        <w:spacing w:line="440" w:lineRule="exact"/>
        <w:ind w:firstLine="420"/>
        <w:rPr>
          <w:rFonts w:ascii="宋体" w:hAnsi="宋体" w:cs="宋体"/>
          <w:color w:val="000000"/>
          <w:sz w:val="24"/>
        </w:rPr>
      </w:pPr>
      <w:r>
        <w:rPr>
          <w:rFonts w:hint="eastAsia" w:ascii="宋体" w:hAnsi="宋体" w:cs="宋体"/>
          <w:color w:val="000000"/>
          <w:sz w:val="24"/>
        </w:rPr>
        <w:t xml:space="preserve">        if (cover == null || cover.isEmpty()) {</w:t>
      </w:r>
    </w:p>
    <w:p w14:paraId="64D31ECA">
      <w:pPr>
        <w:spacing w:line="440" w:lineRule="exact"/>
        <w:ind w:firstLine="420"/>
        <w:rPr>
          <w:rFonts w:ascii="宋体" w:hAnsi="宋体" w:cs="宋体"/>
          <w:color w:val="000000"/>
          <w:sz w:val="24"/>
        </w:rPr>
      </w:pPr>
      <w:r>
        <w:rPr>
          <w:rFonts w:hint="eastAsia" w:ascii="宋体" w:hAnsi="宋体" w:cs="宋体"/>
          <w:color w:val="000000"/>
          <w:sz w:val="24"/>
        </w:rPr>
        <w:t xml:space="preserve">            return null; }</w:t>
      </w:r>
    </w:p>
    <w:p w14:paraId="0D9FAE20">
      <w:pPr>
        <w:spacing w:line="440" w:lineRule="exact"/>
        <w:ind w:firstLine="420"/>
        <w:rPr>
          <w:rFonts w:ascii="宋体" w:hAnsi="宋体" w:cs="宋体"/>
          <w:color w:val="000000"/>
          <w:sz w:val="24"/>
        </w:rPr>
      </w:pPr>
      <w:r>
        <w:rPr>
          <w:rFonts w:hint="eastAsia" w:ascii="宋体" w:hAnsi="宋体" w:cs="宋体"/>
          <w:color w:val="000000"/>
          <w:sz w:val="24"/>
        </w:rPr>
        <w:t xml:space="preserve">        // 创建上传目录</w:t>
      </w:r>
    </w:p>
    <w:p w14:paraId="244D6A4C">
      <w:pPr>
        <w:spacing w:line="440" w:lineRule="exact"/>
        <w:ind w:firstLine="420"/>
        <w:rPr>
          <w:rFonts w:ascii="宋体" w:hAnsi="宋体" w:cs="宋体"/>
          <w:color w:val="000000"/>
          <w:sz w:val="24"/>
        </w:rPr>
      </w:pPr>
      <w:r>
        <w:rPr>
          <w:rFonts w:hint="eastAsia" w:ascii="宋体" w:hAnsi="宋体" w:cs="宋体"/>
          <w:color w:val="000000"/>
          <w:sz w:val="24"/>
        </w:rPr>
        <w:t xml:space="preserve">        File uploadDir = new File(uploadPath);</w:t>
      </w:r>
    </w:p>
    <w:p w14:paraId="482CBEC1">
      <w:pPr>
        <w:spacing w:line="440" w:lineRule="exact"/>
        <w:ind w:firstLine="420"/>
        <w:rPr>
          <w:rFonts w:ascii="宋体" w:hAnsi="宋体" w:cs="宋体"/>
          <w:color w:val="000000"/>
          <w:sz w:val="24"/>
        </w:rPr>
      </w:pPr>
      <w:r>
        <w:rPr>
          <w:rFonts w:hint="eastAsia" w:ascii="宋体" w:hAnsi="宋体" w:cs="宋体"/>
          <w:color w:val="000000"/>
          <w:sz w:val="24"/>
        </w:rPr>
        <w:t xml:space="preserve">        if (!uploadDir.exists()) {</w:t>
      </w:r>
    </w:p>
    <w:p w14:paraId="44152509">
      <w:pPr>
        <w:spacing w:line="440" w:lineRule="exact"/>
        <w:ind w:firstLine="420"/>
        <w:rPr>
          <w:rFonts w:ascii="宋体" w:hAnsi="宋体" w:cs="宋体"/>
          <w:color w:val="000000"/>
          <w:sz w:val="24"/>
        </w:rPr>
      </w:pPr>
      <w:r>
        <w:rPr>
          <w:rFonts w:hint="eastAsia" w:ascii="宋体" w:hAnsi="宋体" w:cs="宋体"/>
          <w:color w:val="000000"/>
          <w:sz w:val="24"/>
        </w:rPr>
        <w:t xml:space="preserve">            uploadDir.mkdirs(); }</w:t>
      </w:r>
    </w:p>
    <w:p w14:paraId="2C3959BA">
      <w:pPr>
        <w:spacing w:line="440" w:lineRule="exact"/>
        <w:ind w:firstLine="420"/>
        <w:rPr>
          <w:rFonts w:ascii="宋体" w:hAnsi="宋体" w:cs="宋体"/>
          <w:b/>
          <w:bCs/>
          <w:color w:val="000000"/>
          <w:sz w:val="24"/>
        </w:rPr>
      </w:pPr>
      <w:r>
        <w:rPr>
          <w:rFonts w:hint="eastAsia" w:ascii="宋体" w:hAnsi="宋体" w:cs="宋体"/>
          <w:color w:val="000000"/>
          <w:sz w:val="24"/>
        </w:rPr>
        <w:t xml:space="preserve"> // 检查管理员权限</w:t>
      </w:r>
    </w:p>
    <w:p w14:paraId="7B9573D9">
      <w:pPr>
        <w:spacing w:line="440" w:lineRule="exact"/>
        <w:ind w:left="479" w:leftChars="228"/>
        <w:rPr>
          <w:rFonts w:ascii="宋体" w:hAnsi="宋体" w:cs="宋体"/>
          <w:color w:val="000000"/>
          <w:sz w:val="24"/>
        </w:rPr>
      </w:pPr>
      <w:r>
        <w:rPr>
          <w:rFonts w:hint="eastAsia" w:ascii="宋体" w:hAnsi="宋体" w:cs="宋体"/>
          <w:color w:val="000000"/>
          <w:sz w:val="24"/>
        </w:rPr>
        <w:t xml:space="preserve">ResponseData </w:t>
      </w:r>
      <w:r>
        <w:rPr>
          <w:rFonts w:hint="eastAsia" w:ascii="宋体" w:hAnsi="宋体" w:cs="宋体"/>
          <w:color w:val="000000"/>
          <w:sz w:val="24"/>
        </w:rPr>
        <w:tab/>
      </w:r>
      <w:r>
        <w:rPr>
          <w:rFonts w:hint="eastAsia" w:ascii="宋体" w:hAnsi="宋体" w:cs="宋体"/>
          <w:color w:val="000000"/>
          <w:sz w:val="24"/>
        </w:rPr>
        <w:t>permissionError</w:t>
      </w:r>
      <w:r>
        <w:rPr>
          <w:rFonts w:hint="eastAsia" w:ascii="宋体" w:hAnsi="宋体" w:cs="宋体"/>
          <w:color w:val="000000"/>
          <w:sz w:val="24"/>
        </w:rPr>
        <w:tab/>
      </w:r>
      <w:r>
        <w:rPr>
          <w:rFonts w:hint="eastAsia" w:ascii="宋体" w:hAnsi="宋体" w:cs="宋体"/>
          <w:color w:val="000000"/>
          <w:sz w:val="24"/>
        </w:rPr>
        <w:t>= PermissionUtils.checkAdminPermission(session);</w:t>
      </w:r>
    </w:p>
    <w:p w14:paraId="3DFA1B0E">
      <w:pPr>
        <w:spacing w:line="440" w:lineRule="exact"/>
        <w:ind w:firstLine="480" w:firstLineChars="200"/>
        <w:rPr>
          <w:rFonts w:ascii="宋体" w:hAnsi="宋体" w:cs="宋体"/>
          <w:color w:val="000000"/>
          <w:sz w:val="24"/>
        </w:rPr>
      </w:pPr>
      <w:r>
        <w:rPr>
          <w:rFonts w:hint="eastAsia" w:ascii="宋体" w:hAnsi="宋体" w:cs="宋体"/>
          <w:color w:val="000000"/>
          <w:sz w:val="24"/>
        </w:rPr>
        <w:t xml:space="preserve">        if (permissionError != null) {</w:t>
      </w:r>
    </w:p>
    <w:p w14:paraId="39B5DD9D">
      <w:pPr>
        <w:spacing w:line="440" w:lineRule="exact"/>
        <w:ind w:firstLine="480" w:firstLineChars="200"/>
        <w:rPr>
          <w:rFonts w:ascii="宋体" w:hAnsi="宋体" w:cs="宋体"/>
          <w:color w:val="000000"/>
          <w:sz w:val="24"/>
        </w:rPr>
      </w:pPr>
      <w:r>
        <w:rPr>
          <w:rFonts w:hint="eastAsia" w:ascii="宋体" w:hAnsi="宋体" w:cs="宋体"/>
          <w:color w:val="000000"/>
          <w:sz w:val="24"/>
        </w:rPr>
        <w:t xml:space="preserve">            return permissionError;}</w:t>
      </w:r>
    </w:p>
    <w:p w14:paraId="6FDEA55F">
      <w:pPr>
        <w:spacing w:line="440" w:lineRule="exact"/>
        <w:ind w:firstLine="480" w:firstLineChars="200"/>
        <w:rPr>
          <w:rFonts w:ascii="宋体" w:hAnsi="宋体" w:cs="宋体"/>
          <w:color w:val="000000"/>
          <w:sz w:val="24"/>
        </w:rPr>
      </w:pPr>
      <w:r>
        <w:rPr>
          <w:rFonts w:hint="eastAsia" w:ascii="宋体" w:hAnsi="宋体" w:cs="宋体"/>
          <w:color w:val="000000"/>
          <w:sz w:val="24"/>
        </w:rPr>
        <w:t>实现结果如下图</w:t>
      </w:r>
      <w:r>
        <w:rPr>
          <w:rFonts w:hint="eastAsia" w:ascii="宋体" w:hAnsi="宋体" w:cs="宋体"/>
          <w:color w:val="000000"/>
          <w:sz w:val="24"/>
          <w:lang w:val="en-US" w:eastAsia="zh-CN"/>
        </w:rPr>
        <w:t>4-2</w:t>
      </w:r>
      <w:r>
        <w:rPr>
          <w:rFonts w:hint="eastAsia" w:ascii="宋体" w:hAnsi="宋体" w:cs="宋体"/>
          <w:color w:val="000000"/>
          <w:sz w:val="24"/>
        </w:rPr>
        <w:t>所示：</w:t>
      </w:r>
    </w:p>
    <w:p w14:paraId="421EAAC6">
      <w:pPr>
        <w:jc w:val="center"/>
        <w:rPr>
          <w:rFonts w:ascii="宋体" w:hAnsi="宋体" w:cs="宋体"/>
          <w:color w:val="000000"/>
          <w:sz w:val="24"/>
        </w:rPr>
      </w:pPr>
      <w:r>
        <w:rPr>
          <w:rFonts w:ascii="宋体" w:hAnsi="宋体" w:cs="宋体"/>
          <w:color w:val="000000"/>
          <w:sz w:val="24"/>
        </w:rPr>
        <w:drawing>
          <wp:inline distT="0" distB="0" distL="114300" distR="114300">
            <wp:extent cx="5264785" cy="3423920"/>
            <wp:effectExtent l="0" t="0" r="5715" b="5080"/>
            <wp:docPr id="90" name="图片 90" descr="截屏2025-12-29 10.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截屏2025-12-29 10.38.31"/>
                    <pic:cNvPicPr>
                      <a:picLocks noChangeAspect="1"/>
                    </pic:cNvPicPr>
                  </pic:nvPicPr>
                  <pic:blipFill>
                    <a:blip r:embed="rId149"/>
                    <a:stretch>
                      <a:fillRect/>
                    </a:stretch>
                  </pic:blipFill>
                  <pic:spPr>
                    <a:xfrm>
                      <a:off x="0" y="0"/>
                      <a:ext cx="5264785" cy="3423920"/>
                    </a:xfrm>
                    <a:prstGeom prst="rect">
                      <a:avLst/>
                    </a:prstGeom>
                  </pic:spPr>
                </pic:pic>
              </a:graphicData>
            </a:graphic>
          </wp:inline>
        </w:drawing>
      </w:r>
    </w:p>
    <w:p w14:paraId="2B123079">
      <w:pPr>
        <w:spacing w:line="440" w:lineRule="exact"/>
        <w:ind w:firstLine="420" w:firstLineChars="200"/>
        <w:jc w:val="center"/>
        <w:rPr>
          <w:rFonts w:ascii="宋体" w:hAnsi="宋体" w:cs="宋体"/>
          <w:b/>
          <w:bCs/>
          <w:color w:val="000000"/>
          <w:sz w:val="24"/>
        </w:rPr>
      </w:pPr>
      <w:r>
        <w:rPr>
          <w:rFonts w:hint="eastAsia" w:ascii="宋体" w:hAnsi="宋体" w:eastAsia="宋体" w:cs="宋体"/>
          <w:szCs w:val="21"/>
        </w:rPr>
        <w:t>图</w:t>
      </w:r>
      <w:r>
        <w:rPr>
          <w:rFonts w:hint="eastAsia" w:ascii="宋体" w:hAnsi="宋体" w:eastAsia="宋体" w:cs="宋体"/>
          <w:szCs w:val="21"/>
          <w:lang w:val="en-US" w:eastAsia="zh-CN"/>
        </w:rPr>
        <w:t>4-2</w:t>
      </w:r>
      <w:r>
        <w:rPr>
          <w:rFonts w:hint="eastAsia" w:ascii="宋体" w:hAnsi="宋体" w:cs="宋体"/>
          <w:szCs w:val="21"/>
        </w:rPr>
        <w:t xml:space="preserve"> 套餐管理界面图</w:t>
      </w:r>
    </w:p>
    <w:p w14:paraId="1B677EA0">
      <w:pPr>
        <w:spacing w:line="440" w:lineRule="exact"/>
        <w:ind w:firstLine="480" w:firstLineChars="200"/>
        <w:rPr>
          <w:rFonts w:ascii="宋体" w:hAnsi="宋体" w:cs="宋体"/>
          <w:b/>
          <w:bCs/>
          <w:color w:val="000000"/>
          <w:sz w:val="24"/>
        </w:rPr>
      </w:pPr>
      <w:r>
        <w:rPr>
          <w:rFonts w:hint="eastAsia" w:ascii="宋体" w:hAnsi="宋体" w:cs="宋体"/>
          <w:color w:val="000000"/>
          <w:sz w:val="24"/>
        </w:rPr>
        <w:t>4.2.3预约订单模块</w:t>
      </w:r>
    </w:p>
    <w:p w14:paraId="49041A88">
      <w:pPr>
        <w:spacing w:line="440" w:lineRule="exact"/>
        <w:ind w:firstLine="480" w:firstLineChars="200"/>
        <w:rPr>
          <w:rFonts w:ascii="宋体" w:hAnsi="宋体" w:eastAsia="宋体" w:cs="宋体"/>
          <w:color w:val="0F1115"/>
          <w:sz w:val="24"/>
          <w:shd w:val="clear" w:color="auto" w:fill="FFFFFF"/>
        </w:rPr>
      </w:pPr>
      <w:r>
        <w:rPr>
          <w:rFonts w:hint="eastAsia" w:ascii="宋体" w:hAnsi="宋体" w:cs="宋体"/>
          <w:color w:val="000000"/>
          <w:sz w:val="24"/>
        </w:rPr>
        <w:t>功能描述：</w:t>
      </w:r>
      <w:r>
        <w:rPr>
          <w:rFonts w:hint="eastAsia" w:ascii="宋体" w:hAnsi="宋体" w:eastAsia="宋体" w:cs="宋体"/>
          <w:color w:val="0F1115"/>
          <w:sz w:val="24"/>
          <w:shd w:val="clear" w:color="auto" w:fill="FFFFFF"/>
        </w:rPr>
        <w:t>用户填写基础信息等并提交预约</w:t>
      </w:r>
    </w:p>
    <w:p w14:paraId="170CE576">
      <w:pPr>
        <w:spacing w:line="440" w:lineRule="exact"/>
        <w:ind w:firstLine="480" w:firstLineChars="200"/>
        <w:rPr>
          <w:rFonts w:ascii="宋体" w:hAnsi="宋体" w:eastAsia="宋体" w:cs="宋体"/>
          <w:color w:val="0F1115"/>
          <w:sz w:val="24"/>
          <w:shd w:val="clear" w:color="auto" w:fill="FFFFFF"/>
        </w:rPr>
      </w:pPr>
      <w:r>
        <w:rPr>
          <w:rFonts w:hint="eastAsia" w:ascii="宋体" w:hAnsi="宋体" w:cs="宋体"/>
          <w:color w:val="0F1115"/>
          <w:sz w:val="24"/>
          <w:shd w:val="clear" w:color="auto" w:fill="FFFFFF"/>
        </w:rPr>
        <w:t>核心代码：</w:t>
      </w:r>
    </w:p>
    <w:p w14:paraId="23B231EC">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public ResponseData create(Order order) {</w:t>
      </w:r>
    </w:p>
    <w:p w14:paraId="30156E31">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 参数校验</w:t>
      </w:r>
    </w:p>
    <w:p w14:paraId="0B6486A1">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if (order.getThingId() == null) {</w:t>
      </w:r>
    </w:p>
    <w:p w14:paraId="6B20ED0A">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return new ResponseData("套餐ID不能为空", null);}</w:t>
      </w:r>
    </w:p>
    <w:p w14:paraId="7AB858DC">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if (order.getCustomerName() == null || order.getCustomerName().trim().equals("")) {</w:t>
      </w:r>
    </w:p>
    <w:p w14:paraId="33643F94">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return new ResponseData("客户姓名不能为空", null);}</w:t>
      </w:r>
    </w:p>
    <w:p w14:paraId="703D2689">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if (order.getPhone() == null || order.getPhone().trim().equals("")) {</w:t>
      </w:r>
    </w:p>
    <w:p w14:paraId="676B507C">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return new ResponseData("联系电话不能为空", null);}</w:t>
      </w:r>
    </w:p>
    <w:p w14:paraId="76D4CCE7">
      <w:pPr>
        <w:spacing w:line="440" w:lineRule="exact"/>
        <w:ind w:firstLine="480" w:firstLineChars="200"/>
        <w:rPr>
          <w:rFonts w:ascii="宋体" w:hAnsi="宋体" w:eastAsia="宋体" w:cs="宋体"/>
          <w:color w:val="000000"/>
          <w:sz w:val="24"/>
        </w:rPr>
      </w:pPr>
      <w:r>
        <w:rPr>
          <w:rFonts w:hint="eastAsia" w:ascii="宋体" w:hAnsi="宋体" w:eastAsia="宋体" w:cs="宋体"/>
          <w:color w:val="000000"/>
          <w:sz w:val="24"/>
        </w:rPr>
        <w:t xml:space="preserve">        if (order.getAppointmentTime() == null || order.getAppointmentTime().trim().equals("")) {</w:t>
      </w:r>
    </w:p>
    <w:p w14:paraId="5963AE9C">
      <w:pPr>
        <w:spacing w:line="440" w:lineRule="exact"/>
        <w:ind w:firstLine="480" w:firstLineChars="200"/>
        <w:rPr>
          <w:rFonts w:ascii="宋体" w:hAnsi="宋体" w:cs="宋体"/>
          <w:color w:val="000000"/>
          <w:sz w:val="24"/>
        </w:rPr>
      </w:pPr>
      <w:r>
        <w:rPr>
          <w:rFonts w:hint="eastAsia" w:ascii="宋体" w:hAnsi="宋体" w:eastAsia="宋体" w:cs="宋体"/>
          <w:color w:val="000000"/>
          <w:sz w:val="24"/>
        </w:rPr>
        <w:t xml:space="preserve">            return new ResponseData("预约时间不能为空", null);</w:t>
      </w:r>
      <w:r>
        <w:rPr>
          <w:rFonts w:hint="eastAsia" w:ascii="宋体" w:hAnsi="宋体" w:cs="宋体"/>
          <w:color w:val="000000"/>
          <w:sz w:val="24"/>
        </w:rPr>
        <w:t>}</w:t>
      </w:r>
    </w:p>
    <w:p w14:paraId="706FA970">
      <w:pPr>
        <w:spacing w:line="440" w:lineRule="exact"/>
        <w:ind w:firstLine="480" w:firstLineChars="200"/>
        <w:rPr>
          <w:rFonts w:ascii="宋体" w:hAnsi="宋体" w:cs="宋体"/>
          <w:color w:val="000000"/>
          <w:sz w:val="24"/>
        </w:rPr>
      </w:pPr>
      <w:r>
        <w:rPr>
          <w:rFonts w:hint="eastAsia" w:ascii="宋体" w:hAnsi="宋体" w:cs="宋体"/>
          <w:color w:val="000000"/>
          <w:sz w:val="24"/>
        </w:rPr>
        <w:t>实现结果如下图</w:t>
      </w:r>
      <w:r>
        <w:rPr>
          <w:rFonts w:hint="eastAsia" w:ascii="宋体" w:hAnsi="宋体" w:cs="宋体"/>
          <w:color w:val="000000"/>
          <w:sz w:val="24"/>
          <w:lang w:val="en-US" w:eastAsia="zh-CN"/>
        </w:rPr>
        <w:t>4-3</w:t>
      </w:r>
      <w:r>
        <w:rPr>
          <w:rFonts w:hint="eastAsia" w:ascii="宋体" w:hAnsi="宋体" w:cs="宋体"/>
          <w:color w:val="000000"/>
          <w:sz w:val="24"/>
        </w:rPr>
        <w:t>所示：</w:t>
      </w:r>
    </w:p>
    <w:p w14:paraId="3CF9EFF7">
      <w:pPr>
        <w:rPr>
          <w:rFonts w:ascii="宋体" w:hAnsi="宋体" w:cs="宋体"/>
          <w:color w:val="000000"/>
          <w:sz w:val="24"/>
        </w:rPr>
      </w:pPr>
      <w:r>
        <w:rPr>
          <w:rFonts w:ascii="宋体" w:hAnsi="宋体" w:cs="宋体"/>
          <w:color w:val="000000"/>
          <w:sz w:val="24"/>
        </w:rPr>
        <w:drawing>
          <wp:inline distT="0" distB="0" distL="114300" distR="114300">
            <wp:extent cx="5264785" cy="3423920"/>
            <wp:effectExtent l="0" t="0" r="5715" b="5080"/>
            <wp:docPr id="91" name="图片 91" descr="截屏2025-12-29 10.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截屏2025-12-29 10.37.12"/>
                    <pic:cNvPicPr>
                      <a:picLocks noChangeAspect="1"/>
                    </pic:cNvPicPr>
                  </pic:nvPicPr>
                  <pic:blipFill>
                    <a:blip r:embed="rId150"/>
                    <a:stretch>
                      <a:fillRect/>
                    </a:stretch>
                  </pic:blipFill>
                  <pic:spPr>
                    <a:xfrm>
                      <a:off x="0" y="0"/>
                      <a:ext cx="5264785" cy="3423920"/>
                    </a:xfrm>
                    <a:prstGeom prst="rect">
                      <a:avLst/>
                    </a:prstGeom>
                  </pic:spPr>
                </pic:pic>
              </a:graphicData>
            </a:graphic>
          </wp:inline>
        </w:drawing>
      </w:r>
    </w:p>
    <w:p w14:paraId="05271168">
      <w:pPr>
        <w:spacing w:line="440" w:lineRule="exact"/>
        <w:ind w:firstLine="420" w:firstLineChars="200"/>
        <w:jc w:val="center"/>
        <w:rPr>
          <w:rFonts w:ascii="宋体" w:hAnsi="宋体" w:cs="宋体"/>
          <w:color w:val="000000"/>
          <w:sz w:val="24"/>
        </w:rPr>
      </w:pPr>
      <w:r>
        <w:rPr>
          <w:rFonts w:hint="eastAsia" w:ascii="宋体" w:hAnsi="宋体" w:eastAsia="宋体" w:cs="宋体"/>
          <w:szCs w:val="21"/>
        </w:rPr>
        <w:t>图</w:t>
      </w:r>
      <w:r>
        <w:rPr>
          <w:rFonts w:hint="eastAsia" w:ascii="宋体" w:hAnsi="宋体" w:eastAsia="宋体" w:cs="宋体"/>
          <w:szCs w:val="21"/>
          <w:lang w:val="en-US" w:eastAsia="zh-CN"/>
        </w:rPr>
        <w:t>4-3</w:t>
      </w:r>
      <w:r>
        <w:rPr>
          <w:rFonts w:hint="eastAsia" w:ascii="宋体" w:hAnsi="宋体" w:cs="宋体"/>
          <w:szCs w:val="21"/>
        </w:rPr>
        <w:t xml:space="preserve"> 预约订单界面图</w:t>
      </w:r>
    </w:p>
    <w:p w14:paraId="47534C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ascii="宋体" w:hAnsi="宋体" w:cs="宋体"/>
          <w:color w:val="000000"/>
          <w:sz w:val="24"/>
        </w:rPr>
      </w:pPr>
      <w:r>
        <w:rPr>
          <w:rFonts w:hint="eastAsia" w:ascii="宋体" w:hAnsi="宋体" w:cs="宋体"/>
          <w:color w:val="000000"/>
          <w:sz w:val="24"/>
        </w:rPr>
        <w:t>4.2.4评论管理模块</w:t>
      </w:r>
    </w:p>
    <w:p w14:paraId="3E8F10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ascii="宋体" w:hAnsi="宋体" w:cs="宋体"/>
          <w:color w:val="000000"/>
          <w:sz w:val="24"/>
        </w:rPr>
      </w:pPr>
      <w:r>
        <w:rPr>
          <w:rFonts w:hint="eastAsia" w:ascii="宋体" w:hAnsi="宋体" w:cs="宋体"/>
          <w:color w:val="000000"/>
          <w:sz w:val="24"/>
        </w:rPr>
        <w:t>功能描述：管理员可以对不良评论进行删除。</w:t>
      </w:r>
    </w:p>
    <w:p w14:paraId="26BB1D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ascii="宋体" w:hAnsi="宋体" w:cs="宋体"/>
          <w:color w:val="000000"/>
          <w:sz w:val="24"/>
        </w:rPr>
      </w:pPr>
      <w:r>
        <w:rPr>
          <w:rFonts w:hint="eastAsia" w:ascii="宋体" w:hAnsi="宋体" w:cs="宋体"/>
          <w:color w:val="000000"/>
          <w:sz w:val="24"/>
        </w:rPr>
        <w:t>核心代码：</w:t>
      </w:r>
    </w:p>
    <w:p w14:paraId="439D797F">
      <w:pPr>
        <w:ind w:firstLine="480" w:firstLineChars="200"/>
        <w:rPr>
          <w:rFonts w:ascii="宋体" w:hAnsi="宋体" w:cs="宋体"/>
          <w:color w:val="000000"/>
          <w:sz w:val="24"/>
        </w:rPr>
      </w:pPr>
      <w:r>
        <w:rPr>
          <w:rFonts w:ascii="宋体" w:hAnsi="宋体" w:cs="宋体"/>
          <w:color w:val="000000"/>
          <w:sz w:val="24"/>
        </w:rPr>
        <w:t xml:space="preserve"> </w:t>
      </w:r>
      <w:r>
        <w:rPr>
          <w:rFonts w:hint="eastAsia" w:ascii="宋体" w:hAnsi="宋体" w:cs="宋体"/>
          <w:color w:val="000000"/>
          <w:sz w:val="24"/>
        </w:rPr>
        <w:t>///</w:t>
      </w:r>
      <w:r>
        <w:rPr>
          <w:rFonts w:ascii="宋体" w:hAnsi="宋体" w:cs="宋体"/>
          <w:color w:val="000000"/>
          <w:sz w:val="24"/>
        </w:rPr>
        <w:t>获取用户的评论列表</w:t>
      </w:r>
    </w:p>
    <w:p w14:paraId="1F5BF3DC">
      <w:pPr>
        <w:ind w:firstLine="480" w:firstLineChars="200"/>
        <w:rPr>
          <w:rFonts w:ascii="宋体" w:hAnsi="宋体" w:cs="宋体"/>
          <w:color w:val="000000"/>
          <w:sz w:val="24"/>
        </w:rPr>
      </w:pPr>
      <w:r>
        <w:rPr>
          <w:rFonts w:ascii="宋体" w:hAnsi="宋体" w:cs="宋体"/>
          <w:color w:val="000000"/>
          <w:sz w:val="24"/>
        </w:rPr>
        <w:t xml:space="preserve"> </w:t>
      </w:r>
      <w:r>
        <w:rPr>
          <w:rFonts w:hint="eastAsia" w:ascii="宋体" w:hAnsi="宋体" w:cs="宋体"/>
          <w:color w:val="000000"/>
          <w:sz w:val="24"/>
        </w:rPr>
        <w:t xml:space="preserve"> </w:t>
      </w:r>
      <w:r>
        <w:rPr>
          <w:rFonts w:ascii="宋体" w:hAnsi="宋体" w:cs="宋体"/>
          <w:color w:val="000000"/>
          <w:sz w:val="24"/>
        </w:rPr>
        <w:t xml:space="preserve">    public Result&lt;List&lt;Comment&gt;&gt; getUserComments(Long userId) {</w:t>
      </w:r>
    </w:p>
    <w:p w14:paraId="322D38C1">
      <w:pPr>
        <w:ind w:firstLine="480" w:firstLineChars="200"/>
        <w:rPr>
          <w:rFonts w:ascii="宋体" w:hAnsi="宋体" w:cs="宋体"/>
          <w:color w:val="000000"/>
          <w:sz w:val="24"/>
        </w:rPr>
      </w:pPr>
      <w:r>
        <w:rPr>
          <w:rFonts w:ascii="宋体" w:hAnsi="宋体" w:cs="宋体"/>
          <w:color w:val="000000"/>
          <w:sz w:val="24"/>
        </w:rPr>
        <w:t xml:space="preserve">        if (userId == null) {</w:t>
      </w:r>
    </w:p>
    <w:p w14:paraId="76CC2999">
      <w:pPr>
        <w:ind w:firstLine="480" w:firstLineChars="200"/>
        <w:rPr>
          <w:rFonts w:ascii="宋体" w:hAnsi="宋体" w:cs="宋体"/>
          <w:color w:val="000000"/>
          <w:sz w:val="24"/>
        </w:rPr>
      </w:pPr>
      <w:r>
        <w:rPr>
          <w:rFonts w:ascii="宋体" w:hAnsi="宋体" w:cs="宋体"/>
          <w:color w:val="000000"/>
          <w:sz w:val="24"/>
        </w:rPr>
        <w:t xml:space="preserve">            return Result.error(400, "用户ID不能为空");}</w:t>
      </w:r>
    </w:p>
    <w:p w14:paraId="04A36566">
      <w:pPr>
        <w:ind w:firstLine="480" w:firstLineChars="200"/>
        <w:rPr>
          <w:rFonts w:ascii="宋体" w:hAnsi="宋体" w:cs="宋体"/>
          <w:color w:val="000000"/>
          <w:sz w:val="24"/>
        </w:rPr>
      </w:pPr>
      <w:r>
        <w:rPr>
          <w:rFonts w:ascii="宋体" w:hAnsi="宋体" w:cs="宋体"/>
          <w:color w:val="000000"/>
          <w:sz w:val="24"/>
        </w:rPr>
        <w:t xml:space="preserve">        List&lt;Comment&gt;</w:t>
      </w:r>
      <w:r>
        <w:rPr>
          <w:rFonts w:hint="eastAsia" w:ascii="宋体" w:hAnsi="宋体" w:cs="宋体"/>
          <w:color w:val="000000"/>
          <w:sz w:val="24"/>
        </w:rPr>
        <w:tab/>
      </w:r>
      <w:r>
        <w:rPr>
          <w:rFonts w:ascii="宋体" w:hAnsi="宋体" w:cs="宋体"/>
          <w:color w:val="000000"/>
          <w:sz w:val="24"/>
        </w:rPr>
        <w:t>comments= commentService.getUserComments(userId);</w:t>
      </w:r>
    </w:p>
    <w:p w14:paraId="21A0296D">
      <w:pPr>
        <w:ind w:firstLine="480" w:firstLineChars="200"/>
        <w:rPr>
          <w:rFonts w:ascii="宋体" w:hAnsi="宋体" w:cs="宋体"/>
          <w:color w:val="000000"/>
          <w:sz w:val="24"/>
        </w:rPr>
      </w:pPr>
      <w:r>
        <w:rPr>
          <w:rFonts w:ascii="宋体" w:hAnsi="宋体" w:cs="宋体"/>
          <w:color w:val="000000"/>
          <w:sz w:val="24"/>
        </w:rPr>
        <w:t xml:space="preserve">        return Result.success(comments);}</w:t>
      </w:r>
    </w:p>
    <w:p w14:paraId="4425FD3D">
      <w:pPr>
        <w:ind w:firstLine="480" w:firstLineChars="200"/>
        <w:rPr>
          <w:rFonts w:ascii="宋体" w:hAnsi="宋体" w:cs="宋体"/>
          <w:color w:val="000000"/>
          <w:sz w:val="24"/>
        </w:rPr>
      </w:pPr>
      <w:r>
        <w:rPr>
          <w:rFonts w:ascii="宋体" w:hAnsi="宋体" w:cs="宋体"/>
          <w:color w:val="000000"/>
          <w:sz w:val="24"/>
        </w:rPr>
        <w:t xml:space="preserve">  </w:t>
      </w:r>
      <w:r>
        <w:rPr>
          <w:rFonts w:hint="eastAsia" w:ascii="宋体" w:hAnsi="宋体" w:cs="宋体"/>
          <w:color w:val="000000"/>
          <w:sz w:val="24"/>
        </w:rPr>
        <w:t>//</w:t>
      </w:r>
      <w:r>
        <w:rPr>
          <w:rFonts w:ascii="宋体" w:hAnsi="宋体" w:cs="宋体"/>
          <w:color w:val="000000"/>
          <w:sz w:val="24"/>
        </w:rPr>
        <w:t>删除评论</w:t>
      </w:r>
    </w:p>
    <w:p w14:paraId="4FAB73CF">
      <w:pPr>
        <w:ind w:firstLine="480" w:firstLineChars="200"/>
        <w:rPr>
          <w:rFonts w:ascii="宋体" w:hAnsi="宋体" w:cs="宋体"/>
          <w:color w:val="000000"/>
          <w:sz w:val="24"/>
        </w:rPr>
      </w:pPr>
      <w:r>
        <w:rPr>
          <w:rFonts w:ascii="宋体" w:hAnsi="宋体" w:cs="宋体"/>
          <w:color w:val="000000"/>
          <w:sz w:val="24"/>
        </w:rPr>
        <w:t xml:space="preserve">    @PostMapping("/delete")</w:t>
      </w:r>
    </w:p>
    <w:p w14:paraId="35424FC8">
      <w:pPr>
        <w:ind w:firstLine="480" w:firstLineChars="200"/>
        <w:rPr>
          <w:rFonts w:ascii="宋体" w:hAnsi="宋体" w:cs="宋体"/>
          <w:color w:val="000000"/>
          <w:sz w:val="24"/>
        </w:rPr>
      </w:pPr>
      <w:r>
        <w:rPr>
          <w:rFonts w:ascii="宋体" w:hAnsi="宋体" w:cs="宋体"/>
          <w:color w:val="000000"/>
          <w:sz w:val="24"/>
        </w:rPr>
        <w:t xml:space="preserve">    public Result&lt;?&gt; deleteComment(Long id) {</w:t>
      </w:r>
    </w:p>
    <w:p w14:paraId="7C61DE34">
      <w:pPr>
        <w:ind w:firstLine="480" w:firstLineChars="200"/>
        <w:rPr>
          <w:rFonts w:ascii="宋体" w:hAnsi="宋体" w:cs="宋体"/>
          <w:color w:val="000000"/>
          <w:sz w:val="24"/>
        </w:rPr>
      </w:pPr>
      <w:r>
        <w:rPr>
          <w:rFonts w:ascii="宋体" w:hAnsi="宋体" w:cs="宋体"/>
          <w:color w:val="000000"/>
          <w:sz w:val="24"/>
        </w:rPr>
        <w:t xml:space="preserve">        if (id == null) {</w:t>
      </w:r>
    </w:p>
    <w:p w14:paraId="225B1702">
      <w:pPr>
        <w:ind w:firstLine="480" w:firstLineChars="200"/>
        <w:rPr>
          <w:rFonts w:ascii="宋体" w:hAnsi="宋体" w:cs="宋体"/>
          <w:color w:val="000000"/>
          <w:sz w:val="24"/>
        </w:rPr>
      </w:pPr>
      <w:r>
        <w:rPr>
          <w:rFonts w:ascii="宋体" w:hAnsi="宋体" w:cs="宋体"/>
          <w:color w:val="000000"/>
          <w:sz w:val="24"/>
        </w:rPr>
        <w:t xml:space="preserve">            return Result.error(400, "评论ID不能为空");}</w:t>
      </w:r>
    </w:p>
    <w:p w14:paraId="4983599F">
      <w:pPr>
        <w:ind w:firstLine="480" w:firstLineChars="200"/>
        <w:rPr>
          <w:rFonts w:ascii="宋体" w:hAnsi="宋体" w:cs="宋体"/>
          <w:color w:val="000000"/>
          <w:sz w:val="24"/>
        </w:rPr>
      </w:pPr>
      <w:r>
        <w:rPr>
          <w:rFonts w:ascii="宋体" w:hAnsi="宋体" w:cs="宋体"/>
          <w:color w:val="000000"/>
          <w:sz w:val="24"/>
        </w:rPr>
        <w:t xml:space="preserve">        int result = commentService.deleteComment(id);</w:t>
      </w:r>
    </w:p>
    <w:p w14:paraId="39799FD5">
      <w:pPr>
        <w:ind w:firstLine="480" w:firstLineChars="200"/>
        <w:rPr>
          <w:rFonts w:ascii="宋体" w:hAnsi="宋体" w:cs="宋体"/>
          <w:color w:val="000000"/>
          <w:sz w:val="24"/>
        </w:rPr>
      </w:pPr>
      <w:r>
        <w:rPr>
          <w:rFonts w:ascii="宋体" w:hAnsi="宋体" w:cs="宋体"/>
          <w:color w:val="000000"/>
          <w:sz w:val="24"/>
        </w:rPr>
        <w:t xml:space="preserve">        if (result &gt; 0) {</w:t>
      </w:r>
    </w:p>
    <w:p w14:paraId="4EDBD57A">
      <w:pPr>
        <w:ind w:firstLine="480" w:firstLineChars="200"/>
        <w:rPr>
          <w:rFonts w:ascii="宋体" w:hAnsi="宋体" w:cs="宋体"/>
          <w:color w:val="000000"/>
          <w:sz w:val="24"/>
        </w:rPr>
      </w:pPr>
      <w:r>
        <w:rPr>
          <w:rFonts w:ascii="宋体" w:hAnsi="宋体" w:cs="宋体"/>
          <w:color w:val="000000"/>
          <w:sz w:val="24"/>
        </w:rPr>
        <w:t xml:space="preserve">            return Result.success("删除成功");</w:t>
      </w:r>
    </w:p>
    <w:p w14:paraId="14475052">
      <w:pPr>
        <w:ind w:firstLine="480" w:firstLineChars="200"/>
        <w:rPr>
          <w:rFonts w:ascii="宋体" w:hAnsi="宋体" w:cs="宋体"/>
          <w:color w:val="000000"/>
          <w:sz w:val="24"/>
        </w:rPr>
      </w:pPr>
      <w:r>
        <w:rPr>
          <w:rFonts w:ascii="宋体" w:hAnsi="宋体" w:cs="宋体"/>
          <w:color w:val="000000"/>
          <w:sz w:val="24"/>
        </w:rPr>
        <w:t xml:space="preserve">        } else {</w:t>
      </w:r>
    </w:p>
    <w:p w14:paraId="43E48A6E">
      <w:pPr>
        <w:ind w:firstLine="480" w:firstLineChars="200"/>
        <w:rPr>
          <w:rFonts w:ascii="宋体" w:hAnsi="宋体" w:cs="宋体"/>
          <w:color w:val="000000"/>
          <w:sz w:val="24"/>
        </w:rPr>
      </w:pPr>
      <w:r>
        <w:rPr>
          <w:rFonts w:ascii="宋体" w:hAnsi="宋体" w:cs="宋体"/>
          <w:color w:val="000000"/>
          <w:sz w:val="24"/>
        </w:rPr>
        <w:t xml:space="preserve">            return Result.error(500, "删除失败");}}</w:t>
      </w:r>
    </w:p>
    <w:p w14:paraId="117C9B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ascii="宋体" w:hAnsi="宋体" w:cs="宋体"/>
          <w:color w:val="000000"/>
          <w:sz w:val="24"/>
        </w:rPr>
      </w:pPr>
      <w:r>
        <w:rPr>
          <w:rFonts w:hint="eastAsia" w:ascii="宋体" w:hAnsi="宋体" w:cs="宋体"/>
          <w:color w:val="000000"/>
          <w:sz w:val="24"/>
        </w:rPr>
        <w:t>实现结果如下图</w:t>
      </w:r>
      <w:r>
        <w:rPr>
          <w:rFonts w:hint="eastAsia" w:ascii="宋体" w:hAnsi="宋体" w:cs="宋体"/>
          <w:color w:val="000000"/>
          <w:sz w:val="24"/>
          <w:lang w:val="en-US" w:eastAsia="zh-CN"/>
        </w:rPr>
        <w:t>4-4</w:t>
      </w:r>
      <w:r>
        <w:rPr>
          <w:rFonts w:hint="eastAsia" w:ascii="宋体" w:hAnsi="宋体" w:cs="宋体"/>
          <w:color w:val="000000"/>
          <w:sz w:val="24"/>
        </w:rPr>
        <w:t>所示：</w:t>
      </w:r>
    </w:p>
    <w:p w14:paraId="450D6C88">
      <w:pPr>
        <w:rPr>
          <w:rFonts w:ascii="宋体" w:hAnsi="宋体" w:cs="宋体"/>
          <w:color w:val="000000"/>
          <w:sz w:val="24"/>
        </w:rPr>
      </w:pPr>
      <w:r>
        <w:rPr>
          <w:rFonts w:ascii="宋体" w:hAnsi="宋体" w:cs="宋体"/>
          <w:color w:val="000000"/>
          <w:sz w:val="24"/>
        </w:rPr>
        <w:drawing>
          <wp:inline distT="0" distB="0" distL="114300" distR="114300">
            <wp:extent cx="5264785" cy="3423920"/>
            <wp:effectExtent l="0" t="0" r="5715" b="5080"/>
            <wp:docPr id="92" name="图片 92" descr="评论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评论管理"/>
                    <pic:cNvPicPr>
                      <a:picLocks noChangeAspect="1"/>
                    </pic:cNvPicPr>
                  </pic:nvPicPr>
                  <pic:blipFill>
                    <a:blip r:embed="rId151"/>
                    <a:stretch>
                      <a:fillRect/>
                    </a:stretch>
                  </pic:blipFill>
                  <pic:spPr>
                    <a:xfrm>
                      <a:off x="0" y="0"/>
                      <a:ext cx="5264785" cy="3423920"/>
                    </a:xfrm>
                    <a:prstGeom prst="rect">
                      <a:avLst/>
                    </a:prstGeom>
                  </pic:spPr>
                </pic:pic>
              </a:graphicData>
            </a:graphic>
          </wp:inline>
        </w:drawing>
      </w:r>
    </w:p>
    <w:p w14:paraId="6A55B803">
      <w:pPr>
        <w:spacing w:line="440" w:lineRule="exact"/>
        <w:ind w:firstLine="420" w:firstLineChars="200"/>
        <w:jc w:val="center"/>
        <w:rPr>
          <w:rFonts w:ascii="宋体" w:hAnsi="宋体" w:cs="宋体"/>
          <w:color w:val="000000"/>
          <w:sz w:val="24"/>
        </w:rPr>
      </w:pPr>
      <w:r>
        <w:rPr>
          <w:rFonts w:hint="eastAsia" w:ascii="宋体" w:hAnsi="宋体" w:eastAsia="宋体" w:cs="宋体"/>
          <w:szCs w:val="21"/>
        </w:rPr>
        <w:t>图</w:t>
      </w:r>
      <w:r>
        <w:rPr>
          <w:rFonts w:hint="eastAsia" w:ascii="宋体" w:hAnsi="宋体" w:eastAsia="宋体" w:cs="宋体"/>
          <w:szCs w:val="21"/>
          <w:lang w:val="en-US" w:eastAsia="zh-CN"/>
        </w:rPr>
        <w:t>4-4</w:t>
      </w:r>
      <w:r>
        <w:rPr>
          <w:rFonts w:hint="eastAsia" w:ascii="宋体" w:hAnsi="宋体" w:cs="宋体"/>
          <w:szCs w:val="21"/>
        </w:rPr>
        <w:t xml:space="preserve"> 评论管理界面图</w:t>
      </w:r>
    </w:p>
    <w:p w14:paraId="385C90B9">
      <w:pPr>
        <w:spacing w:line="440" w:lineRule="exact"/>
        <w:outlineLvl w:val="9"/>
        <w:rPr>
          <w:b/>
          <w:bCs/>
          <w:sz w:val="28"/>
          <w:szCs w:val="28"/>
        </w:rPr>
      </w:pPr>
      <w:bookmarkStart w:id="260" w:name="_Toc19894"/>
      <w:bookmarkStart w:id="261" w:name="_Toc14721"/>
      <w:r>
        <w:rPr>
          <w:rFonts w:hint="eastAsia"/>
          <w:b/>
          <w:bCs/>
          <w:sz w:val="28"/>
          <w:szCs w:val="28"/>
        </w:rPr>
        <w:t>5 系统测试</w:t>
      </w:r>
      <w:bookmarkEnd w:id="260"/>
      <w:bookmarkEnd w:id="261"/>
    </w:p>
    <w:p w14:paraId="73A5D6F8">
      <w:pPr>
        <w:spacing w:line="440" w:lineRule="exact"/>
        <w:ind w:firstLine="480" w:firstLineChars="200"/>
        <w:outlineLvl w:val="9"/>
        <w:rPr>
          <w:rFonts w:ascii="宋体" w:hAnsi="宋体" w:eastAsia="宋体" w:cs="宋体"/>
          <w:sz w:val="24"/>
        </w:rPr>
      </w:pPr>
      <w:bookmarkStart w:id="262" w:name="_Toc9513"/>
      <w:bookmarkStart w:id="263" w:name="_Toc20481"/>
      <w:r>
        <w:rPr>
          <w:rFonts w:hint="eastAsia" w:ascii="宋体" w:hAnsi="宋体" w:cs="宋体"/>
          <w:sz w:val="24"/>
        </w:rPr>
        <w:t>5.1测试环境</w:t>
      </w:r>
      <w:bookmarkEnd w:id="262"/>
      <w:bookmarkEnd w:id="263"/>
    </w:p>
    <w:p w14:paraId="4C879953">
      <w:pPr>
        <w:spacing w:line="440" w:lineRule="exact"/>
        <w:ind w:firstLine="480" w:firstLineChars="200"/>
        <w:jc w:val="left"/>
        <w:outlineLvl w:val="9"/>
        <w:rPr>
          <w:rFonts w:ascii="宋体" w:hAnsi="宋体" w:cs="宋体"/>
          <w:sz w:val="24"/>
        </w:rPr>
      </w:pPr>
      <w:r>
        <w:rPr>
          <w:rFonts w:hint="eastAsia" w:ascii="宋体" w:hAnsi="宋体" w:cs="宋体"/>
          <w:sz w:val="24"/>
        </w:rPr>
        <w:t>(1)操作系统</w:t>
      </w:r>
    </w:p>
    <w:p w14:paraId="293F3B15">
      <w:pPr>
        <w:spacing w:line="440" w:lineRule="exact"/>
        <w:ind w:firstLine="480" w:firstLineChars="200"/>
        <w:jc w:val="left"/>
        <w:outlineLvl w:val="9"/>
        <w:rPr>
          <w:rFonts w:ascii="宋体" w:hAnsi="宋体" w:cs="宋体"/>
          <w:sz w:val="24"/>
        </w:rPr>
      </w:pPr>
      <w:r>
        <w:rPr>
          <w:rFonts w:hint="eastAsia" w:ascii="宋体" w:hAnsi="宋体" w:cs="宋体"/>
          <w:sz w:val="24"/>
        </w:rPr>
        <w:t>系统部署的操作系统为</w:t>
      </w:r>
      <w:r>
        <w:rPr>
          <w:rFonts w:hint="eastAsia" w:ascii="宋体" w:hAnsi="宋体" w:eastAsia="宋体" w:cs="宋体"/>
          <w:sz w:val="24"/>
          <w:shd w:val="clear" w:color="auto" w:fill="FFFFFF"/>
        </w:rPr>
        <w:t>macOS Sequoia</w:t>
      </w:r>
      <w:r>
        <w:rPr>
          <w:rFonts w:hint="eastAsia" w:ascii="宋体" w:hAnsi="宋体" w:cs="宋体"/>
          <w:sz w:val="24"/>
        </w:rPr>
        <w:t>，用于支撑系统软件及应用的稳定运行。</w:t>
      </w:r>
    </w:p>
    <w:p w14:paraId="2773F8F7">
      <w:pPr>
        <w:tabs>
          <w:tab w:val="left" w:pos="1584"/>
        </w:tabs>
        <w:spacing w:line="440" w:lineRule="exact"/>
        <w:ind w:firstLine="480" w:firstLineChars="200"/>
        <w:jc w:val="left"/>
        <w:outlineLvl w:val="9"/>
        <w:rPr>
          <w:rFonts w:ascii="宋体" w:hAnsi="宋体" w:cs="宋体"/>
          <w:sz w:val="24"/>
        </w:rPr>
      </w:pPr>
      <w:r>
        <w:rPr>
          <w:rFonts w:hint="eastAsia" w:ascii="宋体" w:hAnsi="宋体" w:cs="宋体"/>
          <w:sz w:val="24"/>
        </w:rPr>
        <w:t>(2)数据库</w:t>
      </w:r>
    </w:p>
    <w:p w14:paraId="499A030A">
      <w:pPr>
        <w:spacing w:line="440" w:lineRule="exact"/>
        <w:ind w:firstLine="480" w:firstLineChars="200"/>
        <w:jc w:val="left"/>
        <w:outlineLvl w:val="9"/>
        <w:rPr>
          <w:rFonts w:ascii="宋体" w:hAnsi="宋体" w:eastAsia="宋体" w:cs="宋体"/>
          <w:sz w:val="24"/>
        </w:rPr>
      </w:pPr>
      <w:r>
        <w:rPr>
          <w:rFonts w:hint="eastAsia" w:ascii="宋体" w:hAnsi="宋体" w:cs="宋体"/>
          <w:sz w:val="24"/>
        </w:rPr>
        <w:t>系统采用MySQL9.2.0-arm64作为关系型数据库管理系统。</w:t>
      </w:r>
    </w:p>
    <w:p w14:paraId="234B75D8">
      <w:pPr>
        <w:tabs>
          <w:tab w:val="left" w:pos="1584"/>
        </w:tabs>
        <w:spacing w:line="440" w:lineRule="exact"/>
        <w:ind w:firstLine="480" w:firstLineChars="200"/>
        <w:jc w:val="left"/>
        <w:outlineLvl w:val="9"/>
        <w:rPr>
          <w:rFonts w:ascii="宋体" w:hAnsi="宋体" w:cs="宋体"/>
          <w:sz w:val="24"/>
        </w:rPr>
      </w:pPr>
      <w:r>
        <w:rPr>
          <w:rFonts w:hint="eastAsia" w:ascii="宋体" w:hAnsi="宋体" w:cs="宋体"/>
          <w:sz w:val="24"/>
        </w:rPr>
        <w:t>(3)应用软件</w:t>
      </w:r>
    </w:p>
    <w:p w14:paraId="68951D3B">
      <w:pPr>
        <w:tabs>
          <w:tab w:val="left" w:pos="1584"/>
        </w:tabs>
        <w:spacing w:line="440" w:lineRule="exact"/>
        <w:ind w:firstLine="480" w:firstLineChars="200"/>
        <w:jc w:val="left"/>
        <w:outlineLvl w:val="9"/>
        <w:rPr>
          <w:rFonts w:ascii="宋体" w:hAnsi="宋体" w:cs="宋体"/>
          <w:sz w:val="24"/>
        </w:rPr>
      </w:pPr>
      <w:r>
        <w:rPr>
          <w:rFonts w:hint="eastAsia" w:ascii="宋体" w:hAnsi="宋体" w:cs="宋体"/>
          <w:sz w:val="24"/>
        </w:rPr>
        <w:t>开发环境配置了IntelliJ IDEA作为集成开发环境，版本号为2022.2.1，提供代码编写、调试及运行的全方位支持。</w:t>
      </w:r>
    </w:p>
    <w:p w14:paraId="509DFDF5">
      <w:pPr>
        <w:spacing w:line="440" w:lineRule="exact"/>
        <w:ind w:firstLine="480" w:firstLineChars="200"/>
        <w:jc w:val="left"/>
        <w:outlineLvl w:val="9"/>
        <w:rPr>
          <w:rFonts w:ascii="宋体" w:hAnsi="宋体" w:cs="宋体"/>
          <w:sz w:val="24"/>
        </w:rPr>
      </w:pPr>
      <w:r>
        <w:rPr>
          <w:rFonts w:hint="eastAsia" w:ascii="宋体" w:hAnsi="宋体" w:cs="宋体"/>
          <w:sz w:val="24"/>
        </w:rPr>
        <w:t>(4)软硬件环境</w:t>
      </w:r>
    </w:p>
    <w:p w14:paraId="5CBAE036">
      <w:pPr>
        <w:tabs>
          <w:tab w:val="left" w:pos="1584"/>
        </w:tabs>
        <w:spacing w:line="440" w:lineRule="exact"/>
        <w:ind w:firstLine="480" w:firstLineChars="200"/>
        <w:jc w:val="left"/>
        <w:outlineLvl w:val="9"/>
        <w:rPr>
          <w:rFonts w:ascii="宋体" w:hAnsi="宋体" w:cs="宋体"/>
          <w:sz w:val="24"/>
        </w:rPr>
      </w:pPr>
      <w:r>
        <w:rPr>
          <w:rFonts w:hint="eastAsia" w:ascii="宋体" w:hAnsi="宋体" w:cs="宋体"/>
          <w:sz w:val="24"/>
        </w:rPr>
        <w:t>确保系统有足够的计算资源和存储空间来支持其高效、稳定的运行。</w:t>
      </w:r>
    </w:p>
    <w:p w14:paraId="0E714810">
      <w:pPr>
        <w:spacing w:line="440" w:lineRule="exact"/>
        <w:ind w:firstLine="480" w:firstLineChars="200"/>
        <w:outlineLvl w:val="9"/>
        <w:rPr>
          <w:rFonts w:ascii="宋体" w:hAnsi="宋体" w:cs="宋体"/>
          <w:sz w:val="24"/>
        </w:rPr>
      </w:pPr>
      <w:bookmarkStart w:id="264" w:name="_Toc18057"/>
      <w:bookmarkStart w:id="265" w:name="_Toc14101"/>
      <w:bookmarkStart w:id="266" w:name="_Toc7337"/>
      <w:bookmarkStart w:id="267" w:name="_Toc2691"/>
      <w:bookmarkStart w:id="268" w:name="_Toc23937"/>
      <w:bookmarkStart w:id="269" w:name="_Toc29597"/>
      <w:r>
        <w:rPr>
          <w:rFonts w:hint="eastAsia" w:ascii="宋体" w:hAnsi="宋体" w:cs="宋体"/>
          <w:sz w:val="24"/>
        </w:rPr>
        <w:t>5.2测试方法</w:t>
      </w:r>
      <w:bookmarkEnd w:id="264"/>
      <w:bookmarkEnd w:id="265"/>
      <w:bookmarkEnd w:id="266"/>
      <w:bookmarkEnd w:id="267"/>
      <w:bookmarkEnd w:id="268"/>
      <w:bookmarkEnd w:id="269"/>
    </w:p>
    <w:p w14:paraId="4B04F01A">
      <w:pPr>
        <w:spacing w:line="440" w:lineRule="exact"/>
        <w:ind w:firstLine="480" w:firstLineChars="200"/>
        <w:outlineLvl w:val="9"/>
        <w:rPr>
          <w:rFonts w:ascii="宋体" w:hAnsi="宋体" w:cs="宋体"/>
          <w:sz w:val="24"/>
        </w:rPr>
      </w:pPr>
      <w:r>
        <w:rPr>
          <w:rFonts w:hint="eastAsia" w:ascii="宋体" w:hAnsi="宋体" w:cs="宋体"/>
          <w:sz w:val="24"/>
        </w:rPr>
        <w:t>系统测试是项目编码后、正式上线前，依据需求分析/规格说明进行最终审查，确保系统满足需求且各功能模块无缺陷，保障系统准确性与可靠性。</w:t>
      </w:r>
      <w:bookmarkStart w:id="270" w:name="_Toc18156"/>
    </w:p>
    <w:p w14:paraId="0093501B">
      <w:pPr>
        <w:tabs>
          <w:tab w:val="left" w:pos="330"/>
        </w:tabs>
        <w:spacing w:line="440" w:lineRule="exact"/>
        <w:ind w:firstLine="480" w:firstLineChars="200"/>
        <w:outlineLvl w:val="9"/>
        <w:rPr>
          <w:rFonts w:ascii="宋体" w:hAnsi="宋体" w:eastAsia="宋体" w:cs="宋体"/>
          <w:sz w:val="24"/>
        </w:rPr>
      </w:pPr>
      <w:bookmarkStart w:id="271" w:name="_Toc19950"/>
      <w:r>
        <w:rPr>
          <w:rFonts w:hint="eastAsia" w:ascii="宋体" w:hAnsi="宋体" w:cs="宋体"/>
          <w:sz w:val="24"/>
        </w:rPr>
        <w:t>5.3测试用例</w:t>
      </w:r>
      <w:bookmarkEnd w:id="270"/>
      <w:bookmarkEnd w:id="271"/>
      <w:bookmarkStart w:id="272" w:name="_Toc28372"/>
    </w:p>
    <w:p w14:paraId="7BD04E8D">
      <w:pPr>
        <w:spacing w:line="440" w:lineRule="exact"/>
        <w:ind w:firstLine="480" w:firstLineChars="200"/>
        <w:outlineLvl w:val="9"/>
      </w:pPr>
      <w:r>
        <w:rPr>
          <w:rFonts w:hint="eastAsia" w:ascii="宋体" w:hAnsi="宋体" w:eastAsia="宋体" w:cs="宋体"/>
          <w:bCs/>
          <w:sz w:val="24"/>
        </w:rPr>
        <w:t>5.3.1 用户登录模块测试用例</w:t>
      </w:r>
      <w:bookmarkEnd w:id="272"/>
    </w:p>
    <w:p w14:paraId="3ED9D37F">
      <w:pPr>
        <w:spacing w:line="440" w:lineRule="exact"/>
        <w:jc w:val="center"/>
        <w:outlineLvl w:val="9"/>
        <w:rPr>
          <w:rFonts w:eastAsia="宋体"/>
        </w:rPr>
      </w:pPr>
      <w:r>
        <w:rPr>
          <w:rFonts w:hint="eastAsia"/>
        </w:rPr>
        <w:t>表</w:t>
      </w:r>
      <w:r>
        <w:rPr>
          <w:rFonts w:hint="eastAsia" w:ascii="宋体" w:hAnsi="宋体" w:eastAsia="宋体" w:cs="宋体"/>
        </w:rPr>
        <w:t>5-1</w:t>
      </w:r>
      <w:r>
        <w:rPr>
          <w:rFonts w:hint="eastAsia" w:ascii="宋体" w:hAnsi="宋体" w:eastAsia="宋体" w:cs="宋体"/>
          <w:lang w:val="en-US" w:eastAsia="zh-CN"/>
        </w:rPr>
        <w:t xml:space="preserve"> </w:t>
      </w:r>
      <w:r>
        <w:rPr>
          <w:rFonts w:hint="eastAsia"/>
        </w:rPr>
        <w:t>用户登录测试表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86"/>
        <w:gridCol w:w="1186"/>
        <w:gridCol w:w="1186"/>
        <w:gridCol w:w="1186"/>
        <w:gridCol w:w="1186"/>
        <w:gridCol w:w="1186"/>
        <w:gridCol w:w="1186"/>
      </w:tblGrid>
      <w:tr w14:paraId="4C985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561F55F7">
            <w:pPr>
              <w:jc w:val="center"/>
              <w:outlineLvl w:val="9"/>
              <w:rPr>
                <w:rFonts w:ascii="宋体" w:hAnsi="宋体" w:eastAsia="宋体" w:cs="宋体"/>
                <w:bCs/>
                <w:sz w:val="24"/>
              </w:rPr>
            </w:pPr>
            <w:r>
              <w:rPr>
                <w:rFonts w:hint="eastAsia" w:ascii="宋体" w:hAnsi="宋体" w:eastAsia="宋体" w:cs="宋体"/>
                <w:bCs/>
                <w:szCs w:val="21"/>
              </w:rPr>
              <w:t>测试用例编号</w:t>
            </w:r>
          </w:p>
        </w:tc>
        <w:tc>
          <w:tcPr>
            <w:tcW w:w="1186" w:type="dxa"/>
            <w:tcMar>
              <w:left w:w="108" w:type="dxa"/>
              <w:right w:w="108" w:type="dxa"/>
            </w:tcMar>
            <w:vAlign w:val="center"/>
          </w:tcPr>
          <w:p w14:paraId="5A8A244B">
            <w:pPr>
              <w:jc w:val="center"/>
              <w:outlineLvl w:val="9"/>
              <w:rPr>
                <w:rFonts w:ascii="宋体" w:hAnsi="宋体" w:eastAsia="宋体" w:cs="宋体"/>
                <w:bCs/>
                <w:sz w:val="24"/>
              </w:rPr>
            </w:pPr>
            <w:r>
              <w:rPr>
                <w:rFonts w:hint="eastAsia" w:ascii="宋体" w:hAnsi="宋体" w:eastAsia="宋体" w:cs="宋体"/>
                <w:bCs/>
                <w:szCs w:val="21"/>
              </w:rPr>
              <w:t>项目名称</w:t>
            </w:r>
          </w:p>
        </w:tc>
        <w:tc>
          <w:tcPr>
            <w:tcW w:w="1186" w:type="dxa"/>
            <w:tcMar>
              <w:left w:w="108" w:type="dxa"/>
              <w:right w:w="108" w:type="dxa"/>
            </w:tcMar>
            <w:vAlign w:val="center"/>
          </w:tcPr>
          <w:p w14:paraId="17380E2E">
            <w:pPr>
              <w:jc w:val="center"/>
              <w:outlineLvl w:val="9"/>
              <w:rPr>
                <w:rFonts w:ascii="宋体" w:hAnsi="宋体" w:eastAsia="宋体" w:cs="宋体"/>
                <w:bCs/>
                <w:sz w:val="24"/>
              </w:rPr>
            </w:pPr>
            <w:r>
              <w:rPr>
                <w:rFonts w:hint="eastAsia" w:ascii="宋体" w:hAnsi="宋体" w:eastAsia="宋体" w:cs="宋体"/>
                <w:bCs/>
                <w:szCs w:val="21"/>
              </w:rPr>
              <w:t>用例名称</w:t>
            </w:r>
          </w:p>
        </w:tc>
        <w:tc>
          <w:tcPr>
            <w:tcW w:w="1186" w:type="dxa"/>
            <w:tcMar>
              <w:left w:w="108" w:type="dxa"/>
              <w:right w:w="108" w:type="dxa"/>
            </w:tcMar>
            <w:vAlign w:val="center"/>
          </w:tcPr>
          <w:p w14:paraId="72842514">
            <w:pPr>
              <w:jc w:val="center"/>
              <w:outlineLvl w:val="9"/>
              <w:rPr>
                <w:rFonts w:ascii="宋体" w:hAnsi="宋体" w:eastAsia="宋体" w:cs="宋体"/>
                <w:bCs/>
                <w:szCs w:val="21"/>
              </w:rPr>
            </w:pPr>
            <w:r>
              <w:rPr>
                <w:rFonts w:hint="eastAsia" w:ascii="宋体" w:hAnsi="宋体" w:eastAsia="宋体" w:cs="宋体"/>
                <w:bCs/>
                <w:szCs w:val="21"/>
              </w:rPr>
              <w:t>测试步骤</w:t>
            </w:r>
          </w:p>
        </w:tc>
        <w:tc>
          <w:tcPr>
            <w:tcW w:w="1186" w:type="dxa"/>
            <w:tcMar>
              <w:left w:w="108" w:type="dxa"/>
              <w:right w:w="108" w:type="dxa"/>
            </w:tcMar>
            <w:vAlign w:val="center"/>
          </w:tcPr>
          <w:p w14:paraId="21DE7D12">
            <w:pPr>
              <w:jc w:val="center"/>
              <w:outlineLvl w:val="9"/>
              <w:rPr>
                <w:rFonts w:ascii="宋体" w:hAnsi="宋体" w:eastAsia="宋体" w:cs="宋体"/>
                <w:bCs/>
                <w:sz w:val="24"/>
              </w:rPr>
            </w:pPr>
            <w:r>
              <w:rPr>
                <w:rFonts w:hint="eastAsia" w:ascii="宋体" w:hAnsi="宋体" w:eastAsia="宋体" w:cs="宋体"/>
                <w:bCs/>
                <w:szCs w:val="21"/>
              </w:rPr>
              <w:t>输入数据</w:t>
            </w:r>
          </w:p>
        </w:tc>
        <w:tc>
          <w:tcPr>
            <w:tcW w:w="1186" w:type="dxa"/>
            <w:tcMar>
              <w:left w:w="108" w:type="dxa"/>
              <w:right w:w="108" w:type="dxa"/>
            </w:tcMar>
            <w:vAlign w:val="center"/>
          </w:tcPr>
          <w:p w14:paraId="6B07489E">
            <w:pPr>
              <w:jc w:val="center"/>
              <w:outlineLvl w:val="9"/>
              <w:rPr>
                <w:rFonts w:ascii="宋体" w:hAnsi="宋体" w:eastAsia="宋体" w:cs="宋体"/>
                <w:bCs/>
                <w:sz w:val="24"/>
              </w:rPr>
            </w:pPr>
            <w:r>
              <w:rPr>
                <w:rFonts w:hint="eastAsia"/>
              </w:rPr>
              <w:t>预期结果</w:t>
            </w:r>
          </w:p>
        </w:tc>
        <w:tc>
          <w:tcPr>
            <w:tcW w:w="1186" w:type="dxa"/>
            <w:tcMar>
              <w:left w:w="108" w:type="dxa"/>
              <w:right w:w="108" w:type="dxa"/>
            </w:tcMar>
            <w:vAlign w:val="center"/>
          </w:tcPr>
          <w:p w14:paraId="3E789401">
            <w:pPr>
              <w:jc w:val="center"/>
              <w:outlineLvl w:val="9"/>
              <w:rPr>
                <w:rFonts w:ascii="宋体" w:hAnsi="宋体" w:eastAsia="宋体" w:cs="宋体"/>
                <w:bCs/>
                <w:sz w:val="24"/>
              </w:rPr>
            </w:pPr>
            <w:r>
              <w:rPr>
                <w:rFonts w:hint="eastAsia"/>
              </w:rPr>
              <w:t>实际结果</w:t>
            </w:r>
          </w:p>
        </w:tc>
      </w:tr>
      <w:tr w14:paraId="25FCE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5BFD6E16">
            <w:pPr>
              <w:rPr>
                <w:rFonts w:ascii="宋体" w:hAnsi="宋体" w:eastAsia="宋体" w:cs="宋体"/>
                <w:bCs/>
                <w:sz w:val="24"/>
              </w:rPr>
            </w:pPr>
            <w:r>
              <w:rPr>
                <w:rFonts w:hint="eastAsia"/>
              </w:rPr>
              <w:t>001</w:t>
            </w:r>
          </w:p>
        </w:tc>
        <w:tc>
          <w:tcPr>
            <w:tcW w:w="1186" w:type="dxa"/>
            <w:tcMar>
              <w:left w:w="108" w:type="dxa"/>
              <w:right w:w="108" w:type="dxa"/>
            </w:tcMar>
            <w:vAlign w:val="center"/>
          </w:tcPr>
          <w:p w14:paraId="02FFC457">
            <w:pPr>
              <w:rPr>
                <w:rFonts w:ascii="宋体" w:hAnsi="宋体" w:eastAsia="宋体" w:cs="宋体"/>
                <w:bCs/>
                <w:sz w:val="24"/>
              </w:rPr>
            </w:pPr>
            <w:r>
              <w:rPr>
                <w:rFonts w:hint="eastAsia"/>
              </w:rPr>
              <w:t>用户登录</w:t>
            </w:r>
          </w:p>
        </w:tc>
        <w:tc>
          <w:tcPr>
            <w:tcW w:w="1186" w:type="dxa"/>
            <w:tcMar>
              <w:left w:w="108" w:type="dxa"/>
              <w:right w:w="108" w:type="dxa"/>
            </w:tcMar>
            <w:vAlign w:val="center"/>
          </w:tcPr>
          <w:p w14:paraId="15BAFCDB">
            <w:pPr>
              <w:rPr>
                <w:rFonts w:ascii="宋体" w:hAnsi="宋体" w:eastAsia="宋体" w:cs="宋体"/>
                <w:bCs/>
                <w:sz w:val="24"/>
              </w:rPr>
            </w:pPr>
            <w:r>
              <w:rPr>
                <w:rFonts w:hint="eastAsia"/>
              </w:rPr>
              <w:t>正常登录</w:t>
            </w:r>
          </w:p>
        </w:tc>
        <w:tc>
          <w:tcPr>
            <w:tcW w:w="1186" w:type="dxa"/>
            <w:tcMar>
              <w:left w:w="108" w:type="dxa"/>
              <w:right w:w="108" w:type="dxa"/>
            </w:tcMar>
            <w:vAlign w:val="center"/>
          </w:tcPr>
          <w:p w14:paraId="00EE656D">
            <w:pPr>
              <w:rPr>
                <w:rFonts w:ascii="宋体" w:hAnsi="宋体" w:eastAsia="宋体" w:cs="宋体"/>
                <w:bCs/>
                <w:sz w:val="24"/>
              </w:rPr>
            </w:pPr>
            <w:r>
              <w:rPr>
                <w:rFonts w:hint="eastAsia"/>
              </w:rPr>
              <w:t>1. 打开登录页面</w:t>
            </w:r>
            <w:r>
              <w:rPr>
                <w:rFonts w:hint="eastAsia"/>
              </w:rPr>
              <w:br w:type="textWrapping"/>
            </w:r>
            <w:r>
              <w:rPr>
                <w:rFonts w:hint="eastAsia"/>
              </w:rPr>
              <w:t>2. 输入正确的用户名和密码</w:t>
            </w:r>
            <w:r>
              <w:rPr>
                <w:rFonts w:hint="eastAsia"/>
              </w:rPr>
              <w:br w:type="textWrapping"/>
            </w:r>
            <w:r>
              <w:rPr>
                <w:rFonts w:hint="eastAsia"/>
              </w:rPr>
              <w:t>3. 点击登录按钮</w:t>
            </w:r>
          </w:p>
        </w:tc>
        <w:tc>
          <w:tcPr>
            <w:tcW w:w="1186" w:type="dxa"/>
            <w:tcMar>
              <w:left w:w="108" w:type="dxa"/>
              <w:right w:w="108" w:type="dxa"/>
            </w:tcMar>
            <w:vAlign w:val="center"/>
          </w:tcPr>
          <w:p w14:paraId="5AF391BF">
            <w:pPr>
              <w:rPr>
                <w:rFonts w:ascii="宋体" w:hAnsi="宋体" w:eastAsia="宋体" w:cs="宋体"/>
                <w:bCs/>
                <w:sz w:val="24"/>
              </w:rPr>
            </w:pPr>
            <w:r>
              <w:rPr>
                <w:rFonts w:hint="eastAsia" w:ascii="宋体" w:hAnsi="宋体" w:eastAsia="宋体" w:cs="宋体"/>
              </w:rPr>
              <w:t>用户名：user001</w:t>
            </w:r>
            <w:r>
              <w:rPr>
                <w:rFonts w:hint="eastAsia" w:ascii="宋体" w:hAnsi="宋体" w:eastAsia="宋体" w:cs="宋体"/>
              </w:rPr>
              <w:br w:type="textWrapping"/>
            </w:r>
            <w:r>
              <w:rPr>
                <w:rFonts w:hint="eastAsia" w:ascii="宋体" w:hAnsi="宋体" w:eastAsia="宋体" w:cs="宋体"/>
              </w:rPr>
              <w:t>密码：123456</w:t>
            </w:r>
          </w:p>
        </w:tc>
        <w:tc>
          <w:tcPr>
            <w:tcW w:w="1186" w:type="dxa"/>
            <w:tcMar>
              <w:left w:w="108" w:type="dxa"/>
              <w:right w:w="108" w:type="dxa"/>
            </w:tcMar>
            <w:vAlign w:val="center"/>
          </w:tcPr>
          <w:p w14:paraId="6943B336">
            <w:pPr>
              <w:rPr>
                <w:rFonts w:ascii="宋体" w:hAnsi="宋体" w:eastAsia="宋体" w:cs="宋体"/>
                <w:bCs/>
                <w:sz w:val="24"/>
              </w:rPr>
            </w:pPr>
            <w:r>
              <w:rPr>
                <w:rFonts w:hint="eastAsia"/>
              </w:rPr>
              <w:t>登录成功，跳转到首页</w:t>
            </w:r>
          </w:p>
        </w:tc>
        <w:tc>
          <w:tcPr>
            <w:tcW w:w="1186" w:type="dxa"/>
            <w:tcMar>
              <w:left w:w="108" w:type="dxa"/>
              <w:right w:w="108" w:type="dxa"/>
            </w:tcMar>
            <w:vAlign w:val="center"/>
          </w:tcPr>
          <w:p w14:paraId="53D1622F">
            <w:pPr>
              <w:rPr>
                <w:rFonts w:ascii="宋体" w:hAnsi="宋体" w:eastAsia="宋体" w:cs="宋体"/>
                <w:bCs/>
                <w:sz w:val="24"/>
              </w:rPr>
            </w:pPr>
            <w:r>
              <w:rPr>
                <w:rFonts w:hint="eastAsia"/>
              </w:rPr>
              <w:t>通过</w:t>
            </w:r>
          </w:p>
        </w:tc>
      </w:tr>
      <w:tr w14:paraId="6441E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42A6EBBB">
            <w:pPr>
              <w:rPr>
                <w:rFonts w:ascii="宋体" w:hAnsi="宋体" w:eastAsia="宋体" w:cs="宋体"/>
                <w:bCs/>
                <w:szCs w:val="21"/>
              </w:rPr>
            </w:pPr>
            <w:r>
              <w:rPr>
                <w:rFonts w:hint="eastAsia" w:ascii="宋体" w:hAnsi="宋体" w:eastAsia="宋体" w:cs="宋体"/>
                <w:szCs w:val="21"/>
              </w:rPr>
              <w:t>002</w:t>
            </w:r>
          </w:p>
        </w:tc>
        <w:tc>
          <w:tcPr>
            <w:tcW w:w="1186" w:type="dxa"/>
            <w:tcMar>
              <w:left w:w="108" w:type="dxa"/>
              <w:right w:w="108" w:type="dxa"/>
            </w:tcMar>
            <w:vAlign w:val="center"/>
          </w:tcPr>
          <w:p w14:paraId="136214E4">
            <w:pPr>
              <w:rPr>
                <w:rFonts w:ascii="宋体" w:hAnsi="宋体" w:eastAsia="宋体" w:cs="宋体"/>
                <w:bCs/>
                <w:szCs w:val="21"/>
              </w:rPr>
            </w:pPr>
            <w:r>
              <w:rPr>
                <w:rFonts w:hint="eastAsia" w:ascii="宋体" w:hAnsi="宋体" w:eastAsia="宋体" w:cs="宋体"/>
                <w:szCs w:val="21"/>
              </w:rPr>
              <w:t>用户登录</w:t>
            </w:r>
          </w:p>
        </w:tc>
        <w:tc>
          <w:tcPr>
            <w:tcW w:w="1186" w:type="dxa"/>
            <w:tcMar>
              <w:left w:w="108" w:type="dxa"/>
              <w:right w:w="108" w:type="dxa"/>
            </w:tcMar>
            <w:vAlign w:val="center"/>
          </w:tcPr>
          <w:p w14:paraId="38180625">
            <w:pPr>
              <w:rPr>
                <w:rFonts w:ascii="宋体" w:hAnsi="宋体" w:eastAsia="宋体" w:cs="宋体"/>
                <w:bCs/>
                <w:szCs w:val="21"/>
              </w:rPr>
            </w:pPr>
            <w:r>
              <w:rPr>
                <w:rFonts w:hint="eastAsia" w:ascii="宋体" w:hAnsi="宋体" w:eastAsia="宋体" w:cs="宋体"/>
                <w:szCs w:val="21"/>
              </w:rPr>
              <w:t>密码错误登录</w:t>
            </w:r>
          </w:p>
        </w:tc>
        <w:tc>
          <w:tcPr>
            <w:tcW w:w="1186" w:type="dxa"/>
            <w:tcMar>
              <w:left w:w="108" w:type="dxa"/>
              <w:right w:w="108" w:type="dxa"/>
            </w:tcMar>
            <w:vAlign w:val="center"/>
          </w:tcPr>
          <w:p w14:paraId="51DB2A14">
            <w:pPr>
              <w:rPr>
                <w:rFonts w:ascii="宋体" w:hAnsi="宋体" w:eastAsia="宋体" w:cs="宋体"/>
                <w:bCs/>
                <w:szCs w:val="21"/>
              </w:rPr>
            </w:pPr>
            <w:r>
              <w:rPr>
                <w:rFonts w:hint="eastAsia" w:ascii="宋体" w:hAnsi="宋体" w:eastAsia="宋体" w:cs="宋体"/>
                <w:szCs w:val="21"/>
              </w:rPr>
              <w:t>1. 打开登录页面</w:t>
            </w:r>
            <w:r>
              <w:rPr>
                <w:rFonts w:hint="eastAsia" w:ascii="宋体" w:hAnsi="宋体" w:eastAsia="宋体" w:cs="宋体"/>
                <w:szCs w:val="21"/>
              </w:rPr>
              <w:br w:type="textWrapping"/>
            </w:r>
            <w:r>
              <w:rPr>
                <w:rFonts w:hint="eastAsia" w:ascii="宋体" w:hAnsi="宋体" w:eastAsia="宋体" w:cs="宋体"/>
                <w:szCs w:val="21"/>
              </w:rPr>
              <w:t>2. 输入正确的用户名和错误密码</w:t>
            </w:r>
            <w:r>
              <w:rPr>
                <w:rFonts w:hint="eastAsia" w:ascii="宋体" w:hAnsi="宋体" w:eastAsia="宋体" w:cs="宋体"/>
                <w:szCs w:val="21"/>
              </w:rPr>
              <w:br w:type="textWrapping"/>
            </w:r>
            <w:r>
              <w:rPr>
                <w:rFonts w:hint="eastAsia" w:ascii="宋体" w:hAnsi="宋体" w:eastAsia="宋体" w:cs="宋体"/>
                <w:szCs w:val="21"/>
              </w:rPr>
              <w:t>3. 点击登录按钮</w:t>
            </w:r>
          </w:p>
        </w:tc>
        <w:tc>
          <w:tcPr>
            <w:tcW w:w="1186" w:type="dxa"/>
            <w:tcMar>
              <w:left w:w="108" w:type="dxa"/>
              <w:right w:w="108" w:type="dxa"/>
            </w:tcMar>
            <w:vAlign w:val="center"/>
          </w:tcPr>
          <w:p w14:paraId="59BCF6C9">
            <w:pPr>
              <w:rPr>
                <w:rFonts w:ascii="宋体" w:hAnsi="宋体" w:eastAsia="宋体" w:cs="宋体"/>
                <w:bCs/>
                <w:szCs w:val="21"/>
              </w:rPr>
            </w:pPr>
            <w:r>
              <w:rPr>
                <w:rFonts w:hint="eastAsia" w:ascii="宋体" w:hAnsi="宋体" w:eastAsia="宋体" w:cs="宋体"/>
                <w:szCs w:val="21"/>
              </w:rPr>
              <w:t>用户名：user001</w:t>
            </w:r>
            <w:r>
              <w:rPr>
                <w:rFonts w:hint="eastAsia" w:ascii="宋体" w:hAnsi="宋体" w:eastAsia="宋体" w:cs="宋体"/>
                <w:szCs w:val="21"/>
              </w:rPr>
              <w:br w:type="textWrapping"/>
            </w:r>
            <w:r>
              <w:rPr>
                <w:rFonts w:hint="eastAsia" w:ascii="宋体" w:hAnsi="宋体" w:eastAsia="宋体" w:cs="宋体"/>
                <w:szCs w:val="21"/>
              </w:rPr>
              <w:t>密码：wrongpwd</w:t>
            </w:r>
          </w:p>
        </w:tc>
        <w:tc>
          <w:tcPr>
            <w:tcW w:w="1186" w:type="dxa"/>
            <w:tcMar>
              <w:left w:w="108" w:type="dxa"/>
              <w:right w:w="108" w:type="dxa"/>
            </w:tcMar>
            <w:vAlign w:val="center"/>
          </w:tcPr>
          <w:p w14:paraId="713C6145">
            <w:pPr>
              <w:rPr>
                <w:rFonts w:ascii="宋体" w:hAnsi="宋体" w:eastAsia="宋体" w:cs="宋体"/>
                <w:bCs/>
                <w:szCs w:val="21"/>
              </w:rPr>
            </w:pPr>
            <w:r>
              <w:rPr>
                <w:rFonts w:hint="eastAsia" w:ascii="宋体" w:hAnsi="宋体" w:eastAsia="宋体" w:cs="宋体"/>
                <w:szCs w:val="21"/>
              </w:rPr>
              <w:t>提示"用户名或密码错误"</w:t>
            </w:r>
          </w:p>
        </w:tc>
        <w:tc>
          <w:tcPr>
            <w:tcW w:w="1186" w:type="dxa"/>
            <w:tcMar>
              <w:left w:w="108" w:type="dxa"/>
              <w:right w:w="108" w:type="dxa"/>
            </w:tcMar>
            <w:vAlign w:val="center"/>
          </w:tcPr>
          <w:p w14:paraId="23C87C52">
            <w:pPr>
              <w:rPr>
                <w:rFonts w:ascii="宋体" w:hAnsi="宋体" w:eastAsia="宋体" w:cs="宋体"/>
                <w:bCs/>
                <w:szCs w:val="21"/>
              </w:rPr>
            </w:pPr>
            <w:r>
              <w:rPr>
                <w:rFonts w:hint="eastAsia" w:ascii="宋体" w:hAnsi="宋体" w:eastAsia="宋体" w:cs="宋体"/>
                <w:szCs w:val="21"/>
              </w:rPr>
              <w:t>通过</w:t>
            </w:r>
          </w:p>
        </w:tc>
      </w:tr>
      <w:tr w14:paraId="2519C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364F0BD5">
            <w:pPr>
              <w:rPr>
                <w:rFonts w:ascii="宋体" w:hAnsi="宋体" w:eastAsia="宋体" w:cs="宋体"/>
                <w:bCs/>
                <w:szCs w:val="21"/>
              </w:rPr>
            </w:pPr>
            <w:r>
              <w:rPr>
                <w:rFonts w:hint="eastAsia" w:ascii="宋体" w:hAnsi="宋体" w:eastAsia="宋体" w:cs="宋体"/>
                <w:bCs/>
                <w:szCs w:val="21"/>
              </w:rPr>
              <w:t>003</w:t>
            </w:r>
          </w:p>
        </w:tc>
        <w:tc>
          <w:tcPr>
            <w:tcW w:w="1186" w:type="dxa"/>
            <w:tcMar>
              <w:left w:w="108" w:type="dxa"/>
              <w:right w:w="108" w:type="dxa"/>
            </w:tcMar>
            <w:vAlign w:val="center"/>
          </w:tcPr>
          <w:p w14:paraId="5CC36421">
            <w:pPr>
              <w:rPr>
                <w:rFonts w:ascii="宋体" w:hAnsi="宋体" w:eastAsia="宋体" w:cs="宋体"/>
                <w:bCs/>
                <w:szCs w:val="21"/>
              </w:rPr>
            </w:pPr>
            <w:r>
              <w:rPr>
                <w:rFonts w:hint="eastAsia" w:ascii="宋体" w:hAnsi="宋体" w:eastAsia="宋体" w:cs="宋体"/>
                <w:bCs/>
                <w:szCs w:val="21"/>
              </w:rPr>
              <w:t>用户登录</w:t>
            </w:r>
          </w:p>
        </w:tc>
        <w:tc>
          <w:tcPr>
            <w:tcW w:w="1186" w:type="dxa"/>
            <w:tcMar>
              <w:left w:w="108" w:type="dxa"/>
              <w:right w:w="108" w:type="dxa"/>
            </w:tcMar>
            <w:vAlign w:val="center"/>
          </w:tcPr>
          <w:p w14:paraId="068CA05B">
            <w:pPr>
              <w:rPr>
                <w:rFonts w:ascii="宋体" w:hAnsi="宋体" w:eastAsia="宋体" w:cs="宋体"/>
                <w:bCs/>
                <w:szCs w:val="21"/>
              </w:rPr>
            </w:pPr>
            <w:r>
              <w:rPr>
                <w:rFonts w:hint="eastAsia" w:ascii="宋体" w:hAnsi="宋体" w:eastAsia="宋体" w:cs="宋体"/>
                <w:bCs/>
                <w:szCs w:val="21"/>
              </w:rPr>
              <w:t>用户不存在</w:t>
            </w:r>
          </w:p>
        </w:tc>
        <w:tc>
          <w:tcPr>
            <w:tcW w:w="1186" w:type="dxa"/>
            <w:tcMar>
              <w:left w:w="108" w:type="dxa"/>
              <w:right w:w="108" w:type="dxa"/>
            </w:tcMar>
            <w:vAlign w:val="center"/>
          </w:tcPr>
          <w:p w14:paraId="3350D2D9">
            <w:pPr>
              <w:rPr>
                <w:rFonts w:ascii="宋体" w:hAnsi="宋体" w:eastAsia="宋体" w:cs="宋体"/>
                <w:bCs/>
                <w:szCs w:val="21"/>
              </w:rPr>
            </w:pPr>
            <w:r>
              <w:rPr>
                <w:rFonts w:hint="eastAsia" w:ascii="宋体" w:hAnsi="宋体" w:eastAsia="宋体" w:cs="宋体"/>
                <w:bCs/>
                <w:szCs w:val="21"/>
              </w:rPr>
              <w:t>1. 打开登录页面</w:t>
            </w:r>
            <w:r>
              <w:rPr>
                <w:rFonts w:hint="eastAsia" w:ascii="宋体" w:hAnsi="宋体" w:eastAsia="宋体" w:cs="宋体"/>
                <w:bCs/>
                <w:szCs w:val="21"/>
              </w:rPr>
              <w:br w:type="textWrapping"/>
            </w:r>
            <w:r>
              <w:rPr>
                <w:rFonts w:hint="eastAsia" w:ascii="宋体" w:hAnsi="宋体" w:eastAsia="宋体" w:cs="宋体"/>
                <w:bCs/>
                <w:szCs w:val="21"/>
              </w:rPr>
              <w:t>2. 输入不存在的用户名</w:t>
            </w:r>
            <w:r>
              <w:rPr>
                <w:rFonts w:hint="eastAsia" w:ascii="宋体" w:hAnsi="宋体" w:eastAsia="宋体" w:cs="宋体"/>
                <w:bCs/>
                <w:szCs w:val="21"/>
              </w:rPr>
              <w:br w:type="textWrapping"/>
            </w:r>
            <w:r>
              <w:rPr>
                <w:rFonts w:hint="eastAsia" w:ascii="宋体" w:hAnsi="宋体" w:eastAsia="宋体" w:cs="宋体"/>
                <w:bCs/>
                <w:szCs w:val="21"/>
              </w:rPr>
              <w:t>3. 点击登录按钮</w:t>
            </w:r>
          </w:p>
        </w:tc>
        <w:tc>
          <w:tcPr>
            <w:tcW w:w="1186" w:type="dxa"/>
            <w:tcMar>
              <w:left w:w="108" w:type="dxa"/>
              <w:right w:w="108" w:type="dxa"/>
            </w:tcMar>
            <w:vAlign w:val="center"/>
          </w:tcPr>
          <w:p w14:paraId="54D903C9">
            <w:pPr>
              <w:rPr>
                <w:rFonts w:ascii="宋体" w:hAnsi="宋体" w:eastAsia="宋体" w:cs="宋体"/>
                <w:bCs/>
                <w:szCs w:val="21"/>
              </w:rPr>
            </w:pPr>
            <w:r>
              <w:rPr>
                <w:rFonts w:hint="eastAsia" w:ascii="宋体" w:hAnsi="宋体" w:eastAsia="宋体" w:cs="宋体"/>
                <w:bCs/>
                <w:szCs w:val="21"/>
              </w:rPr>
              <w:t>用户名：nonexist</w:t>
            </w:r>
            <w:r>
              <w:rPr>
                <w:rFonts w:hint="eastAsia" w:ascii="宋体" w:hAnsi="宋体" w:eastAsia="宋体" w:cs="宋体"/>
                <w:bCs/>
                <w:szCs w:val="21"/>
              </w:rPr>
              <w:br w:type="textWrapping"/>
            </w:r>
            <w:r>
              <w:rPr>
                <w:rFonts w:hint="eastAsia" w:ascii="宋体" w:hAnsi="宋体" w:eastAsia="宋体" w:cs="宋体"/>
                <w:bCs/>
                <w:szCs w:val="21"/>
              </w:rPr>
              <w:t>密码：123456</w:t>
            </w:r>
          </w:p>
        </w:tc>
        <w:tc>
          <w:tcPr>
            <w:tcW w:w="1186" w:type="dxa"/>
            <w:tcMar>
              <w:left w:w="108" w:type="dxa"/>
              <w:right w:w="108" w:type="dxa"/>
            </w:tcMar>
            <w:vAlign w:val="center"/>
          </w:tcPr>
          <w:p w14:paraId="7B0E6657">
            <w:pPr>
              <w:rPr>
                <w:rFonts w:ascii="宋体" w:hAnsi="宋体" w:eastAsia="宋体" w:cs="宋体"/>
                <w:bCs/>
                <w:szCs w:val="21"/>
              </w:rPr>
            </w:pPr>
            <w:r>
              <w:rPr>
                <w:rFonts w:hint="eastAsia" w:ascii="宋体" w:hAnsi="宋体" w:eastAsia="宋体" w:cs="宋体"/>
                <w:bCs/>
                <w:szCs w:val="21"/>
              </w:rPr>
              <w:t>提示"用户名或密码错误"</w:t>
            </w:r>
          </w:p>
        </w:tc>
        <w:tc>
          <w:tcPr>
            <w:tcW w:w="1186" w:type="dxa"/>
            <w:tcMar>
              <w:left w:w="108" w:type="dxa"/>
              <w:right w:w="108" w:type="dxa"/>
            </w:tcMar>
            <w:vAlign w:val="center"/>
          </w:tcPr>
          <w:p w14:paraId="0374632E">
            <w:pPr>
              <w:rPr>
                <w:rFonts w:ascii="宋体" w:hAnsi="宋体" w:eastAsia="宋体" w:cs="宋体"/>
                <w:bCs/>
                <w:szCs w:val="21"/>
              </w:rPr>
            </w:pPr>
            <w:r>
              <w:rPr>
                <w:rFonts w:hint="eastAsia" w:ascii="宋体" w:hAnsi="宋体" w:eastAsia="宋体" w:cs="宋体"/>
                <w:bCs/>
                <w:szCs w:val="21"/>
              </w:rPr>
              <w:t>通过</w:t>
            </w:r>
          </w:p>
        </w:tc>
      </w:tr>
      <w:tr w14:paraId="70370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21442D4B">
            <w:pPr>
              <w:rPr>
                <w:rFonts w:ascii="宋体" w:hAnsi="宋体" w:eastAsia="宋体" w:cs="宋体"/>
                <w:bCs/>
                <w:szCs w:val="21"/>
              </w:rPr>
            </w:pPr>
            <w:r>
              <w:rPr>
                <w:rFonts w:hint="eastAsia" w:ascii="宋体" w:hAnsi="宋体" w:eastAsia="宋体" w:cs="宋体"/>
                <w:bCs/>
                <w:szCs w:val="21"/>
              </w:rPr>
              <w:t>004</w:t>
            </w:r>
          </w:p>
        </w:tc>
        <w:tc>
          <w:tcPr>
            <w:tcW w:w="1186" w:type="dxa"/>
            <w:tcMar>
              <w:left w:w="108" w:type="dxa"/>
              <w:right w:w="108" w:type="dxa"/>
            </w:tcMar>
            <w:vAlign w:val="center"/>
          </w:tcPr>
          <w:p w14:paraId="1F10A140">
            <w:pPr>
              <w:rPr>
                <w:rFonts w:ascii="宋体" w:hAnsi="宋体" w:eastAsia="宋体" w:cs="宋体"/>
                <w:bCs/>
                <w:szCs w:val="21"/>
              </w:rPr>
            </w:pPr>
            <w:r>
              <w:rPr>
                <w:rFonts w:hint="eastAsia" w:ascii="宋体" w:hAnsi="宋体" w:eastAsia="宋体" w:cs="宋体"/>
                <w:bCs/>
                <w:szCs w:val="21"/>
              </w:rPr>
              <w:t>用户登录</w:t>
            </w:r>
          </w:p>
        </w:tc>
        <w:tc>
          <w:tcPr>
            <w:tcW w:w="1186" w:type="dxa"/>
            <w:tcMar>
              <w:left w:w="108" w:type="dxa"/>
              <w:right w:w="108" w:type="dxa"/>
            </w:tcMar>
            <w:vAlign w:val="center"/>
          </w:tcPr>
          <w:p w14:paraId="4A9F5588">
            <w:pPr>
              <w:rPr>
                <w:rFonts w:ascii="宋体" w:hAnsi="宋体" w:eastAsia="宋体" w:cs="宋体"/>
                <w:bCs/>
                <w:szCs w:val="21"/>
              </w:rPr>
            </w:pPr>
            <w:r>
              <w:rPr>
                <w:rFonts w:hint="eastAsia" w:ascii="宋体" w:hAnsi="宋体" w:eastAsia="宋体" w:cs="宋体"/>
                <w:bCs/>
                <w:szCs w:val="21"/>
              </w:rPr>
              <w:t>验证码错误</w:t>
            </w:r>
          </w:p>
        </w:tc>
        <w:tc>
          <w:tcPr>
            <w:tcW w:w="1186" w:type="dxa"/>
            <w:tcMar>
              <w:left w:w="108" w:type="dxa"/>
              <w:right w:w="108" w:type="dxa"/>
            </w:tcMar>
            <w:vAlign w:val="center"/>
          </w:tcPr>
          <w:p w14:paraId="5C339A50">
            <w:pPr>
              <w:rPr>
                <w:rFonts w:ascii="宋体" w:hAnsi="宋体" w:eastAsia="宋体" w:cs="宋体"/>
                <w:bCs/>
                <w:szCs w:val="21"/>
              </w:rPr>
            </w:pPr>
            <w:r>
              <w:rPr>
                <w:rFonts w:hint="eastAsia" w:ascii="宋体" w:hAnsi="宋体" w:eastAsia="宋体" w:cs="宋体"/>
                <w:bCs/>
                <w:szCs w:val="21"/>
              </w:rPr>
              <w:t>1. 打开登录页面</w:t>
            </w:r>
            <w:r>
              <w:rPr>
                <w:rFonts w:hint="eastAsia" w:ascii="宋体" w:hAnsi="宋体" w:eastAsia="宋体" w:cs="宋体"/>
                <w:bCs/>
                <w:szCs w:val="21"/>
              </w:rPr>
              <w:br w:type="textWrapping"/>
            </w:r>
            <w:r>
              <w:rPr>
                <w:rFonts w:hint="eastAsia" w:ascii="宋体" w:hAnsi="宋体" w:eastAsia="宋体" w:cs="宋体"/>
                <w:bCs/>
                <w:szCs w:val="21"/>
              </w:rPr>
              <w:t>2. 输入正确用户名密码</w:t>
            </w:r>
            <w:r>
              <w:rPr>
                <w:rFonts w:hint="eastAsia" w:ascii="宋体" w:hAnsi="宋体" w:eastAsia="宋体" w:cs="宋体"/>
                <w:bCs/>
                <w:szCs w:val="21"/>
              </w:rPr>
              <w:br w:type="textWrapping"/>
            </w:r>
            <w:r>
              <w:rPr>
                <w:rFonts w:hint="eastAsia" w:ascii="宋体" w:hAnsi="宋体" w:eastAsia="宋体" w:cs="宋体"/>
                <w:bCs/>
                <w:szCs w:val="21"/>
              </w:rPr>
              <w:t>3. 输入错误验证码</w:t>
            </w:r>
            <w:r>
              <w:rPr>
                <w:rFonts w:hint="eastAsia" w:ascii="宋体" w:hAnsi="宋体" w:eastAsia="宋体" w:cs="宋体"/>
                <w:bCs/>
                <w:szCs w:val="21"/>
              </w:rPr>
              <w:br w:type="textWrapping"/>
            </w:r>
            <w:r>
              <w:rPr>
                <w:rFonts w:hint="eastAsia" w:ascii="宋体" w:hAnsi="宋体" w:eastAsia="宋体" w:cs="宋体"/>
                <w:bCs/>
                <w:szCs w:val="21"/>
              </w:rPr>
              <w:t>4. 点击登录按钮</w:t>
            </w:r>
          </w:p>
        </w:tc>
        <w:tc>
          <w:tcPr>
            <w:tcW w:w="1186" w:type="dxa"/>
            <w:tcMar>
              <w:left w:w="108" w:type="dxa"/>
              <w:right w:w="108" w:type="dxa"/>
            </w:tcMar>
            <w:vAlign w:val="center"/>
          </w:tcPr>
          <w:p w14:paraId="53EDE50D">
            <w:pPr>
              <w:rPr>
                <w:rFonts w:ascii="宋体" w:hAnsi="宋体" w:eastAsia="宋体" w:cs="宋体"/>
                <w:bCs/>
                <w:szCs w:val="21"/>
              </w:rPr>
            </w:pPr>
            <w:r>
              <w:rPr>
                <w:rFonts w:hint="eastAsia" w:ascii="宋体" w:hAnsi="宋体" w:eastAsia="宋体" w:cs="宋体"/>
                <w:bCs/>
                <w:szCs w:val="21"/>
              </w:rPr>
              <w:t>用户名：user001</w:t>
            </w:r>
            <w:r>
              <w:rPr>
                <w:rFonts w:hint="eastAsia" w:ascii="宋体" w:hAnsi="宋体" w:eastAsia="宋体" w:cs="宋体"/>
                <w:bCs/>
                <w:szCs w:val="21"/>
              </w:rPr>
              <w:br w:type="textWrapping"/>
            </w:r>
            <w:r>
              <w:rPr>
                <w:rFonts w:hint="eastAsia" w:ascii="宋体" w:hAnsi="宋体" w:eastAsia="宋体" w:cs="宋体"/>
                <w:bCs/>
                <w:szCs w:val="21"/>
              </w:rPr>
              <w:t>密码：123456</w:t>
            </w:r>
            <w:r>
              <w:rPr>
                <w:rFonts w:hint="eastAsia" w:ascii="宋体" w:hAnsi="宋体" w:eastAsia="宋体" w:cs="宋体"/>
                <w:bCs/>
                <w:szCs w:val="21"/>
              </w:rPr>
              <w:br w:type="textWrapping"/>
            </w:r>
            <w:r>
              <w:rPr>
                <w:rFonts w:hint="eastAsia" w:ascii="宋体" w:hAnsi="宋体" w:eastAsia="宋体" w:cs="宋体"/>
                <w:bCs/>
                <w:szCs w:val="21"/>
              </w:rPr>
              <w:t>验证码：1234</w:t>
            </w:r>
          </w:p>
        </w:tc>
        <w:tc>
          <w:tcPr>
            <w:tcW w:w="1186" w:type="dxa"/>
            <w:tcMar>
              <w:left w:w="108" w:type="dxa"/>
              <w:right w:w="108" w:type="dxa"/>
            </w:tcMar>
            <w:vAlign w:val="center"/>
          </w:tcPr>
          <w:p w14:paraId="7D50239E">
            <w:pPr>
              <w:rPr>
                <w:rFonts w:ascii="宋体" w:hAnsi="宋体" w:eastAsia="宋体" w:cs="宋体"/>
                <w:bCs/>
                <w:szCs w:val="21"/>
              </w:rPr>
            </w:pPr>
            <w:r>
              <w:rPr>
                <w:rFonts w:hint="eastAsia" w:ascii="宋体" w:hAnsi="宋体" w:eastAsia="宋体" w:cs="宋体"/>
                <w:bCs/>
                <w:szCs w:val="21"/>
              </w:rPr>
              <w:t>提示"验证码错误"</w:t>
            </w:r>
          </w:p>
        </w:tc>
        <w:tc>
          <w:tcPr>
            <w:tcW w:w="1186" w:type="dxa"/>
            <w:tcMar>
              <w:left w:w="108" w:type="dxa"/>
              <w:right w:w="108" w:type="dxa"/>
            </w:tcMar>
            <w:vAlign w:val="center"/>
          </w:tcPr>
          <w:p w14:paraId="793E0532">
            <w:pPr>
              <w:rPr>
                <w:rFonts w:ascii="宋体" w:hAnsi="宋体" w:eastAsia="宋体" w:cs="宋体"/>
                <w:bCs/>
                <w:szCs w:val="21"/>
              </w:rPr>
            </w:pPr>
            <w:r>
              <w:rPr>
                <w:rFonts w:hint="eastAsia" w:ascii="宋体" w:hAnsi="宋体" w:eastAsia="宋体" w:cs="宋体"/>
                <w:bCs/>
                <w:szCs w:val="21"/>
              </w:rPr>
              <w:t>通过</w:t>
            </w:r>
          </w:p>
        </w:tc>
      </w:tr>
    </w:tbl>
    <w:p w14:paraId="720E9034">
      <w:pPr>
        <w:tabs>
          <w:tab w:val="left" w:pos="330"/>
        </w:tabs>
        <w:spacing w:line="440" w:lineRule="exact"/>
        <w:ind w:firstLine="480" w:firstLineChars="200"/>
        <w:outlineLvl w:val="9"/>
        <w:rPr>
          <w:rFonts w:ascii="宋体" w:hAnsi="宋体" w:eastAsia="宋体" w:cs="宋体"/>
          <w:bCs/>
          <w:sz w:val="24"/>
        </w:rPr>
      </w:pPr>
      <w:bookmarkStart w:id="273" w:name="_Toc3361"/>
      <w:bookmarkStart w:id="274" w:name="_Toc15596"/>
      <w:bookmarkStart w:id="275" w:name="_Toc12719"/>
      <w:bookmarkStart w:id="276" w:name="_Toc15873"/>
      <w:r>
        <w:rPr>
          <w:rFonts w:hint="eastAsia" w:ascii="宋体" w:hAnsi="宋体" w:eastAsia="宋体" w:cs="宋体"/>
          <w:bCs/>
          <w:sz w:val="24"/>
        </w:rPr>
        <w:t>5.3.2 套餐管理模块测试用例</w:t>
      </w:r>
      <w:bookmarkEnd w:id="273"/>
      <w:bookmarkEnd w:id="274"/>
      <w:bookmarkEnd w:id="275"/>
      <w:bookmarkEnd w:id="276"/>
    </w:p>
    <w:p w14:paraId="2FC74E13">
      <w:pPr>
        <w:widowControl/>
        <w:spacing w:line="440" w:lineRule="exact"/>
        <w:jc w:val="center"/>
        <w:rPr>
          <w:rFonts w:ascii="宋体" w:hAnsi="宋体" w:eastAsia="宋体" w:cs="宋体"/>
          <w:bCs/>
          <w:szCs w:val="21"/>
        </w:rPr>
      </w:pPr>
      <w:r>
        <w:rPr>
          <w:rFonts w:hint="eastAsia" w:ascii="宋体" w:hAnsi="宋体" w:cs="宋体"/>
          <w:bCs/>
          <w:szCs w:val="21"/>
        </w:rPr>
        <w:t>表5-2</w:t>
      </w:r>
      <w:r>
        <w:rPr>
          <w:rFonts w:hint="eastAsia" w:ascii="宋体" w:hAnsi="宋体" w:cs="宋体"/>
          <w:bCs/>
          <w:szCs w:val="21"/>
          <w:lang w:val="en-US" w:eastAsia="zh-CN"/>
        </w:rPr>
        <w:t xml:space="preserve"> </w:t>
      </w:r>
      <w:r>
        <w:rPr>
          <w:rFonts w:hint="eastAsia" w:ascii="宋体" w:hAnsi="宋体" w:cs="宋体"/>
          <w:bCs/>
          <w:szCs w:val="21"/>
        </w:rPr>
        <w:t>套餐管理测试表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86"/>
        <w:gridCol w:w="1186"/>
        <w:gridCol w:w="1186"/>
        <w:gridCol w:w="1186"/>
        <w:gridCol w:w="1186"/>
        <w:gridCol w:w="1186"/>
        <w:gridCol w:w="1186"/>
      </w:tblGrid>
      <w:tr w14:paraId="163F7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35C25590">
            <w:pPr>
              <w:jc w:val="center"/>
              <w:rPr>
                <w:rFonts w:ascii="宋体" w:hAnsi="宋体" w:eastAsia="宋体" w:cs="宋体"/>
                <w:bCs/>
                <w:szCs w:val="21"/>
              </w:rPr>
            </w:pPr>
            <w:r>
              <w:rPr>
                <w:rFonts w:hint="eastAsia" w:ascii="宋体" w:hAnsi="宋体" w:eastAsia="宋体" w:cs="宋体"/>
                <w:bCs/>
                <w:szCs w:val="21"/>
              </w:rPr>
              <w:t>测试用例编号</w:t>
            </w:r>
          </w:p>
        </w:tc>
        <w:tc>
          <w:tcPr>
            <w:tcW w:w="1186" w:type="dxa"/>
            <w:tcMar>
              <w:left w:w="108" w:type="dxa"/>
              <w:right w:w="108" w:type="dxa"/>
            </w:tcMar>
            <w:vAlign w:val="center"/>
          </w:tcPr>
          <w:p w14:paraId="48EE1482">
            <w:pPr>
              <w:jc w:val="center"/>
              <w:rPr>
                <w:rFonts w:ascii="宋体" w:hAnsi="宋体" w:eastAsia="宋体" w:cs="宋体"/>
                <w:bCs/>
                <w:szCs w:val="21"/>
              </w:rPr>
            </w:pPr>
            <w:r>
              <w:rPr>
                <w:rFonts w:hint="eastAsia" w:ascii="宋体" w:hAnsi="宋体" w:eastAsia="宋体" w:cs="宋体"/>
                <w:bCs/>
                <w:szCs w:val="21"/>
              </w:rPr>
              <w:t>项目名称</w:t>
            </w:r>
          </w:p>
        </w:tc>
        <w:tc>
          <w:tcPr>
            <w:tcW w:w="1186" w:type="dxa"/>
            <w:tcMar>
              <w:left w:w="108" w:type="dxa"/>
              <w:right w:w="108" w:type="dxa"/>
            </w:tcMar>
            <w:vAlign w:val="center"/>
          </w:tcPr>
          <w:p w14:paraId="0C01383E">
            <w:pPr>
              <w:jc w:val="center"/>
              <w:rPr>
                <w:rFonts w:ascii="宋体" w:hAnsi="宋体" w:eastAsia="宋体" w:cs="宋体"/>
                <w:bCs/>
                <w:szCs w:val="21"/>
              </w:rPr>
            </w:pPr>
            <w:r>
              <w:rPr>
                <w:rFonts w:hint="eastAsia" w:ascii="宋体" w:hAnsi="宋体" w:eastAsia="宋体" w:cs="宋体"/>
                <w:bCs/>
                <w:szCs w:val="21"/>
              </w:rPr>
              <w:t>用例名称</w:t>
            </w:r>
          </w:p>
        </w:tc>
        <w:tc>
          <w:tcPr>
            <w:tcW w:w="1186" w:type="dxa"/>
            <w:tcMar>
              <w:left w:w="108" w:type="dxa"/>
              <w:right w:w="108" w:type="dxa"/>
            </w:tcMar>
            <w:vAlign w:val="center"/>
          </w:tcPr>
          <w:p w14:paraId="1A2FBF91">
            <w:pPr>
              <w:jc w:val="center"/>
              <w:rPr>
                <w:rFonts w:ascii="宋体" w:hAnsi="宋体" w:eastAsia="宋体" w:cs="宋体"/>
                <w:bCs/>
                <w:szCs w:val="21"/>
              </w:rPr>
            </w:pPr>
            <w:r>
              <w:rPr>
                <w:rFonts w:hint="eastAsia" w:ascii="宋体" w:hAnsi="宋体" w:eastAsia="宋体" w:cs="宋体"/>
                <w:bCs/>
                <w:szCs w:val="21"/>
              </w:rPr>
              <w:t>测试步骤</w:t>
            </w:r>
          </w:p>
        </w:tc>
        <w:tc>
          <w:tcPr>
            <w:tcW w:w="1186" w:type="dxa"/>
            <w:tcMar>
              <w:left w:w="108" w:type="dxa"/>
              <w:right w:w="108" w:type="dxa"/>
            </w:tcMar>
            <w:vAlign w:val="center"/>
          </w:tcPr>
          <w:p w14:paraId="4E463C88">
            <w:pPr>
              <w:jc w:val="center"/>
              <w:rPr>
                <w:rFonts w:ascii="宋体" w:hAnsi="宋体" w:eastAsia="宋体" w:cs="宋体"/>
                <w:bCs/>
                <w:szCs w:val="21"/>
              </w:rPr>
            </w:pPr>
            <w:r>
              <w:rPr>
                <w:rFonts w:hint="eastAsia" w:ascii="宋体" w:hAnsi="宋体" w:eastAsia="宋体" w:cs="宋体"/>
                <w:bCs/>
                <w:szCs w:val="21"/>
              </w:rPr>
              <w:t>输入数据</w:t>
            </w:r>
          </w:p>
        </w:tc>
        <w:tc>
          <w:tcPr>
            <w:tcW w:w="1186" w:type="dxa"/>
            <w:tcMar>
              <w:left w:w="108" w:type="dxa"/>
              <w:right w:w="108" w:type="dxa"/>
            </w:tcMar>
            <w:vAlign w:val="center"/>
          </w:tcPr>
          <w:p w14:paraId="063BDF9F">
            <w:pPr>
              <w:jc w:val="center"/>
              <w:rPr>
                <w:rFonts w:ascii="宋体" w:hAnsi="宋体" w:eastAsia="宋体" w:cs="宋体"/>
                <w:bCs/>
                <w:szCs w:val="21"/>
              </w:rPr>
            </w:pPr>
            <w:r>
              <w:rPr>
                <w:rFonts w:hint="eastAsia" w:ascii="宋体" w:hAnsi="宋体" w:eastAsia="宋体" w:cs="宋体"/>
                <w:bCs/>
                <w:szCs w:val="21"/>
              </w:rPr>
              <w:t>预期结果</w:t>
            </w:r>
          </w:p>
        </w:tc>
        <w:tc>
          <w:tcPr>
            <w:tcW w:w="1186" w:type="dxa"/>
            <w:tcMar>
              <w:left w:w="108" w:type="dxa"/>
              <w:right w:w="108" w:type="dxa"/>
            </w:tcMar>
            <w:vAlign w:val="center"/>
          </w:tcPr>
          <w:p w14:paraId="79D500C5">
            <w:pPr>
              <w:jc w:val="center"/>
              <w:rPr>
                <w:rFonts w:ascii="宋体" w:hAnsi="宋体" w:eastAsia="宋体" w:cs="宋体"/>
                <w:bCs/>
                <w:szCs w:val="21"/>
              </w:rPr>
            </w:pPr>
            <w:r>
              <w:rPr>
                <w:rFonts w:hint="eastAsia" w:ascii="宋体" w:hAnsi="宋体" w:eastAsia="宋体" w:cs="宋体"/>
                <w:bCs/>
                <w:szCs w:val="21"/>
              </w:rPr>
              <w:t>实际结果</w:t>
            </w:r>
          </w:p>
        </w:tc>
      </w:tr>
      <w:tr w14:paraId="63442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46EB0343">
            <w:pPr>
              <w:rPr>
                <w:rFonts w:ascii="宋体" w:hAnsi="宋体" w:eastAsia="宋体" w:cs="宋体"/>
                <w:bCs/>
                <w:szCs w:val="21"/>
              </w:rPr>
            </w:pPr>
            <w:r>
              <w:rPr>
                <w:rFonts w:hint="eastAsia" w:ascii="宋体" w:hAnsi="宋体" w:eastAsia="宋体" w:cs="宋体"/>
                <w:bCs/>
                <w:szCs w:val="21"/>
              </w:rPr>
              <w:t>005</w:t>
            </w:r>
          </w:p>
        </w:tc>
        <w:tc>
          <w:tcPr>
            <w:tcW w:w="1186" w:type="dxa"/>
            <w:tcMar>
              <w:left w:w="108" w:type="dxa"/>
              <w:right w:w="108" w:type="dxa"/>
            </w:tcMar>
            <w:vAlign w:val="center"/>
          </w:tcPr>
          <w:p w14:paraId="709E033D">
            <w:pPr>
              <w:rPr>
                <w:rFonts w:ascii="宋体" w:hAnsi="宋体" w:eastAsia="宋体" w:cs="宋体"/>
                <w:bCs/>
                <w:szCs w:val="21"/>
              </w:rPr>
            </w:pPr>
            <w:r>
              <w:rPr>
                <w:rFonts w:hint="eastAsia" w:ascii="宋体" w:hAnsi="宋体" w:eastAsia="宋体" w:cs="宋体"/>
                <w:bCs/>
                <w:szCs w:val="21"/>
              </w:rPr>
              <w:t>套餐管理</w:t>
            </w:r>
          </w:p>
        </w:tc>
        <w:tc>
          <w:tcPr>
            <w:tcW w:w="1186" w:type="dxa"/>
            <w:tcMar>
              <w:left w:w="108" w:type="dxa"/>
              <w:right w:w="108" w:type="dxa"/>
            </w:tcMar>
            <w:vAlign w:val="center"/>
          </w:tcPr>
          <w:p w14:paraId="53BEEE46">
            <w:pPr>
              <w:rPr>
                <w:rFonts w:ascii="宋体" w:hAnsi="宋体" w:eastAsia="宋体" w:cs="宋体"/>
                <w:bCs/>
                <w:szCs w:val="21"/>
              </w:rPr>
            </w:pPr>
            <w:r>
              <w:rPr>
                <w:rFonts w:hint="eastAsia" w:ascii="宋体" w:hAnsi="宋体" w:eastAsia="宋体" w:cs="宋体"/>
                <w:bCs/>
                <w:szCs w:val="21"/>
              </w:rPr>
              <w:t>添加新套餐</w:t>
            </w:r>
          </w:p>
        </w:tc>
        <w:tc>
          <w:tcPr>
            <w:tcW w:w="1186" w:type="dxa"/>
            <w:tcMar>
              <w:left w:w="108" w:type="dxa"/>
              <w:right w:w="108" w:type="dxa"/>
            </w:tcMar>
            <w:vAlign w:val="center"/>
          </w:tcPr>
          <w:p w14:paraId="2D926DA1">
            <w:pPr>
              <w:rPr>
                <w:rFonts w:ascii="宋体" w:hAnsi="宋体" w:eastAsia="宋体" w:cs="宋体"/>
                <w:bCs/>
                <w:szCs w:val="21"/>
              </w:rPr>
            </w:pPr>
            <w:r>
              <w:rPr>
                <w:rFonts w:hint="eastAsia" w:ascii="宋体" w:hAnsi="宋体" w:eastAsia="宋体" w:cs="宋体"/>
                <w:bCs/>
                <w:szCs w:val="21"/>
              </w:rPr>
              <w:t>1. 管理员登录</w:t>
            </w:r>
            <w:r>
              <w:rPr>
                <w:rFonts w:hint="eastAsia" w:ascii="宋体" w:hAnsi="宋体" w:eastAsia="宋体" w:cs="宋体"/>
                <w:bCs/>
                <w:szCs w:val="21"/>
              </w:rPr>
              <w:br w:type="textWrapping"/>
            </w:r>
            <w:r>
              <w:rPr>
                <w:rFonts w:hint="eastAsia" w:ascii="宋体" w:hAnsi="宋体" w:eastAsia="宋体" w:cs="宋体"/>
                <w:bCs/>
                <w:szCs w:val="21"/>
              </w:rPr>
              <w:t>2. 进入套餐管理页面</w:t>
            </w:r>
            <w:r>
              <w:rPr>
                <w:rFonts w:hint="eastAsia" w:ascii="宋体" w:hAnsi="宋体" w:eastAsia="宋体" w:cs="宋体"/>
                <w:bCs/>
                <w:szCs w:val="21"/>
              </w:rPr>
              <w:br w:type="textWrapping"/>
            </w:r>
            <w:r>
              <w:rPr>
                <w:rFonts w:hint="eastAsia" w:ascii="宋体" w:hAnsi="宋体" w:eastAsia="宋体" w:cs="宋体"/>
                <w:bCs/>
                <w:szCs w:val="21"/>
              </w:rPr>
              <w:t>3. 点击"新增套餐"</w:t>
            </w:r>
            <w:r>
              <w:rPr>
                <w:rFonts w:hint="eastAsia" w:ascii="宋体" w:hAnsi="宋体" w:eastAsia="宋体" w:cs="宋体"/>
                <w:bCs/>
                <w:szCs w:val="21"/>
              </w:rPr>
              <w:br w:type="textWrapping"/>
            </w:r>
            <w:r>
              <w:rPr>
                <w:rFonts w:hint="eastAsia" w:ascii="宋体" w:hAnsi="宋体" w:eastAsia="宋体" w:cs="宋体"/>
                <w:bCs/>
                <w:szCs w:val="21"/>
              </w:rPr>
              <w:t>4. 填写套餐信息</w:t>
            </w:r>
            <w:r>
              <w:rPr>
                <w:rFonts w:hint="eastAsia" w:ascii="宋体" w:hAnsi="宋体" w:eastAsia="宋体" w:cs="宋体"/>
                <w:bCs/>
                <w:szCs w:val="21"/>
              </w:rPr>
              <w:br w:type="textWrapping"/>
            </w:r>
            <w:r>
              <w:rPr>
                <w:rFonts w:hint="eastAsia" w:ascii="宋体" w:hAnsi="宋体" w:eastAsia="宋体" w:cs="宋体"/>
                <w:bCs/>
                <w:szCs w:val="21"/>
              </w:rPr>
              <w:t>5. 点击保存</w:t>
            </w:r>
          </w:p>
        </w:tc>
        <w:tc>
          <w:tcPr>
            <w:tcW w:w="1186" w:type="dxa"/>
            <w:tcMar>
              <w:left w:w="108" w:type="dxa"/>
              <w:right w:w="108" w:type="dxa"/>
            </w:tcMar>
            <w:vAlign w:val="center"/>
          </w:tcPr>
          <w:p w14:paraId="7AB2DD51">
            <w:pPr>
              <w:rPr>
                <w:rFonts w:ascii="宋体" w:hAnsi="宋体" w:eastAsia="宋体" w:cs="宋体"/>
                <w:bCs/>
                <w:szCs w:val="21"/>
              </w:rPr>
            </w:pPr>
            <w:r>
              <w:rPr>
                <w:rFonts w:hint="eastAsia" w:ascii="宋体" w:hAnsi="宋体" w:eastAsia="宋体" w:cs="宋体"/>
                <w:bCs/>
                <w:szCs w:val="21"/>
              </w:rPr>
              <w:t>套餐名称：春季写真套餐</w:t>
            </w:r>
            <w:r>
              <w:rPr>
                <w:rFonts w:hint="eastAsia" w:ascii="宋体" w:hAnsi="宋体" w:eastAsia="宋体" w:cs="宋体"/>
                <w:bCs/>
                <w:szCs w:val="21"/>
              </w:rPr>
              <w:br w:type="textWrapping"/>
            </w:r>
            <w:r>
              <w:rPr>
                <w:rFonts w:hint="eastAsia" w:ascii="宋体" w:hAnsi="宋体" w:eastAsia="宋体" w:cs="宋体"/>
                <w:bCs/>
                <w:szCs w:val="21"/>
              </w:rPr>
              <w:t>价格：599元</w:t>
            </w:r>
            <w:r>
              <w:rPr>
                <w:rFonts w:hint="eastAsia" w:ascii="宋体" w:hAnsi="宋体" w:eastAsia="宋体" w:cs="宋体"/>
                <w:bCs/>
                <w:szCs w:val="21"/>
              </w:rPr>
              <w:br w:type="textWrapping"/>
            </w:r>
            <w:r>
              <w:rPr>
                <w:rFonts w:hint="eastAsia" w:ascii="宋体" w:hAnsi="宋体" w:eastAsia="宋体" w:cs="宋体"/>
                <w:bCs/>
                <w:szCs w:val="21"/>
              </w:rPr>
              <w:t>描述：春季户外写真拍摄</w:t>
            </w:r>
          </w:p>
        </w:tc>
        <w:tc>
          <w:tcPr>
            <w:tcW w:w="1186" w:type="dxa"/>
            <w:tcMar>
              <w:left w:w="108" w:type="dxa"/>
              <w:right w:w="108" w:type="dxa"/>
            </w:tcMar>
            <w:vAlign w:val="center"/>
          </w:tcPr>
          <w:p w14:paraId="71D2D0C0">
            <w:pPr>
              <w:rPr>
                <w:rFonts w:ascii="宋体" w:hAnsi="宋体" w:eastAsia="宋体" w:cs="宋体"/>
                <w:bCs/>
                <w:szCs w:val="21"/>
              </w:rPr>
            </w:pPr>
            <w:r>
              <w:rPr>
                <w:rFonts w:hint="eastAsia" w:ascii="宋体" w:hAnsi="宋体" w:eastAsia="宋体" w:cs="宋体"/>
                <w:bCs/>
                <w:szCs w:val="21"/>
              </w:rPr>
              <w:t>提示"添加成功"，列表中显示新套餐</w:t>
            </w:r>
          </w:p>
        </w:tc>
        <w:tc>
          <w:tcPr>
            <w:tcW w:w="1186" w:type="dxa"/>
            <w:tcMar>
              <w:left w:w="108" w:type="dxa"/>
              <w:right w:w="108" w:type="dxa"/>
            </w:tcMar>
            <w:vAlign w:val="center"/>
          </w:tcPr>
          <w:p w14:paraId="48B56B4F">
            <w:pPr>
              <w:rPr>
                <w:rFonts w:ascii="宋体" w:hAnsi="宋体" w:eastAsia="宋体" w:cs="宋体"/>
                <w:bCs/>
                <w:szCs w:val="21"/>
              </w:rPr>
            </w:pPr>
            <w:r>
              <w:rPr>
                <w:rFonts w:hint="eastAsia" w:ascii="宋体" w:hAnsi="宋体" w:eastAsia="宋体" w:cs="宋体"/>
                <w:bCs/>
                <w:szCs w:val="21"/>
              </w:rPr>
              <w:t>通过</w:t>
            </w:r>
          </w:p>
        </w:tc>
      </w:tr>
      <w:tr w14:paraId="76320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4D42367D">
            <w:pPr>
              <w:rPr>
                <w:rFonts w:ascii="宋体" w:hAnsi="宋体" w:eastAsia="宋体" w:cs="宋体"/>
                <w:bCs/>
                <w:szCs w:val="21"/>
              </w:rPr>
            </w:pPr>
            <w:r>
              <w:rPr>
                <w:rFonts w:hint="eastAsia" w:ascii="宋体" w:hAnsi="宋体" w:eastAsia="宋体" w:cs="宋体"/>
                <w:bCs/>
                <w:szCs w:val="21"/>
              </w:rPr>
              <w:t>006</w:t>
            </w:r>
          </w:p>
        </w:tc>
        <w:tc>
          <w:tcPr>
            <w:tcW w:w="1186" w:type="dxa"/>
            <w:tcMar>
              <w:left w:w="108" w:type="dxa"/>
              <w:right w:w="108" w:type="dxa"/>
            </w:tcMar>
            <w:vAlign w:val="center"/>
          </w:tcPr>
          <w:p w14:paraId="371C1DF5">
            <w:pPr>
              <w:rPr>
                <w:rFonts w:ascii="宋体" w:hAnsi="宋体" w:eastAsia="宋体" w:cs="宋体"/>
                <w:bCs/>
                <w:szCs w:val="21"/>
              </w:rPr>
            </w:pPr>
            <w:r>
              <w:rPr>
                <w:rFonts w:hint="eastAsia" w:ascii="宋体" w:hAnsi="宋体" w:eastAsia="宋体" w:cs="宋体"/>
                <w:bCs/>
                <w:szCs w:val="21"/>
              </w:rPr>
              <w:t>套餐管理</w:t>
            </w:r>
          </w:p>
        </w:tc>
        <w:tc>
          <w:tcPr>
            <w:tcW w:w="1186" w:type="dxa"/>
            <w:tcMar>
              <w:left w:w="108" w:type="dxa"/>
              <w:right w:w="108" w:type="dxa"/>
            </w:tcMar>
            <w:vAlign w:val="center"/>
          </w:tcPr>
          <w:p w14:paraId="00FAC4C0">
            <w:pPr>
              <w:rPr>
                <w:rFonts w:ascii="宋体" w:hAnsi="宋体" w:eastAsia="宋体" w:cs="宋体"/>
                <w:bCs/>
                <w:szCs w:val="21"/>
              </w:rPr>
            </w:pPr>
            <w:r>
              <w:rPr>
                <w:rFonts w:hint="eastAsia" w:ascii="宋体" w:hAnsi="宋体" w:eastAsia="宋体" w:cs="宋体"/>
                <w:bCs/>
                <w:szCs w:val="21"/>
              </w:rPr>
              <w:t>编辑套餐信息</w:t>
            </w:r>
          </w:p>
        </w:tc>
        <w:tc>
          <w:tcPr>
            <w:tcW w:w="1186" w:type="dxa"/>
            <w:tcMar>
              <w:left w:w="108" w:type="dxa"/>
              <w:right w:w="108" w:type="dxa"/>
            </w:tcMar>
            <w:vAlign w:val="center"/>
          </w:tcPr>
          <w:p w14:paraId="1F79FB6B">
            <w:pPr>
              <w:rPr>
                <w:rFonts w:ascii="宋体" w:hAnsi="宋体" w:eastAsia="宋体" w:cs="宋体"/>
                <w:bCs/>
                <w:szCs w:val="21"/>
              </w:rPr>
            </w:pPr>
            <w:r>
              <w:rPr>
                <w:rFonts w:hint="eastAsia" w:ascii="宋体" w:hAnsi="宋体" w:eastAsia="宋体" w:cs="宋体"/>
                <w:bCs/>
                <w:szCs w:val="21"/>
              </w:rPr>
              <w:t>1. 管理员登录</w:t>
            </w:r>
            <w:r>
              <w:rPr>
                <w:rFonts w:hint="eastAsia" w:ascii="宋体" w:hAnsi="宋体" w:eastAsia="宋体" w:cs="宋体"/>
                <w:bCs/>
                <w:szCs w:val="21"/>
              </w:rPr>
              <w:br w:type="textWrapping"/>
            </w:r>
            <w:r>
              <w:rPr>
                <w:rFonts w:hint="eastAsia" w:ascii="宋体" w:hAnsi="宋体" w:eastAsia="宋体" w:cs="宋体"/>
                <w:bCs/>
                <w:szCs w:val="21"/>
              </w:rPr>
              <w:t>2. 找到要编辑的套餐</w:t>
            </w:r>
            <w:r>
              <w:rPr>
                <w:rFonts w:hint="eastAsia" w:ascii="宋体" w:hAnsi="宋体" w:eastAsia="宋体" w:cs="宋体"/>
                <w:bCs/>
                <w:szCs w:val="21"/>
              </w:rPr>
              <w:br w:type="textWrapping"/>
            </w:r>
            <w:r>
              <w:rPr>
                <w:rFonts w:hint="eastAsia" w:ascii="宋体" w:hAnsi="宋体" w:eastAsia="宋体" w:cs="宋体"/>
                <w:bCs/>
                <w:szCs w:val="21"/>
              </w:rPr>
              <w:t>3. 点击"编辑"</w:t>
            </w:r>
            <w:r>
              <w:rPr>
                <w:rFonts w:hint="eastAsia" w:ascii="宋体" w:hAnsi="宋体" w:eastAsia="宋体" w:cs="宋体"/>
                <w:bCs/>
                <w:szCs w:val="21"/>
              </w:rPr>
              <w:br w:type="textWrapping"/>
            </w:r>
            <w:r>
              <w:rPr>
                <w:rFonts w:hint="eastAsia" w:ascii="宋体" w:hAnsi="宋体" w:eastAsia="宋体" w:cs="宋体"/>
                <w:bCs/>
                <w:szCs w:val="21"/>
              </w:rPr>
              <w:t>4. 修改价格</w:t>
            </w:r>
            <w:r>
              <w:rPr>
                <w:rFonts w:hint="eastAsia" w:ascii="宋体" w:hAnsi="宋体" w:eastAsia="宋体" w:cs="宋体"/>
                <w:bCs/>
                <w:szCs w:val="21"/>
              </w:rPr>
              <w:br w:type="textWrapping"/>
            </w:r>
            <w:r>
              <w:rPr>
                <w:rFonts w:hint="eastAsia" w:ascii="宋体" w:hAnsi="宋体" w:eastAsia="宋体" w:cs="宋体"/>
                <w:bCs/>
                <w:szCs w:val="21"/>
              </w:rPr>
              <w:t>5. 保存</w:t>
            </w:r>
          </w:p>
        </w:tc>
        <w:tc>
          <w:tcPr>
            <w:tcW w:w="1186" w:type="dxa"/>
            <w:tcMar>
              <w:left w:w="108" w:type="dxa"/>
              <w:right w:w="108" w:type="dxa"/>
            </w:tcMar>
            <w:vAlign w:val="center"/>
          </w:tcPr>
          <w:p w14:paraId="3C6CECD5">
            <w:pPr>
              <w:rPr>
                <w:rFonts w:ascii="宋体" w:hAnsi="宋体" w:eastAsia="宋体" w:cs="宋体"/>
                <w:bCs/>
                <w:szCs w:val="21"/>
              </w:rPr>
            </w:pPr>
            <w:r>
              <w:rPr>
                <w:rFonts w:hint="eastAsia" w:ascii="宋体" w:hAnsi="宋体" w:eastAsia="宋体" w:cs="宋体"/>
                <w:bCs/>
                <w:szCs w:val="21"/>
              </w:rPr>
              <w:t>原价格：599元</w:t>
            </w:r>
            <w:r>
              <w:rPr>
                <w:rFonts w:hint="eastAsia" w:ascii="宋体" w:hAnsi="宋体" w:eastAsia="宋体" w:cs="宋体"/>
                <w:bCs/>
                <w:szCs w:val="21"/>
              </w:rPr>
              <w:br w:type="textWrapping"/>
            </w:r>
            <w:r>
              <w:rPr>
                <w:rFonts w:hint="eastAsia" w:ascii="宋体" w:hAnsi="宋体" w:eastAsia="宋体" w:cs="宋体"/>
                <w:bCs/>
                <w:szCs w:val="21"/>
              </w:rPr>
              <w:t>新价格：699元</w:t>
            </w:r>
          </w:p>
        </w:tc>
        <w:tc>
          <w:tcPr>
            <w:tcW w:w="1186" w:type="dxa"/>
            <w:tcMar>
              <w:left w:w="108" w:type="dxa"/>
              <w:right w:w="108" w:type="dxa"/>
            </w:tcMar>
            <w:vAlign w:val="center"/>
          </w:tcPr>
          <w:p w14:paraId="13CE0650">
            <w:pPr>
              <w:rPr>
                <w:rFonts w:ascii="宋体" w:hAnsi="宋体" w:eastAsia="宋体" w:cs="宋体"/>
                <w:bCs/>
                <w:szCs w:val="21"/>
              </w:rPr>
            </w:pPr>
            <w:r>
              <w:rPr>
                <w:rFonts w:hint="eastAsia" w:ascii="宋体" w:hAnsi="宋体" w:eastAsia="宋体" w:cs="宋体"/>
                <w:bCs/>
                <w:szCs w:val="21"/>
              </w:rPr>
              <w:t>提示"修改成功"，价格更新</w:t>
            </w:r>
          </w:p>
        </w:tc>
        <w:tc>
          <w:tcPr>
            <w:tcW w:w="1186" w:type="dxa"/>
            <w:tcMar>
              <w:left w:w="108" w:type="dxa"/>
              <w:right w:w="108" w:type="dxa"/>
            </w:tcMar>
            <w:vAlign w:val="center"/>
          </w:tcPr>
          <w:p w14:paraId="10D07790">
            <w:pPr>
              <w:rPr>
                <w:rFonts w:ascii="宋体" w:hAnsi="宋体" w:eastAsia="宋体" w:cs="宋体"/>
                <w:bCs/>
                <w:szCs w:val="21"/>
              </w:rPr>
            </w:pPr>
            <w:r>
              <w:rPr>
                <w:rFonts w:hint="eastAsia" w:ascii="宋体" w:hAnsi="宋体" w:eastAsia="宋体" w:cs="宋体"/>
                <w:bCs/>
                <w:szCs w:val="21"/>
              </w:rPr>
              <w:t>通过</w:t>
            </w:r>
          </w:p>
        </w:tc>
      </w:tr>
      <w:tr w14:paraId="6DF2A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72284DC8">
            <w:pPr>
              <w:rPr>
                <w:rFonts w:ascii="宋体" w:hAnsi="宋体" w:eastAsia="宋体" w:cs="宋体"/>
                <w:bCs/>
                <w:szCs w:val="21"/>
              </w:rPr>
            </w:pPr>
            <w:r>
              <w:rPr>
                <w:rFonts w:hint="eastAsia" w:ascii="宋体" w:hAnsi="宋体" w:eastAsia="宋体" w:cs="宋体"/>
                <w:bCs/>
                <w:szCs w:val="21"/>
              </w:rPr>
              <w:t>007</w:t>
            </w:r>
          </w:p>
        </w:tc>
        <w:tc>
          <w:tcPr>
            <w:tcW w:w="1186" w:type="dxa"/>
            <w:tcMar>
              <w:left w:w="108" w:type="dxa"/>
              <w:right w:w="108" w:type="dxa"/>
            </w:tcMar>
            <w:vAlign w:val="center"/>
          </w:tcPr>
          <w:p w14:paraId="5FBFD1AF">
            <w:pPr>
              <w:rPr>
                <w:rFonts w:ascii="宋体" w:hAnsi="宋体" w:eastAsia="宋体" w:cs="宋体"/>
                <w:bCs/>
                <w:szCs w:val="21"/>
              </w:rPr>
            </w:pPr>
            <w:r>
              <w:rPr>
                <w:rFonts w:hint="eastAsia" w:ascii="宋体" w:hAnsi="宋体" w:eastAsia="宋体" w:cs="宋体"/>
                <w:bCs/>
                <w:szCs w:val="21"/>
              </w:rPr>
              <w:t>套餐管理</w:t>
            </w:r>
          </w:p>
        </w:tc>
        <w:tc>
          <w:tcPr>
            <w:tcW w:w="1186" w:type="dxa"/>
            <w:tcMar>
              <w:left w:w="108" w:type="dxa"/>
              <w:right w:w="108" w:type="dxa"/>
            </w:tcMar>
            <w:vAlign w:val="center"/>
          </w:tcPr>
          <w:p w14:paraId="00104AE1">
            <w:pPr>
              <w:rPr>
                <w:rFonts w:ascii="宋体" w:hAnsi="宋体" w:eastAsia="宋体" w:cs="宋体"/>
                <w:bCs/>
                <w:szCs w:val="21"/>
              </w:rPr>
            </w:pPr>
            <w:r>
              <w:rPr>
                <w:rFonts w:hint="eastAsia" w:ascii="宋体" w:hAnsi="宋体" w:eastAsia="宋体" w:cs="宋体"/>
                <w:bCs/>
                <w:szCs w:val="21"/>
              </w:rPr>
              <w:t>删除套餐</w:t>
            </w:r>
          </w:p>
        </w:tc>
        <w:tc>
          <w:tcPr>
            <w:tcW w:w="1186" w:type="dxa"/>
            <w:tcMar>
              <w:left w:w="108" w:type="dxa"/>
              <w:right w:w="108" w:type="dxa"/>
            </w:tcMar>
            <w:vAlign w:val="center"/>
          </w:tcPr>
          <w:p w14:paraId="48C283EB">
            <w:pPr>
              <w:rPr>
                <w:rFonts w:ascii="宋体" w:hAnsi="宋体" w:eastAsia="宋体" w:cs="宋体"/>
                <w:bCs/>
                <w:szCs w:val="21"/>
              </w:rPr>
            </w:pPr>
            <w:r>
              <w:rPr>
                <w:rFonts w:hint="eastAsia" w:ascii="宋体" w:hAnsi="宋体" w:eastAsia="宋体" w:cs="宋体"/>
                <w:bCs/>
                <w:szCs w:val="21"/>
              </w:rPr>
              <w:t>1. 管理员登录</w:t>
            </w:r>
            <w:r>
              <w:rPr>
                <w:rFonts w:hint="eastAsia" w:ascii="宋体" w:hAnsi="宋体" w:eastAsia="宋体" w:cs="宋体"/>
                <w:bCs/>
                <w:szCs w:val="21"/>
              </w:rPr>
              <w:br w:type="textWrapping"/>
            </w:r>
            <w:r>
              <w:rPr>
                <w:rFonts w:hint="eastAsia" w:ascii="宋体" w:hAnsi="宋体" w:eastAsia="宋体" w:cs="宋体"/>
                <w:bCs/>
                <w:szCs w:val="21"/>
              </w:rPr>
              <w:t>2. 找到要删除的套餐</w:t>
            </w:r>
            <w:r>
              <w:rPr>
                <w:rFonts w:hint="eastAsia" w:ascii="宋体" w:hAnsi="宋体" w:eastAsia="宋体" w:cs="宋体"/>
                <w:bCs/>
                <w:szCs w:val="21"/>
              </w:rPr>
              <w:br w:type="textWrapping"/>
            </w:r>
            <w:r>
              <w:rPr>
                <w:rFonts w:hint="eastAsia" w:ascii="宋体" w:hAnsi="宋体" w:eastAsia="宋体" w:cs="宋体"/>
                <w:bCs/>
                <w:szCs w:val="21"/>
              </w:rPr>
              <w:t>3. 点击"删除"</w:t>
            </w:r>
            <w:r>
              <w:rPr>
                <w:rFonts w:hint="eastAsia" w:ascii="宋体" w:hAnsi="宋体" w:eastAsia="宋体" w:cs="宋体"/>
                <w:bCs/>
                <w:szCs w:val="21"/>
              </w:rPr>
              <w:br w:type="textWrapping"/>
            </w:r>
            <w:r>
              <w:rPr>
                <w:rFonts w:hint="eastAsia" w:ascii="宋体" w:hAnsi="宋体" w:eastAsia="宋体" w:cs="宋体"/>
                <w:bCs/>
                <w:szCs w:val="21"/>
              </w:rPr>
              <w:t>4. 确认删除</w:t>
            </w:r>
          </w:p>
        </w:tc>
        <w:tc>
          <w:tcPr>
            <w:tcW w:w="1186" w:type="dxa"/>
            <w:tcMar>
              <w:left w:w="108" w:type="dxa"/>
              <w:right w:w="108" w:type="dxa"/>
            </w:tcMar>
            <w:vAlign w:val="center"/>
          </w:tcPr>
          <w:p w14:paraId="4103B6EB">
            <w:pPr>
              <w:rPr>
                <w:rFonts w:ascii="宋体" w:hAnsi="宋体" w:eastAsia="宋体" w:cs="宋体"/>
                <w:bCs/>
                <w:szCs w:val="21"/>
              </w:rPr>
            </w:pPr>
            <w:r>
              <w:rPr>
                <w:rFonts w:hint="eastAsia" w:ascii="宋体" w:hAnsi="宋体" w:eastAsia="宋体" w:cs="宋体"/>
                <w:bCs/>
                <w:szCs w:val="21"/>
              </w:rPr>
              <w:t>套餐ID：P001</w:t>
            </w:r>
          </w:p>
        </w:tc>
        <w:tc>
          <w:tcPr>
            <w:tcW w:w="1186" w:type="dxa"/>
            <w:tcMar>
              <w:left w:w="108" w:type="dxa"/>
              <w:right w:w="108" w:type="dxa"/>
            </w:tcMar>
            <w:vAlign w:val="center"/>
          </w:tcPr>
          <w:p w14:paraId="1B7FAFE1">
            <w:pPr>
              <w:rPr>
                <w:rFonts w:ascii="宋体" w:hAnsi="宋体" w:eastAsia="宋体" w:cs="宋体"/>
                <w:bCs/>
                <w:szCs w:val="21"/>
              </w:rPr>
            </w:pPr>
            <w:r>
              <w:rPr>
                <w:rFonts w:hint="eastAsia" w:ascii="宋体" w:hAnsi="宋体" w:eastAsia="宋体" w:cs="宋体"/>
                <w:bCs/>
                <w:szCs w:val="21"/>
              </w:rPr>
              <w:t>提示"删除成功"，列表中不再显示</w:t>
            </w:r>
          </w:p>
        </w:tc>
        <w:tc>
          <w:tcPr>
            <w:tcW w:w="1186" w:type="dxa"/>
            <w:tcMar>
              <w:left w:w="108" w:type="dxa"/>
              <w:right w:w="108" w:type="dxa"/>
            </w:tcMar>
            <w:vAlign w:val="center"/>
          </w:tcPr>
          <w:p w14:paraId="1F79A5C0">
            <w:pPr>
              <w:rPr>
                <w:rFonts w:ascii="宋体" w:hAnsi="宋体" w:eastAsia="宋体" w:cs="宋体"/>
                <w:bCs/>
                <w:szCs w:val="21"/>
              </w:rPr>
            </w:pPr>
            <w:r>
              <w:rPr>
                <w:rFonts w:hint="eastAsia" w:ascii="宋体" w:hAnsi="宋体" w:eastAsia="宋体" w:cs="宋体"/>
                <w:bCs/>
                <w:szCs w:val="21"/>
              </w:rPr>
              <w:t>通过</w:t>
            </w:r>
          </w:p>
        </w:tc>
      </w:tr>
      <w:tr w14:paraId="11310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5FB99E38">
            <w:pPr>
              <w:rPr>
                <w:rFonts w:ascii="宋体" w:hAnsi="宋体" w:eastAsia="宋体" w:cs="宋体"/>
                <w:bCs/>
                <w:szCs w:val="21"/>
              </w:rPr>
            </w:pPr>
            <w:r>
              <w:rPr>
                <w:rFonts w:hint="eastAsia" w:ascii="宋体" w:hAnsi="宋体" w:eastAsia="宋体" w:cs="宋体"/>
                <w:bCs/>
                <w:szCs w:val="21"/>
              </w:rPr>
              <w:t>008</w:t>
            </w:r>
          </w:p>
        </w:tc>
        <w:tc>
          <w:tcPr>
            <w:tcW w:w="1186" w:type="dxa"/>
            <w:tcMar>
              <w:left w:w="108" w:type="dxa"/>
              <w:right w:w="108" w:type="dxa"/>
            </w:tcMar>
            <w:vAlign w:val="center"/>
          </w:tcPr>
          <w:p w14:paraId="7DD1908B">
            <w:pPr>
              <w:rPr>
                <w:rFonts w:ascii="宋体" w:hAnsi="宋体" w:eastAsia="宋体" w:cs="宋体"/>
                <w:bCs/>
                <w:szCs w:val="21"/>
              </w:rPr>
            </w:pPr>
            <w:r>
              <w:rPr>
                <w:rFonts w:hint="eastAsia" w:ascii="宋体" w:hAnsi="宋体" w:eastAsia="宋体" w:cs="宋体"/>
                <w:bCs/>
                <w:szCs w:val="21"/>
              </w:rPr>
              <w:t>套餐管理</w:t>
            </w:r>
          </w:p>
        </w:tc>
        <w:tc>
          <w:tcPr>
            <w:tcW w:w="1186" w:type="dxa"/>
            <w:tcMar>
              <w:left w:w="108" w:type="dxa"/>
              <w:right w:w="108" w:type="dxa"/>
            </w:tcMar>
            <w:vAlign w:val="center"/>
          </w:tcPr>
          <w:p w14:paraId="1A4CC828">
            <w:pPr>
              <w:rPr>
                <w:rFonts w:ascii="宋体" w:hAnsi="宋体" w:eastAsia="宋体" w:cs="宋体"/>
                <w:bCs/>
                <w:szCs w:val="21"/>
              </w:rPr>
            </w:pPr>
            <w:r>
              <w:rPr>
                <w:rFonts w:hint="eastAsia" w:ascii="宋体" w:hAnsi="宋体" w:eastAsia="宋体" w:cs="宋体"/>
                <w:bCs/>
                <w:szCs w:val="21"/>
              </w:rPr>
              <w:t>搜索套餐</w:t>
            </w:r>
          </w:p>
        </w:tc>
        <w:tc>
          <w:tcPr>
            <w:tcW w:w="1186" w:type="dxa"/>
            <w:tcMar>
              <w:left w:w="108" w:type="dxa"/>
              <w:right w:w="108" w:type="dxa"/>
            </w:tcMar>
            <w:vAlign w:val="center"/>
          </w:tcPr>
          <w:p w14:paraId="4F4569BC">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在搜索框输入关键词</w:t>
            </w:r>
            <w:r>
              <w:rPr>
                <w:rFonts w:hint="eastAsia" w:ascii="宋体" w:hAnsi="宋体" w:eastAsia="宋体" w:cs="宋体"/>
                <w:bCs/>
                <w:szCs w:val="21"/>
              </w:rPr>
              <w:br w:type="textWrapping"/>
            </w:r>
            <w:r>
              <w:rPr>
                <w:rFonts w:hint="eastAsia" w:ascii="宋体" w:hAnsi="宋体" w:eastAsia="宋体" w:cs="宋体"/>
                <w:bCs/>
                <w:szCs w:val="21"/>
              </w:rPr>
              <w:t>3. 点击搜索</w:t>
            </w:r>
          </w:p>
        </w:tc>
        <w:tc>
          <w:tcPr>
            <w:tcW w:w="1186" w:type="dxa"/>
            <w:tcMar>
              <w:left w:w="108" w:type="dxa"/>
              <w:right w:w="108" w:type="dxa"/>
            </w:tcMar>
            <w:vAlign w:val="center"/>
          </w:tcPr>
          <w:p w14:paraId="2A51FD07">
            <w:pPr>
              <w:rPr>
                <w:rFonts w:ascii="宋体" w:hAnsi="宋体" w:eastAsia="宋体" w:cs="宋体"/>
                <w:bCs/>
                <w:szCs w:val="21"/>
              </w:rPr>
            </w:pPr>
            <w:r>
              <w:rPr>
                <w:rFonts w:hint="eastAsia" w:ascii="宋体" w:hAnsi="宋体" w:eastAsia="宋体" w:cs="宋体"/>
                <w:bCs/>
                <w:szCs w:val="21"/>
              </w:rPr>
              <w:t>关键词："写真"</w:t>
            </w:r>
          </w:p>
        </w:tc>
        <w:tc>
          <w:tcPr>
            <w:tcW w:w="1186" w:type="dxa"/>
            <w:tcMar>
              <w:left w:w="108" w:type="dxa"/>
              <w:right w:w="108" w:type="dxa"/>
            </w:tcMar>
            <w:vAlign w:val="center"/>
          </w:tcPr>
          <w:p w14:paraId="0E6C66DB">
            <w:pPr>
              <w:rPr>
                <w:rFonts w:ascii="宋体" w:hAnsi="宋体" w:eastAsia="宋体" w:cs="宋体"/>
                <w:bCs/>
                <w:szCs w:val="21"/>
              </w:rPr>
            </w:pPr>
            <w:r>
              <w:rPr>
                <w:rFonts w:hint="eastAsia" w:ascii="宋体" w:hAnsi="宋体" w:eastAsia="宋体" w:cs="宋体"/>
                <w:bCs/>
                <w:szCs w:val="21"/>
              </w:rPr>
              <w:t>显示包含"写真"的所有套餐</w:t>
            </w:r>
          </w:p>
        </w:tc>
        <w:tc>
          <w:tcPr>
            <w:tcW w:w="1186" w:type="dxa"/>
            <w:tcMar>
              <w:left w:w="108" w:type="dxa"/>
              <w:right w:w="108" w:type="dxa"/>
            </w:tcMar>
            <w:vAlign w:val="center"/>
          </w:tcPr>
          <w:p w14:paraId="1113BD27">
            <w:pPr>
              <w:rPr>
                <w:rFonts w:ascii="宋体" w:hAnsi="宋体" w:eastAsia="宋体" w:cs="宋体"/>
                <w:bCs/>
                <w:szCs w:val="21"/>
              </w:rPr>
            </w:pPr>
            <w:r>
              <w:rPr>
                <w:rFonts w:hint="eastAsia" w:ascii="宋体" w:hAnsi="宋体" w:eastAsia="宋体" w:cs="宋体"/>
                <w:bCs/>
                <w:szCs w:val="21"/>
              </w:rPr>
              <w:t>通过</w:t>
            </w:r>
          </w:p>
        </w:tc>
      </w:tr>
    </w:tbl>
    <w:p w14:paraId="0B83A4BF">
      <w:pPr>
        <w:tabs>
          <w:tab w:val="left" w:pos="330"/>
        </w:tabs>
        <w:spacing w:line="440" w:lineRule="exact"/>
        <w:ind w:firstLine="480" w:firstLineChars="200"/>
        <w:outlineLvl w:val="9"/>
        <w:rPr>
          <w:rFonts w:ascii="宋体" w:hAnsi="宋体" w:eastAsia="宋体" w:cs="宋体"/>
          <w:bCs/>
          <w:sz w:val="24"/>
        </w:rPr>
      </w:pPr>
      <w:bookmarkStart w:id="277" w:name="_Toc14932"/>
      <w:bookmarkStart w:id="278" w:name="_Toc30299"/>
      <w:bookmarkStart w:id="279" w:name="_Toc10120"/>
      <w:bookmarkStart w:id="280" w:name="_Toc18327"/>
      <w:r>
        <w:rPr>
          <w:rFonts w:hint="eastAsia" w:ascii="宋体" w:hAnsi="宋体" w:eastAsia="宋体" w:cs="宋体"/>
          <w:bCs/>
          <w:sz w:val="24"/>
        </w:rPr>
        <w:t>5.3.3 预约功能测试用例</w:t>
      </w:r>
      <w:bookmarkEnd w:id="277"/>
      <w:bookmarkEnd w:id="278"/>
      <w:bookmarkEnd w:id="279"/>
      <w:bookmarkEnd w:id="280"/>
    </w:p>
    <w:p w14:paraId="487489A1">
      <w:pPr>
        <w:widowControl/>
        <w:spacing w:line="440" w:lineRule="exact"/>
        <w:jc w:val="center"/>
        <w:rPr>
          <w:rFonts w:ascii="宋体" w:hAnsi="宋体" w:eastAsia="宋体" w:cs="宋体"/>
          <w:bCs/>
          <w:szCs w:val="21"/>
        </w:rPr>
      </w:pPr>
      <w:r>
        <w:rPr>
          <w:rFonts w:hint="eastAsia" w:ascii="宋体" w:hAnsi="宋体" w:cs="宋体"/>
          <w:bCs/>
          <w:szCs w:val="21"/>
        </w:rPr>
        <w:t>表5-3</w:t>
      </w:r>
      <w:r>
        <w:rPr>
          <w:rFonts w:hint="eastAsia" w:ascii="宋体" w:hAnsi="宋体" w:cs="宋体"/>
          <w:bCs/>
          <w:szCs w:val="21"/>
          <w:lang w:val="en-US" w:eastAsia="zh-CN"/>
        </w:rPr>
        <w:t xml:space="preserve"> </w:t>
      </w:r>
      <w:r>
        <w:rPr>
          <w:rFonts w:hint="eastAsia" w:ascii="宋体" w:hAnsi="宋体" w:cs="宋体"/>
          <w:bCs/>
          <w:szCs w:val="21"/>
        </w:rPr>
        <w:t>预约功能测试表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86"/>
        <w:gridCol w:w="1186"/>
        <w:gridCol w:w="1186"/>
        <w:gridCol w:w="1186"/>
        <w:gridCol w:w="1186"/>
        <w:gridCol w:w="1186"/>
        <w:gridCol w:w="1186"/>
      </w:tblGrid>
      <w:tr w14:paraId="70502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3F40888E">
            <w:pPr>
              <w:jc w:val="center"/>
              <w:rPr>
                <w:rFonts w:ascii="宋体" w:hAnsi="宋体" w:eastAsia="宋体" w:cs="宋体"/>
                <w:bCs/>
                <w:szCs w:val="21"/>
              </w:rPr>
            </w:pPr>
            <w:r>
              <w:rPr>
                <w:rFonts w:hint="eastAsia" w:ascii="宋体" w:hAnsi="宋体" w:eastAsia="宋体" w:cs="宋体"/>
                <w:bCs/>
                <w:szCs w:val="21"/>
              </w:rPr>
              <w:t>测试用例编号</w:t>
            </w:r>
          </w:p>
        </w:tc>
        <w:tc>
          <w:tcPr>
            <w:tcW w:w="1186" w:type="dxa"/>
            <w:tcMar>
              <w:left w:w="108" w:type="dxa"/>
              <w:right w:w="108" w:type="dxa"/>
            </w:tcMar>
            <w:vAlign w:val="center"/>
          </w:tcPr>
          <w:p w14:paraId="6D5D6CA3">
            <w:pPr>
              <w:jc w:val="center"/>
              <w:rPr>
                <w:rFonts w:ascii="宋体" w:hAnsi="宋体" w:eastAsia="宋体" w:cs="宋体"/>
                <w:bCs/>
                <w:szCs w:val="21"/>
              </w:rPr>
            </w:pPr>
            <w:r>
              <w:rPr>
                <w:rFonts w:hint="eastAsia" w:ascii="宋体" w:hAnsi="宋体" w:eastAsia="宋体" w:cs="宋体"/>
                <w:bCs/>
                <w:szCs w:val="21"/>
              </w:rPr>
              <w:t>项目名称</w:t>
            </w:r>
          </w:p>
        </w:tc>
        <w:tc>
          <w:tcPr>
            <w:tcW w:w="1186" w:type="dxa"/>
            <w:tcMar>
              <w:left w:w="108" w:type="dxa"/>
              <w:right w:w="108" w:type="dxa"/>
            </w:tcMar>
            <w:vAlign w:val="center"/>
          </w:tcPr>
          <w:p w14:paraId="1795CD10">
            <w:pPr>
              <w:jc w:val="center"/>
              <w:rPr>
                <w:rFonts w:ascii="宋体" w:hAnsi="宋体" w:eastAsia="宋体" w:cs="宋体"/>
                <w:bCs/>
                <w:szCs w:val="21"/>
              </w:rPr>
            </w:pPr>
            <w:r>
              <w:rPr>
                <w:rFonts w:hint="eastAsia" w:ascii="宋体" w:hAnsi="宋体" w:eastAsia="宋体" w:cs="宋体"/>
                <w:bCs/>
                <w:szCs w:val="21"/>
              </w:rPr>
              <w:t>用例名称</w:t>
            </w:r>
          </w:p>
        </w:tc>
        <w:tc>
          <w:tcPr>
            <w:tcW w:w="1186" w:type="dxa"/>
            <w:tcMar>
              <w:left w:w="108" w:type="dxa"/>
              <w:right w:w="108" w:type="dxa"/>
            </w:tcMar>
            <w:vAlign w:val="center"/>
          </w:tcPr>
          <w:p w14:paraId="183E1A11">
            <w:pPr>
              <w:jc w:val="center"/>
              <w:rPr>
                <w:rFonts w:ascii="宋体" w:hAnsi="宋体" w:eastAsia="宋体" w:cs="宋体"/>
                <w:bCs/>
                <w:szCs w:val="21"/>
              </w:rPr>
            </w:pPr>
            <w:r>
              <w:rPr>
                <w:rFonts w:hint="eastAsia" w:ascii="宋体" w:hAnsi="宋体" w:eastAsia="宋体" w:cs="宋体"/>
                <w:bCs/>
                <w:szCs w:val="21"/>
              </w:rPr>
              <w:t>测试步骤</w:t>
            </w:r>
          </w:p>
        </w:tc>
        <w:tc>
          <w:tcPr>
            <w:tcW w:w="1186" w:type="dxa"/>
            <w:tcMar>
              <w:left w:w="108" w:type="dxa"/>
              <w:right w:w="108" w:type="dxa"/>
            </w:tcMar>
            <w:vAlign w:val="center"/>
          </w:tcPr>
          <w:p w14:paraId="79B1DD1E">
            <w:pPr>
              <w:jc w:val="center"/>
              <w:rPr>
                <w:rFonts w:ascii="宋体" w:hAnsi="宋体" w:eastAsia="宋体" w:cs="宋体"/>
                <w:bCs/>
                <w:szCs w:val="21"/>
              </w:rPr>
            </w:pPr>
            <w:r>
              <w:rPr>
                <w:rFonts w:hint="eastAsia" w:ascii="宋体" w:hAnsi="宋体" w:eastAsia="宋体" w:cs="宋体"/>
                <w:bCs/>
                <w:szCs w:val="21"/>
              </w:rPr>
              <w:t>输入数据</w:t>
            </w:r>
          </w:p>
        </w:tc>
        <w:tc>
          <w:tcPr>
            <w:tcW w:w="1186" w:type="dxa"/>
            <w:tcMar>
              <w:left w:w="108" w:type="dxa"/>
              <w:right w:w="108" w:type="dxa"/>
            </w:tcMar>
            <w:vAlign w:val="center"/>
          </w:tcPr>
          <w:p w14:paraId="106ED332">
            <w:pPr>
              <w:jc w:val="center"/>
              <w:rPr>
                <w:rFonts w:ascii="宋体" w:hAnsi="宋体" w:eastAsia="宋体" w:cs="宋体"/>
                <w:bCs/>
                <w:szCs w:val="21"/>
              </w:rPr>
            </w:pPr>
            <w:r>
              <w:rPr>
                <w:rFonts w:hint="eastAsia" w:ascii="宋体" w:hAnsi="宋体" w:eastAsia="宋体" w:cs="宋体"/>
                <w:bCs/>
                <w:szCs w:val="21"/>
              </w:rPr>
              <w:t>预期结果</w:t>
            </w:r>
          </w:p>
        </w:tc>
        <w:tc>
          <w:tcPr>
            <w:tcW w:w="1186" w:type="dxa"/>
            <w:tcMar>
              <w:left w:w="108" w:type="dxa"/>
              <w:right w:w="108" w:type="dxa"/>
            </w:tcMar>
            <w:vAlign w:val="center"/>
          </w:tcPr>
          <w:p w14:paraId="525B8FB5">
            <w:pPr>
              <w:jc w:val="center"/>
              <w:rPr>
                <w:rFonts w:ascii="宋体" w:hAnsi="宋体" w:eastAsia="宋体" w:cs="宋体"/>
                <w:bCs/>
                <w:szCs w:val="21"/>
              </w:rPr>
            </w:pPr>
            <w:r>
              <w:rPr>
                <w:rFonts w:hint="eastAsia" w:ascii="宋体" w:hAnsi="宋体" w:eastAsia="宋体" w:cs="宋体"/>
                <w:bCs/>
                <w:szCs w:val="21"/>
              </w:rPr>
              <w:t>实际结果</w:t>
            </w:r>
          </w:p>
        </w:tc>
      </w:tr>
      <w:tr w14:paraId="3B146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3A8008D4">
            <w:pPr>
              <w:rPr>
                <w:rFonts w:ascii="宋体" w:hAnsi="宋体" w:eastAsia="宋体" w:cs="宋体"/>
                <w:bCs/>
                <w:szCs w:val="21"/>
              </w:rPr>
            </w:pPr>
            <w:r>
              <w:rPr>
                <w:rFonts w:hint="eastAsia" w:ascii="宋体" w:hAnsi="宋体" w:eastAsia="宋体" w:cs="宋体"/>
                <w:bCs/>
                <w:szCs w:val="21"/>
              </w:rPr>
              <w:t>009</w:t>
            </w:r>
          </w:p>
        </w:tc>
        <w:tc>
          <w:tcPr>
            <w:tcW w:w="1186" w:type="dxa"/>
            <w:tcMar>
              <w:left w:w="108" w:type="dxa"/>
              <w:right w:w="108" w:type="dxa"/>
            </w:tcMar>
            <w:vAlign w:val="center"/>
          </w:tcPr>
          <w:p w14:paraId="52B93B6D">
            <w:pPr>
              <w:rPr>
                <w:rFonts w:ascii="宋体" w:hAnsi="宋体" w:eastAsia="宋体" w:cs="宋体"/>
                <w:bCs/>
                <w:szCs w:val="21"/>
              </w:rPr>
            </w:pPr>
            <w:r>
              <w:rPr>
                <w:rFonts w:hint="eastAsia" w:ascii="宋体" w:hAnsi="宋体" w:eastAsia="宋体" w:cs="宋体"/>
                <w:bCs/>
                <w:szCs w:val="21"/>
              </w:rPr>
              <w:t>预约功能</w:t>
            </w:r>
          </w:p>
        </w:tc>
        <w:tc>
          <w:tcPr>
            <w:tcW w:w="1186" w:type="dxa"/>
            <w:tcMar>
              <w:left w:w="108" w:type="dxa"/>
              <w:right w:w="108" w:type="dxa"/>
            </w:tcMar>
            <w:vAlign w:val="center"/>
          </w:tcPr>
          <w:p w14:paraId="59E64EDC">
            <w:pPr>
              <w:rPr>
                <w:rFonts w:ascii="宋体" w:hAnsi="宋体" w:eastAsia="宋体" w:cs="宋体"/>
                <w:bCs/>
                <w:szCs w:val="21"/>
              </w:rPr>
            </w:pPr>
            <w:r>
              <w:rPr>
                <w:rFonts w:hint="eastAsia" w:ascii="宋体" w:hAnsi="宋体" w:eastAsia="宋体" w:cs="宋体"/>
                <w:bCs/>
                <w:szCs w:val="21"/>
              </w:rPr>
              <w:t>创建新预约</w:t>
            </w:r>
          </w:p>
        </w:tc>
        <w:tc>
          <w:tcPr>
            <w:tcW w:w="1186" w:type="dxa"/>
            <w:tcMar>
              <w:left w:w="108" w:type="dxa"/>
              <w:right w:w="108" w:type="dxa"/>
            </w:tcMar>
            <w:vAlign w:val="center"/>
          </w:tcPr>
          <w:p w14:paraId="547861A4">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选择套餐</w:t>
            </w:r>
            <w:r>
              <w:rPr>
                <w:rFonts w:hint="eastAsia" w:ascii="宋体" w:hAnsi="宋体" w:eastAsia="宋体" w:cs="宋体"/>
                <w:bCs/>
                <w:szCs w:val="21"/>
              </w:rPr>
              <w:br w:type="textWrapping"/>
            </w:r>
            <w:r>
              <w:rPr>
                <w:rFonts w:hint="eastAsia" w:ascii="宋体" w:hAnsi="宋体" w:eastAsia="宋体" w:cs="宋体"/>
                <w:bCs/>
                <w:szCs w:val="21"/>
              </w:rPr>
              <w:t>3. 选择时间</w:t>
            </w:r>
            <w:r>
              <w:rPr>
                <w:rFonts w:hint="eastAsia" w:ascii="宋体" w:hAnsi="宋体" w:eastAsia="宋体" w:cs="宋体"/>
                <w:bCs/>
                <w:szCs w:val="21"/>
              </w:rPr>
              <w:br w:type="textWrapping"/>
            </w:r>
            <w:r>
              <w:rPr>
                <w:rFonts w:hint="eastAsia" w:ascii="宋体" w:hAnsi="宋体" w:eastAsia="宋体" w:cs="宋体"/>
                <w:bCs/>
                <w:szCs w:val="21"/>
              </w:rPr>
              <w:t>4. 填写联系人信息</w:t>
            </w:r>
            <w:r>
              <w:rPr>
                <w:rFonts w:hint="eastAsia" w:ascii="宋体" w:hAnsi="宋体" w:eastAsia="宋体" w:cs="宋体"/>
                <w:bCs/>
                <w:szCs w:val="21"/>
              </w:rPr>
              <w:br w:type="textWrapping"/>
            </w:r>
            <w:r>
              <w:rPr>
                <w:rFonts w:hint="eastAsia" w:ascii="宋体" w:hAnsi="宋体" w:eastAsia="宋体" w:cs="宋体"/>
                <w:bCs/>
                <w:szCs w:val="21"/>
              </w:rPr>
              <w:t>5. 提交预约</w:t>
            </w:r>
          </w:p>
        </w:tc>
        <w:tc>
          <w:tcPr>
            <w:tcW w:w="1186" w:type="dxa"/>
            <w:tcMar>
              <w:left w:w="108" w:type="dxa"/>
              <w:right w:w="108" w:type="dxa"/>
            </w:tcMar>
            <w:vAlign w:val="center"/>
          </w:tcPr>
          <w:p w14:paraId="69E8BA71">
            <w:pPr>
              <w:rPr>
                <w:rFonts w:ascii="宋体" w:hAnsi="宋体" w:eastAsia="宋体" w:cs="宋体"/>
                <w:bCs/>
                <w:szCs w:val="21"/>
              </w:rPr>
            </w:pPr>
            <w:r>
              <w:rPr>
                <w:rFonts w:hint="eastAsia" w:ascii="宋体" w:hAnsi="宋体" w:eastAsia="宋体" w:cs="宋体"/>
                <w:bCs/>
                <w:szCs w:val="21"/>
              </w:rPr>
              <w:t>套餐：P001</w:t>
            </w:r>
            <w:r>
              <w:rPr>
                <w:rFonts w:hint="eastAsia" w:ascii="宋体" w:hAnsi="宋体" w:eastAsia="宋体" w:cs="宋体"/>
                <w:bCs/>
                <w:szCs w:val="21"/>
              </w:rPr>
              <w:br w:type="textWrapping"/>
            </w:r>
            <w:r>
              <w:rPr>
                <w:rFonts w:hint="eastAsia" w:ascii="宋体" w:hAnsi="宋体" w:eastAsia="宋体" w:cs="宋体"/>
                <w:bCs/>
                <w:szCs w:val="21"/>
              </w:rPr>
              <w:t>时间：2024-12-20 14:00</w:t>
            </w:r>
            <w:r>
              <w:rPr>
                <w:rFonts w:hint="eastAsia" w:ascii="宋体" w:hAnsi="宋体" w:eastAsia="宋体" w:cs="宋体"/>
                <w:bCs/>
                <w:szCs w:val="21"/>
              </w:rPr>
              <w:br w:type="textWrapping"/>
            </w:r>
            <w:r>
              <w:rPr>
                <w:rFonts w:hint="eastAsia" w:ascii="宋体" w:hAnsi="宋体" w:eastAsia="宋体" w:cs="宋体"/>
                <w:bCs/>
                <w:szCs w:val="21"/>
              </w:rPr>
              <w:t>联系人：张三</w:t>
            </w:r>
          </w:p>
        </w:tc>
        <w:tc>
          <w:tcPr>
            <w:tcW w:w="1186" w:type="dxa"/>
            <w:tcMar>
              <w:left w:w="108" w:type="dxa"/>
              <w:right w:w="108" w:type="dxa"/>
            </w:tcMar>
            <w:vAlign w:val="center"/>
          </w:tcPr>
          <w:p w14:paraId="74E02969">
            <w:pPr>
              <w:rPr>
                <w:rFonts w:ascii="宋体" w:hAnsi="宋体" w:eastAsia="宋体" w:cs="宋体"/>
                <w:bCs/>
                <w:szCs w:val="21"/>
              </w:rPr>
            </w:pPr>
            <w:r>
              <w:rPr>
                <w:rFonts w:hint="eastAsia" w:ascii="宋体" w:hAnsi="宋体" w:eastAsia="宋体" w:cs="宋体"/>
                <w:bCs/>
                <w:szCs w:val="21"/>
              </w:rPr>
              <w:t>预约成功，生成订单号</w:t>
            </w:r>
          </w:p>
        </w:tc>
        <w:tc>
          <w:tcPr>
            <w:tcW w:w="1186" w:type="dxa"/>
            <w:tcMar>
              <w:left w:w="108" w:type="dxa"/>
              <w:right w:w="108" w:type="dxa"/>
            </w:tcMar>
            <w:vAlign w:val="center"/>
          </w:tcPr>
          <w:p w14:paraId="39C6134A">
            <w:pPr>
              <w:rPr>
                <w:rFonts w:ascii="宋体" w:hAnsi="宋体" w:eastAsia="宋体" w:cs="宋体"/>
                <w:bCs/>
                <w:szCs w:val="21"/>
              </w:rPr>
            </w:pPr>
            <w:r>
              <w:rPr>
                <w:rFonts w:hint="eastAsia" w:ascii="宋体" w:hAnsi="宋体" w:eastAsia="宋体" w:cs="宋体"/>
                <w:bCs/>
                <w:szCs w:val="21"/>
              </w:rPr>
              <w:t>通过</w:t>
            </w:r>
          </w:p>
        </w:tc>
      </w:tr>
      <w:tr w14:paraId="5DE84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2986E0A8">
            <w:pPr>
              <w:rPr>
                <w:rFonts w:ascii="宋体" w:hAnsi="宋体" w:eastAsia="宋体" w:cs="宋体"/>
                <w:bCs/>
                <w:szCs w:val="21"/>
              </w:rPr>
            </w:pPr>
            <w:r>
              <w:rPr>
                <w:rFonts w:hint="eastAsia" w:ascii="宋体" w:hAnsi="宋体" w:eastAsia="宋体" w:cs="宋体"/>
                <w:bCs/>
                <w:szCs w:val="21"/>
              </w:rPr>
              <w:t>010</w:t>
            </w:r>
          </w:p>
        </w:tc>
        <w:tc>
          <w:tcPr>
            <w:tcW w:w="1186" w:type="dxa"/>
            <w:tcMar>
              <w:left w:w="108" w:type="dxa"/>
              <w:right w:w="108" w:type="dxa"/>
            </w:tcMar>
            <w:vAlign w:val="center"/>
          </w:tcPr>
          <w:p w14:paraId="39D9CA43">
            <w:pPr>
              <w:rPr>
                <w:rFonts w:ascii="宋体" w:hAnsi="宋体" w:eastAsia="宋体" w:cs="宋体"/>
                <w:bCs/>
                <w:szCs w:val="21"/>
              </w:rPr>
            </w:pPr>
            <w:r>
              <w:rPr>
                <w:rFonts w:hint="eastAsia" w:ascii="宋体" w:hAnsi="宋体" w:eastAsia="宋体" w:cs="宋体"/>
                <w:bCs/>
                <w:szCs w:val="21"/>
              </w:rPr>
              <w:t>预约功能</w:t>
            </w:r>
          </w:p>
        </w:tc>
        <w:tc>
          <w:tcPr>
            <w:tcW w:w="1186" w:type="dxa"/>
            <w:tcMar>
              <w:left w:w="108" w:type="dxa"/>
              <w:right w:w="108" w:type="dxa"/>
            </w:tcMar>
            <w:vAlign w:val="center"/>
          </w:tcPr>
          <w:p w14:paraId="6D7D9CA4">
            <w:pPr>
              <w:rPr>
                <w:rFonts w:ascii="宋体" w:hAnsi="宋体" w:eastAsia="宋体" w:cs="宋体"/>
                <w:bCs/>
                <w:szCs w:val="21"/>
              </w:rPr>
            </w:pPr>
            <w:r>
              <w:rPr>
                <w:rFonts w:hint="eastAsia" w:ascii="宋体" w:hAnsi="宋体" w:eastAsia="宋体" w:cs="宋体"/>
                <w:bCs/>
                <w:szCs w:val="21"/>
              </w:rPr>
              <w:t>查看我的预约</w:t>
            </w:r>
          </w:p>
        </w:tc>
        <w:tc>
          <w:tcPr>
            <w:tcW w:w="1186" w:type="dxa"/>
            <w:tcMar>
              <w:left w:w="108" w:type="dxa"/>
              <w:right w:w="108" w:type="dxa"/>
            </w:tcMar>
            <w:vAlign w:val="center"/>
          </w:tcPr>
          <w:p w14:paraId="1DD5CD2C">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进入用户中心</w:t>
            </w:r>
            <w:r>
              <w:rPr>
                <w:rFonts w:hint="eastAsia" w:ascii="宋体" w:hAnsi="宋体" w:eastAsia="宋体" w:cs="宋体"/>
                <w:bCs/>
                <w:szCs w:val="21"/>
              </w:rPr>
              <w:br w:type="textWrapping"/>
            </w:r>
            <w:r>
              <w:rPr>
                <w:rFonts w:hint="eastAsia" w:ascii="宋体" w:hAnsi="宋体" w:eastAsia="宋体" w:cs="宋体"/>
                <w:bCs/>
                <w:szCs w:val="21"/>
              </w:rPr>
              <w:t>3. 点击"我的预约"</w:t>
            </w:r>
          </w:p>
        </w:tc>
        <w:tc>
          <w:tcPr>
            <w:tcW w:w="1186" w:type="dxa"/>
            <w:tcMar>
              <w:left w:w="108" w:type="dxa"/>
              <w:right w:w="108" w:type="dxa"/>
            </w:tcMar>
            <w:vAlign w:val="center"/>
          </w:tcPr>
          <w:p w14:paraId="787E47F5">
            <w:pPr>
              <w:rPr>
                <w:rFonts w:ascii="宋体" w:hAnsi="宋体" w:eastAsia="宋体" w:cs="宋体"/>
                <w:bCs/>
                <w:szCs w:val="21"/>
              </w:rPr>
            </w:pPr>
            <w:r>
              <w:rPr>
                <w:rFonts w:hint="eastAsia" w:ascii="宋体" w:hAnsi="宋体" w:eastAsia="宋体" w:cs="宋体"/>
                <w:bCs/>
                <w:szCs w:val="21"/>
              </w:rPr>
              <w:t>用户ID：U001</w:t>
            </w:r>
          </w:p>
        </w:tc>
        <w:tc>
          <w:tcPr>
            <w:tcW w:w="1186" w:type="dxa"/>
            <w:tcMar>
              <w:left w:w="108" w:type="dxa"/>
              <w:right w:w="108" w:type="dxa"/>
            </w:tcMar>
            <w:vAlign w:val="center"/>
          </w:tcPr>
          <w:p w14:paraId="5EBD051E">
            <w:pPr>
              <w:rPr>
                <w:rFonts w:ascii="宋体" w:hAnsi="宋体" w:eastAsia="宋体" w:cs="宋体"/>
                <w:bCs/>
                <w:szCs w:val="21"/>
              </w:rPr>
            </w:pPr>
            <w:r>
              <w:rPr>
                <w:rFonts w:hint="eastAsia" w:ascii="宋体" w:hAnsi="宋体" w:eastAsia="宋体" w:cs="宋体"/>
                <w:bCs/>
                <w:szCs w:val="21"/>
              </w:rPr>
              <w:t>显示该用户所有预约记录</w:t>
            </w:r>
          </w:p>
        </w:tc>
        <w:tc>
          <w:tcPr>
            <w:tcW w:w="1186" w:type="dxa"/>
            <w:tcMar>
              <w:left w:w="108" w:type="dxa"/>
              <w:right w:w="108" w:type="dxa"/>
            </w:tcMar>
            <w:vAlign w:val="center"/>
          </w:tcPr>
          <w:p w14:paraId="399D4241">
            <w:pPr>
              <w:rPr>
                <w:rFonts w:ascii="宋体" w:hAnsi="宋体" w:eastAsia="宋体" w:cs="宋体"/>
                <w:bCs/>
                <w:szCs w:val="21"/>
              </w:rPr>
            </w:pPr>
            <w:r>
              <w:rPr>
                <w:rFonts w:hint="eastAsia" w:ascii="宋体" w:hAnsi="宋体" w:eastAsia="宋体" w:cs="宋体"/>
                <w:bCs/>
                <w:szCs w:val="21"/>
              </w:rPr>
              <w:t>通过</w:t>
            </w:r>
          </w:p>
        </w:tc>
      </w:tr>
      <w:tr w14:paraId="2C004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478B90A0">
            <w:pPr>
              <w:rPr>
                <w:rFonts w:ascii="宋体" w:hAnsi="宋体" w:eastAsia="宋体" w:cs="宋体"/>
                <w:bCs/>
                <w:szCs w:val="21"/>
              </w:rPr>
            </w:pPr>
            <w:r>
              <w:rPr>
                <w:rFonts w:hint="eastAsia" w:ascii="宋体" w:hAnsi="宋体" w:eastAsia="宋体" w:cs="宋体"/>
                <w:bCs/>
                <w:szCs w:val="21"/>
              </w:rPr>
              <w:t>011</w:t>
            </w:r>
          </w:p>
        </w:tc>
        <w:tc>
          <w:tcPr>
            <w:tcW w:w="1186" w:type="dxa"/>
            <w:tcMar>
              <w:left w:w="108" w:type="dxa"/>
              <w:right w:w="108" w:type="dxa"/>
            </w:tcMar>
            <w:vAlign w:val="center"/>
          </w:tcPr>
          <w:p w14:paraId="4275131E">
            <w:pPr>
              <w:rPr>
                <w:rFonts w:ascii="宋体" w:hAnsi="宋体" w:eastAsia="宋体" w:cs="宋体"/>
                <w:bCs/>
                <w:szCs w:val="21"/>
              </w:rPr>
            </w:pPr>
            <w:r>
              <w:rPr>
                <w:rFonts w:hint="eastAsia" w:ascii="宋体" w:hAnsi="宋体" w:eastAsia="宋体" w:cs="宋体"/>
                <w:bCs/>
                <w:szCs w:val="21"/>
              </w:rPr>
              <w:t>预约功能</w:t>
            </w:r>
          </w:p>
        </w:tc>
        <w:tc>
          <w:tcPr>
            <w:tcW w:w="1186" w:type="dxa"/>
            <w:tcMar>
              <w:left w:w="108" w:type="dxa"/>
              <w:right w:w="108" w:type="dxa"/>
            </w:tcMar>
            <w:vAlign w:val="center"/>
          </w:tcPr>
          <w:p w14:paraId="3C9A2314">
            <w:pPr>
              <w:rPr>
                <w:rFonts w:ascii="宋体" w:hAnsi="宋体" w:eastAsia="宋体" w:cs="宋体"/>
                <w:bCs/>
                <w:szCs w:val="21"/>
              </w:rPr>
            </w:pPr>
            <w:r>
              <w:rPr>
                <w:rFonts w:hint="eastAsia" w:ascii="宋体" w:hAnsi="宋体" w:eastAsia="宋体" w:cs="宋体"/>
                <w:bCs/>
                <w:szCs w:val="21"/>
              </w:rPr>
              <w:t>取消预约</w:t>
            </w:r>
          </w:p>
        </w:tc>
        <w:tc>
          <w:tcPr>
            <w:tcW w:w="1186" w:type="dxa"/>
            <w:tcMar>
              <w:left w:w="108" w:type="dxa"/>
              <w:right w:w="108" w:type="dxa"/>
            </w:tcMar>
            <w:vAlign w:val="center"/>
          </w:tcPr>
          <w:p w14:paraId="238FBF40">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进入我的预约</w:t>
            </w:r>
            <w:r>
              <w:rPr>
                <w:rFonts w:hint="eastAsia" w:ascii="宋体" w:hAnsi="宋体" w:eastAsia="宋体" w:cs="宋体"/>
                <w:bCs/>
                <w:szCs w:val="21"/>
              </w:rPr>
              <w:br w:type="textWrapping"/>
            </w:r>
            <w:r>
              <w:rPr>
                <w:rFonts w:hint="eastAsia" w:ascii="宋体" w:hAnsi="宋体" w:eastAsia="宋体" w:cs="宋体"/>
                <w:bCs/>
                <w:szCs w:val="21"/>
              </w:rPr>
              <w:t>3. 找到待取消的预约</w:t>
            </w:r>
            <w:r>
              <w:rPr>
                <w:rFonts w:hint="eastAsia" w:ascii="宋体" w:hAnsi="宋体" w:eastAsia="宋体" w:cs="宋体"/>
                <w:bCs/>
                <w:szCs w:val="21"/>
              </w:rPr>
              <w:br w:type="textWrapping"/>
            </w:r>
            <w:r>
              <w:rPr>
                <w:rFonts w:hint="eastAsia" w:ascii="宋体" w:hAnsi="宋体" w:eastAsia="宋体" w:cs="宋体"/>
                <w:bCs/>
                <w:szCs w:val="21"/>
              </w:rPr>
              <w:t>4. 点击取消</w:t>
            </w:r>
            <w:r>
              <w:rPr>
                <w:rFonts w:hint="eastAsia" w:ascii="宋体" w:hAnsi="宋体" w:eastAsia="宋体" w:cs="宋体"/>
                <w:bCs/>
                <w:szCs w:val="21"/>
              </w:rPr>
              <w:br w:type="textWrapping"/>
            </w:r>
            <w:r>
              <w:rPr>
                <w:rFonts w:hint="eastAsia" w:ascii="宋体" w:hAnsi="宋体" w:eastAsia="宋体" w:cs="宋体"/>
                <w:bCs/>
                <w:szCs w:val="21"/>
              </w:rPr>
              <w:t>5. 确认取消</w:t>
            </w:r>
          </w:p>
        </w:tc>
        <w:tc>
          <w:tcPr>
            <w:tcW w:w="1186" w:type="dxa"/>
            <w:tcMar>
              <w:left w:w="108" w:type="dxa"/>
              <w:right w:w="108" w:type="dxa"/>
            </w:tcMar>
            <w:vAlign w:val="center"/>
          </w:tcPr>
          <w:p w14:paraId="39ACDB61">
            <w:pPr>
              <w:rPr>
                <w:rFonts w:ascii="宋体" w:hAnsi="宋体" w:eastAsia="宋体" w:cs="宋体"/>
                <w:bCs/>
                <w:szCs w:val="21"/>
              </w:rPr>
            </w:pPr>
            <w:r>
              <w:rPr>
                <w:rFonts w:hint="eastAsia" w:ascii="宋体" w:hAnsi="宋体" w:eastAsia="宋体" w:cs="宋体"/>
                <w:bCs/>
                <w:szCs w:val="21"/>
              </w:rPr>
              <w:t>订单号：O20241215001</w:t>
            </w:r>
          </w:p>
        </w:tc>
        <w:tc>
          <w:tcPr>
            <w:tcW w:w="1186" w:type="dxa"/>
            <w:tcMar>
              <w:left w:w="108" w:type="dxa"/>
              <w:right w:w="108" w:type="dxa"/>
            </w:tcMar>
            <w:vAlign w:val="center"/>
          </w:tcPr>
          <w:p w14:paraId="6C5D52AE">
            <w:pPr>
              <w:rPr>
                <w:rFonts w:ascii="宋体" w:hAnsi="宋体" w:eastAsia="宋体" w:cs="宋体"/>
                <w:bCs/>
                <w:szCs w:val="21"/>
              </w:rPr>
            </w:pPr>
            <w:r>
              <w:rPr>
                <w:rFonts w:hint="eastAsia" w:ascii="宋体" w:hAnsi="宋体" w:eastAsia="宋体" w:cs="宋体"/>
                <w:bCs/>
                <w:szCs w:val="21"/>
              </w:rPr>
              <w:t>预约状态变为"已取消"</w:t>
            </w:r>
          </w:p>
        </w:tc>
        <w:tc>
          <w:tcPr>
            <w:tcW w:w="1186" w:type="dxa"/>
            <w:tcMar>
              <w:left w:w="108" w:type="dxa"/>
              <w:right w:w="108" w:type="dxa"/>
            </w:tcMar>
            <w:vAlign w:val="center"/>
          </w:tcPr>
          <w:p w14:paraId="72C3DA00">
            <w:pPr>
              <w:rPr>
                <w:rFonts w:ascii="宋体" w:hAnsi="宋体" w:eastAsia="宋体" w:cs="宋体"/>
                <w:bCs/>
                <w:szCs w:val="21"/>
              </w:rPr>
            </w:pPr>
            <w:r>
              <w:rPr>
                <w:rFonts w:hint="eastAsia" w:ascii="宋体" w:hAnsi="宋体" w:eastAsia="宋体" w:cs="宋体"/>
                <w:bCs/>
                <w:szCs w:val="21"/>
              </w:rPr>
              <w:t>通过</w:t>
            </w:r>
          </w:p>
        </w:tc>
      </w:tr>
      <w:tr w14:paraId="487B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532CFA7B">
            <w:pPr>
              <w:rPr>
                <w:rFonts w:ascii="宋体" w:hAnsi="宋体" w:eastAsia="宋体" w:cs="宋体"/>
                <w:bCs/>
                <w:szCs w:val="21"/>
              </w:rPr>
            </w:pPr>
            <w:r>
              <w:rPr>
                <w:rFonts w:hint="eastAsia" w:ascii="宋体" w:hAnsi="宋体" w:eastAsia="宋体" w:cs="宋体"/>
                <w:bCs/>
                <w:szCs w:val="21"/>
              </w:rPr>
              <w:t>012</w:t>
            </w:r>
          </w:p>
        </w:tc>
        <w:tc>
          <w:tcPr>
            <w:tcW w:w="1186" w:type="dxa"/>
            <w:tcMar>
              <w:left w:w="108" w:type="dxa"/>
              <w:right w:w="108" w:type="dxa"/>
            </w:tcMar>
            <w:vAlign w:val="center"/>
          </w:tcPr>
          <w:p w14:paraId="369BE5F0">
            <w:pPr>
              <w:rPr>
                <w:rFonts w:ascii="宋体" w:hAnsi="宋体" w:eastAsia="宋体" w:cs="宋体"/>
                <w:bCs/>
                <w:szCs w:val="21"/>
              </w:rPr>
            </w:pPr>
            <w:r>
              <w:rPr>
                <w:rFonts w:hint="eastAsia" w:ascii="宋体" w:hAnsi="宋体" w:eastAsia="宋体" w:cs="宋体"/>
                <w:bCs/>
                <w:szCs w:val="21"/>
              </w:rPr>
              <w:t>预约功能</w:t>
            </w:r>
          </w:p>
        </w:tc>
        <w:tc>
          <w:tcPr>
            <w:tcW w:w="1186" w:type="dxa"/>
            <w:tcMar>
              <w:left w:w="108" w:type="dxa"/>
              <w:right w:w="108" w:type="dxa"/>
            </w:tcMar>
            <w:vAlign w:val="center"/>
          </w:tcPr>
          <w:p w14:paraId="374E76A9">
            <w:pPr>
              <w:rPr>
                <w:rFonts w:ascii="宋体" w:hAnsi="宋体" w:eastAsia="宋体" w:cs="宋体"/>
                <w:bCs/>
                <w:szCs w:val="21"/>
              </w:rPr>
            </w:pPr>
            <w:r>
              <w:rPr>
                <w:rFonts w:hint="eastAsia" w:ascii="宋体" w:hAnsi="宋体" w:eastAsia="宋体" w:cs="宋体"/>
                <w:bCs/>
                <w:szCs w:val="21"/>
              </w:rPr>
              <w:t>预约时间冲突</w:t>
            </w:r>
          </w:p>
        </w:tc>
        <w:tc>
          <w:tcPr>
            <w:tcW w:w="1186" w:type="dxa"/>
            <w:tcMar>
              <w:left w:w="108" w:type="dxa"/>
              <w:right w:w="108" w:type="dxa"/>
            </w:tcMar>
            <w:vAlign w:val="center"/>
          </w:tcPr>
          <w:p w14:paraId="428C5955">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选择已预约的时间段</w:t>
            </w:r>
            <w:r>
              <w:rPr>
                <w:rFonts w:hint="eastAsia" w:ascii="宋体" w:hAnsi="宋体" w:eastAsia="宋体" w:cs="宋体"/>
                <w:bCs/>
                <w:szCs w:val="21"/>
              </w:rPr>
              <w:br w:type="textWrapping"/>
            </w:r>
            <w:r>
              <w:rPr>
                <w:rFonts w:hint="eastAsia" w:ascii="宋体" w:hAnsi="宋体" w:eastAsia="宋体" w:cs="宋体"/>
                <w:bCs/>
                <w:szCs w:val="21"/>
              </w:rPr>
              <w:t>3. 提交预约</w:t>
            </w:r>
          </w:p>
        </w:tc>
        <w:tc>
          <w:tcPr>
            <w:tcW w:w="1186" w:type="dxa"/>
            <w:tcMar>
              <w:left w:w="108" w:type="dxa"/>
              <w:right w:w="108" w:type="dxa"/>
            </w:tcMar>
            <w:vAlign w:val="center"/>
          </w:tcPr>
          <w:p w14:paraId="6344E9F8">
            <w:pPr>
              <w:rPr>
                <w:rFonts w:ascii="宋体" w:hAnsi="宋体" w:eastAsia="宋体" w:cs="宋体"/>
                <w:bCs/>
                <w:szCs w:val="21"/>
              </w:rPr>
            </w:pPr>
            <w:r>
              <w:rPr>
                <w:rFonts w:hint="eastAsia" w:ascii="宋体" w:hAnsi="宋体" w:eastAsia="宋体" w:cs="宋体"/>
                <w:bCs/>
                <w:szCs w:val="21"/>
              </w:rPr>
              <w:t>时间：2024-12-20 14:00（该时间段已有预约）</w:t>
            </w:r>
          </w:p>
        </w:tc>
        <w:tc>
          <w:tcPr>
            <w:tcW w:w="1186" w:type="dxa"/>
            <w:tcMar>
              <w:left w:w="108" w:type="dxa"/>
              <w:right w:w="108" w:type="dxa"/>
            </w:tcMar>
            <w:vAlign w:val="center"/>
          </w:tcPr>
          <w:p w14:paraId="2ED4C74B">
            <w:pPr>
              <w:rPr>
                <w:rFonts w:ascii="宋体" w:hAnsi="宋体" w:eastAsia="宋体" w:cs="宋体"/>
                <w:bCs/>
                <w:szCs w:val="21"/>
              </w:rPr>
            </w:pPr>
            <w:r>
              <w:rPr>
                <w:rFonts w:hint="eastAsia" w:ascii="宋体" w:hAnsi="宋体" w:eastAsia="宋体" w:cs="宋体"/>
                <w:bCs/>
                <w:szCs w:val="21"/>
              </w:rPr>
              <w:t>提示"该时间段已被预约，请选择其他时间"</w:t>
            </w:r>
          </w:p>
        </w:tc>
        <w:tc>
          <w:tcPr>
            <w:tcW w:w="1186" w:type="dxa"/>
            <w:tcMar>
              <w:left w:w="108" w:type="dxa"/>
              <w:right w:w="108" w:type="dxa"/>
            </w:tcMar>
            <w:vAlign w:val="center"/>
          </w:tcPr>
          <w:p w14:paraId="6805F04F">
            <w:pPr>
              <w:rPr>
                <w:rFonts w:ascii="宋体" w:hAnsi="宋体" w:eastAsia="宋体" w:cs="宋体"/>
                <w:bCs/>
                <w:szCs w:val="21"/>
              </w:rPr>
            </w:pPr>
            <w:r>
              <w:rPr>
                <w:rFonts w:hint="eastAsia" w:ascii="宋体" w:hAnsi="宋体" w:eastAsia="宋体" w:cs="宋体"/>
                <w:bCs/>
                <w:szCs w:val="21"/>
              </w:rPr>
              <w:t>通过</w:t>
            </w:r>
          </w:p>
        </w:tc>
      </w:tr>
    </w:tbl>
    <w:p w14:paraId="5B362540">
      <w:pPr>
        <w:tabs>
          <w:tab w:val="left" w:pos="330"/>
        </w:tabs>
        <w:spacing w:line="440" w:lineRule="exact"/>
        <w:ind w:firstLine="480" w:firstLineChars="200"/>
        <w:outlineLvl w:val="9"/>
        <w:rPr>
          <w:rFonts w:ascii="宋体" w:hAnsi="宋体" w:eastAsia="宋体" w:cs="宋体"/>
          <w:bCs/>
          <w:sz w:val="24"/>
        </w:rPr>
      </w:pPr>
      <w:bookmarkStart w:id="281" w:name="_Toc21679"/>
      <w:bookmarkStart w:id="282" w:name="_Toc2650"/>
      <w:bookmarkStart w:id="283" w:name="_Toc1912"/>
      <w:bookmarkStart w:id="284" w:name="_Toc29333"/>
      <w:r>
        <w:rPr>
          <w:rFonts w:hint="eastAsia" w:ascii="宋体" w:hAnsi="宋体" w:eastAsia="宋体" w:cs="宋体"/>
          <w:bCs/>
          <w:sz w:val="24"/>
        </w:rPr>
        <w:t>5.3.4 评论功能测试用例</w:t>
      </w:r>
      <w:bookmarkEnd w:id="281"/>
      <w:bookmarkEnd w:id="282"/>
      <w:bookmarkEnd w:id="283"/>
      <w:bookmarkEnd w:id="284"/>
    </w:p>
    <w:p w14:paraId="4144653A">
      <w:pPr>
        <w:widowControl/>
        <w:spacing w:line="440" w:lineRule="exact"/>
        <w:jc w:val="center"/>
        <w:rPr>
          <w:rFonts w:ascii="宋体" w:hAnsi="宋体" w:eastAsia="宋体" w:cs="宋体"/>
          <w:bCs/>
          <w:szCs w:val="21"/>
        </w:rPr>
      </w:pPr>
      <w:r>
        <w:rPr>
          <w:rFonts w:hint="eastAsia" w:ascii="宋体" w:hAnsi="宋体" w:cs="宋体"/>
          <w:bCs/>
          <w:szCs w:val="21"/>
        </w:rPr>
        <w:t>表5-4</w:t>
      </w:r>
      <w:r>
        <w:rPr>
          <w:rFonts w:hint="eastAsia" w:ascii="宋体" w:hAnsi="宋体" w:cs="宋体"/>
          <w:bCs/>
          <w:szCs w:val="21"/>
          <w:lang w:val="en-US" w:eastAsia="zh-CN"/>
        </w:rPr>
        <w:t xml:space="preserve"> </w:t>
      </w:r>
      <w:r>
        <w:rPr>
          <w:rFonts w:hint="eastAsia" w:ascii="宋体" w:hAnsi="宋体" w:cs="宋体"/>
          <w:bCs/>
          <w:szCs w:val="21"/>
        </w:rPr>
        <w:t>评论功能测试表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86"/>
        <w:gridCol w:w="1186"/>
        <w:gridCol w:w="1186"/>
        <w:gridCol w:w="1186"/>
        <w:gridCol w:w="1186"/>
        <w:gridCol w:w="1186"/>
        <w:gridCol w:w="1186"/>
      </w:tblGrid>
      <w:tr w14:paraId="6B02B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50C6F449">
            <w:pPr>
              <w:jc w:val="center"/>
              <w:rPr>
                <w:rFonts w:ascii="宋体" w:hAnsi="宋体" w:eastAsia="宋体" w:cs="宋体"/>
                <w:bCs/>
                <w:szCs w:val="21"/>
              </w:rPr>
            </w:pPr>
            <w:r>
              <w:rPr>
                <w:rFonts w:hint="eastAsia" w:ascii="宋体" w:hAnsi="宋体" w:eastAsia="宋体" w:cs="宋体"/>
                <w:bCs/>
                <w:szCs w:val="21"/>
              </w:rPr>
              <w:t>测试用例编号</w:t>
            </w:r>
          </w:p>
        </w:tc>
        <w:tc>
          <w:tcPr>
            <w:tcW w:w="1186" w:type="dxa"/>
            <w:tcMar>
              <w:left w:w="108" w:type="dxa"/>
              <w:right w:w="108" w:type="dxa"/>
            </w:tcMar>
            <w:vAlign w:val="center"/>
          </w:tcPr>
          <w:p w14:paraId="26D7CEE5">
            <w:pPr>
              <w:jc w:val="center"/>
              <w:rPr>
                <w:rFonts w:ascii="宋体" w:hAnsi="宋体" w:eastAsia="宋体" w:cs="宋体"/>
                <w:bCs/>
                <w:szCs w:val="21"/>
              </w:rPr>
            </w:pPr>
            <w:r>
              <w:rPr>
                <w:rFonts w:hint="eastAsia" w:ascii="宋体" w:hAnsi="宋体" w:eastAsia="宋体" w:cs="宋体"/>
                <w:bCs/>
                <w:szCs w:val="21"/>
              </w:rPr>
              <w:t>项目名称</w:t>
            </w:r>
          </w:p>
        </w:tc>
        <w:tc>
          <w:tcPr>
            <w:tcW w:w="1186" w:type="dxa"/>
            <w:tcMar>
              <w:left w:w="108" w:type="dxa"/>
              <w:right w:w="108" w:type="dxa"/>
            </w:tcMar>
            <w:vAlign w:val="center"/>
          </w:tcPr>
          <w:p w14:paraId="79187DC4">
            <w:pPr>
              <w:jc w:val="center"/>
              <w:rPr>
                <w:rFonts w:ascii="宋体" w:hAnsi="宋体" w:eastAsia="宋体" w:cs="宋体"/>
                <w:bCs/>
                <w:szCs w:val="21"/>
              </w:rPr>
            </w:pPr>
            <w:r>
              <w:rPr>
                <w:rFonts w:hint="eastAsia" w:ascii="宋体" w:hAnsi="宋体" w:eastAsia="宋体" w:cs="宋体"/>
                <w:bCs/>
                <w:szCs w:val="21"/>
              </w:rPr>
              <w:t>用例名称</w:t>
            </w:r>
          </w:p>
        </w:tc>
        <w:tc>
          <w:tcPr>
            <w:tcW w:w="1186" w:type="dxa"/>
            <w:tcMar>
              <w:left w:w="108" w:type="dxa"/>
              <w:right w:w="108" w:type="dxa"/>
            </w:tcMar>
            <w:vAlign w:val="center"/>
          </w:tcPr>
          <w:p w14:paraId="4C474653">
            <w:pPr>
              <w:jc w:val="center"/>
              <w:rPr>
                <w:rFonts w:ascii="宋体" w:hAnsi="宋体" w:eastAsia="宋体" w:cs="宋体"/>
                <w:bCs/>
                <w:szCs w:val="21"/>
              </w:rPr>
            </w:pPr>
            <w:r>
              <w:rPr>
                <w:rFonts w:hint="eastAsia" w:ascii="宋体" w:hAnsi="宋体" w:eastAsia="宋体" w:cs="宋体"/>
                <w:bCs/>
                <w:szCs w:val="21"/>
              </w:rPr>
              <w:t>测试步骤</w:t>
            </w:r>
          </w:p>
        </w:tc>
        <w:tc>
          <w:tcPr>
            <w:tcW w:w="1186" w:type="dxa"/>
            <w:tcMar>
              <w:left w:w="108" w:type="dxa"/>
              <w:right w:w="108" w:type="dxa"/>
            </w:tcMar>
            <w:vAlign w:val="center"/>
          </w:tcPr>
          <w:p w14:paraId="4CD64426">
            <w:pPr>
              <w:jc w:val="center"/>
              <w:rPr>
                <w:rFonts w:ascii="宋体" w:hAnsi="宋体" w:eastAsia="宋体" w:cs="宋体"/>
                <w:bCs/>
                <w:szCs w:val="21"/>
              </w:rPr>
            </w:pPr>
            <w:r>
              <w:rPr>
                <w:rFonts w:hint="eastAsia" w:ascii="宋体" w:hAnsi="宋体" w:eastAsia="宋体" w:cs="宋体"/>
                <w:bCs/>
                <w:szCs w:val="21"/>
              </w:rPr>
              <w:t>输入数据</w:t>
            </w:r>
          </w:p>
        </w:tc>
        <w:tc>
          <w:tcPr>
            <w:tcW w:w="1186" w:type="dxa"/>
            <w:tcMar>
              <w:left w:w="108" w:type="dxa"/>
              <w:right w:w="108" w:type="dxa"/>
            </w:tcMar>
            <w:vAlign w:val="center"/>
          </w:tcPr>
          <w:p w14:paraId="7C515702">
            <w:pPr>
              <w:jc w:val="center"/>
              <w:rPr>
                <w:rFonts w:ascii="宋体" w:hAnsi="宋体" w:eastAsia="宋体" w:cs="宋体"/>
                <w:bCs/>
                <w:szCs w:val="21"/>
              </w:rPr>
            </w:pPr>
            <w:r>
              <w:rPr>
                <w:rFonts w:hint="eastAsia" w:ascii="宋体" w:hAnsi="宋体" w:eastAsia="宋体" w:cs="宋体"/>
                <w:bCs/>
                <w:szCs w:val="21"/>
              </w:rPr>
              <w:t>预期结果</w:t>
            </w:r>
          </w:p>
        </w:tc>
        <w:tc>
          <w:tcPr>
            <w:tcW w:w="1186" w:type="dxa"/>
            <w:tcMar>
              <w:left w:w="108" w:type="dxa"/>
              <w:right w:w="108" w:type="dxa"/>
            </w:tcMar>
            <w:vAlign w:val="center"/>
          </w:tcPr>
          <w:p w14:paraId="1EBCE818">
            <w:pPr>
              <w:jc w:val="center"/>
              <w:rPr>
                <w:rFonts w:ascii="宋体" w:hAnsi="宋体" w:eastAsia="宋体" w:cs="宋体"/>
                <w:bCs/>
                <w:szCs w:val="21"/>
              </w:rPr>
            </w:pPr>
            <w:r>
              <w:rPr>
                <w:rFonts w:hint="eastAsia" w:ascii="宋体" w:hAnsi="宋体" w:eastAsia="宋体" w:cs="宋体"/>
                <w:bCs/>
                <w:szCs w:val="21"/>
              </w:rPr>
              <w:t>实际结果</w:t>
            </w:r>
          </w:p>
        </w:tc>
      </w:tr>
      <w:tr w14:paraId="0C34F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0163F6EA">
            <w:pPr>
              <w:rPr>
                <w:rFonts w:ascii="宋体" w:hAnsi="宋体" w:eastAsia="宋体" w:cs="宋体"/>
                <w:bCs/>
                <w:szCs w:val="21"/>
              </w:rPr>
            </w:pPr>
            <w:r>
              <w:rPr>
                <w:rFonts w:hint="eastAsia" w:ascii="宋体" w:hAnsi="宋体" w:eastAsia="宋体" w:cs="宋体"/>
                <w:bCs/>
                <w:szCs w:val="21"/>
              </w:rPr>
              <w:t>013</w:t>
            </w:r>
          </w:p>
        </w:tc>
        <w:tc>
          <w:tcPr>
            <w:tcW w:w="1186" w:type="dxa"/>
            <w:tcMar>
              <w:left w:w="108" w:type="dxa"/>
              <w:right w:w="108" w:type="dxa"/>
            </w:tcMar>
            <w:vAlign w:val="center"/>
          </w:tcPr>
          <w:p w14:paraId="1474B711">
            <w:pPr>
              <w:rPr>
                <w:rFonts w:ascii="宋体" w:hAnsi="宋体" w:eastAsia="宋体" w:cs="宋体"/>
                <w:bCs/>
                <w:szCs w:val="21"/>
              </w:rPr>
            </w:pPr>
            <w:r>
              <w:rPr>
                <w:rFonts w:hint="eastAsia" w:ascii="宋体" w:hAnsi="宋体" w:eastAsia="宋体" w:cs="宋体"/>
                <w:bCs/>
                <w:szCs w:val="21"/>
              </w:rPr>
              <w:t>评论功能</w:t>
            </w:r>
          </w:p>
        </w:tc>
        <w:tc>
          <w:tcPr>
            <w:tcW w:w="1186" w:type="dxa"/>
            <w:tcMar>
              <w:left w:w="108" w:type="dxa"/>
              <w:right w:w="108" w:type="dxa"/>
            </w:tcMar>
            <w:vAlign w:val="center"/>
          </w:tcPr>
          <w:p w14:paraId="3958D695">
            <w:pPr>
              <w:rPr>
                <w:rFonts w:ascii="宋体" w:hAnsi="宋体" w:eastAsia="宋体" w:cs="宋体"/>
                <w:bCs/>
                <w:szCs w:val="21"/>
              </w:rPr>
            </w:pPr>
            <w:r>
              <w:rPr>
                <w:rFonts w:hint="eastAsia" w:ascii="宋体" w:hAnsi="宋体" w:eastAsia="宋体" w:cs="宋体"/>
                <w:bCs/>
                <w:szCs w:val="21"/>
              </w:rPr>
              <w:t>添加评论</w:t>
            </w:r>
          </w:p>
        </w:tc>
        <w:tc>
          <w:tcPr>
            <w:tcW w:w="1186" w:type="dxa"/>
            <w:tcMar>
              <w:left w:w="108" w:type="dxa"/>
              <w:right w:w="108" w:type="dxa"/>
            </w:tcMar>
            <w:vAlign w:val="center"/>
          </w:tcPr>
          <w:p w14:paraId="7C9688BD">
            <w:pPr>
              <w:rPr>
                <w:rFonts w:ascii="宋体" w:hAnsi="宋体" w:eastAsia="宋体" w:cs="宋体"/>
                <w:bCs/>
                <w:szCs w:val="21"/>
              </w:rPr>
            </w:pPr>
            <w:r>
              <w:rPr>
                <w:rFonts w:hint="eastAsia" w:ascii="宋体" w:hAnsi="宋体" w:eastAsia="宋体" w:cs="宋体"/>
                <w:bCs/>
                <w:szCs w:val="21"/>
              </w:rPr>
              <w:t>1. 用户登录</w:t>
            </w:r>
            <w:r>
              <w:rPr>
                <w:rFonts w:hint="eastAsia" w:ascii="宋体" w:hAnsi="宋体" w:eastAsia="宋体" w:cs="宋体"/>
                <w:bCs/>
                <w:szCs w:val="21"/>
              </w:rPr>
              <w:br w:type="textWrapping"/>
            </w:r>
            <w:r>
              <w:rPr>
                <w:rFonts w:hint="eastAsia" w:ascii="宋体" w:hAnsi="宋体" w:eastAsia="宋体" w:cs="宋体"/>
                <w:bCs/>
                <w:szCs w:val="21"/>
              </w:rPr>
              <w:t>2. 进入已完成的套餐详情页</w:t>
            </w:r>
            <w:r>
              <w:rPr>
                <w:rFonts w:hint="eastAsia" w:ascii="宋体" w:hAnsi="宋体" w:eastAsia="宋体" w:cs="宋体"/>
                <w:bCs/>
                <w:szCs w:val="21"/>
              </w:rPr>
              <w:br w:type="textWrapping"/>
            </w:r>
            <w:r>
              <w:rPr>
                <w:rFonts w:hint="eastAsia" w:ascii="宋体" w:hAnsi="宋体" w:eastAsia="宋体" w:cs="宋体"/>
                <w:bCs/>
                <w:szCs w:val="21"/>
              </w:rPr>
              <w:t>3. 点击"写评论"</w:t>
            </w:r>
            <w:r>
              <w:rPr>
                <w:rFonts w:hint="eastAsia" w:ascii="宋体" w:hAnsi="宋体" w:eastAsia="宋体" w:cs="宋体"/>
                <w:bCs/>
                <w:szCs w:val="21"/>
              </w:rPr>
              <w:br w:type="textWrapping"/>
            </w:r>
            <w:r>
              <w:rPr>
                <w:rFonts w:hint="eastAsia" w:ascii="宋体" w:hAnsi="宋体" w:eastAsia="宋体" w:cs="宋体"/>
                <w:bCs/>
                <w:szCs w:val="21"/>
              </w:rPr>
              <w:t>4. 填写评论内容</w:t>
            </w:r>
            <w:r>
              <w:rPr>
                <w:rFonts w:hint="eastAsia" w:ascii="宋体" w:hAnsi="宋体" w:eastAsia="宋体" w:cs="宋体"/>
                <w:bCs/>
                <w:szCs w:val="21"/>
              </w:rPr>
              <w:br w:type="textWrapping"/>
            </w:r>
            <w:r>
              <w:rPr>
                <w:rFonts w:hint="eastAsia" w:ascii="宋体" w:hAnsi="宋体" w:eastAsia="宋体" w:cs="宋体"/>
                <w:bCs/>
                <w:szCs w:val="21"/>
              </w:rPr>
              <w:t>5. 提交</w:t>
            </w:r>
          </w:p>
        </w:tc>
        <w:tc>
          <w:tcPr>
            <w:tcW w:w="1186" w:type="dxa"/>
            <w:tcMar>
              <w:left w:w="108" w:type="dxa"/>
              <w:right w:w="108" w:type="dxa"/>
            </w:tcMar>
            <w:vAlign w:val="center"/>
          </w:tcPr>
          <w:p w14:paraId="7CFE5B88">
            <w:pPr>
              <w:rPr>
                <w:rFonts w:ascii="宋体" w:hAnsi="宋体" w:eastAsia="宋体" w:cs="宋体"/>
                <w:bCs/>
                <w:szCs w:val="21"/>
              </w:rPr>
            </w:pPr>
            <w:r>
              <w:rPr>
                <w:rFonts w:hint="eastAsia" w:ascii="宋体" w:hAnsi="宋体" w:eastAsia="宋体" w:cs="宋体"/>
                <w:bCs/>
                <w:szCs w:val="21"/>
              </w:rPr>
              <w:t>5星</w:t>
            </w:r>
            <w:r>
              <w:rPr>
                <w:rFonts w:hint="eastAsia" w:ascii="宋体" w:hAnsi="宋体" w:cs="宋体"/>
                <w:bCs/>
                <w:szCs w:val="21"/>
              </w:rPr>
              <w:t>，</w:t>
            </w:r>
            <w:r>
              <w:rPr>
                <w:rFonts w:hint="eastAsia" w:ascii="宋体" w:hAnsi="宋体" w:eastAsia="宋体" w:cs="宋体"/>
                <w:bCs/>
                <w:szCs w:val="21"/>
              </w:rPr>
              <w:t>拍摄效果很好，服务周到</w:t>
            </w:r>
          </w:p>
        </w:tc>
        <w:tc>
          <w:tcPr>
            <w:tcW w:w="1186" w:type="dxa"/>
            <w:tcMar>
              <w:left w:w="108" w:type="dxa"/>
              <w:right w:w="108" w:type="dxa"/>
            </w:tcMar>
            <w:vAlign w:val="center"/>
          </w:tcPr>
          <w:p w14:paraId="2ACA0FF9">
            <w:pPr>
              <w:rPr>
                <w:rFonts w:ascii="宋体" w:hAnsi="宋体" w:eastAsia="宋体" w:cs="宋体"/>
                <w:bCs/>
                <w:szCs w:val="21"/>
              </w:rPr>
            </w:pPr>
            <w:r>
              <w:rPr>
                <w:rFonts w:hint="eastAsia" w:ascii="宋体" w:hAnsi="宋体" w:eastAsia="宋体" w:cs="宋体"/>
                <w:bCs/>
                <w:szCs w:val="21"/>
              </w:rPr>
              <w:t>评论发布成功，显示在评论列表</w:t>
            </w:r>
          </w:p>
        </w:tc>
        <w:tc>
          <w:tcPr>
            <w:tcW w:w="1186" w:type="dxa"/>
            <w:tcMar>
              <w:left w:w="108" w:type="dxa"/>
              <w:right w:w="108" w:type="dxa"/>
            </w:tcMar>
            <w:vAlign w:val="center"/>
          </w:tcPr>
          <w:p w14:paraId="3619B6A5">
            <w:pPr>
              <w:rPr>
                <w:rFonts w:ascii="宋体" w:hAnsi="宋体" w:eastAsia="宋体" w:cs="宋体"/>
                <w:bCs/>
                <w:szCs w:val="21"/>
              </w:rPr>
            </w:pPr>
            <w:r>
              <w:rPr>
                <w:rFonts w:hint="eastAsia" w:ascii="宋体" w:hAnsi="宋体" w:eastAsia="宋体" w:cs="宋体"/>
                <w:bCs/>
                <w:szCs w:val="21"/>
              </w:rPr>
              <w:t>通过</w:t>
            </w:r>
          </w:p>
        </w:tc>
      </w:tr>
      <w:tr w14:paraId="0ED52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86" w:type="dxa"/>
            <w:tcMar>
              <w:left w:w="108" w:type="dxa"/>
              <w:right w:w="108" w:type="dxa"/>
            </w:tcMar>
            <w:vAlign w:val="center"/>
          </w:tcPr>
          <w:p w14:paraId="499895F8">
            <w:pPr>
              <w:rPr>
                <w:rFonts w:ascii="宋体" w:hAnsi="宋体" w:eastAsia="宋体" w:cs="宋体"/>
                <w:bCs/>
                <w:szCs w:val="21"/>
              </w:rPr>
            </w:pPr>
            <w:r>
              <w:rPr>
                <w:rFonts w:hint="eastAsia" w:ascii="宋体" w:hAnsi="宋体" w:eastAsia="宋体" w:cs="宋体"/>
                <w:bCs/>
                <w:szCs w:val="21"/>
              </w:rPr>
              <w:t>01</w:t>
            </w:r>
            <w:r>
              <w:rPr>
                <w:rFonts w:hint="eastAsia" w:ascii="宋体" w:hAnsi="宋体" w:cs="宋体"/>
                <w:bCs/>
                <w:szCs w:val="21"/>
              </w:rPr>
              <w:t>4</w:t>
            </w:r>
          </w:p>
        </w:tc>
        <w:tc>
          <w:tcPr>
            <w:tcW w:w="1186" w:type="dxa"/>
            <w:tcMar>
              <w:left w:w="108" w:type="dxa"/>
              <w:right w:w="108" w:type="dxa"/>
            </w:tcMar>
            <w:vAlign w:val="center"/>
          </w:tcPr>
          <w:p w14:paraId="35F3FE38">
            <w:pPr>
              <w:rPr>
                <w:rFonts w:ascii="宋体" w:hAnsi="宋体" w:eastAsia="宋体" w:cs="宋体"/>
                <w:bCs/>
                <w:szCs w:val="21"/>
              </w:rPr>
            </w:pPr>
            <w:r>
              <w:rPr>
                <w:rFonts w:hint="eastAsia" w:ascii="宋体" w:hAnsi="宋体" w:eastAsia="宋体" w:cs="宋体"/>
                <w:bCs/>
                <w:szCs w:val="21"/>
              </w:rPr>
              <w:t>评论功能</w:t>
            </w:r>
          </w:p>
        </w:tc>
        <w:tc>
          <w:tcPr>
            <w:tcW w:w="1186" w:type="dxa"/>
            <w:tcMar>
              <w:left w:w="108" w:type="dxa"/>
              <w:right w:w="108" w:type="dxa"/>
            </w:tcMar>
            <w:vAlign w:val="center"/>
          </w:tcPr>
          <w:p w14:paraId="4BE0F766">
            <w:pPr>
              <w:rPr>
                <w:rFonts w:ascii="宋体" w:hAnsi="宋体" w:eastAsia="宋体" w:cs="宋体"/>
                <w:bCs/>
                <w:szCs w:val="21"/>
              </w:rPr>
            </w:pPr>
            <w:r>
              <w:rPr>
                <w:rFonts w:hint="eastAsia" w:ascii="宋体" w:hAnsi="宋体" w:eastAsia="宋体" w:cs="宋体"/>
                <w:bCs/>
                <w:szCs w:val="21"/>
              </w:rPr>
              <w:t>管理员审核评论</w:t>
            </w:r>
          </w:p>
        </w:tc>
        <w:tc>
          <w:tcPr>
            <w:tcW w:w="1186" w:type="dxa"/>
            <w:tcMar>
              <w:left w:w="108" w:type="dxa"/>
              <w:right w:w="108" w:type="dxa"/>
            </w:tcMar>
            <w:vAlign w:val="center"/>
          </w:tcPr>
          <w:p w14:paraId="0812ED1E">
            <w:pPr>
              <w:rPr>
                <w:rFonts w:ascii="宋体" w:hAnsi="宋体" w:eastAsia="宋体" w:cs="宋体"/>
                <w:bCs/>
                <w:szCs w:val="21"/>
              </w:rPr>
            </w:pPr>
            <w:r>
              <w:rPr>
                <w:rFonts w:hint="eastAsia" w:ascii="宋体" w:hAnsi="宋体" w:eastAsia="宋体" w:cs="宋体"/>
                <w:bCs/>
                <w:szCs w:val="21"/>
              </w:rPr>
              <w:t>1. 管理员登录</w:t>
            </w:r>
            <w:r>
              <w:rPr>
                <w:rFonts w:hint="eastAsia" w:ascii="宋体" w:hAnsi="宋体" w:eastAsia="宋体" w:cs="宋体"/>
                <w:bCs/>
                <w:szCs w:val="21"/>
              </w:rPr>
              <w:br w:type="textWrapping"/>
            </w:r>
            <w:r>
              <w:rPr>
                <w:rFonts w:hint="eastAsia" w:ascii="宋体" w:hAnsi="宋体" w:eastAsia="宋体" w:cs="宋体"/>
                <w:bCs/>
                <w:szCs w:val="21"/>
              </w:rPr>
              <w:t>2. 进入评论管理</w:t>
            </w:r>
            <w:r>
              <w:rPr>
                <w:rFonts w:hint="eastAsia" w:ascii="宋体" w:hAnsi="宋体" w:eastAsia="宋体" w:cs="宋体"/>
                <w:bCs/>
                <w:szCs w:val="21"/>
              </w:rPr>
              <w:br w:type="textWrapping"/>
            </w:r>
            <w:r>
              <w:rPr>
                <w:rFonts w:hint="eastAsia" w:ascii="宋体" w:hAnsi="宋体" w:eastAsia="宋体" w:cs="宋体"/>
                <w:bCs/>
                <w:szCs w:val="21"/>
              </w:rPr>
              <w:t>3. 审核待审核评论</w:t>
            </w:r>
            <w:r>
              <w:rPr>
                <w:rFonts w:hint="eastAsia" w:ascii="宋体" w:hAnsi="宋体" w:eastAsia="宋体" w:cs="宋体"/>
                <w:bCs/>
                <w:szCs w:val="21"/>
              </w:rPr>
              <w:br w:type="textWrapping"/>
            </w:r>
            <w:r>
              <w:rPr>
                <w:rFonts w:hint="eastAsia" w:ascii="宋体" w:hAnsi="宋体" w:eastAsia="宋体" w:cs="宋体"/>
                <w:bCs/>
                <w:szCs w:val="21"/>
              </w:rPr>
              <w:t>4. 点击"通过"</w:t>
            </w:r>
          </w:p>
        </w:tc>
        <w:tc>
          <w:tcPr>
            <w:tcW w:w="1186" w:type="dxa"/>
            <w:tcMar>
              <w:left w:w="108" w:type="dxa"/>
              <w:right w:w="108" w:type="dxa"/>
            </w:tcMar>
            <w:vAlign w:val="center"/>
          </w:tcPr>
          <w:p w14:paraId="255536D9">
            <w:pPr>
              <w:rPr>
                <w:rFonts w:ascii="宋体" w:hAnsi="宋体" w:eastAsia="宋体" w:cs="宋体"/>
                <w:bCs/>
                <w:szCs w:val="21"/>
              </w:rPr>
            </w:pPr>
            <w:r>
              <w:rPr>
                <w:rFonts w:hint="eastAsia" w:ascii="宋体" w:hAnsi="宋体" w:eastAsia="宋体" w:cs="宋体"/>
                <w:bCs/>
                <w:szCs w:val="21"/>
              </w:rPr>
              <w:t>评论ID：C001</w:t>
            </w:r>
          </w:p>
        </w:tc>
        <w:tc>
          <w:tcPr>
            <w:tcW w:w="1186" w:type="dxa"/>
            <w:tcMar>
              <w:left w:w="108" w:type="dxa"/>
              <w:right w:w="108" w:type="dxa"/>
            </w:tcMar>
            <w:vAlign w:val="center"/>
          </w:tcPr>
          <w:p w14:paraId="2730F80C">
            <w:pPr>
              <w:rPr>
                <w:rFonts w:ascii="宋体" w:hAnsi="宋体" w:eastAsia="宋体" w:cs="宋体"/>
                <w:bCs/>
                <w:szCs w:val="21"/>
              </w:rPr>
            </w:pPr>
            <w:r>
              <w:rPr>
                <w:rFonts w:hint="eastAsia" w:ascii="宋体" w:hAnsi="宋体" w:eastAsia="宋体" w:cs="宋体"/>
                <w:bCs/>
                <w:szCs w:val="21"/>
              </w:rPr>
              <w:t>评论状态变为"已通过"，前台显示</w:t>
            </w:r>
          </w:p>
        </w:tc>
        <w:tc>
          <w:tcPr>
            <w:tcW w:w="1186" w:type="dxa"/>
            <w:tcMar>
              <w:left w:w="108" w:type="dxa"/>
              <w:right w:w="108" w:type="dxa"/>
            </w:tcMar>
            <w:vAlign w:val="center"/>
          </w:tcPr>
          <w:p w14:paraId="62109B7D">
            <w:pPr>
              <w:rPr>
                <w:rFonts w:ascii="宋体" w:hAnsi="宋体" w:eastAsia="宋体" w:cs="宋体"/>
                <w:bCs/>
                <w:szCs w:val="21"/>
              </w:rPr>
            </w:pPr>
            <w:r>
              <w:rPr>
                <w:rFonts w:hint="eastAsia" w:ascii="宋体" w:hAnsi="宋体" w:eastAsia="宋体" w:cs="宋体"/>
                <w:bCs/>
                <w:szCs w:val="21"/>
              </w:rPr>
              <w:t>通过</w:t>
            </w:r>
          </w:p>
        </w:tc>
      </w:tr>
    </w:tbl>
    <w:p w14:paraId="04BA8ACB">
      <w:pPr>
        <w:tabs>
          <w:tab w:val="left" w:pos="330"/>
        </w:tabs>
        <w:spacing w:line="440" w:lineRule="exact"/>
        <w:ind w:firstLine="480" w:firstLineChars="200"/>
        <w:outlineLvl w:val="9"/>
        <w:rPr>
          <w:rFonts w:ascii="宋体" w:hAnsi="宋体" w:eastAsia="宋体" w:cs="宋体"/>
          <w:bCs/>
          <w:sz w:val="24"/>
        </w:rPr>
      </w:pPr>
      <w:bookmarkStart w:id="285" w:name="_Toc8363"/>
      <w:bookmarkStart w:id="286" w:name="_Toc852"/>
      <w:bookmarkStart w:id="287" w:name="_Toc28180"/>
      <w:bookmarkStart w:id="288" w:name="_Toc13244"/>
      <w:r>
        <w:rPr>
          <w:rFonts w:hint="eastAsia" w:ascii="宋体" w:hAnsi="宋体" w:eastAsia="宋体" w:cs="宋体"/>
          <w:bCs/>
          <w:sz w:val="24"/>
        </w:rPr>
        <w:t>5.3.5 系统功能测试统计</w:t>
      </w:r>
      <w:bookmarkEnd w:id="285"/>
      <w:bookmarkEnd w:id="286"/>
      <w:bookmarkEnd w:id="287"/>
      <w:bookmarkEnd w:id="288"/>
    </w:p>
    <w:p w14:paraId="30F0144D">
      <w:pPr>
        <w:widowControl/>
        <w:spacing w:line="440" w:lineRule="exact"/>
        <w:jc w:val="center"/>
        <w:outlineLvl w:val="9"/>
        <w:rPr>
          <w:rFonts w:ascii="宋体" w:hAnsi="宋体" w:eastAsia="宋体" w:cs="宋体"/>
          <w:bCs/>
          <w:szCs w:val="21"/>
        </w:rPr>
      </w:pPr>
      <w:r>
        <w:rPr>
          <w:rFonts w:hint="eastAsia" w:ascii="宋体" w:hAnsi="宋体" w:eastAsia="宋体" w:cs="宋体"/>
          <w:bCs/>
          <w:szCs w:val="21"/>
        </w:rPr>
        <w:t>表5-5</w:t>
      </w:r>
      <w:r>
        <w:rPr>
          <w:rFonts w:hint="eastAsia" w:ascii="宋体" w:hAnsi="宋体" w:eastAsia="宋体" w:cs="宋体"/>
          <w:bCs/>
          <w:szCs w:val="21"/>
          <w:lang w:val="en-US" w:eastAsia="zh-CN"/>
        </w:rPr>
        <w:t xml:space="preserve"> </w:t>
      </w:r>
      <w:r>
        <w:rPr>
          <w:rFonts w:hint="eastAsia" w:ascii="宋体" w:hAnsi="宋体" w:eastAsia="宋体" w:cs="宋体"/>
          <w:bCs/>
          <w:szCs w:val="21"/>
        </w:rPr>
        <w:t>功能测试统计表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661"/>
        <w:gridCol w:w="1661"/>
        <w:gridCol w:w="1661"/>
        <w:gridCol w:w="1661"/>
        <w:gridCol w:w="1661"/>
      </w:tblGrid>
      <w:tr w14:paraId="60794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1" w:type="dxa"/>
            <w:tcMar>
              <w:left w:w="108" w:type="dxa"/>
              <w:right w:w="108" w:type="dxa"/>
            </w:tcMar>
            <w:vAlign w:val="center"/>
          </w:tcPr>
          <w:p w14:paraId="1D849645">
            <w:pPr>
              <w:spacing w:line="440" w:lineRule="exact"/>
              <w:jc w:val="center"/>
              <w:rPr>
                <w:rFonts w:ascii="宋体" w:hAnsi="宋体" w:eastAsia="宋体" w:cs="宋体"/>
                <w:bCs/>
                <w:szCs w:val="21"/>
              </w:rPr>
            </w:pPr>
            <w:r>
              <w:rPr>
                <w:rFonts w:hint="eastAsia" w:ascii="宋体" w:hAnsi="宋体" w:eastAsia="宋体" w:cs="宋体"/>
                <w:bCs/>
                <w:szCs w:val="21"/>
              </w:rPr>
              <w:t>测试模块</w:t>
            </w:r>
          </w:p>
        </w:tc>
        <w:tc>
          <w:tcPr>
            <w:tcW w:w="1661" w:type="dxa"/>
            <w:tcMar>
              <w:left w:w="108" w:type="dxa"/>
              <w:right w:w="108" w:type="dxa"/>
            </w:tcMar>
            <w:vAlign w:val="center"/>
          </w:tcPr>
          <w:p w14:paraId="5A5D1E5C">
            <w:pPr>
              <w:spacing w:line="440" w:lineRule="exact"/>
              <w:jc w:val="center"/>
              <w:rPr>
                <w:rFonts w:ascii="宋体" w:hAnsi="宋体" w:eastAsia="宋体" w:cs="宋体"/>
                <w:bCs/>
                <w:szCs w:val="21"/>
              </w:rPr>
            </w:pPr>
            <w:r>
              <w:rPr>
                <w:rFonts w:hint="eastAsia" w:ascii="宋体" w:hAnsi="宋体" w:eastAsia="宋体" w:cs="宋体"/>
                <w:bCs/>
                <w:szCs w:val="21"/>
              </w:rPr>
              <w:t>总用例数</w:t>
            </w:r>
          </w:p>
        </w:tc>
        <w:tc>
          <w:tcPr>
            <w:tcW w:w="1661" w:type="dxa"/>
            <w:tcMar>
              <w:left w:w="108" w:type="dxa"/>
              <w:right w:w="108" w:type="dxa"/>
            </w:tcMar>
            <w:vAlign w:val="center"/>
          </w:tcPr>
          <w:p w14:paraId="4DF002AC">
            <w:pPr>
              <w:spacing w:line="440" w:lineRule="exact"/>
              <w:jc w:val="center"/>
              <w:rPr>
                <w:rFonts w:ascii="宋体" w:hAnsi="宋体" w:eastAsia="宋体" w:cs="宋体"/>
                <w:bCs/>
                <w:szCs w:val="21"/>
              </w:rPr>
            </w:pPr>
            <w:r>
              <w:rPr>
                <w:rFonts w:hint="eastAsia" w:ascii="宋体" w:hAnsi="宋体" w:eastAsia="宋体" w:cs="宋体"/>
                <w:bCs/>
                <w:szCs w:val="21"/>
              </w:rPr>
              <w:t>通过数</w:t>
            </w:r>
          </w:p>
        </w:tc>
        <w:tc>
          <w:tcPr>
            <w:tcW w:w="1661" w:type="dxa"/>
            <w:tcMar>
              <w:left w:w="108" w:type="dxa"/>
              <w:right w:w="108" w:type="dxa"/>
            </w:tcMar>
            <w:vAlign w:val="center"/>
          </w:tcPr>
          <w:p w14:paraId="36E2D0FD">
            <w:pPr>
              <w:spacing w:line="440" w:lineRule="exact"/>
              <w:jc w:val="center"/>
              <w:rPr>
                <w:rFonts w:ascii="宋体" w:hAnsi="宋体" w:eastAsia="宋体" w:cs="宋体"/>
                <w:bCs/>
                <w:szCs w:val="21"/>
              </w:rPr>
            </w:pPr>
            <w:r>
              <w:rPr>
                <w:rFonts w:hint="eastAsia" w:ascii="宋体" w:hAnsi="宋体" w:eastAsia="宋体" w:cs="宋体"/>
                <w:bCs/>
                <w:szCs w:val="21"/>
              </w:rPr>
              <w:t>失败数</w:t>
            </w:r>
          </w:p>
        </w:tc>
        <w:tc>
          <w:tcPr>
            <w:tcW w:w="1661" w:type="dxa"/>
            <w:tcMar>
              <w:left w:w="108" w:type="dxa"/>
              <w:right w:w="108" w:type="dxa"/>
            </w:tcMar>
            <w:vAlign w:val="center"/>
          </w:tcPr>
          <w:p w14:paraId="39259B67">
            <w:pPr>
              <w:spacing w:line="440" w:lineRule="exact"/>
              <w:jc w:val="center"/>
              <w:rPr>
                <w:rFonts w:ascii="宋体" w:hAnsi="宋体" w:eastAsia="宋体" w:cs="宋体"/>
                <w:bCs/>
                <w:szCs w:val="21"/>
              </w:rPr>
            </w:pPr>
            <w:r>
              <w:rPr>
                <w:rFonts w:hint="eastAsia" w:ascii="宋体" w:hAnsi="宋体" w:eastAsia="宋体" w:cs="宋体"/>
                <w:bCs/>
                <w:szCs w:val="21"/>
              </w:rPr>
              <w:t>通过率</w:t>
            </w:r>
          </w:p>
        </w:tc>
      </w:tr>
      <w:tr w14:paraId="6EE8A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79021875">
            <w:pPr>
              <w:spacing w:line="440" w:lineRule="exact"/>
              <w:rPr>
                <w:rFonts w:ascii="宋体" w:hAnsi="宋体" w:eastAsia="宋体" w:cs="宋体"/>
                <w:bCs/>
                <w:szCs w:val="21"/>
              </w:rPr>
            </w:pPr>
            <w:r>
              <w:rPr>
                <w:rFonts w:hint="eastAsia" w:ascii="宋体" w:hAnsi="宋体" w:eastAsia="宋体" w:cs="宋体"/>
                <w:bCs/>
                <w:szCs w:val="21"/>
              </w:rPr>
              <w:t>用户登录模块</w:t>
            </w:r>
          </w:p>
        </w:tc>
        <w:tc>
          <w:tcPr>
            <w:tcW w:w="1661" w:type="dxa"/>
            <w:tcMar>
              <w:left w:w="108" w:type="dxa"/>
              <w:right w:w="108" w:type="dxa"/>
            </w:tcMar>
            <w:vAlign w:val="center"/>
          </w:tcPr>
          <w:p w14:paraId="3CBC5A41">
            <w:pPr>
              <w:spacing w:line="440" w:lineRule="exact"/>
              <w:rPr>
                <w:rFonts w:ascii="宋体" w:hAnsi="宋体" w:eastAsia="宋体" w:cs="宋体"/>
                <w:bCs/>
                <w:szCs w:val="21"/>
              </w:rPr>
            </w:pPr>
            <w:r>
              <w:rPr>
                <w:rFonts w:hint="eastAsia" w:ascii="宋体" w:hAnsi="宋体" w:eastAsia="宋体" w:cs="宋体"/>
                <w:bCs/>
                <w:szCs w:val="21"/>
              </w:rPr>
              <w:t>12</w:t>
            </w:r>
          </w:p>
        </w:tc>
        <w:tc>
          <w:tcPr>
            <w:tcW w:w="1661" w:type="dxa"/>
            <w:tcMar>
              <w:left w:w="108" w:type="dxa"/>
              <w:right w:w="108" w:type="dxa"/>
            </w:tcMar>
            <w:vAlign w:val="center"/>
          </w:tcPr>
          <w:p w14:paraId="5FCCFF29">
            <w:pPr>
              <w:spacing w:line="440" w:lineRule="exact"/>
              <w:rPr>
                <w:rFonts w:ascii="宋体" w:hAnsi="宋体" w:eastAsia="宋体" w:cs="宋体"/>
                <w:bCs/>
                <w:szCs w:val="21"/>
              </w:rPr>
            </w:pPr>
            <w:r>
              <w:rPr>
                <w:rFonts w:hint="eastAsia" w:ascii="宋体" w:hAnsi="宋体" w:eastAsia="宋体" w:cs="宋体"/>
                <w:bCs/>
                <w:szCs w:val="21"/>
              </w:rPr>
              <w:t>12</w:t>
            </w:r>
          </w:p>
        </w:tc>
        <w:tc>
          <w:tcPr>
            <w:tcW w:w="1661" w:type="dxa"/>
            <w:tcMar>
              <w:left w:w="108" w:type="dxa"/>
              <w:right w:w="108" w:type="dxa"/>
            </w:tcMar>
            <w:vAlign w:val="center"/>
          </w:tcPr>
          <w:p w14:paraId="47CC0F25">
            <w:pPr>
              <w:spacing w:line="440" w:lineRule="exact"/>
              <w:rPr>
                <w:rFonts w:ascii="宋体" w:hAnsi="宋体" w:eastAsia="宋体" w:cs="宋体"/>
                <w:bCs/>
                <w:szCs w:val="21"/>
              </w:rPr>
            </w:pPr>
            <w:r>
              <w:rPr>
                <w:rFonts w:hint="eastAsia" w:ascii="宋体" w:hAnsi="宋体" w:eastAsia="宋体" w:cs="宋体"/>
                <w:bCs/>
                <w:szCs w:val="21"/>
              </w:rPr>
              <w:t>0</w:t>
            </w:r>
          </w:p>
        </w:tc>
        <w:tc>
          <w:tcPr>
            <w:tcW w:w="1661" w:type="dxa"/>
            <w:tcMar>
              <w:left w:w="108" w:type="dxa"/>
              <w:right w:w="108" w:type="dxa"/>
            </w:tcMar>
            <w:vAlign w:val="center"/>
          </w:tcPr>
          <w:p w14:paraId="16424743">
            <w:pPr>
              <w:spacing w:line="440" w:lineRule="exact"/>
              <w:rPr>
                <w:rFonts w:ascii="宋体" w:hAnsi="宋体" w:eastAsia="宋体" w:cs="宋体"/>
                <w:bCs/>
                <w:szCs w:val="21"/>
              </w:rPr>
            </w:pPr>
            <w:r>
              <w:rPr>
                <w:rFonts w:hint="eastAsia" w:ascii="宋体" w:hAnsi="宋体" w:eastAsia="宋体" w:cs="宋体"/>
                <w:bCs/>
                <w:szCs w:val="21"/>
              </w:rPr>
              <w:t>100%</w:t>
            </w:r>
          </w:p>
        </w:tc>
      </w:tr>
      <w:tr w14:paraId="125D4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79EECEB7">
            <w:pPr>
              <w:spacing w:line="440" w:lineRule="exact"/>
              <w:rPr>
                <w:rFonts w:ascii="宋体" w:hAnsi="宋体" w:eastAsia="宋体" w:cs="宋体"/>
                <w:bCs/>
                <w:szCs w:val="21"/>
              </w:rPr>
            </w:pPr>
            <w:r>
              <w:rPr>
                <w:rFonts w:hint="eastAsia" w:ascii="宋体" w:hAnsi="宋体" w:eastAsia="宋体" w:cs="宋体"/>
                <w:bCs/>
                <w:szCs w:val="21"/>
              </w:rPr>
              <w:t>套餐管理模块</w:t>
            </w:r>
          </w:p>
        </w:tc>
        <w:tc>
          <w:tcPr>
            <w:tcW w:w="1661" w:type="dxa"/>
            <w:tcMar>
              <w:left w:w="108" w:type="dxa"/>
              <w:right w:w="108" w:type="dxa"/>
            </w:tcMar>
            <w:vAlign w:val="center"/>
          </w:tcPr>
          <w:p w14:paraId="4CB4CC22">
            <w:pPr>
              <w:spacing w:line="440" w:lineRule="exact"/>
              <w:rPr>
                <w:rFonts w:ascii="宋体" w:hAnsi="宋体" w:eastAsia="宋体" w:cs="宋体"/>
                <w:bCs/>
                <w:szCs w:val="21"/>
              </w:rPr>
            </w:pPr>
            <w:r>
              <w:rPr>
                <w:rFonts w:hint="eastAsia" w:ascii="宋体" w:hAnsi="宋体" w:eastAsia="宋体" w:cs="宋体"/>
                <w:bCs/>
                <w:szCs w:val="21"/>
              </w:rPr>
              <w:t>15</w:t>
            </w:r>
          </w:p>
        </w:tc>
        <w:tc>
          <w:tcPr>
            <w:tcW w:w="1661" w:type="dxa"/>
            <w:tcMar>
              <w:left w:w="108" w:type="dxa"/>
              <w:right w:w="108" w:type="dxa"/>
            </w:tcMar>
            <w:vAlign w:val="center"/>
          </w:tcPr>
          <w:p w14:paraId="58ABAC56">
            <w:pPr>
              <w:spacing w:line="440" w:lineRule="exact"/>
              <w:rPr>
                <w:rFonts w:ascii="宋体" w:hAnsi="宋体" w:eastAsia="宋体" w:cs="宋体"/>
                <w:bCs/>
                <w:szCs w:val="21"/>
              </w:rPr>
            </w:pPr>
            <w:r>
              <w:rPr>
                <w:rFonts w:hint="eastAsia" w:ascii="宋体" w:hAnsi="宋体" w:eastAsia="宋体" w:cs="宋体"/>
                <w:bCs/>
                <w:szCs w:val="21"/>
              </w:rPr>
              <w:t>15</w:t>
            </w:r>
          </w:p>
        </w:tc>
        <w:tc>
          <w:tcPr>
            <w:tcW w:w="1661" w:type="dxa"/>
            <w:tcMar>
              <w:left w:w="108" w:type="dxa"/>
              <w:right w:w="108" w:type="dxa"/>
            </w:tcMar>
            <w:vAlign w:val="center"/>
          </w:tcPr>
          <w:p w14:paraId="6CED6A85">
            <w:pPr>
              <w:spacing w:line="440" w:lineRule="exact"/>
              <w:rPr>
                <w:rFonts w:ascii="宋体" w:hAnsi="宋体" w:eastAsia="宋体" w:cs="宋体"/>
                <w:bCs/>
                <w:szCs w:val="21"/>
              </w:rPr>
            </w:pPr>
            <w:r>
              <w:rPr>
                <w:rFonts w:hint="eastAsia" w:ascii="宋体" w:hAnsi="宋体" w:eastAsia="宋体" w:cs="宋体"/>
                <w:bCs/>
                <w:szCs w:val="21"/>
              </w:rPr>
              <w:t>0</w:t>
            </w:r>
          </w:p>
        </w:tc>
        <w:tc>
          <w:tcPr>
            <w:tcW w:w="1661" w:type="dxa"/>
            <w:tcMar>
              <w:left w:w="108" w:type="dxa"/>
              <w:right w:w="108" w:type="dxa"/>
            </w:tcMar>
            <w:vAlign w:val="center"/>
          </w:tcPr>
          <w:p w14:paraId="6D2C88A3">
            <w:pPr>
              <w:spacing w:line="440" w:lineRule="exact"/>
              <w:rPr>
                <w:rFonts w:ascii="宋体" w:hAnsi="宋体" w:eastAsia="宋体" w:cs="宋体"/>
                <w:bCs/>
                <w:szCs w:val="21"/>
              </w:rPr>
            </w:pPr>
            <w:r>
              <w:rPr>
                <w:rFonts w:hint="eastAsia" w:ascii="宋体" w:hAnsi="宋体" w:eastAsia="宋体" w:cs="宋体"/>
                <w:bCs/>
                <w:szCs w:val="21"/>
              </w:rPr>
              <w:t>100%</w:t>
            </w:r>
          </w:p>
        </w:tc>
      </w:tr>
      <w:tr w14:paraId="1ADC6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4C6320B9">
            <w:pPr>
              <w:spacing w:line="440" w:lineRule="exact"/>
              <w:rPr>
                <w:rFonts w:ascii="宋体" w:hAnsi="宋体" w:eastAsia="宋体" w:cs="宋体"/>
                <w:bCs/>
                <w:szCs w:val="21"/>
              </w:rPr>
            </w:pPr>
            <w:r>
              <w:rPr>
                <w:rFonts w:hint="eastAsia" w:ascii="宋体" w:hAnsi="宋体" w:eastAsia="宋体" w:cs="宋体"/>
                <w:bCs/>
                <w:szCs w:val="21"/>
              </w:rPr>
              <w:t>预约功能模块</w:t>
            </w:r>
          </w:p>
        </w:tc>
        <w:tc>
          <w:tcPr>
            <w:tcW w:w="1661" w:type="dxa"/>
            <w:tcMar>
              <w:left w:w="108" w:type="dxa"/>
              <w:right w:w="108" w:type="dxa"/>
            </w:tcMar>
            <w:vAlign w:val="center"/>
          </w:tcPr>
          <w:p w14:paraId="37BA61AC">
            <w:pPr>
              <w:spacing w:line="440" w:lineRule="exact"/>
              <w:rPr>
                <w:rFonts w:ascii="宋体" w:hAnsi="宋体" w:eastAsia="宋体" w:cs="宋体"/>
                <w:bCs/>
                <w:szCs w:val="21"/>
              </w:rPr>
            </w:pPr>
            <w:r>
              <w:rPr>
                <w:rFonts w:hint="eastAsia" w:ascii="宋体" w:hAnsi="宋体" w:eastAsia="宋体" w:cs="宋体"/>
                <w:bCs/>
                <w:szCs w:val="21"/>
              </w:rPr>
              <w:t>18</w:t>
            </w:r>
          </w:p>
        </w:tc>
        <w:tc>
          <w:tcPr>
            <w:tcW w:w="1661" w:type="dxa"/>
            <w:tcMar>
              <w:left w:w="108" w:type="dxa"/>
              <w:right w:w="108" w:type="dxa"/>
            </w:tcMar>
            <w:vAlign w:val="center"/>
          </w:tcPr>
          <w:p w14:paraId="6E192E0C">
            <w:pPr>
              <w:spacing w:line="440" w:lineRule="exact"/>
              <w:rPr>
                <w:rFonts w:ascii="宋体" w:hAnsi="宋体" w:eastAsia="宋体" w:cs="宋体"/>
                <w:bCs/>
                <w:szCs w:val="21"/>
              </w:rPr>
            </w:pPr>
            <w:r>
              <w:rPr>
                <w:rFonts w:hint="eastAsia" w:ascii="宋体" w:hAnsi="宋体" w:eastAsia="宋体" w:cs="宋体"/>
                <w:bCs/>
                <w:szCs w:val="21"/>
              </w:rPr>
              <w:t>17</w:t>
            </w:r>
          </w:p>
        </w:tc>
        <w:tc>
          <w:tcPr>
            <w:tcW w:w="1661" w:type="dxa"/>
            <w:tcMar>
              <w:left w:w="108" w:type="dxa"/>
              <w:right w:w="108" w:type="dxa"/>
            </w:tcMar>
            <w:vAlign w:val="center"/>
          </w:tcPr>
          <w:p w14:paraId="373AE7CD">
            <w:pPr>
              <w:spacing w:line="440" w:lineRule="exact"/>
              <w:rPr>
                <w:rFonts w:ascii="宋体" w:hAnsi="宋体" w:eastAsia="宋体" w:cs="宋体"/>
                <w:bCs/>
                <w:szCs w:val="21"/>
              </w:rPr>
            </w:pPr>
            <w:r>
              <w:rPr>
                <w:rFonts w:hint="eastAsia" w:ascii="宋体" w:hAnsi="宋体" w:eastAsia="宋体" w:cs="宋体"/>
                <w:bCs/>
                <w:szCs w:val="21"/>
              </w:rPr>
              <w:t>1</w:t>
            </w:r>
          </w:p>
        </w:tc>
        <w:tc>
          <w:tcPr>
            <w:tcW w:w="1661" w:type="dxa"/>
            <w:tcMar>
              <w:left w:w="108" w:type="dxa"/>
              <w:right w:w="108" w:type="dxa"/>
            </w:tcMar>
            <w:vAlign w:val="center"/>
          </w:tcPr>
          <w:p w14:paraId="0EF6C157">
            <w:pPr>
              <w:spacing w:line="440" w:lineRule="exact"/>
              <w:rPr>
                <w:rFonts w:ascii="宋体" w:hAnsi="宋体" w:eastAsia="宋体" w:cs="宋体"/>
                <w:bCs/>
                <w:szCs w:val="21"/>
              </w:rPr>
            </w:pPr>
            <w:r>
              <w:rPr>
                <w:rFonts w:hint="eastAsia" w:ascii="宋体" w:hAnsi="宋体" w:eastAsia="宋体" w:cs="宋体"/>
                <w:bCs/>
                <w:szCs w:val="21"/>
              </w:rPr>
              <w:t>94.4%</w:t>
            </w:r>
          </w:p>
        </w:tc>
      </w:tr>
      <w:tr w14:paraId="2FA6F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741674BF">
            <w:pPr>
              <w:spacing w:line="440" w:lineRule="exact"/>
              <w:rPr>
                <w:rFonts w:ascii="宋体" w:hAnsi="宋体" w:eastAsia="宋体" w:cs="宋体"/>
                <w:bCs/>
                <w:szCs w:val="21"/>
              </w:rPr>
            </w:pPr>
            <w:r>
              <w:rPr>
                <w:rFonts w:hint="eastAsia" w:ascii="宋体" w:hAnsi="宋体" w:eastAsia="宋体" w:cs="宋体"/>
                <w:bCs/>
                <w:szCs w:val="21"/>
              </w:rPr>
              <w:t>评论功能模块</w:t>
            </w:r>
          </w:p>
        </w:tc>
        <w:tc>
          <w:tcPr>
            <w:tcW w:w="1661" w:type="dxa"/>
            <w:tcMar>
              <w:left w:w="108" w:type="dxa"/>
              <w:right w:w="108" w:type="dxa"/>
            </w:tcMar>
            <w:vAlign w:val="center"/>
          </w:tcPr>
          <w:p w14:paraId="749D2087">
            <w:pPr>
              <w:spacing w:line="440" w:lineRule="exact"/>
              <w:rPr>
                <w:rFonts w:ascii="宋体" w:hAnsi="宋体" w:eastAsia="宋体" w:cs="宋体"/>
                <w:bCs/>
                <w:szCs w:val="21"/>
              </w:rPr>
            </w:pPr>
            <w:r>
              <w:rPr>
                <w:rFonts w:hint="eastAsia" w:ascii="宋体" w:hAnsi="宋体" w:eastAsia="宋体" w:cs="宋体"/>
                <w:bCs/>
                <w:szCs w:val="21"/>
              </w:rPr>
              <w:t>10</w:t>
            </w:r>
          </w:p>
        </w:tc>
        <w:tc>
          <w:tcPr>
            <w:tcW w:w="1661" w:type="dxa"/>
            <w:tcMar>
              <w:left w:w="108" w:type="dxa"/>
              <w:right w:w="108" w:type="dxa"/>
            </w:tcMar>
            <w:vAlign w:val="center"/>
          </w:tcPr>
          <w:p w14:paraId="54FA0C3B">
            <w:pPr>
              <w:spacing w:line="440" w:lineRule="exact"/>
              <w:rPr>
                <w:rFonts w:ascii="宋体" w:hAnsi="宋体" w:eastAsia="宋体" w:cs="宋体"/>
                <w:bCs/>
                <w:szCs w:val="21"/>
              </w:rPr>
            </w:pPr>
            <w:r>
              <w:rPr>
                <w:rFonts w:hint="eastAsia" w:ascii="宋体" w:hAnsi="宋体" w:eastAsia="宋体" w:cs="宋体"/>
                <w:bCs/>
                <w:szCs w:val="21"/>
              </w:rPr>
              <w:t>10</w:t>
            </w:r>
          </w:p>
        </w:tc>
        <w:tc>
          <w:tcPr>
            <w:tcW w:w="1661" w:type="dxa"/>
            <w:tcMar>
              <w:left w:w="108" w:type="dxa"/>
              <w:right w:w="108" w:type="dxa"/>
            </w:tcMar>
            <w:vAlign w:val="center"/>
          </w:tcPr>
          <w:p w14:paraId="64529A86">
            <w:pPr>
              <w:spacing w:line="440" w:lineRule="exact"/>
              <w:rPr>
                <w:rFonts w:ascii="宋体" w:hAnsi="宋体" w:eastAsia="宋体" w:cs="宋体"/>
                <w:bCs/>
                <w:szCs w:val="21"/>
              </w:rPr>
            </w:pPr>
            <w:r>
              <w:rPr>
                <w:rFonts w:hint="eastAsia" w:ascii="宋体" w:hAnsi="宋体" w:eastAsia="宋体" w:cs="宋体"/>
                <w:bCs/>
                <w:szCs w:val="21"/>
              </w:rPr>
              <w:t>0</w:t>
            </w:r>
          </w:p>
        </w:tc>
        <w:tc>
          <w:tcPr>
            <w:tcW w:w="1661" w:type="dxa"/>
            <w:tcMar>
              <w:left w:w="108" w:type="dxa"/>
              <w:right w:w="108" w:type="dxa"/>
            </w:tcMar>
            <w:vAlign w:val="center"/>
          </w:tcPr>
          <w:p w14:paraId="513E5454">
            <w:pPr>
              <w:spacing w:line="440" w:lineRule="exact"/>
              <w:rPr>
                <w:rFonts w:ascii="宋体" w:hAnsi="宋体" w:eastAsia="宋体" w:cs="宋体"/>
                <w:bCs/>
                <w:szCs w:val="21"/>
              </w:rPr>
            </w:pPr>
            <w:r>
              <w:rPr>
                <w:rFonts w:hint="eastAsia" w:ascii="宋体" w:hAnsi="宋体" w:eastAsia="宋体" w:cs="宋体"/>
                <w:bCs/>
                <w:szCs w:val="21"/>
              </w:rPr>
              <w:t>100%</w:t>
            </w:r>
          </w:p>
        </w:tc>
      </w:tr>
      <w:tr w14:paraId="0A1D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17261696">
            <w:pPr>
              <w:spacing w:line="440" w:lineRule="exact"/>
              <w:rPr>
                <w:rFonts w:ascii="宋体" w:hAnsi="宋体" w:eastAsia="宋体" w:cs="宋体"/>
                <w:bCs/>
                <w:szCs w:val="21"/>
              </w:rPr>
            </w:pPr>
            <w:r>
              <w:rPr>
                <w:rFonts w:hint="eastAsia" w:ascii="宋体" w:hAnsi="宋体" w:eastAsia="宋体" w:cs="宋体"/>
                <w:bCs/>
                <w:szCs w:val="21"/>
              </w:rPr>
              <w:t>用户中心模块</w:t>
            </w:r>
          </w:p>
        </w:tc>
        <w:tc>
          <w:tcPr>
            <w:tcW w:w="1661" w:type="dxa"/>
            <w:tcMar>
              <w:left w:w="108" w:type="dxa"/>
              <w:right w:w="108" w:type="dxa"/>
            </w:tcMar>
            <w:vAlign w:val="center"/>
          </w:tcPr>
          <w:p w14:paraId="516CCB23">
            <w:pPr>
              <w:spacing w:line="440" w:lineRule="exact"/>
              <w:rPr>
                <w:rFonts w:ascii="宋体" w:hAnsi="宋体" w:eastAsia="宋体" w:cs="宋体"/>
                <w:bCs/>
                <w:szCs w:val="21"/>
              </w:rPr>
            </w:pPr>
            <w:r>
              <w:rPr>
                <w:rFonts w:hint="eastAsia" w:ascii="宋体" w:hAnsi="宋体" w:eastAsia="宋体" w:cs="宋体"/>
                <w:bCs/>
                <w:szCs w:val="21"/>
              </w:rPr>
              <w:t>10</w:t>
            </w:r>
          </w:p>
        </w:tc>
        <w:tc>
          <w:tcPr>
            <w:tcW w:w="1661" w:type="dxa"/>
            <w:tcMar>
              <w:left w:w="108" w:type="dxa"/>
              <w:right w:w="108" w:type="dxa"/>
            </w:tcMar>
            <w:vAlign w:val="center"/>
          </w:tcPr>
          <w:p w14:paraId="062E3CCF">
            <w:pPr>
              <w:spacing w:line="440" w:lineRule="exact"/>
              <w:rPr>
                <w:rFonts w:ascii="宋体" w:hAnsi="宋体" w:eastAsia="宋体" w:cs="宋体"/>
                <w:bCs/>
                <w:szCs w:val="21"/>
              </w:rPr>
            </w:pPr>
            <w:r>
              <w:rPr>
                <w:rFonts w:hint="eastAsia" w:ascii="宋体" w:hAnsi="宋体" w:eastAsia="宋体" w:cs="宋体"/>
                <w:bCs/>
                <w:szCs w:val="21"/>
              </w:rPr>
              <w:t>10</w:t>
            </w:r>
          </w:p>
        </w:tc>
        <w:tc>
          <w:tcPr>
            <w:tcW w:w="1661" w:type="dxa"/>
            <w:tcMar>
              <w:left w:w="108" w:type="dxa"/>
              <w:right w:w="108" w:type="dxa"/>
            </w:tcMar>
            <w:vAlign w:val="center"/>
          </w:tcPr>
          <w:p w14:paraId="6D9442E0">
            <w:pPr>
              <w:spacing w:line="440" w:lineRule="exact"/>
              <w:rPr>
                <w:rFonts w:ascii="宋体" w:hAnsi="宋体" w:eastAsia="宋体" w:cs="宋体"/>
                <w:bCs/>
                <w:szCs w:val="21"/>
              </w:rPr>
            </w:pPr>
            <w:r>
              <w:rPr>
                <w:rFonts w:hint="eastAsia" w:ascii="宋体" w:hAnsi="宋体" w:eastAsia="宋体" w:cs="宋体"/>
                <w:bCs/>
                <w:szCs w:val="21"/>
              </w:rPr>
              <w:t>0</w:t>
            </w:r>
          </w:p>
        </w:tc>
        <w:tc>
          <w:tcPr>
            <w:tcW w:w="1661" w:type="dxa"/>
            <w:tcMar>
              <w:left w:w="108" w:type="dxa"/>
              <w:right w:w="108" w:type="dxa"/>
            </w:tcMar>
            <w:vAlign w:val="center"/>
          </w:tcPr>
          <w:p w14:paraId="3CB8C838">
            <w:pPr>
              <w:spacing w:line="440" w:lineRule="exact"/>
              <w:rPr>
                <w:rFonts w:ascii="宋体" w:hAnsi="宋体" w:eastAsia="宋体" w:cs="宋体"/>
                <w:bCs/>
                <w:szCs w:val="21"/>
              </w:rPr>
            </w:pPr>
            <w:r>
              <w:rPr>
                <w:rFonts w:hint="eastAsia" w:ascii="宋体" w:hAnsi="宋体" w:eastAsia="宋体" w:cs="宋体"/>
                <w:bCs/>
                <w:szCs w:val="21"/>
              </w:rPr>
              <w:t>100%</w:t>
            </w:r>
          </w:p>
        </w:tc>
      </w:tr>
      <w:tr w14:paraId="72710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661" w:type="dxa"/>
            <w:tcMar>
              <w:left w:w="108" w:type="dxa"/>
              <w:right w:w="108" w:type="dxa"/>
            </w:tcMar>
            <w:vAlign w:val="center"/>
          </w:tcPr>
          <w:p w14:paraId="2F378A4B">
            <w:pPr>
              <w:spacing w:line="440" w:lineRule="exact"/>
              <w:rPr>
                <w:rFonts w:ascii="宋体" w:hAnsi="宋体" w:eastAsia="宋体" w:cs="宋体"/>
                <w:bCs/>
                <w:szCs w:val="21"/>
              </w:rPr>
            </w:pPr>
            <w:r>
              <w:rPr>
                <w:rFonts w:hint="eastAsia" w:ascii="宋体" w:hAnsi="宋体" w:eastAsia="宋体" w:cs="宋体"/>
                <w:bCs/>
                <w:szCs w:val="21"/>
              </w:rPr>
              <w:t>总计</w:t>
            </w:r>
          </w:p>
        </w:tc>
        <w:tc>
          <w:tcPr>
            <w:tcW w:w="1661" w:type="dxa"/>
            <w:tcMar>
              <w:left w:w="108" w:type="dxa"/>
              <w:right w:w="108" w:type="dxa"/>
            </w:tcMar>
            <w:vAlign w:val="center"/>
          </w:tcPr>
          <w:p w14:paraId="4839533F">
            <w:pPr>
              <w:spacing w:line="440" w:lineRule="exact"/>
              <w:rPr>
                <w:rFonts w:ascii="宋体" w:hAnsi="宋体" w:eastAsia="宋体" w:cs="宋体"/>
                <w:bCs/>
                <w:szCs w:val="21"/>
              </w:rPr>
            </w:pPr>
            <w:r>
              <w:rPr>
                <w:rFonts w:hint="eastAsia" w:ascii="宋体" w:hAnsi="宋体" w:eastAsia="宋体" w:cs="宋体"/>
                <w:bCs/>
                <w:szCs w:val="21"/>
              </w:rPr>
              <w:t>65</w:t>
            </w:r>
          </w:p>
        </w:tc>
        <w:tc>
          <w:tcPr>
            <w:tcW w:w="1661" w:type="dxa"/>
            <w:tcMar>
              <w:left w:w="108" w:type="dxa"/>
              <w:right w:w="108" w:type="dxa"/>
            </w:tcMar>
            <w:vAlign w:val="center"/>
          </w:tcPr>
          <w:p w14:paraId="326964FB">
            <w:pPr>
              <w:spacing w:line="440" w:lineRule="exact"/>
              <w:rPr>
                <w:rFonts w:ascii="宋体" w:hAnsi="宋体" w:eastAsia="宋体" w:cs="宋体"/>
                <w:bCs/>
                <w:szCs w:val="21"/>
              </w:rPr>
            </w:pPr>
            <w:r>
              <w:rPr>
                <w:rFonts w:hint="eastAsia" w:ascii="宋体" w:hAnsi="宋体" w:eastAsia="宋体" w:cs="宋体"/>
                <w:bCs/>
                <w:szCs w:val="21"/>
              </w:rPr>
              <w:t>64</w:t>
            </w:r>
          </w:p>
        </w:tc>
        <w:tc>
          <w:tcPr>
            <w:tcW w:w="1661" w:type="dxa"/>
            <w:tcMar>
              <w:left w:w="108" w:type="dxa"/>
              <w:right w:w="108" w:type="dxa"/>
            </w:tcMar>
            <w:vAlign w:val="center"/>
          </w:tcPr>
          <w:p w14:paraId="569C0073">
            <w:pPr>
              <w:spacing w:line="440" w:lineRule="exact"/>
              <w:rPr>
                <w:rFonts w:ascii="宋体" w:hAnsi="宋体" w:eastAsia="宋体" w:cs="宋体"/>
                <w:bCs/>
                <w:szCs w:val="21"/>
              </w:rPr>
            </w:pPr>
            <w:r>
              <w:rPr>
                <w:rFonts w:hint="eastAsia" w:ascii="宋体" w:hAnsi="宋体" w:eastAsia="宋体" w:cs="宋体"/>
                <w:bCs/>
                <w:szCs w:val="21"/>
              </w:rPr>
              <w:t>1</w:t>
            </w:r>
          </w:p>
        </w:tc>
        <w:tc>
          <w:tcPr>
            <w:tcW w:w="1661" w:type="dxa"/>
            <w:tcMar>
              <w:left w:w="108" w:type="dxa"/>
              <w:right w:w="108" w:type="dxa"/>
            </w:tcMar>
            <w:vAlign w:val="center"/>
          </w:tcPr>
          <w:p w14:paraId="1B195A61">
            <w:pPr>
              <w:spacing w:line="440" w:lineRule="exact"/>
              <w:rPr>
                <w:rFonts w:ascii="宋体" w:hAnsi="宋体" w:eastAsia="宋体" w:cs="宋体"/>
                <w:bCs/>
                <w:szCs w:val="21"/>
              </w:rPr>
            </w:pPr>
            <w:r>
              <w:rPr>
                <w:rFonts w:hint="eastAsia" w:ascii="宋体" w:hAnsi="宋体" w:eastAsia="宋体" w:cs="宋体"/>
                <w:bCs/>
                <w:szCs w:val="21"/>
              </w:rPr>
              <w:t>98.4%</w:t>
            </w:r>
          </w:p>
        </w:tc>
      </w:tr>
    </w:tbl>
    <w:p w14:paraId="20F3BECC">
      <w:pPr>
        <w:widowControl/>
        <w:spacing w:line="440" w:lineRule="exact"/>
        <w:ind w:firstLine="480" w:firstLineChars="200"/>
        <w:rPr>
          <w:rFonts w:ascii="宋体" w:hAnsi="宋体" w:eastAsia="宋体" w:cs="宋体"/>
          <w:bCs/>
          <w:sz w:val="24"/>
        </w:rPr>
      </w:pPr>
      <w:bookmarkStart w:id="289" w:name="_Toc28301"/>
      <w:bookmarkStart w:id="290" w:name="_Toc27963"/>
      <w:bookmarkStart w:id="291" w:name="_Toc19202"/>
      <w:r>
        <w:rPr>
          <w:rFonts w:hint="eastAsia" w:ascii="宋体" w:hAnsi="宋体" w:eastAsia="宋体" w:cs="宋体"/>
          <w:bCs/>
          <w:sz w:val="24"/>
        </w:rPr>
        <w:t>5.3.6 测试环境配置表</w:t>
      </w:r>
      <w:bookmarkEnd w:id="289"/>
      <w:bookmarkEnd w:id="290"/>
      <w:bookmarkEnd w:id="291"/>
    </w:p>
    <w:p w14:paraId="7F84C99C">
      <w:pPr>
        <w:widowControl/>
        <w:adjustRightInd w:val="0"/>
        <w:spacing w:line="440" w:lineRule="exact"/>
        <w:jc w:val="center"/>
        <w:rPr>
          <w:rFonts w:ascii="宋体" w:hAnsi="宋体" w:eastAsia="宋体" w:cs="宋体"/>
          <w:bCs/>
          <w:szCs w:val="21"/>
        </w:rPr>
      </w:pPr>
      <w:r>
        <w:rPr>
          <w:rFonts w:hint="eastAsia" w:ascii="宋体" w:hAnsi="宋体" w:cs="宋体"/>
          <w:bCs/>
          <w:szCs w:val="21"/>
        </w:rPr>
        <w:t>表5-6</w:t>
      </w:r>
      <w:r>
        <w:rPr>
          <w:rFonts w:hint="eastAsia" w:ascii="宋体" w:hAnsi="宋体" w:cs="宋体"/>
          <w:bCs/>
          <w:szCs w:val="21"/>
          <w:lang w:val="en-US" w:eastAsia="zh-CN"/>
        </w:rPr>
        <w:t xml:space="preserve"> </w:t>
      </w:r>
      <w:r>
        <w:rPr>
          <w:rFonts w:hint="eastAsia" w:ascii="宋体" w:hAnsi="宋体" w:cs="宋体"/>
          <w:bCs/>
          <w:szCs w:val="21"/>
        </w:rPr>
        <w:t>测试环境配置表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76"/>
        <w:gridCol w:w="2076"/>
        <w:gridCol w:w="2076"/>
        <w:gridCol w:w="2076"/>
      </w:tblGrid>
      <w:tr w14:paraId="1FA33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76" w:type="dxa"/>
            <w:tcMar>
              <w:left w:w="108" w:type="dxa"/>
              <w:right w:w="108" w:type="dxa"/>
            </w:tcMar>
            <w:vAlign w:val="center"/>
          </w:tcPr>
          <w:p w14:paraId="05FC4052">
            <w:pPr>
              <w:spacing w:line="440" w:lineRule="exact"/>
              <w:jc w:val="center"/>
              <w:rPr>
                <w:rFonts w:ascii="宋体" w:hAnsi="宋体" w:eastAsia="宋体" w:cs="宋体"/>
                <w:bCs/>
                <w:szCs w:val="21"/>
              </w:rPr>
            </w:pPr>
            <w:r>
              <w:rPr>
                <w:rFonts w:hint="eastAsia" w:ascii="宋体" w:hAnsi="宋体" w:eastAsia="宋体" w:cs="宋体"/>
                <w:bCs/>
                <w:szCs w:val="21"/>
              </w:rPr>
              <w:t>环境组件</w:t>
            </w:r>
          </w:p>
        </w:tc>
        <w:tc>
          <w:tcPr>
            <w:tcW w:w="2076" w:type="dxa"/>
            <w:tcMar>
              <w:left w:w="108" w:type="dxa"/>
              <w:right w:w="108" w:type="dxa"/>
            </w:tcMar>
            <w:vAlign w:val="center"/>
          </w:tcPr>
          <w:p w14:paraId="249315D0">
            <w:pPr>
              <w:spacing w:line="440" w:lineRule="exact"/>
              <w:jc w:val="center"/>
              <w:rPr>
                <w:rFonts w:ascii="宋体" w:hAnsi="宋体" w:eastAsia="宋体" w:cs="宋体"/>
                <w:bCs/>
                <w:szCs w:val="21"/>
              </w:rPr>
            </w:pPr>
            <w:r>
              <w:rPr>
                <w:rFonts w:hint="eastAsia" w:ascii="宋体" w:hAnsi="宋体" w:eastAsia="宋体" w:cs="宋体"/>
                <w:bCs/>
                <w:szCs w:val="21"/>
              </w:rPr>
              <w:t>版本/型号</w:t>
            </w:r>
          </w:p>
        </w:tc>
        <w:tc>
          <w:tcPr>
            <w:tcW w:w="2076" w:type="dxa"/>
            <w:tcMar>
              <w:left w:w="108" w:type="dxa"/>
              <w:right w:w="108" w:type="dxa"/>
            </w:tcMar>
            <w:vAlign w:val="center"/>
          </w:tcPr>
          <w:p w14:paraId="41218438">
            <w:pPr>
              <w:spacing w:line="440" w:lineRule="exact"/>
              <w:jc w:val="center"/>
              <w:rPr>
                <w:rFonts w:ascii="宋体" w:hAnsi="宋体" w:eastAsia="宋体" w:cs="宋体"/>
                <w:bCs/>
                <w:szCs w:val="21"/>
              </w:rPr>
            </w:pPr>
            <w:r>
              <w:rPr>
                <w:rFonts w:hint="eastAsia" w:ascii="宋体" w:hAnsi="宋体" w:eastAsia="宋体" w:cs="宋体"/>
                <w:bCs/>
                <w:szCs w:val="21"/>
              </w:rPr>
              <w:t>配置要求</w:t>
            </w:r>
          </w:p>
        </w:tc>
        <w:tc>
          <w:tcPr>
            <w:tcW w:w="2076" w:type="dxa"/>
            <w:tcMar>
              <w:left w:w="108" w:type="dxa"/>
              <w:right w:w="108" w:type="dxa"/>
            </w:tcMar>
            <w:vAlign w:val="center"/>
          </w:tcPr>
          <w:p w14:paraId="37D3F5F0">
            <w:pPr>
              <w:spacing w:line="440" w:lineRule="exact"/>
              <w:jc w:val="center"/>
              <w:rPr>
                <w:rFonts w:ascii="宋体" w:hAnsi="宋体" w:eastAsia="宋体" w:cs="宋体"/>
                <w:bCs/>
                <w:szCs w:val="21"/>
              </w:rPr>
            </w:pPr>
            <w:r>
              <w:rPr>
                <w:rFonts w:hint="eastAsia" w:ascii="宋体" w:hAnsi="宋体" w:eastAsia="宋体" w:cs="宋体"/>
                <w:bCs/>
                <w:szCs w:val="21"/>
              </w:rPr>
              <w:t>实际配置</w:t>
            </w:r>
          </w:p>
        </w:tc>
      </w:tr>
      <w:tr w14:paraId="74929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076" w:type="dxa"/>
            <w:tcMar>
              <w:left w:w="108" w:type="dxa"/>
              <w:right w:w="108" w:type="dxa"/>
            </w:tcMar>
            <w:vAlign w:val="center"/>
          </w:tcPr>
          <w:p w14:paraId="2B8B535A">
            <w:pPr>
              <w:spacing w:line="440" w:lineRule="exact"/>
              <w:rPr>
                <w:rFonts w:ascii="宋体" w:hAnsi="宋体" w:eastAsia="宋体" w:cs="宋体"/>
                <w:bCs/>
                <w:szCs w:val="21"/>
              </w:rPr>
            </w:pPr>
            <w:r>
              <w:rPr>
                <w:rFonts w:hint="eastAsia" w:ascii="宋体" w:hAnsi="宋体" w:eastAsia="宋体" w:cs="宋体"/>
                <w:bCs/>
                <w:szCs w:val="21"/>
              </w:rPr>
              <w:t>操作系统</w:t>
            </w:r>
          </w:p>
        </w:tc>
        <w:tc>
          <w:tcPr>
            <w:tcW w:w="2076" w:type="dxa"/>
            <w:tcMar>
              <w:left w:w="108" w:type="dxa"/>
              <w:right w:w="108" w:type="dxa"/>
            </w:tcMar>
            <w:vAlign w:val="center"/>
          </w:tcPr>
          <w:p w14:paraId="5E0A6203">
            <w:pPr>
              <w:spacing w:line="440" w:lineRule="exact"/>
              <w:rPr>
                <w:rFonts w:ascii="宋体" w:hAnsi="宋体" w:eastAsia="宋体" w:cs="宋体"/>
                <w:bCs/>
                <w:szCs w:val="21"/>
              </w:rPr>
            </w:pPr>
            <w:r>
              <w:rPr>
                <w:rFonts w:hint="eastAsia" w:ascii="宋体" w:hAnsi="宋体" w:eastAsia="宋体" w:cs="宋体"/>
                <w:szCs w:val="21"/>
                <w:shd w:val="clear" w:color="auto" w:fill="FFFFFF"/>
              </w:rPr>
              <w:t>macOS Sequoia</w:t>
            </w:r>
          </w:p>
        </w:tc>
        <w:tc>
          <w:tcPr>
            <w:tcW w:w="2076" w:type="dxa"/>
            <w:tcMar>
              <w:left w:w="108" w:type="dxa"/>
              <w:right w:w="108" w:type="dxa"/>
            </w:tcMar>
            <w:vAlign w:val="center"/>
          </w:tcPr>
          <w:p w14:paraId="5446B949">
            <w:pPr>
              <w:spacing w:line="440" w:lineRule="exact"/>
              <w:rPr>
                <w:rFonts w:ascii="宋体" w:hAnsi="宋体" w:eastAsia="宋体" w:cs="宋体"/>
                <w:bCs/>
                <w:szCs w:val="21"/>
              </w:rPr>
            </w:pPr>
            <w:r>
              <w:rPr>
                <w:rFonts w:hint="eastAsia" w:ascii="宋体" w:hAnsi="宋体" w:eastAsia="宋体" w:cs="宋体"/>
                <w:bCs/>
                <w:szCs w:val="21"/>
              </w:rPr>
              <w:t>64位系统，4GB以上内存</w:t>
            </w:r>
          </w:p>
        </w:tc>
        <w:tc>
          <w:tcPr>
            <w:tcW w:w="2076" w:type="dxa"/>
            <w:tcMar>
              <w:left w:w="108" w:type="dxa"/>
              <w:right w:w="108" w:type="dxa"/>
            </w:tcMar>
            <w:vAlign w:val="center"/>
          </w:tcPr>
          <w:p w14:paraId="5215CDFD">
            <w:pPr>
              <w:spacing w:line="440" w:lineRule="exact"/>
              <w:rPr>
                <w:rFonts w:ascii="宋体" w:hAnsi="宋体" w:eastAsia="宋体" w:cs="宋体"/>
                <w:bCs/>
                <w:szCs w:val="21"/>
              </w:rPr>
            </w:pPr>
            <w:r>
              <w:rPr>
                <w:rFonts w:hint="eastAsia" w:ascii="宋体" w:hAnsi="宋体" w:eastAsia="宋体" w:cs="宋体"/>
                <w:bCs/>
                <w:szCs w:val="21"/>
              </w:rPr>
              <w:t>64位，16GB内存</w:t>
            </w:r>
          </w:p>
        </w:tc>
      </w:tr>
      <w:tr w14:paraId="05D6A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076" w:type="dxa"/>
            <w:tcMar>
              <w:left w:w="108" w:type="dxa"/>
              <w:right w:w="108" w:type="dxa"/>
            </w:tcMar>
            <w:vAlign w:val="center"/>
          </w:tcPr>
          <w:p w14:paraId="3D1863FD">
            <w:pPr>
              <w:spacing w:line="440" w:lineRule="exact"/>
              <w:rPr>
                <w:rFonts w:ascii="宋体" w:hAnsi="宋体" w:eastAsia="宋体" w:cs="宋体"/>
                <w:bCs/>
                <w:szCs w:val="21"/>
              </w:rPr>
            </w:pPr>
            <w:r>
              <w:rPr>
                <w:rFonts w:hint="eastAsia" w:ascii="宋体" w:hAnsi="宋体" w:eastAsia="宋体" w:cs="宋体"/>
                <w:bCs/>
                <w:szCs w:val="21"/>
              </w:rPr>
              <w:t>数据库</w:t>
            </w:r>
          </w:p>
        </w:tc>
        <w:tc>
          <w:tcPr>
            <w:tcW w:w="2076" w:type="dxa"/>
            <w:tcMar>
              <w:left w:w="108" w:type="dxa"/>
              <w:right w:w="108" w:type="dxa"/>
            </w:tcMar>
            <w:vAlign w:val="center"/>
          </w:tcPr>
          <w:p w14:paraId="0BC40450">
            <w:pPr>
              <w:spacing w:line="440" w:lineRule="exact"/>
              <w:rPr>
                <w:rFonts w:ascii="宋体" w:hAnsi="宋体" w:eastAsia="宋体" w:cs="宋体"/>
                <w:bCs/>
                <w:szCs w:val="21"/>
              </w:rPr>
            </w:pPr>
            <w:r>
              <w:rPr>
                <w:rFonts w:hint="eastAsia" w:ascii="宋体" w:hAnsi="宋体" w:eastAsia="宋体" w:cs="宋体"/>
                <w:bCs/>
                <w:szCs w:val="21"/>
              </w:rPr>
              <w:t xml:space="preserve"> MySQL9.2.0-arm64</w:t>
            </w:r>
          </w:p>
        </w:tc>
        <w:tc>
          <w:tcPr>
            <w:tcW w:w="2076" w:type="dxa"/>
            <w:tcMar>
              <w:left w:w="108" w:type="dxa"/>
              <w:right w:w="108" w:type="dxa"/>
            </w:tcMar>
            <w:vAlign w:val="center"/>
          </w:tcPr>
          <w:p w14:paraId="696BE0A8">
            <w:pPr>
              <w:spacing w:line="440" w:lineRule="exact"/>
              <w:rPr>
                <w:rFonts w:ascii="宋体" w:hAnsi="宋体" w:eastAsia="宋体" w:cs="宋体"/>
                <w:bCs/>
                <w:szCs w:val="21"/>
              </w:rPr>
            </w:pPr>
            <w:r>
              <w:rPr>
                <w:rFonts w:hint="eastAsia" w:ascii="宋体" w:hAnsi="宋体" w:eastAsia="宋体" w:cs="宋体"/>
                <w:bCs/>
                <w:szCs w:val="21"/>
              </w:rPr>
              <w:t>至少10GB存储空间</w:t>
            </w:r>
          </w:p>
        </w:tc>
        <w:tc>
          <w:tcPr>
            <w:tcW w:w="2076" w:type="dxa"/>
            <w:tcMar>
              <w:left w:w="108" w:type="dxa"/>
              <w:right w:w="108" w:type="dxa"/>
            </w:tcMar>
            <w:vAlign w:val="center"/>
          </w:tcPr>
          <w:p w14:paraId="4EF14A5B">
            <w:pPr>
              <w:spacing w:line="440" w:lineRule="exact"/>
              <w:rPr>
                <w:rFonts w:ascii="宋体" w:hAnsi="宋体" w:eastAsia="宋体" w:cs="宋体"/>
                <w:bCs/>
                <w:szCs w:val="21"/>
              </w:rPr>
            </w:pPr>
            <w:r>
              <w:rPr>
                <w:rFonts w:hint="eastAsia" w:ascii="宋体" w:hAnsi="宋体" w:eastAsia="宋体" w:cs="宋体"/>
                <w:bCs/>
                <w:szCs w:val="21"/>
              </w:rPr>
              <w:t>500GB SSD</w:t>
            </w:r>
          </w:p>
        </w:tc>
      </w:tr>
      <w:tr w14:paraId="1A1B5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076" w:type="dxa"/>
            <w:tcMar>
              <w:left w:w="108" w:type="dxa"/>
              <w:right w:w="108" w:type="dxa"/>
            </w:tcMar>
            <w:vAlign w:val="center"/>
          </w:tcPr>
          <w:p w14:paraId="785F0A08">
            <w:pPr>
              <w:spacing w:line="440" w:lineRule="exact"/>
              <w:rPr>
                <w:rFonts w:ascii="宋体" w:hAnsi="宋体" w:eastAsia="宋体" w:cs="宋体"/>
                <w:bCs/>
                <w:szCs w:val="21"/>
              </w:rPr>
            </w:pPr>
            <w:r>
              <w:rPr>
                <w:rFonts w:hint="eastAsia" w:ascii="宋体" w:hAnsi="宋体" w:eastAsia="宋体" w:cs="宋体"/>
                <w:bCs/>
                <w:szCs w:val="21"/>
              </w:rPr>
              <w:t>Java环境</w:t>
            </w:r>
          </w:p>
        </w:tc>
        <w:tc>
          <w:tcPr>
            <w:tcW w:w="2076" w:type="dxa"/>
            <w:tcMar>
              <w:left w:w="108" w:type="dxa"/>
              <w:right w:w="108" w:type="dxa"/>
            </w:tcMar>
            <w:vAlign w:val="center"/>
          </w:tcPr>
          <w:p w14:paraId="73B39F6C">
            <w:pPr>
              <w:spacing w:line="440" w:lineRule="exact"/>
              <w:rPr>
                <w:rFonts w:ascii="宋体" w:hAnsi="宋体" w:eastAsia="宋体" w:cs="宋体"/>
                <w:bCs/>
                <w:szCs w:val="21"/>
              </w:rPr>
            </w:pPr>
            <w:r>
              <w:rPr>
                <w:rFonts w:hint="eastAsia" w:ascii="宋体" w:hAnsi="宋体" w:eastAsia="宋体" w:cs="宋体"/>
                <w:bCs/>
                <w:szCs w:val="21"/>
              </w:rPr>
              <w:t>JDK 1.8</w:t>
            </w:r>
          </w:p>
        </w:tc>
        <w:tc>
          <w:tcPr>
            <w:tcW w:w="2076" w:type="dxa"/>
            <w:tcMar>
              <w:left w:w="108" w:type="dxa"/>
              <w:right w:w="108" w:type="dxa"/>
            </w:tcMar>
            <w:vAlign w:val="center"/>
          </w:tcPr>
          <w:p w14:paraId="60279019">
            <w:pPr>
              <w:spacing w:line="440" w:lineRule="exact"/>
              <w:rPr>
                <w:rFonts w:ascii="宋体" w:hAnsi="宋体" w:eastAsia="宋体" w:cs="宋体"/>
                <w:bCs/>
                <w:szCs w:val="21"/>
              </w:rPr>
            </w:pPr>
            <w:r>
              <w:rPr>
                <w:rFonts w:hint="eastAsia" w:ascii="宋体" w:hAnsi="宋体" w:eastAsia="宋体" w:cs="宋体"/>
                <w:bCs/>
                <w:szCs w:val="21"/>
              </w:rPr>
              <w:t>Java 8以上版本</w:t>
            </w:r>
          </w:p>
        </w:tc>
        <w:tc>
          <w:tcPr>
            <w:tcW w:w="2076" w:type="dxa"/>
            <w:tcMar>
              <w:left w:w="108" w:type="dxa"/>
              <w:right w:w="108" w:type="dxa"/>
            </w:tcMar>
            <w:vAlign w:val="center"/>
          </w:tcPr>
          <w:p w14:paraId="6153A952">
            <w:pPr>
              <w:spacing w:line="440" w:lineRule="exact"/>
              <w:rPr>
                <w:rFonts w:ascii="宋体" w:hAnsi="宋体" w:eastAsia="宋体" w:cs="宋体"/>
                <w:bCs/>
                <w:szCs w:val="21"/>
              </w:rPr>
            </w:pPr>
            <w:r>
              <w:rPr>
                <w:rFonts w:hint="eastAsia" w:ascii="宋体" w:hAnsi="宋体" w:eastAsia="宋体" w:cs="宋体"/>
                <w:bCs/>
                <w:szCs w:val="21"/>
              </w:rPr>
              <w:t>JDK 1.8.0_321</w:t>
            </w:r>
          </w:p>
        </w:tc>
      </w:tr>
      <w:tr w14:paraId="3020D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076" w:type="dxa"/>
            <w:tcMar>
              <w:left w:w="108" w:type="dxa"/>
              <w:right w:w="108" w:type="dxa"/>
            </w:tcMar>
            <w:vAlign w:val="center"/>
          </w:tcPr>
          <w:p w14:paraId="218CFC54">
            <w:pPr>
              <w:spacing w:line="440" w:lineRule="exact"/>
              <w:rPr>
                <w:rFonts w:ascii="宋体" w:hAnsi="宋体" w:eastAsia="宋体" w:cs="宋体"/>
                <w:bCs/>
                <w:szCs w:val="21"/>
              </w:rPr>
            </w:pPr>
            <w:r>
              <w:rPr>
                <w:rFonts w:hint="eastAsia" w:ascii="宋体" w:hAnsi="宋体" w:eastAsia="宋体" w:cs="宋体"/>
                <w:bCs/>
                <w:szCs w:val="21"/>
              </w:rPr>
              <w:t>应用服务器</w:t>
            </w:r>
          </w:p>
        </w:tc>
        <w:tc>
          <w:tcPr>
            <w:tcW w:w="2076" w:type="dxa"/>
            <w:tcMar>
              <w:left w:w="108" w:type="dxa"/>
              <w:right w:w="108" w:type="dxa"/>
            </w:tcMar>
            <w:vAlign w:val="center"/>
          </w:tcPr>
          <w:p w14:paraId="640F05DF">
            <w:pPr>
              <w:spacing w:line="440" w:lineRule="exact"/>
              <w:rPr>
                <w:rFonts w:ascii="宋体" w:hAnsi="宋体" w:eastAsia="宋体" w:cs="宋体"/>
                <w:bCs/>
                <w:szCs w:val="21"/>
              </w:rPr>
            </w:pPr>
            <w:r>
              <w:rPr>
                <w:rFonts w:hint="eastAsia" w:ascii="宋体" w:hAnsi="宋体" w:eastAsia="宋体" w:cs="宋体"/>
                <w:bCs/>
                <w:szCs w:val="21"/>
              </w:rPr>
              <w:t>Tomcat 9.0</w:t>
            </w:r>
          </w:p>
        </w:tc>
        <w:tc>
          <w:tcPr>
            <w:tcW w:w="2076" w:type="dxa"/>
            <w:tcMar>
              <w:left w:w="108" w:type="dxa"/>
              <w:right w:w="108" w:type="dxa"/>
            </w:tcMar>
            <w:vAlign w:val="center"/>
          </w:tcPr>
          <w:p w14:paraId="38E33332">
            <w:pPr>
              <w:spacing w:line="440" w:lineRule="exact"/>
              <w:rPr>
                <w:rFonts w:ascii="宋体" w:hAnsi="宋体" w:eastAsia="宋体" w:cs="宋体"/>
                <w:bCs/>
                <w:szCs w:val="21"/>
              </w:rPr>
            </w:pPr>
            <w:r>
              <w:rPr>
                <w:rFonts w:hint="eastAsia" w:ascii="宋体" w:hAnsi="宋体" w:eastAsia="宋体" w:cs="宋体"/>
                <w:bCs/>
                <w:szCs w:val="21"/>
              </w:rPr>
              <w:t>2GB以上内存</w:t>
            </w:r>
          </w:p>
        </w:tc>
        <w:tc>
          <w:tcPr>
            <w:tcW w:w="2076" w:type="dxa"/>
            <w:tcMar>
              <w:left w:w="108" w:type="dxa"/>
              <w:right w:w="108" w:type="dxa"/>
            </w:tcMar>
            <w:vAlign w:val="center"/>
          </w:tcPr>
          <w:p w14:paraId="14FB368A">
            <w:pPr>
              <w:spacing w:line="440" w:lineRule="exact"/>
              <w:rPr>
                <w:rFonts w:ascii="宋体" w:hAnsi="宋体" w:eastAsia="宋体" w:cs="宋体"/>
                <w:bCs/>
                <w:szCs w:val="21"/>
              </w:rPr>
            </w:pPr>
            <w:r>
              <w:rPr>
                <w:rFonts w:hint="eastAsia" w:ascii="宋体" w:hAnsi="宋体" w:eastAsia="宋体" w:cs="宋体"/>
                <w:bCs/>
                <w:szCs w:val="21"/>
              </w:rPr>
              <w:t>4GB内存分配</w:t>
            </w:r>
          </w:p>
        </w:tc>
      </w:tr>
      <w:tr w14:paraId="1BDE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076" w:type="dxa"/>
            <w:tcMar>
              <w:left w:w="108" w:type="dxa"/>
              <w:right w:w="108" w:type="dxa"/>
            </w:tcMar>
            <w:vAlign w:val="center"/>
          </w:tcPr>
          <w:p w14:paraId="37F2D466">
            <w:pPr>
              <w:spacing w:line="440" w:lineRule="exact"/>
              <w:rPr>
                <w:rFonts w:ascii="宋体" w:hAnsi="宋体" w:eastAsia="宋体" w:cs="宋体"/>
                <w:bCs/>
                <w:szCs w:val="21"/>
              </w:rPr>
            </w:pPr>
            <w:r>
              <w:rPr>
                <w:rFonts w:hint="eastAsia" w:ascii="宋体" w:hAnsi="宋体" w:eastAsia="宋体" w:cs="宋体"/>
                <w:bCs/>
                <w:szCs w:val="21"/>
              </w:rPr>
              <w:t>浏览器</w:t>
            </w:r>
          </w:p>
        </w:tc>
        <w:tc>
          <w:tcPr>
            <w:tcW w:w="2076" w:type="dxa"/>
            <w:tcMar>
              <w:left w:w="108" w:type="dxa"/>
              <w:right w:w="108" w:type="dxa"/>
            </w:tcMar>
            <w:vAlign w:val="center"/>
          </w:tcPr>
          <w:p w14:paraId="08487F2E">
            <w:pPr>
              <w:spacing w:line="440" w:lineRule="exact"/>
              <w:rPr>
                <w:rFonts w:ascii="宋体" w:hAnsi="宋体" w:eastAsia="宋体" w:cs="宋体"/>
                <w:bCs/>
                <w:szCs w:val="21"/>
              </w:rPr>
            </w:pPr>
            <w:r>
              <w:rPr>
                <w:rFonts w:hint="eastAsia" w:ascii="宋体" w:hAnsi="宋体" w:eastAsia="宋体" w:cs="宋体"/>
                <w:bCs/>
                <w:szCs w:val="21"/>
              </w:rPr>
              <w:t>Chrome 115+</w:t>
            </w:r>
          </w:p>
        </w:tc>
        <w:tc>
          <w:tcPr>
            <w:tcW w:w="2076" w:type="dxa"/>
            <w:tcMar>
              <w:left w:w="108" w:type="dxa"/>
              <w:right w:w="108" w:type="dxa"/>
            </w:tcMar>
            <w:vAlign w:val="center"/>
          </w:tcPr>
          <w:p w14:paraId="5228BFA0">
            <w:pPr>
              <w:spacing w:line="440" w:lineRule="exact"/>
              <w:rPr>
                <w:rFonts w:ascii="宋体" w:hAnsi="宋体" w:eastAsia="宋体" w:cs="宋体"/>
                <w:bCs/>
                <w:szCs w:val="21"/>
              </w:rPr>
            </w:pPr>
            <w:r>
              <w:rPr>
                <w:rFonts w:hint="eastAsia" w:ascii="宋体" w:hAnsi="宋体" w:eastAsia="宋体" w:cs="宋体"/>
                <w:bCs/>
                <w:szCs w:val="21"/>
              </w:rPr>
              <w:t>支持HTML5、CSS3</w:t>
            </w:r>
          </w:p>
        </w:tc>
        <w:tc>
          <w:tcPr>
            <w:tcW w:w="2076" w:type="dxa"/>
            <w:tcMar>
              <w:left w:w="108" w:type="dxa"/>
              <w:right w:w="108" w:type="dxa"/>
            </w:tcMar>
            <w:vAlign w:val="center"/>
          </w:tcPr>
          <w:p w14:paraId="70AADC4D">
            <w:pPr>
              <w:spacing w:line="440" w:lineRule="exact"/>
              <w:rPr>
                <w:rFonts w:ascii="宋体" w:hAnsi="宋体" w:eastAsia="宋体" w:cs="宋体"/>
                <w:bCs/>
                <w:szCs w:val="21"/>
              </w:rPr>
            </w:pPr>
            <w:r>
              <w:rPr>
                <w:rFonts w:hint="eastAsia" w:ascii="宋体" w:hAnsi="宋体" w:eastAsia="宋体" w:cs="宋体"/>
                <w:bCs/>
                <w:szCs w:val="21"/>
              </w:rPr>
              <w:t>Chrome 118.0</w:t>
            </w:r>
          </w:p>
        </w:tc>
      </w:tr>
    </w:tbl>
    <w:p w14:paraId="743B1FC1">
      <w:pPr>
        <w:spacing w:line="440" w:lineRule="exact"/>
        <w:outlineLvl w:val="9"/>
        <w:rPr>
          <w:rFonts w:cs="Times New Roman"/>
          <w:b/>
          <w:bCs/>
          <w:sz w:val="28"/>
          <w:szCs w:val="28"/>
        </w:rPr>
      </w:pPr>
      <w:r>
        <w:rPr>
          <w:rFonts w:hint="eastAsia" w:cs="Times New Roman"/>
          <w:b/>
          <w:bCs/>
          <w:sz w:val="28"/>
          <w:szCs w:val="28"/>
        </w:rPr>
        <w:t>6 系统功能及使用说明</w:t>
      </w:r>
    </w:p>
    <w:p w14:paraId="5E17144E">
      <w:pPr>
        <w:spacing w:line="440" w:lineRule="exact"/>
        <w:ind w:firstLine="480" w:firstLineChars="200"/>
        <w:jc w:val="left"/>
        <w:outlineLvl w:val="9"/>
        <w:rPr>
          <w:rFonts w:ascii="新宋体" w:hAnsi="新宋体" w:eastAsia="新宋体"/>
          <w:color w:val="000000"/>
          <w:sz w:val="24"/>
        </w:rPr>
      </w:pPr>
      <w:bookmarkStart w:id="292" w:name="_Toc10184"/>
      <w:bookmarkStart w:id="293" w:name="_Toc32019"/>
      <w:bookmarkStart w:id="294" w:name="_Toc8311"/>
      <w:bookmarkStart w:id="295" w:name="_Toc30441"/>
      <w:bookmarkStart w:id="296" w:name="_Toc23636"/>
      <w:bookmarkStart w:id="297" w:name="_Toc1410"/>
      <w:bookmarkStart w:id="298" w:name="_Toc22490"/>
      <w:bookmarkStart w:id="299" w:name="_Toc6424"/>
      <w:bookmarkStart w:id="300" w:name="_Toc18030"/>
      <w:bookmarkStart w:id="301" w:name="_Toc26372"/>
      <w:bookmarkStart w:id="302" w:name="_Toc20482"/>
      <w:bookmarkStart w:id="303" w:name="_Toc22950"/>
      <w:bookmarkStart w:id="304" w:name="_Toc32297"/>
      <w:r>
        <w:rPr>
          <w:rFonts w:hint="eastAsia" w:ascii="宋体" w:hAnsi="宋体" w:cs="宋体"/>
          <w:sz w:val="24"/>
        </w:rPr>
        <w:t>6.1 注册登录模块</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669B646B">
      <w:pPr>
        <w:spacing w:line="440" w:lineRule="exact"/>
        <w:ind w:firstLine="480" w:firstLineChars="200"/>
        <w:jc w:val="left"/>
        <w:outlineLvl w:val="9"/>
        <w:rPr>
          <w:rFonts w:ascii="宋体" w:hAnsi="宋体" w:cs="宋体"/>
          <w:sz w:val="24"/>
        </w:rPr>
      </w:pPr>
      <w:r>
        <w:rPr>
          <w:rFonts w:hint="eastAsia" w:ascii="宋体" w:hAnsi="宋体" w:cs="宋体"/>
          <w:sz w:val="24"/>
        </w:rPr>
        <w:t>(1)功能描述</w:t>
      </w:r>
    </w:p>
    <w:p w14:paraId="3EAB6BC5">
      <w:pPr>
        <w:spacing w:line="440" w:lineRule="exact"/>
        <w:ind w:firstLine="480" w:firstLineChars="200"/>
        <w:jc w:val="left"/>
        <w:outlineLvl w:val="9"/>
        <w:rPr>
          <w:rFonts w:ascii="宋体" w:hAnsi="宋体" w:cs="宋体"/>
          <w:sz w:val="24"/>
        </w:rPr>
      </w:pPr>
      <w:r>
        <w:rPr>
          <w:rFonts w:hint="eastAsia" w:ascii="宋体" w:hAnsi="宋体" w:cs="宋体"/>
          <w:sz w:val="24"/>
        </w:rPr>
        <w:t>本模块主要实现了用户的注册及登录，登录后才能进行预约下单点赞等功能。</w:t>
      </w:r>
    </w:p>
    <w:p w14:paraId="7ECE56DA">
      <w:pPr>
        <w:spacing w:line="440" w:lineRule="exact"/>
        <w:ind w:firstLine="480" w:firstLineChars="200"/>
        <w:jc w:val="left"/>
        <w:outlineLvl w:val="9"/>
        <w:rPr>
          <w:rFonts w:ascii="宋体" w:hAnsi="宋体" w:cs="宋体"/>
          <w:sz w:val="24"/>
        </w:rPr>
      </w:pPr>
      <w:r>
        <w:rPr>
          <w:rFonts w:hint="eastAsia" w:ascii="宋体" w:hAnsi="宋体" w:cs="宋体"/>
          <w:sz w:val="24"/>
        </w:rPr>
        <w:t>(2)用户注册的输入、输出</w:t>
      </w:r>
    </w:p>
    <w:p w14:paraId="703011FD">
      <w:pPr>
        <w:spacing w:line="440" w:lineRule="exact"/>
        <w:ind w:firstLine="480" w:firstLineChars="200"/>
        <w:jc w:val="left"/>
        <w:outlineLvl w:val="9"/>
        <w:rPr>
          <w:rFonts w:ascii="宋体" w:hAnsi="宋体" w:eastAsia="宋体" w:cs="宋体"/>
          <w:sz w:val="24"/>
        </w:rPr>
      </w:pPr>
      <w:r>
        <w:rPr>
          <w:rFonts w:hint="eastAsia" w:ascii="宋体" w:hAnsi="宋体" w:cs="宋体"/>
          <w:sz w:val="24"/>
        </w:rPr>
        <w:t>输入：用户名、手机号、密码、确认密码、验证码</w:t>
      </w:r>
      <w:r>
        <w:rPr>
          <w:rFonts w:hint="eastAsia"/>
          <w:sz w:val="24"/>
        </w:rPr>
        <w:t>。</w:t>
      </w:r>
    </w:p>
    <w:p w14:paraId="12713956">
      <w:pPr>
        <w:spacing w:line="440" w:lineRule="exact"/>
        <w:ind w:firstLine="480" w:firstLineChars="200"/>
        <w:jc w:val="left"/>
        <w:outlineLvl w:val="9"/>
        <w:rPr>
          <w:rFonts w:ascii="宋体" w:hAnsi="宋体" w:eastAsia="宋体" w:cs="宋体"/>
          <w:sz w:val="24"/>
        </w:rPr>
      </w:pPr>
      <w:r>
        <w:rPr>
          <w:rFonts w:hint="eastAsia" w:ascii="宋体" w:hAnsi="宋体" w:cs="宋体"/>
          <w:sz w:val="24"/>
        </w:rPr>
        <w:t>输出：注册成功。</w:t>
      </w:r>
    </w:p>
    <w:p w14:paraId="21115799">
      <w:pPr>
        <w:spacing w:line="440" w:lineRule="exact"/>
        <w:ind w:firstLine="480" w:firstLineChars="200"/>
        <w:jc w:val="left"/>
        <w:outlineLvl w:val="9"/>
        <w:rPr>
          <w:rFonts w:ascii="宋体" w:hAnsi="宋体" w:cs="宋体"/>
          <w:sz w:val="24"/>
        </w:rPr>
      </w:pPr>
      <w:r>
        <w:rPr>
          <w:rFonts w:hint="eastAsia" w:ascii="宋体" w:hAnsi="宋体" w:cs="宋体"/>
          <w:sz w:val="24"/>
        </w:rPr>
        <w:t>(3)用户登录的输入、输出</w:t>
      </w:r>
    </w:p>
    <w:p w14:paraId="2C28E542">
      <w:pPr>
        <w:spacing w:line="440" w:lineRule="exact"/>
        <w:ind w:firstLine="480" w:firstLineChars="200"/>
        <w:jc w:val="left"/>
        <w:outlineLvl w:val="9"/>
        <w:rPr>
          <w:rFonts w:ascii="宋体" w:hAnsi="宋体" w:cs="宋体"/>
          <w:sz w:val="24"/>
        </w:rPr>
      </w:pPr>
      <w:r>
        <w:rPr>
          <w:rFonts w:hint="eastAsia" w:ascii="宋体" w:hAnsi="宋体" w:cs="宋体"/>
          <w:sz w:val="24"/>
        </w:rPr>
        <w:t>输入：用户名、密码、验证码</w:t>
      </w:r>
      <w:r>
        <w:rPr>
          <w:rFonts w:hint="eastAsia"/>
          <w:sz w:val="24"/>
        </w:rPr>
        <w:t>。</w:t>
      </w:r>
    </w:p>
    <w:p w14:paraId="58F6F9E1">
      <w:pPr>
        <w:spacing w:line="440" w:lineRule="exact"/>
        <w:ind w:firstLine="480" w:firstLineChars="200"/>
        <w:jc w:val="left"/>
        <w:outlineLvl w:val="9"/>
        <w:rPr>
          <w:rFonts w:ascii="宋体" w:hAnsi="宋体" w:cs="宋体"/>
          <w:sz w:val="24"/>
        </w:rPr>
      </w:pPr>
      <w:r>
        <w:rPr>
          <w:rFonts w:hint="eastAsia" w:ascii="宋体" w:hAnsi="宋体" w:cs="宋体"/>
          <w:sz w:val="24"/>
        </w:rPr>
        <w:t>输出：登陆成功。</w:t>
      </w:r>
    </w:p>
    <w:p w14:paraId="4268D5D3">
      <w:pPr>
        <w:widowControl/>
        <w:spacing w:line="440" w:lineRule="exact"/>
        <w:ind w:firstLine="480" w:firstLineChars="200"/>
        <w:jc w:val="left"/>
        <w:outlineLvl w:val="9"/>
        <w:rPr>
          <w:rFonts w:ascii="宋体" w:hAnsi="宋体" w:cs="宋体"/>
          <w:sz w:val="24"/>
        </w:rPr>
      </w:pPr>
      <w:r>
        <w:rPr>
          <w:rFonts w:hint="eastAsia" w:ascii="宋体" w:hAnsi="宋体" w:cs="宋体"/>
          <w:sz w:val="24"/>
        </w:rPr>
        <w:t>(4)用户验证码登录</w:t>
      </w:r>
    </w:p>
    <w:p w14:paraId="5C07E291">
      <w:pPr>
        <w:widowControl/>
        <w:spacing w:line="440" w:lineRule="exact"/>
        <w:ind w:firstLine="480" w:firstLineChars="200"/>
        <w:jc w:val="left"/>
        <w:rPr>
          <w:rFonts w:hint="default" w:eastAsiaTheme="minorEastAsia"/>
          <w:sz w:val="24"/>
          <w:lang w:val="en-US" w:eastAsia="zh-CN"/>
        </w:rPr>
      </w:pPr>
      <w:r>
        <w:rPr>
          <w:rFonts w:hint="eastAsia" w:ascii="宋体" w:hAnsi="宋体" w:cs="宋体"/>
          <w:color w:val="111111"/>
          <w:sz w:val="24"/>
          <w:shd w:val="clear" w:color="auto" w:fill="FFFFFF"/>
        </w:rPr>
        <w:t>保护用户账号安全，为用户的个人信息和财产安全建立起了坚固有效的屏障。</w:t>
      </w:r>
      <w:r>
        <w:rPr>
          <w:rFonts w:hint="eastAsia"/>
          <w:sz w:val="24"/>
        </w:rPr>
        <w:t>本模块中，用户身份两种类型分别为用户</w:t>
      </w:r>
      <w:r>
        <w:rPr>
          <w:rFonts w:hint="eastAsia" w:ascii="宋体" w:hAnsi="宋体" w:cs="宋体"/>
          <w:sz w:val="24"/>
        </w:rPr>
        <w:t>、</w:t>
      </w:r>
      <w:r>
        <w:rPr>
          <w:rFonts w:hint="eastAsia"/>
          <w:sz w:val="24"/>
        </w:rPr>
        <w:t>管理员。通过输入用户账号、登录密码，点击后台管理，如果有管理员权限则成功进入后台管理页面，没有则提示：“您没有权限访问后台管理”。</w:t>
      </w:r>
      <w:r>
        <w:rPr>
          <w:rFonts w:hint="eastAsia" w:ascii="宋体" w:hAnsi="宋体" w:eastAsia="宋体" w:cs="宋体"/>
          <w:sz w:val="24"/>
          <w:lang w:val="en-US" w:eastAsia="zh-CN"/>
        </w:rPr>
        <w:t>如下图6-1、6-2所示。</w:t>
      </w:r>
    </w:p>
    <w:p w14:paraId="57DCD40B">
      <w:pPr>
        <w:rPr>
          <w:sz w:val="24"/>
        </w:rPr>
      </w:pPr>
      <w:r>
        <w:rPr>
          <w:rFonts w:hint="eastAsia"/>
          <w:sz w:val="24"/>
        </w:rPr>
        <w:drawing>
          <wp:inline distT="0" distB="0" distL="114300" distR="114300">
            <wp:extent cx="5264785" cy="3072765"/>
            <wp:effectExtent l="0" t="0" r="5715" b="635"/>
            <wp:docPr id="94" name="图片 94"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注册"/>
                    <pic:cNvPicPr>
                      <a:picLocks noChangeAspect="1"/>
                    </pic:cNvPicPr>
                  </pic:nvPicPr>
                  <pic:blipFill>
                    <a:blip r:embed="rId152"/>
                    <a:stretch>
                      <a:fillRect/>
                    </a:stretch>
                  </pic:blipFill>
                  <pic:spPr>
                    <a:xfrm>
                      <a:off x="0" y="0"/>
                      <a:ext cx="5264785" cy="3072765"/>
                    </a:xfrm>
                    <a:prstGeom prst="rect">
                      <a:avLst/>
                    </a:prstGeom>
                  </pic:spPr>
                </pic:pic>
              </a:graphicData>
            </a:graphic>
          </wp:inline>
        </w:drawing>
      </w:r>
    </w:p>
    <w:p w14:paraId="1AA110C3">
      <w:pPr>
        <w:keepNext w:val="0"/>
        <w:keepLines w:val="0"/>
        <w:pageBreakBefore w:val="0"/>
        <w:widowControl w:val="0"/>
        <w:kinsoku/>
        <w:wordWrap/>
        <w:overflowPunct/>
        <w:topLinePunct w:val="0"/>
        <w:autoSpaceDE/>
        <w:autoSpaceDN/>
        <w:bidi w:val="0"/>
        <w:adjustRightInd/>
        <w:snapToGrid/>
        <w:jc w:val="center"/>
        <w:textAlignment w:val="auto"/>
        <w:rPr>
          <w:rFonts w:eastAsia="宋体"/>
          <w:sz w:val="24"/>
        </w:rPr>
      </w:pPr>
      <w:r>
        <w:rPr>
          <w:rFonts w:hint="eastAsia" w:ascii="宋体" w:hAnsi="宋体" w:eastAsia="宋体" w:cs="宋体"/>
          <w:szCs w:val="21"/>
        </w:rPr>
        <w:t>图</w:t>
      </w:r>
      <w:r>
        <w:rPr>
          <w:rFonts w:hint="eastAsia" w:ascii="宋体" w:hAnsi="宋体" w:eastAsia="宋体" w:cs="宋体"/>
          <w:szCs w:val="21"/>
          <w:lang w:val="en-US" w:eastAsia="zh-CN"/>
        </w:rPr>
        <w:t>6-1</w:t>
      </w:r>
      <w:r>
        <w:rPr>
          <w:rFonts w:hint="eastAsia" w:ascii="宋体" w:hAnsi="宋体" w:cs="宋体"/>
          <w:szCs w:val="21"/>
        </w:rPr>
        <w:t xml:space="preserve"> 注册界面</w:t>
      </w:r>
      <w:r>
        <w:rPr>
          <w:rFonts w:hint="eastAsia"/>
          <w:sz w:val="24"/>
        </w:rPr>
        <w:t xml:space="preserve">   </w:t>
      </w:r>
      <w:r>
        <w:rPr>
          <w:rFonts w:eastAsia="宋体"/>
          <w:sz w:val="24"/>
        </w:rPr>
        <w:drawing>
          <wp:inline distT="0" distB="0" distL="114300" distR="114300">
            <wp:extent cx="5264785" cy="3105150"/>
            <wp:effectExtent l="0" t="0" r="5715" b="6350"/>
            <wp:docPr id="95" name="图片 95" descr="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登录"/>
                    <pic:cNvPicPr>
                      <a:picLocks noChangeAspect="1"/>
                    </pic:cNvPicPr>
                  </pic:nvPicPr>
                  <pic:blipFill>
                    <a:blip r:embed="rId148"/>
                    <a:stretch>
                      <a:fillRect/>
                    </a:stretch>
                  </pic:blipFill>
                  <pic:spPr>
                    <a:xfrm>
                      <a:off x="0" y="0"/>
                      <a:ext cx="5264785" cy="3105150"/>
                    </a:xfrm>
                    <a:prstGeom prst="rect">
                      <a:avLst/>
                    </a:prstGeom>
                  </pic:spPr>
                </pic:pic>
              </a:graphicData>
            </a:graphic>
          </wp:inline>
        </w:drawing>
      </w:r>
    </w:p>
    <w:p w14:paraId="0AF0BCE0">
      <w:pPr>
        <w:keepNext w:val="0"/>
        <w:keepLines w:val="0"/>
        <w:pageBreakBefore w:val="0"/>
        <w:widowControl w:val="0"/>
        <w:kinsoku/>
        <w:wordWrap/>
        <w:overflowPunct/>
        <w:topLinePunct w:val="0"/>
        <w:autoSpaceDE/>
        <w:autoSpaceDN/>
        <w:bidi w:val="0"/>
        <w:adjustRightInd/>
        <w:snapToGrid/>
        <w:jc w:val="center"/>
        <w:textAlignment w:val="auto"/>
        <w:rPr>
          <w:rFonts w:hint="eastAsia" w:ascii="宋体" w:hAnsi="宋体" w:eastAsia="宋体" w:cs="宋体"/>
          <w:szCs w:val="21"/>
        </w:rPr>
      </w:pPr>
      <w:r>
        <w:rPr>
          <w:rFonts w:hint="eastAsia" w:ascii="宋体" w:hAnsi="宋体" w:eastAsia="宋体" w:cs="宋体"/>
          <w:szCs w:val="21"/>
        </w:rPr>
        <w:t>图</w:t>
      </w:r>
      <w:r>
        <w:rPr>
          <w:rFonts w:hint="eastAsia" w:ascii="宋体" w:hAnsi="宋体" w:eastAsia="宋体" w:cs="宋体"/>
          <w:szCs w:val="21"/>
          <w:lang w:val="en-US" w:eastAsia="zh-CN"/>
        </w:rPr>
        <w:t>6-2</w:t>
      </w:r>
      <w:r>
        <w:rPr>
          <w:rFonts w:hint="eastAsia" w:ascii="宋体" w:hAnsi="宋体" w:eastAsia="宋体" w:cs="宋体"/>
          <w:szCs w:val="21"/>
        </w:rPr>
        <w:t xml:space="preserve"> 登录界面</w:t>
      </w:r>
    </w:p>
    <w:p w14:paraId="12FB485D">
      <w:pPr>
        <w:spacing w:line="440" w:lineRule="exact"/>
        <w:ind w:firstLine="480" w:firstLineChars="200"/>
        <w:jc w:val="left"/>
        <w:outlineLvl w:val="9"/>
        <w:rPr>
          <w:rFonts w:ascii="宋体" w:hAnsi="宋体" w:cs="宋体"/>
          <w:sz w:val="24"/>
        </w:rPr>
      </w:pPr>
      <w:bookmarkStart w:id="305" w:name="_Toc16776"/>
      <w:bookmarkStart w:id="306" w:name="_Toc14440"/>
      <w:bookmarkStart w:id="307" w:name="_Toc18608"/>
      <w:bookmarkStart w:id="308" w:name="_Toc26227"/>
      <w:bookmarkStart w:id="309" w:name="_Toc2055"/>
      <w:r>
        <w:rPr>
          <w:rFonts w:hint="eastAsia" w:ascii="宋体" w:hAnsi="宋体" w:cs="宋体"/>
          <w:sz w:val="24"/>
        </w:rPr>
        <w:t>6.2 系统主页模块</w:t>
      </w:r>
      <w:bookmarkEnd w:id="305"/>
      <w:bookmarkEnd w:id="306"/>
      <w:bookmarkEnd w:id="307"/>
      <w:bookmarkEnd w:id="308"/>
      <w:bookmarkEnd w:id="309"/>
    </w:p>
    <w:p w14:paraId="1D47EFE6">
      <w:pPr>
        <w:spacing w:line="440" w:lineRule="exact"/>
        <w:ind w:firstLine="480" w:firstLineChars="200"/>
        <w:jc w:val="left"/>
        <w:outlineLvl w:val="9"/>
        <w:rPr>
          <w:rFonts w:hint="default" w:ascii="宋体" w:hAnsi="宋体" w:cs="宋体" w:eastAsiaTheme="minorEastAsia"/>
          <w:sz w:val="24"/>
          <w:lang w:val="en-US" w:eastAsia="zh-CN"/>
        </w:rPr>
      </w:pPr>
      <w:bookmarkStart w:id="310" w:name="_Toc17508"/>
      <w:bookmarkStart w:id="311" w:name="_Toc28161"/>
      <w:bookmarkStart w:id="312" w:name="_Toc10202"/>
      <w:r>
        <w:rPr>
          <w:rFonts w:hint="eastAsia" w:ascii="宋体" w:hAnsi="宋体" w:cs="宋体"/>
          <w:sz w:val="24"/>
        </w:rPr>
        <w:t>首页展示精选作品供用户参考，点击可查看详细信息。</w:t>
      </w:r>
      <w:bookmarkEnd w:id="310"/>
      <w:bookmarkEnd w:id="311"/>
      <w:bookmarkEnd w:id="312"/>
      <w:r>
        <w:rPr>
          <w:rFonts w:hint="eastAsia" w:ascii="宋体" w:hAnsi="宋体" w:cs="宋体"/>
          <w:sz w:val="24"/>
          <w:lang w:val="en-US" w:eastAsia="zh-CN"/>
        </w:rPr>
        <w:t>如下图6-3、6-4所示。</w:t>
      </w:r>
    </w:p>
    <w:p w14:paraId="5FC30E19">
      <w:pPr>
        <w:keepNext w:val="0"/>
        <w:keepLines w:val="0"/>
        <w:pageBreakBefore w:val="0"/>
        <w:widowControl w:val="0"/>
        <w:kinsoku/>
        <w:wordWrap/>
        <w:overflowPunct/>
        <w:topLinePunct w:val="0"/>
        <w:autoSpaceDE/>
        <w:autoSpaceDN/>
        <w:bidi w:val="0"/>
        <w:adjustRightInd/>
        <w:snapToGrid/>
        <w:jc w:val="center"/>
        <w:textAlignment w:val="auto"/>
        <w:rPr>
          <w:rFonts w:ascii="宋体" w:hAnsi="宋体" w:cs="宋体"/>
          <w:sz w:val="24"/>
        </w:rPr>
      </w:pPr>
      <w:r>
        <w:rPr>
          <w:rFonts w:hint="eastAsia" w:ascii="宋体" w:hAnsi="宋体" w:eastAsia="宋体" w:cs="宋体"/>
          <w:szCs w:val="21"/>
        </w:rPr>
        <w:drawing>
          <wp:inline distT="0" distB="0" distL="114300" distR="114300">
            <wp:extent cx="5264785" cy="3105150"/>
            <wp:effectExtent l="0" t="0" r="5715" b="6350"/>
            <wp:docPr id="96" name="图片 96" descr="主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主页"/>
                    <pic:cNvPicPr>
                      <a:picLocks noChangeAspect="1"/>
                    </pic:cNvPicPr>
                  </pic:nvPicPr>
                  <pic:blipFill>
                    <a:blip r:embed="rId153"/>
                    <a:stretch>
                      <a:fillRect/>
                    </a:stretch>
                  </pic:blipFill>
                  <pic:spPr>
                    <a:xfrm>
                      <a:off x="0" y="0"/>
                      <a:ext cx="5264785" cy="3105150"/>
                    </a:xfrm>
                    <a:prstGeom prst="rect">
                      <a:avLst/>
                    </a:prstGeom>
                  </pic:spPr>
                </pic:pic>
              </a:graphicData>
            </a:graphic>
          </wp:inline>
        </w:drawing>
      </w:r>
      <w:r>
        <w:rPr>
          <w:rStyle w:val="164"/>
          <w:rFonts w:hint="eastAsia"/>
        </w:rPr>
        <w:t>图</w:t>
      </w:r>
      <w:r>
        <w:rPr>
          <w:rStyle w:val="164"/>
          <w:rFonts w:hint="eastAsia"/>
          <w:lang w:val="en-US" w:eastAsia="zh-CN"/>
        </w:rPr>
        <w:t xml:space="preserve">6-3 </w:t>
      </w:r>
      <w:r>
        <w:rPr>
          <w:rStyle w:val="164"/>
          <w:rFonts w:hint="eastAsia"/>
        </w:rPr>
        <w:t>主页界面</w:t>
      </w:r>
    </w:p>
    <w:p w14:paraId="6C41272E">
      <w:pPr>
        <w:jc w:val="left"/>
        <w:rPr>
          <w:rFonts w:ascii="宋体" w:hAnsi="宋体" w:eastAsia="宋体" w:cs="宋体"/>
          <w:sz w:val="24"/>
        </w:rPr>
      </w:pPr>
      <w:r>
        <w:rPr>
          <w:rFonts w:ascii="宋体" w:hAnsi="宋体" w:eastAsia="宋体" w:cs="宋体"/>
          <w:sz w:val="24"/>
        </w:rPr>
        <w:drawing>
          <wp:inline distT="0" distB="0" distL="114300" distR="114300">
            <wp:extent cx="5272405" cy="3094355"/>
            <wp:effectExtent l="0" t="0" r="10795" b="4445"/>
            <wp:docPr id="97" name="图片 97" descr="D1348DB34ECF868B82857FDCA1B74B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1348DB34ECF868B82857FDCA1B74B0B"/>
                    <pic:cNvPicPr>
                      <a:picLocks noChangeAspect="1"/>
                    </pic:cNvPicPr>
                  </pic:nvPicPr>
                  <pic:blipFill>
                    <a:blip r:embed="rId154"/>
                    <a:stretch>
                      <a:fillRect/>
                    </a:stretch>
                  </pic:blipFill>
                  <pic:spPr>
                    <a:xfrm>
                      <a:off x="0" y="0"/>
                      <a:ext cx="5272405" cy="3094355"/>
                    </a:xfrm>
                    <a:prstGeom prst="rect">
                      <a:avLst/>
                    </a:prstGeom>
                  </pic:spPr>
                </pic:pic>
              </a:graphicData>
            </a:graphic>
          </wp:inline>
        </w:drawing>
      </w:r>
    </w:p>
    <w:p w14:paraId="6299091C">
      <w:pPr>
        <w:pStyle w:val="163"/>
        <w:bidi w:val="0"/>
      </w:pPr>
      <w:bookmarkStart w:id="313" w:name="_Toc4673"/>
      <w:bookmarkStart w:id="314" w:name="_Toc9749"/>
      <w:bookmarkStart w:id="315" w:name="_Toc11461"/>
      <w:bookmarkStart w:id="316" w:name="_Toc21417"/>
      <w:r>
        <w:rPr>
          <w:rFonts w:hint="eastAsia"/>
        </w:rPr>
        <w:t>图</w:t>
      </w:r>
      <w:r>
        <w:rPr>
          <w:rFonts w:hint="eastAsia"/>
          <w:lang w:val="en-US" w:eastAsia="zh-CN"/>
        </w:rPr>
        <w:t>6-4</w:t>
      </w:r>
      <w:r>
        <w:rPr>
          <w:rFonts w:hint="eastAsia"/>
        </w:rPr>
        <w:t xml:space="preserve"> 系统首页界面</w:t>
      </w:r>
      <w:bookmarkEnd w:id="313"/>
      <w:bookmarkEnd w:id="314"/>
      <w:bookmarkEnd w:id="315"/>
      <w:bookmarkEnd w:id="316"/>
    </w:p>
    <w:p w14:paraId="1A77C7A2">
      <w:pPr>
        <w:spacing w:line="440" w:lineRule="exact"/>
        <w:ind w:firstLine="480" w:firstLineChars="200"/>
        <w:jc w:val="left"/>
        <w:rPr>
          <w:rFonts w:hint="default" w:ascii="宋体" w:hAnsi="宋体" w:cs="宋体" w:eastAsiaTheme="minorEastAsia"/>
          <w:sz w:val="24"/>
          <w:lang w:val="en-US" w:eastAsia="zh-CN"/>
        </w:rPr>
      </w:pPr>
      <w:bookmarkStart w:id="317" w:name="_Toc19172"/>
      <w:bookmarkStart w:id="318" w:name="_Toc20161"/>
      <w:bookmarkStart w:id="319" w:name="_Toc9376"/>
      <w:r>
        <w:rPr>
          <w:rFonts w:hint="eastAsia" w:ascii="宋体" w:hAnsi="宋体" w:cs="宋体"/>
          <w:sz w:val="24"/>
        </w:rPr>
        <w:t>作品展示展示所有作品，可以通过搜索，分类等进行快速查找。</w:t>
      </w:r>
      <w:bookmarkEnd w:id="317"/>
      <w:bookmarkEnd w:id="318"/>
      <w:bookmarkEnd w:id="319"/>
      <w:r>
        <w:rPr>
          <w:rFonts w:hint="eastAsia" w:ascii="宋体" w:hAnsi="宋体" w:cs="宋体"/>
          <w:sz w:val="24"/>
          <w:lang w:val="en-US" w:eastAsia="zh-CN"/>
        </w:rPr>
        <w:t>如下图6-5所示。</w:t>
      </w:r>
    </w:p>
    <w:p w14:paraId="428018B2">
      <w:pPr>
        <w:jc w:val="left"/>
        <w:rPr>
          <w:rFonts w:ascii="宋体" w:hAnsi="宋体" w:cs="宋体"/>
          <w:szCs w:val="21"/>
        </w:rPr>
      </w:pPr>
      <w:r>
        <w:rPr>
          <w:rFonts w:hint="eastAsia" w:ascii="宋体" w:hAnsi="宋体" w:cs="宋体"/>
          <w:szCs w:val="21"/>
        </w:rPr>
        <w:t xml:space="preserve"> </w:t>
      </w:r>
      <w:r>
        <w:rPr>
          <w:rFonts w:hint="eastAsia" w:ascii="宋体" w:hAnsi="宋体" w:cs="宋体"/>
          <w:szCs w:val="21"/>
        </w:rPr>
        <w:drawing>
          <wp:inline distT="0" distB="0" distL="114300" distR="114300">
            <wp:extent cx="5155565" cy="3352800"/>
            <wp:effectExtent l="0" t="0" r="635" b="0"/>
            <wp:docPr id="98" name="图片 98" descr="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首页"/>
                    <pic:cNvPicPr>
                      <a:picLocks noChangeAspect="1"/>
                    </pic:cNvPicPr>
                  </pic:nvPicPr>
                  <pic:blipFill>
                    <a:blip r:embed="rId155"/>
                    <a:stretch>
                      <a:fillRect/>
                    </a:stretch>
                  </pic:blipFill>
                  <pic:spPr>
                    <a:xfrm>
                      <a:off x="0" y="0"/>
                      <a:ext cx="5155565" cy="3352800"/>
                    </a:xfrm>
                    <a:prstGeom prst="rect">
                      <a:avLst/>
                    </a:prstGeom>
                  </pic:spPr>
                </pic:pic>
              </a:graphicData>
            </a:graphic>
          </wp:inline>
        </w:drawing>
      </w:r>
    </w:p>
    <w:p w14:paraId="6276C6A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eastAsia="宋体" w:cs="宋体"/>
          <w:szCs w:val="21"/>
        </w:rPr>
      </w:pPr>
      <w:bookmarkStart w:id="320" w:name="_Toc15287"/>
      <w:bookmarkStart w:id="321" w:name="_Toc20132"/>
      <w:bookmarkStart w:id="322" w:name="_Toc2431"/>
      <w:r>
        <w:rPr>
          <w:rFonts w:hint="eastAsia" w:ascii="宋体" w:hAnsi="宋体" w:eastAsia="宋体" w:cs="宋体"/>
          <w:szCs w:val="21"/>
        </w:rPr>
        <w:t>图</w:t>
      </w:r>
      <w:r>
        <w:rPr>
          <w:rFonts w:hint="eastAsia" w:ascii="宋体" w:hAnsi="宋体" w:eastAsia="宋体" w:cs="宋体"/>
          <w:szCs w:val="21"/>
          <w:lang w:val="en-US" w:eastAsia="zh-CN"/>
        </w:rPr>
        <w:t>6-5</w:t>
      </w:r>
      <w:r>
        <w:rPr>
          <w:rFonts w:hint="eastAsia" w:ascii="宋体" w:hAnsi="宋体" w:eastAsia="宋体" w:cs="宋体"/>
          <w:szCs w:val="21"/>
        </w:rPr>
        <w:t xml:space="preserve"> 作品展示界面</w:t>
      </w:r>
      <w:bookmarkEnd w:id="320"/>
      <w:bookmarkEnd w:id="321"/>
      <w:bookmarkEnd w:id="322"/>
      <w:bookmarkStart w:id="323" w:name="_Toc26248"/>
      <w:bookmarkStart w:id="324" w:name="_Toc774"/>
      <w:bookmarkStart w:id="325" w:name="_Toc10521"/>
      <w:bookmarkStart w:id="326" w:name="_Toc23397"/>
    </w:p>
    <w:p w14:paraId="32B62C22">
      <w:pPr>
        <w:spacing w:line="440" w:lineRule="exact"/>
        <w:ind w:firstLine="480" w:firstLineChars="200"/>
        <w:jc w:val="left"/>
        <w:outlineLvl w:val="9"/>
        <w:rPr>
          <w:rFonts w:ascii="宋体" w:hAnsi="宋体" w:cs="宋体"/>
          <w:sz w:val="24"/>
        </w:rPr>
      </w:pPr>
      <w:bookmarkStart w:id="327" w:name="_Toc26500"/>
      <w:r>
        <w:rPr>
          <w:rFonts w:hint="eastAsia" w:ascii="宋体" w:hAnsi="宋体" w:cs="宋体"/>
          <w:sz w:val="24"/>
        </w:rPr>
        <w:t>6.3 个人中心模块</w:t>
      </w:r>
      <w:bookmarkEnd w:id="323"/>
      <w:bookmarkEnd w:id="324"/>
      <w:bookmarkEnd w:id="325"/>
      <w:bookmarkEnd w:id="326"/>
      <w:bookmarkEnd w:id="327"/>
    </w:p>
    <w:p w14:paraId="79C0A6F7">
      <w:pPr>
        <w:spacing w:line="440" w:lineRule="exact"/>
        <w:ind w:firstLine="480" w:firstLineChars="200"/>
        <w:jc w:val="left"/>
        <w:outlineLvl w:val="9"/>
        <w:rPr>
          <w:rFonts w:ascii="宋体" w:hAnsi="宋体" w:cs="宋体"/>
          <w:sz w:val="24"/>
        </w:rPr>
      </w:pPr>
      <w:r>
        <w:rPr>
          <w:rFonts w:hint="eastAsia" w:ascii="宋体" w:hAnsi="宋体" w:cs="宋体"/>
          <w:sz w:val="24"/>
        </w:rPr>
        <w:t>个人中心包括我的预约，我的评论，我的收藏，个人资料，账户安全等。</w:t>
      </w:r>
    </w:p>
    <w:p w14:paraId="011315EA">
      <w:pPr>
        <w:spacing w:line="440" w:lineRule="exact"/>
        <w:ind w:firstLine="480" w:firstLineChars="200"/>
        <w:jc w:val="left"/>
        <w:outlineLvl w:val="9"/>
        <w:rPr>
          <w:rFonts w:hint="default" w:ascii="宋体" w:hAnsi="宋体" w:cs="宋体" w:eastAsiaTheme="minorEastAsia"/>
          <w:sz w:val="24"/>
          <w:lang w:val="en-US" w:eastAsia="zh-CN"/>
        </w:rPr>
      </w:pPr>
      <w:r>
        <w:rPr>
          <w:rFonts w:hint="eastAsia" w:ascii="宋体" w:hAnsi="宋体" w:cs="宋体"/>
          <w:sz w:val="24"/>
          <w:lang w:eastAsia="zh-CN"/>
        </w:rPr>
        <w:t>（</w:t>
      </w:r>
      <w:r>
        <w:rPr>
          <w:rFonts w:hint="eastAsia" w:ascii="宋体" w:hAnsi="宋体" w:cs="宋体"/>
          <w:sz w:val="24"/>
          <w:lang w:val="en-US" w:eastAsia="zh-CN"/>
        </w:rPr>
        <w:t>1</w:t>
      </w:r>
      <w:r>
        <w:rPr>
          <w:rFonts w:hint="eastAsia" w:ascii="宋体" w:hAnsi="宋体" w:cs="宋体"/>
          <w:sz w:val="24"/>
          <w:lang w:eastAsia="zh-CN"/>
        </w:rPr>
        <w:t>）</w:t>
      </w:r>
      <w:r>
        <w:rPr>
          <w:rFonts w:hint="eastAsia" w:ascii="宋体" w:hAnsi="宋体" w:cs="宋体"/>
          <w:sz w:val="24"/>
        </w:rPr>
        <w:t>我的预约：可以查看自己的所有预约信息，包括套餐类型，订单号等。</w:t>
      </w:r>
      <w:r>
        <w:rPr>
          <w:rFonts w:hint="eastAsia" w:ascii="宋体" w:hAnsi="宋体" w:cs="宋体"/>
          <w:sz w:val="24"/>
          <w:lang w:val="en-US" w:eastAsia="zh-CN"/>
        </w:rPr>
        <w:t>如下图6-6所示。</w:t>
      </w:r>
    </w:p>
    <w:p w14:paraId="0D3B974F">
      <w:pPr>
        <w:jc w:val="center"/>
        <w:rPr>
          <w:rFonts w:ascii="宋体" w:hAnsi="宋体" w:cs="宋体"/>
          <w:szCs w:val="21"/>
        </w:rPr>
      </w:pPr>
      <w:bookmarkStart w:id="328" w:name="_Toc25869"/>
      <w:bookmarkStart w:id="329" w:name="_Toc25038"/>
      <w:bookmarkStart w:id="330" w:name="_Toc5648"/>
      <w:r>
        <w:rPr>
          <w:rFonts w:hint="eastAsia" w:ascii="宋体" w:hAnsi="宋体" w:cs="宋体"/>
          <w:sz w:val="24"/>
        </w:rPr>
        <w:drawing>
          <wp:inline distT="0" distB="0" distL="114300" distR="114300">
            <wp:extent cx="5264785" cy="3423920"/>
            <wp:effectExtent l="0" t="0" r="5715" b="5080"/>
            <wp:docPr id="99" name="图片 99" descr="截屏2025-12-29 10.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截屏2025-12-29 10.37.23"/>
                    <pic:cNvPicPr>
                      <a:picLocks noChangeAspect="1"/>
                    </pic:cNvPicPr>
                  </pic:nvPicPr>
                  <pic:blipFill>
                    <a:blip r:embed="rId156"/>
                    <a:stretch>
                      <a:fillRect/>
                    </a:stretch>
                  </pic:blipFill>
                  <pic:spPr>
                    <a:xfrm>
                      <a:off x="0" y="0"/>
                      <a:ext cx="5264785" cy="3423920"/>
                    </a:xfrm>
                    <a:prstGeom prst="rect">
                      <a:avLst/>
                    </a:prstGeom>
                  </pic:spPr>
                </pic:pic>
              </a:graphicData>
            </a:graphic>
          </wp:inline>
        </w:drawing>
      </w:r>
      <w:r>
        <w:rPr>
          <w:rFonts w:hint="eastAsia" w:ascii="宋体" w:hAnsi="宋体" w:cs="宋体"/>
          <w:sz w:val="24"/>
        </w:rPr>
        <w:t xml:space="preserve">  </w:t>
      </w:r>
      <w:r>
        <w:rPr>
          <w:rStyle w:val="164"/>
          <w:rFonts w:hint="eastAsia"/>
        </w:rPr>
        <w:t>图</w:t>
      </w:r>
      <w:r>
        <w:rPr>
          <w:rStyle w:val="164"/>
          <w:rFonts w:hint="eastAsia"/>
          <w:lang w:val="en-US" w:eastAsia="zh-CN"/>
        </w:rPr>
        <w:t>6-6</w:t>
      </w:r>
      <w:r>
        <w:rPr>
          <w:rStyle w:val="164"/>
          <w:rFonts w:hint="eastAsia"/>
        </w:rPr>
        <w:t xml:space="preserve"> 我的预约界面</w:t>
      </w:r>
      <w:bookmarkEnd w:id="328"/>
      <w:bookmarkEnd w:id="329"/>
      <w:bookmarkEnd w:id="330"/>
    </w:p>
    <w:p w14:paraId="6A145924">
      <w:pPr>
        <w:ind w:firstLine="480" w:firstLineChars="200"/>
        <w:jc w:val="left"/>
        <w:rPr>
          <w:rFonts w:hint="default" w:ascii="宋体" w:hAnsi="宋体" w:cs="宋体" w:eastAsiaTheme="minorEastAsia"/>
          <w:sz w:val="24"/>
          <w:lang w:val="en-US" w:eastAsia="zh-CN"/>
        </w:rPr>
      </w:pPr>
      <w:bookmarkStart w:id="331" w:name="_Toc18443"/>
      <w:bookmarkStart w:id="332" w:name="_Toc28859"/>
      <w:bookmarkStart w:id="333" w:name="_Toc22538"/>
      <w:r>
        <w:rPr>
          <w:rFonts w:hint="eastAsia" w:ascii="宋体" w:hAnsi="宋体" w:cs="宋体"/>
          <w:sz w:val="24"/>
          <w:lang w:eastAsia="zh-CN"/>
        </w:rPr>
        <w:t>（</w:t>
      </w:r>
      <w:r>
        <w:rPr>
          <w:rFonts w:hint="eastAsia" w:ascii="宋体" w:hAnsi="宋体" w:cs="宋体"/>
          <w:sz w:val="24"/>
          <w:lang w:val="en-US" w:eastAsia="zh-CN"/>
        </w:rPr>
        <w:t>2</w:t>
      </w:r>
      <w:r>
        <w:rPr>
          <w:rFonts w:hint="eastAsia" w:ascii="宋体" w:hAnsi="宋体" w:cs="宋体"/>
          <w:sz w:val="24"/>
          <w:lang w:eastAsia="zh-CN"/>
        </w:rPr>
        <w:t>）</w:t>
      </w:r>
      <w:r>
        <w:rPr>
          <w:rFonts w:hint="eastAsia" w:ascii="宋体" w:hAnsi="宋体" w:cs="宋体"/>
          <w:sz w:val="24"/>
        </w:rPr>
        <w:t>我的评论：可以查看自己的所有评论，并且可以对其进行编辑和删除。</w:t>
      </w:r>
      <w:bookmarkEnd w:id="331"/>
      <w:bookmarkEnd w:id="332"/>
      <w:bookmarkEnd w:id="333"/>
      <w:r>
        <w:rPr>
          <w:rFonts w:hint="eastAsia" w:ascii="宋体" w:hAnsi="宋体" w:cs="宋体"/>
          <w:sz w:val="24"/>
          <w:lang w:val="en-US" w:eastAsia="zh-CN"/>
        </w:rPr>
        <w:t>如下图6-7所示。</w:t>
      </w:r>
    </w:p>
    <w:p w14:paraId="784839A9">
      <w:pPr>
        <w:jc w:val="left"/>
        <w:rPr>
          <w:rFonts w:ascii="宋体" w:hAnsi="宋体" w:cs="宋体"/>
          <w:szCs w:val="21"/>
        </w:rPr>
      </w:pPr>
      <w:r>
        <w:rPr>
          <w:rFonts w:ascii="宋体" w:hAnsi="宋体" w:cs="宋体"/>
          <w:szCs w:val="21"/>
        </w:rPr>
        <w:drawing>
          <wp:inline distT="0" distB="0" distL="114300" distR="114300">
            <wp:extent cx="5264785" cy="3423920"/>
            <wp:effectExtent l="0" t="0" r="5715" b="5080"/>
            <wp:docPr id="100" name="图片 100" descr="截屏2025-12-29 10.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截屏2025-12-29 10.37.27"/>
                    <pic:cNvPicPr>
                      <a:picLocks noChangeAspect="1"/>
                    </pic:cNvPicPr>
                  </pic:nvPicPr>
                  <pic:blipFill>
                    <a:blip r:embed="rId157"/>
                    <a:stretch>
                      <a:fillRect/>
                    </a:stretch>
                  </pic:blipFill>
                  <pic:spPr>
                    <a:xfrm>
                      <a:off x="0" y="0"/>
                      <a:ext cx="5264785" cy="3423920"/>
                    </a:xfrm>
                    <a:prstGeom prst="rect">
                      <a:avLst/>
                    </a:prstGeom>
                  </pic:spPr>
                </pic:pic>
              </a:graphicData>
            </a:graphic>
          </wp:inline>
        </w:drawing>
      </w:r>
    </w:p>
    <w:p w14:paraId="27AA13F3">
      <w:pPr>
        <w:keepNext w:val="0"/>
        <w:keepLines w:val="0"/>
        <w:pageBreakBefore w:val="0"/>
        <w:widowControl w:val="0"/>
        <w:kinsoku/>
        <w:wordWrap/>
        <w:overflowPunct/>
        <w:topLinePunct w:val="0"/>
        <w:autoSpaceDE/>
        <w:autoSpaceDN/>
        <w:bidi w:val="0"/>
        <w:adjustRightInd/>
        <w:snapToGrid/>
        <w:jc w:val="center"/>
        <w:textAlignment w:val="auto"/>
        <w:rPr>
          <w:rFonts w:hint="eastAsia" w:ascii="宋体" w:hAnsi="宋体" w:eastAsia="宋体" w:cs="宋体"/>
          <w:szCs w:val="21"/>
        </w:rPr>
      </w:pPr>
      <w:bookmarkStart w:id="334" w:name="_Toc27534"/>
      <w:bookmarkStart w:id="335" w:name="_Toc25884"/>
      <w:bookmarkStart w:id="336" w:name="_Toc30827"/>
      <w:r>
        <w:rPr>
          <w:rFonts w:hint="eastAsia" w:ascii="宋体" w:hAnsi="宋体" w:eastAsia="宋体" w:cs="宋体"/>
          <w:szCs w:val="21"/>
        </w:rPr>
        <w:t>图</w:t>
      </w:r>
      <w:r>
        <w:rPr>
          <w:rFonts w:hint="eastAsia" w:ascii="宋体" w:hAnsi="宋体" w:eastAsia="宋体" w:cs="宋体"/>
          <w:szCs w:val="21"/>
          <w:lang w:val="en-US" w:eastAsia="zh-CN"/>
        </w:rPr>
        <w:t>6-7</w:t>
      </w:r>
      <w:r>
        <w:rPr>
          <w:rFonts w:hint="eastAsia" w:ascii="宋体" w:hAnsi="宋体" w:eastAsia="宋体" w:cs="宋体"/>
          <w:szCs w:val="21"/>
        </w:rPr>
        <w:t xml:space="preserve"> 我的评论界面</w:t>
      </w:r>
      <w:bookmarkEnd w:id="334"/>
      <w:bookmarkEnd w:id="335"/>
      <w:bookmarkEnd w:id="336"/>
      <w:bookmarkStart w:id="337" w:name="_Toc1161"/>
      <w:bookmarkStart w:id="338" w:name="_Toc22203"/>
      <w:bookmarkStart w:id="339" w:name="_Toc13109"/>
    </w:p>
    <w:p w14:paraId="2F59CA7E">
      <w:pPr>
        <w:spacing w:line="440" w:lineRule="exact"/>
        <w:ind w:firstLine="480" w:firstLineChars="200"/>
        <w:jc w:val="left"/>
        <w:rPr>
          <w:rFonts w:hint="default" w:ascii="宋体" w:hAnsi="宋体" w:cs="宋体" w:eastAsiaTheme="minorEastAsia"/>
          <w:sz w:val="24"/>
          <w:lang w:val="en-US" w:eastAsia="zh-CN"/>
        </w:rPr>
      </w:pPr>
      <w:r>
        <w:rPr>
          <w:rFonts w:hint="eastAsia" w:ascii="宋体" w:hAnsi="宋体" w:cs="宋体"/>
          <w:sz w:val="24"/>
          <w:lang w:eastAsia="zh-CN"/>
        </w:rPr>
        <w:t>（</w:t>
      </w:r>
      <w:r>
        <w:rPr>
          <w:rFonts w:hint="eastAsia" w:ascii="宋体" w:hAnsi="宋体" w:cs="宋体"/>
          <w:sz w:val="24"/>
          <w:lang w:val="en-US" w:eastAsia="zh-CN"/>
        </w:rPr>
        <w:t>3</w:t>
      </w:r>
      <w:r>
        <w:rPr>
          <w:rFonts w:hint="eastAsia" w:ascii="宋体" w:hAnsi="宋体" w:cs="宋体"/>
          <w:sz w:val="24"/>
          <w:lang w:eastAsia="zh-CN"/>
        </w:rPr>
        <w:t>）</w:t>
      </w:r>
      <w:r>
        <w:rPr>
          <w:rFonts w:hint="eastAsia" w:ascii="宋体" w:hAnsi="宋体" w:cs="宋体"/>
          <w:sz w:val="24"/>
        </w:rPr>
        <w:t>我的收藏：可以查看自己的收藏，对感兴趣的套餐进行收藏方便二次查看预约。</w:t>
      </w:r>
      <w:bookmarkEnd w:id="337"/>
      <w:bookmarkEnd w:id="338"/>
      <w:bookmarkEnd w:id="339"/>
      <w:r>
        <w:rPr>
          <w:rFonts w:hint="eastAsia" w:ascii="宋体" w:hAnsi="宋体" w:cs="宋体"/>
          <w:sz w:val="24"/>
          <w:lang w:val="en-US" w:eastAsia="zh-CN"/>
        </w:rPr>
        <w:t>如下图6-8所示。</w:t>
      </w:r>
    </w:p>
    <w:p w14:paraId="490E52BC">
      <w:pPr>
        <w:jc w:val="left"/>
        <w:rPr>
          <w:rFonts w:ascii="宋体" w:hAnsi="宋体" w:cs="宋体"/>
          <w:szCs w:val="21"/>
        </w:rPr>
      </w:pPr>
      <w:r>
        <w:rPr>
          <w:rFonts w:ascii="宋体" w:hAnsi="宋体" w:cs="宋体"/>
          <w:szCs w:val="21"/>
        </w:rPr>
        <w:drawing>
          <wp:inline distT="0" distB="0" distL="114300" distR="114300">
            <wp:extent cx="5264785" cy="3094355"/>
            <wp:effectExtent l="0" t="0" r="5715" b="4445"/>
            <wp:docPr id="101" name="图片 101" descr="我的收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我的收藏"/>
                    <pic:cNvPicPr>
                      <a:picLocks noChangeAspect="1"/>
                    </pic:cNvPicPr>
                  </pic:nvPicPr>
                  <pic:blipFill>
                    <a:blip r:embed="rId158"/>
                    <a:stretch>
                      <a:fillRect/>
                    </a:stretch>
                  </pic:blipFill>
                  <pic:spPr>
                    <a:xfrm>
                      <a:off x="0" y="0"/>
                      <a:ext cx="5264785" cy="3094355"/>
                    </a:xfrm>
                    <a:prstGeom prst="rect">
                      <a:avLst/>
                    </a:prstGeom>
                  </pic:spPr>
                </pic:pic>
              </a:graphicData>
            </a:graphic>
          </wp:inline>
        </w:drawing>
      </w:r>
    </w:p>
    <w:p w14:paraId="0BBEECD5">
      <w:pPr>
        <w:pStyle w:val="163"/>
        <w:bidi w:val="0"/>
      </w:pPr>
      <w:bookmarkStart w:id="340" w:name="_Toc23664"/>
      <w:bookmarkStart w:id="341" w:name="_Toc5784"/>
      <w:bookmarkStart w:id="342" w:name="_Toc630"/>
      <w:r>
        <w:rPr>
          <w:rFonts w:hint="eastAsia"/>
        </w:rPr>
        <w:t>图</w:t>
      </w:r>
      <w:r>
        <w:rPr>
          <w:rFonts w:hint="eastAsia"/>
          <w:lang w:val="en-US" w:eastAsia="zh-CN"/>
        </w:rPr>
        <w:t>6-8</w:t>
      </w:r>
      <w:r>
        <w:rPr>
          <w:rFonts w:hint="eastAsia"/>
        </w:rPr>
        <w:t xml:space="preserve"> 我的收藏界面</w:t>
      </w:r>
      <w:bookmarkEnd w:id="340"/>
      <w:bookmarkEnd w:id="341"/>
      <w:bookmarkEnd w:id="342"/>
      <w:bookmarkStart w:id="343" w:name="_Toc2882"/>
      <w:bookmarkStart w:id="344" w:name="_Toc21481"/>
      <w:bookmarkStart w:id="345" w:name="_Toc30281"/>
    </w:p>
    <w:p w14:paraId="5CAC9704">
      <w:pPr>
        <w:spacing w:line="440" w:lineRule="exact"/>
        <w:ind w:firstLine="420"/>
        <w:jc w:val="left"/>
        <w:rPr>
          <w:rFonts w:hint="default" w:ascii="宋体" w:hAnsi="宋体" w:cs="宋体" w:eastAsiaTheme="minorEastAsia"/>
          <w:sz w:val="24"/>
          <w:lang w:val="en-US" w:eastAsia="zh-CN"/>
        </w:rPr>
      </w:pPr>
      <w:r>
        <w:rPr>
          <w:rFonts w:hint="eastAsia" w:ascii="宋体" w:hAnsi="宋体" w:cs="宋体"/>
          <w:sz w:val="24"/>
          <w:lang w:eastAsia="zh-CN"/>
        </w:rPr>
        <w:t>（</w:t>
      </w:r>
      <w:r>
        <w:rPr>
          <w:rFonts w:hint="eastAsia" w:ascii="宋体" w:hAnsi="宋体" w:cs="宋体"/>
          <w:sz w:val="24"/>
          <w:lang w:val="en-US" w:eastAsia="zh-CN"/>
        </w:rPr>
        <w:t>4</w:t>
      </w:r>
      <w:r>
        <w:rPr>
          <w:rFonts w:hint="eastAsia" w:ascii="宋体" w:hAnsi="宋体" w:cs="宋体"/>
          <w:sz w:val="24"/>
          <w:lang w:eastAsia="zh-CN"/>
        </w:rPr>
        <w:t>）</w:t>
      </w:r>
      <w:r>
        <w:rPr>
          <w:rFonts w:hint="eastAsia" w:ascii="宋体" w:hAnsi="宋体" w:cs="宋体"/>
          <w:sz w:val="24"/>
        </w:rPr>
        <w:t>个人资料：查看自己的用户ID，昵称和手机号等，并且可以修改账户密码。同时下方有提示昵称手机号将用于哪些功能。</w:t>
      </w:r>
      <w:bookmarkEnd w:id="343"/>
      <w:bookmarkEnd w:id="344"/>
      <w:bookmarkEnd w:id="345"/>
      <w:r>
        <w:rPr>
          <w:rFonts w:hint="eastAsia" w:ascii="宋体" w:hAnsi="宋体" w:cs="宋体"/>
          <w:sz w:val="24"/>
          <w:lang w:val="en-US" w:eastAsia="zh-CN"/>
        </w:rPr>
        <w:t>如下图6-9所示。</w:t>
      </w:r>
    </w:p>
    <w:p w14:paraId="1F6E2EEA">
      <w:pPr>
        <w:jc w:val="center"/>
        <w:rPr>
          <w:rFonts w:ascii="宋体" w:hAnsi="宋体" w:cs="宋体"/>
          <w:szCs w:val="21"/>
        </w:rPr>
      </w:pPr>
      <w:r>
        <w:rPr>
          <w:rFonts w:ascii="宋体" w:hAnsi="宋体" w:cs="宋体"/>
          <w:szCs w:val="21"/>
        </w:rPr>
        <w:drawing>
          <wp:inline distT="0" distB="0" distL="114300" distR="114300">
            <wp:extent cx="4526915" cy="2945765"/>
            <wp:effectExtent l="0" t="0" r="6985" b="635"/>
            <wp:docPr id="47" name="图片 23" descr="个人资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3" descr="个人资料"/>
                    <pic:cNvPicPr>
                      <a:picLocks noChangeAspect="1"/>
                    </pic:cNvPicPr>
                  </pic:nvPicPr>
                  <pic:blipFill>
                    <a:blip r:embed="rId159"/>
                    <a:stretch>
                      <a:fillRect/>
                    </a:stretch>
                  </pic:blipFill>
                  <pic:spPr>
                    <a:xfrm>
                      <a:off x="0" y="0"/>
                      <a:ext cx="4526915" cy="2945765"/>
                    </a:xfrm>
                    <a:prstGeom prst="rect">
                      <a:avLst/>
                    </a:prstGeom>
                  </pic:spPr>
                </pic:pic>
              </a:graphicData>
            </a:graphic>
          </wp:inline>
        </w:drawing>
      </w:r>
    </w:p>
    <w:p w14:paraId="26972F92">
      <w:pPr>
        <w:pStyle w:val="163"/>
        <w:bidi w:val="0"/>
      </w:pPr>
      <w:bookmarkStart w:id="346" w:name="_Toc31021"/>
      <w:bookmarkStart w:id="347" w:name="_Toc5306"/>
      <w:bookmarkStart w:id="348" w:name="_Toc30948"/>
      <w:r>
        <w:rPr>
          <w:rFonts w:hint="eastAsia"/>
        </w:rPr>
        <w:t>图</w:t>
      </w:r>
      <w:r>
        <w:rPr>
          <w:rFonts w:hint="eastAsia"/>
          <w:lang w:val="en-US" w:eastAsia="zh-CN"/>
        </w:rPr>
        <w:t>6-9</w:t>
      </w:r>
      <w:r>
        <w:rPr>
          <w:rFonts w:hint="eastAsia"/>
        </w:rPr>
        <w:t xml:space="preserve"> 个人资料界面</w:t>
      </w:r>
      <w:bookmarkEnd w:id="346"/>
      <w:bookmarkEnd w:id="347"/>
      <w:bookmarkEnd w:id="348"/>
      <w:bookmarkStart w:id="349" w:name="_Toc12191"/>
      <w:bookmarkStart w:id="350" w:name="_Toc18158"/>
      <w:bookmarkStart w:id="351" w:name="_Toc20899"/>
      <w:bookmarkStart w:id="352" w:name="_Toc3310"/>
    </w:p>
    <w:p w14:paraId="235DD5B2">
      <w:pPr>
        <w:spacing w:line="440" w:lineRule="exact"/>
        <w:ind w:firstLine="480" w:firstLineChars="200"/>
        <w:jc w:val="left"/>
        <w:outlineLvl w:val="9"/>
        <w:rPr>
          <w:rFonts w:ascii="宋体" w:hAnsi="宋体" w:cs="宋体"/>
          <w:sz w:val="24"/>
        </w:rPr>
      </w:pPr>
      <w:bookmarkStart w:id="353" w:name="_Toc343"/>
      <w:r>
        <w:rPr>
          <w:rFonts w:hint="eastAsia" w:ascii="宋体" w:hAnsi="宋体" w:cs="宋体"/>
          <w:sz w:val="24"/>
        </w:rPr>
        <w:t>6.4 后台管理模块</w:t>
      </w:r>
      <w:bookmarkEnd w:id="349"/>
      <w:bookmarkEnd w:id="350"/>
      <w:bookmarkEnd w:id="351"/>
      <w:bookmarkEnd w:id="352"/>
      <w:bookmarkEnd w:id="353"/>
    </w:p>
    <w:p w14:paraId="1D16D8B8">
      <w:pPr>
        <w:spacing w:line="440" w:lineRule="exact"/>
        <w:ind w:firstLine="480" w:firstLineChars="200"/>
        <w:jc w:val="left"/>
        <w:outlineLvl w:val="9"/>
        <w:rPr>
          <w:rFonts w:ascii="宋体" w:hAnsi="宋体" w:cs="宋体"/>
          <w:sz w:val="24"/>
        </w:rPr>
      </w:pPr>
      <w:bookmarkStart w:id="354" w:name="_Toc4217"/>
      <w:bookmarkStart w:id="355" w:name="_Toc6227"/>
      <w:bookmarkStart w:id="356" w:name="_Toc4048"/>
      <w:r>
        <w:rPr>
          <w:rFonts w:hint="eastAsia" w:ascii="宋体" w:hAnsi="宋体" w:cs="宋体"/>
          <w:sz w:val="24"/>
        </w:rPr>
        <w:t>有管理员权限的用户可点击后台管理进入该界面，对部分信息进行修改，包括套餐管理，套餐分类，预约管理，用户管理，评论管理，留言管理</w:t>
      </w:r>
      <w:bookmarkEnd w:id="354"/>
      <w:bookmarkEnd w:id="355"/>
      <w:bookmarkEnd w:id="356"/>
    </w:p>
    <w:p w14:paraId="140EF05C">
      <w:pPr>
        <w:spacing w:line="440" w:lineRule="exact"/>
        <w:ind w:firstLine="480" w:firstLineChars="200"/>
        <w:jc w:val="left"/>
        <w:outlineLvl w:val="9"/>
        <w:rPr>
          <w:rFonts w:hint="default" w:ascii="宋体" w:hAnsi="宋体" w:cs="宋体" w:eastAsiaTheme="minorEastAsia"/>
          <w:sz w:val="24"/>
          <w:lang w:val="en-US" w:eastAsia="zh-CN"/>
        </w:rPr>
      </w:pPr>
      <w:bookmarkStart w:id="357" w:name="_Toc28232"/>
      <w:bookmarkStart w:id="358" w:name="_Toc13326"/>
      <w:bookmarkStart w:id="359" w:name="_Toc23740"/>
      <w:r>
        <w:rPr>
          <w:rFonts w:hint="eastAsia" w:ascii="宋体" w:hAnsi="宋体" w:cs="宋体"/>
          <w:sz w:val="24"/>
        </w:rPr>
        <w:t>（1）套餐管理：对套餐进行新增，删除或上架下架，并且可以修改套餐的各种信息，包括标题分类价格等，也可以对套餐进行封面图片的插入。</w:t>
      </w:r>
      <w:bookmarkEnd w:id="357"/>
      <w:bookmarkEnd w:id="358"/>
      <w:bookmarkEnd w:id="359"/>
      <w:r>
        <w:rPr>
          <w:rFonts w:hint="eastAsia" w:ascii="宋体" w:hAnsi="宋体" w:cs="宋体"/>
          <w:sz w:val="24"/>
          <w:lang w:val="en-US" w:eastAsia="zh-CN"/>
        </w:rPr>
        <w:t>如下图6-10、6-11、6-12所示。</w:t>
      </w:r>
    </w:p>
    <w:p w14:paraId="689A8601">
      <w:pPr>
        <w:jc w:val="left"/>
        <w:rPr>
          <w:rFonts w:ascii="宋体" w:hAnsi="宋体" w:cs="宋体"/>
          <w:sz w:val="24"/>
        </w:rPr>
      </w:pPr>
      <w:r>
        <w:rPr>
          <w:rFonts w:ascii="宋体" w:hAnsi="宋体" w:cs="宋体"/>
          <w:sz w:val="24"/>
        </w:rPr>
        <w:drawing>
          <wp:inline distT="0" distB="0" distL="114300" distR="114300">
            <wp:extent cx="5264785" cy="3119120"/>
            <wp:effectExtent l="0" t="0" r="5715" b="5080"/>
            <wp:docPr id="102" name="图片 102" descr="套餐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套餐管理"/>
                    <pic:cNvPicPr>
                      <a:picLocks noChangeAspect="1"/>
                    </pic:cNvPicPr>
                  </pic:nvPicPr>
                  <pic:blipFill>
                    <a:blip r:embed="rId160"/>
                    <a:stretch>
                      <a:fillRect/>
                    </a:stretch>
                  </pic:blipFill>
                  <pic:spPr>
                    <a:xfrm>
                      <a:off x="0" y="0"/>
                      <a:ext cx="5264785" cy="3119120"/>
                    </a:xfrm>
                    <a:prstGeom prst="rect">
                      <a:avLst/>
                    </a:prstGeom>
                  </pic:spPr>
                </pic:pic>
              </a:graphicData>
            </a:graphic>
          </wp:inline>
        </w:drawing>
      </w:r>
    </w:p>
    <w:p w14:paraId="0E2D9F52">
      <w:pPr>
        <w:pStyle w:val="163"/>
        <w:bidi w:val="0"/>
      </w:pPr>
      <w:bookmarkStart w:id="360" w:name="_Toc22507"/>
      <w:bookmarkStart w:id="361" w:name="_Toc24879"/>
      <w:bookmarkStart w:id="362" w:name="_Toc19127"/>
      <w:r>
        <w:rPr>
          <w:rFonts w:hint="eastAsia"/>
        </w:rPr>
        <w:t>图</w:t>
      </w:r>
      <w:r>
        <w:rPr>
          <w:rFonts w:hint="eastAsia"/>
          <w:lang w:val="en-US" w:eastAsia="zh-CN"/>
        </w:rPr>
        <w:t>6-10</w:t>
      </w:r>
      <w:r>
        <w:rPr>
          <w:rFonts w:hint="eastAsia"/>
        </w:rPr>
        <w:t xml:space="preserve"> 套餐管理界面</w:t>
      </w:r>
      <w:bookmarkEnd w:id="360"/>
      <w:bookmarkEnd w:id="361"/>
      <w:bookmarkEnd w:id="362"/>
    </w:p>
    <w:p w14:paraId="54C32B5E">
      <w:r>
        <w:rPr>
          <w:rFonts w:hint="eastAsia"/>
        </w:rPr>
        <w:t xml:space="preserve"> </w:t>
      </w:r>
      <w:r>
        <w:rPr>
          <w:rFonts w:hint="eastAsia"/>
        </w:rPr>
        <w:drawing>
          <wp:inline distT="0" distB="0" distL="114300" distR="114300">
            <wp:extent cx="5260975" cy="3094355"/>
            <wp:effectExtent l="0" t="0" r="9525" b="4445"/>
            <wp:docPr id="104" name="图片 104" descr="套餐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套餐编辑"/>
                    <pic:cNvPicPr>
                      <a:picLocks noChangeAspect="1"/>
                    </pic:cNvPicPr>
                  </pic:nvPicPr>
                  <pic:blipFill>
                    <a:blip r:embed="rId161"/>
                    <a:stretch>
                      <a:fillRect/>
                    </a:stretch>
                  </pic:blipFill>
                  <pic:spPr>
                    <a:xfrm>
                      <a:off x="0" y="0"/>
                      <a:ext cx="5260975" cy="3094355"/>
                    </a:xfrm>
                    <a:prstGeom prst="rect">
                      <a:avLst/>
                    </a:prstGeom>
                  </pic:spPr>
                </pic:pic>
              </a:graphicData>
            </a:graphic>
          </wp:inline>
        </w:drawing>
      </w:r>
    </w:p>
    <w:p w14:paraId="13EA2A04">
      <w:pPr>
        <w:pStyle w:val="163"/>
        <w:bidi w:val="0"/>
      </w:pPr>
      <w:r>
        <w:rPr>
          <w:rFonts w:hint="eastAsia"/>
        </w:rPr>
        <w:t>图</w:t>
      </w:r>
      <w:r>
        <w:rPr>
          <w:rFonts w:hint="eastAsia"/>
          <w:lang w:val="en-US" w:eastAsia="zh-CN"/>
        </w:rPr>
        <w:t>6-11</w:t>
      </w:r>
      <w:r>
        <w:rPr>
          <w:rFonts w:hint="eastAsia"/>
        </w:rPr>
        <w:t xml:space="preserve"> 套餐编辑界面</w:t>
      </w:r>
    </w:p>
    <w:p w14:paraId="754C133A">
      <w:pPr>
        <w:rPr>
          <w:rFonts w:ascii="宋体" w:hAnsi="宋体" w:eastAsia="宋体" w:cs="宋体"/>
          <w:sz w:val="24"/>
        </w:rPr>
      </w:pPr>
      <w:r>
        <w:rPr>
          <w:rFonts w:hint="eastAsia" w:ascii="宋体" w:hAnsi="宋体" w:eastAsia="宋体" w:cs="宋体"/>
          <w:sz w:val="24"/>
        </w:rPr>
        <w:drawing>
          <wp:inline distT="0" distB="0" distL="114300" distR="114300">
            <wp:extent cx="5264785" cy="3423920"/>
            <wp:effectExtent l="0" t="0" r="5715" b="5080"/>
            <wp:docPr id="105" name="图片 105" descr="截屏2025-12-29 10.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截屏2025-12-29 10.38.42"/>
                    <pic:cNvPicPr>
                      <a:picLocks noChangeAspect="1"/>
                    </pic:cNvPicPr>
                  </pic:nvPicPr>
                  <pic:blipFill>
                    <a:blip r:embed="rId162"/>
                    <a:stretch>
                      <a:fillRect/>
                    </a:stretch>
                  </pic:blipFill>
                  <pic:spPr>
                    <a:xfrm>
                      <a:off x="0" y="0"/>
                      <a:ext cx="5264785" cy="3423920"/>
                    </a:xfrm>
                    <a:prstGeom prst="rect">
                      <a:avLst/>
                    </a:prstGeom>
                  </pic:spPr>
                </pic:pic>
              </a:graphicData>
            </a:graphic>
          </wp:inline>
        </w:drawing>
      </w:r>
    </w:p>
    <w:p w14:paraId="10DFA1E8">
      <w:pPr>
        <w:pStyle w:val="163"/>
        <w:bidi w:val="0"/>
      </w:pPr>
      <w:r>
        <w:rPr>
          <w:rFonts w:hint="eastAsia"/>
        </w:rPr>
        <w:t>图</w:t>
      </w:r>
      <w:r>
        <w:rPr>
          <w:rFonts w:hint="eastAsia"/>
          <w:lang w:val="en-US" w:eastAsia="zh-CN"/>
        </w:rPr>
        <w:t>6-12</w:t>
      </w:r>
      <w:r>
        <w:rPr>
          <w:rFonts w:hint="eastAsia"/>
        </w:rPr>
        <w:t xml:space="preserve"> </w:t>
      </w:r>
      <w:r>
        <w:t>文件（照片）上传功能</w:t>
      </w:r>
    </w:p>
    <w:p w14:paraId="209F2BE0">
      <w:pPr>
        <w:spacing w:line="440" w:lineRule="exact"/>
        <w:ind w:firstLine="480" w:firstLineChars="200"/>
        <w:jc w:val="left"/>
        <w:rPr>
          <w:rFonts w:hint="default" w:ascii="宋体" w:hAnsi="宋体" w:cs="宋体" w:eastAsiaTheme="minorEastAsia"/>
          <w:sz w:val="24"/>
          <w:lang w:val="en-US" w:eastAsia="zh-CN"/>
        </w:rPr>
      </w:pPr>
      <w:r>
        <w:rPr>
          <w:rFonts w:hint="eastAsia" w:ascii="宋体" w:hAnsi="宋体" w:cs="宋体"/>
          <w:sz w:val="24"/>
        </w:rPr>
        <w:t>（2）套餐分类：对套餐的类型进行添加删除，好的分类可以使套餐更加有序好查询，提高了用户体验感。</w:t>
      </w:r>
      <w:r>
        <w:rPr>
          <w:rFonts w:hint="eastAsia" w:ascii="宋体" w:hAnsi="宋体" w:cs="宋体"/>
          <w:sz w:val="24"/>
          <w:lang w:val="en-US" w:eastAsia="zh-CN"/>
        </w:rPr>
        <w:t>如下图6-13所示。</w:t>
      </w:r>
    </w:p>
    <w:p w14:paraId="0EDF403A">
      <w:r>
        <w:drawing>
          <wp:inline distT="0" distB="0" distL="114300" distR="114300">
            <wp:extent cx="5264785" cy="3423920"/>
            <wp:effectExtent l="0" t="0" r="5715" b="5080"/>
            <wp:docPr id="106" name="图片 106" descr="截屏2025-12-29 10.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截屏2025-12-29 10.38.49"/>
                    <pic:cNvPicPr>
                      <a:picLocks noChangeAspect="1"/>
                    </pic:cNvPicPr>
                  </pic:nvPicPr>
                  <pic:blipFill>
                    <a:blip r:embed="rId163"/>
                    <a:stretch>
                      <a:fillRect/>
                    </a:stretch>
                  </pic:blipFill>
                  <pic:spPr>
                    <a:xfrm>
                      <a:off x="0" y="0"/>
                      <a:ext cx="5264785" cy="3423920"/>
                    </a:xfrm>
                    <a:prstGeom prst="rect">
                      <a:avLst/>
                    </a:prstGeom>
                  </pic:spPr>
                </pic:pic>
              </a:graphicData>
            </a:graphic>
          </wp:inline>
        </w:drawing>
      </w:r>
    </w:p>
    <w:p w14:paraId="773802AF">
      <w:pPr>
        <w:pStyle w:val="163"/>
        <w:bidi w:val="0"/>
      </w:pPr>
      <w:r>
        <w:rPr>
          <w:rFonts w:hint="eastAsia"/>
        </w:rPr>
        <w:t>图</w:t>
      </w:r>
      <w:r>
        <w:rPr>
          <w:rFonts w:hint="eastAsia"/>
          <w:lang w:val="en-US" w:eastAsia="zh-CN"/>
        </w:rPr>
        <w:t>6-13</w:t>
      </w:r>
      <w:r>
        <w:rPr>
          <w:rFonts w:hint="eastAsia"/>
        </w:rPr>
        <w:t xml:space="preserve"> 套餐分类界面</w:t>
      </w:r>
    </w:p>
    <w:p w14:paraId="6EF1B0FC">
      <w:pPr>
        <w:spacing w:line="440" w:lineRule="exact"/>
        <w:ind w:firstLine="480" w:firstLineChars="200"/>
        <w:jc w:val="left"/>
        <w:rPr>
          <w:rFonts w:ascii="宋体" w:hAnsi="宋体" w:cs="宋体"/>
          <w:sz w:val="24"/>
        </w:rPr>
      </w:pPr>
      <w:r>
        <w:rPr>
          <w:rFonts w:hint="eastAsia" w:ascii="宋体" w:hAnsi="宋体" w:cs="宋体"/>
          <w:sz w:val="24"/>
        </w:rPr>
        <w:t>（3）预约管理：可以查看所有的预约，并且对用户的预约进行审核管理，没问题的就进行确认，有问题的可以取消删除，还可对其进行编辑。</w:t>
      </w:r>
      <w:r>
        <w:rPr>
          <w:rFonts w:hint="eastAsia" w:ascii="宋体" w:hAnsi="宋体" w:cs="宋体"/>
          <w:sz w:val="24"/>
          <w:lang w:val="en-US" w:eastAsia="zh-CN"/>
        </w:rPr>
        <w:t>如下图6-14所示。</w:t>
      </w:r>
    </w:p>
    <w:p w14:paraId="563DB665">
      <w:r>
        <w:drawing>
          <wp:inline distT="0" distB="0" distL="114300" distR="114300">
            <wp:extent cx="5264785" cy="3423920"/>
            <wp:effectExtent l="0" t="0" r="5715" b="5080"/>
            <wp:docPr id="107" name="图片 107" descr="预约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预约管理"/>
                    <pic:cNvPicPr>
                      <a:picLocks noChangeAspect="1"/>
                    </pic:cNvPicPr>
                  </pic:nvPicPr>
                  <pic:blipFill>
                    <a:blip r:embed="rId164"/>
                    <a:stretch>
                      <a:fillRect/>
                    </a:stretch>
                  </pic:blipFill>
                  <pic:spPr>
                    <a:xfrm>
                      <a:off x="0" y="0"/>
                      <a:ext cx="5264785" cy="3423920"/>
                    </a:xfrm>
                    <a:prstGeom prst="rect">
                      <a:avLst/>
                    </a:prstGeom>
                  </pic:spPr>
                </pic:pic>
              </a:graphicData>
            </a:graphic>
          </wp:inline>
        </w:drawing>
      </w:r>
    </w:p>
    <w:p w14:paraId="01C4D713">
      <w:pPr>
        <w:ind w:firstLine="420"/>
        <w:jc w:val="center"/>
      </w:pPr>
      <w:r>
        <w:rPr>
          <w:rFonts w:hint="eastAsia" w:ascii="宋体" w:hAnsi="宋体" w:eastAsia="宋体" w:cs="宋体"/>
          <w:szCs w:val="21"/>
        </w:rPr>
        <w:t>图</w:t>
      </w:r>
      <w:r>
        <w:rPr>
          <w:rFonts w:hint="eastAsia" w:ascii="宋体" w:hAnsi="宋体" w:eastAsia="宋体" w:cs="宋体"/>
          <w:szCs w:val="21"/>
          <w:lang w:val="en-US" w:eastAsia="zh-CN"/>
        </w:rPr>
        <w:t>6-14</w:t>
      </w:r>
      <w:r>
        <w:rPr>
          <w:rFonts w:hint="eastAsia" w:ascii="宋体" w:hAnsi="宋体" w:cs="宋体"/>
          <w:szCs w:val="21"/>
        </w:rPr>
        <w:t xml:space="preserve"> 预约管理界面</w:t>
      </w:r>
    </w:p>
    <w:p w14:paraId="7CE85456">
      <w:pPr>
        <w:spacing w:line="440" w:lineRule="exact"/>
        <w:ind w:firstLine="480" w:firstLineChars="200"/>
        <w:jc w:val="left"/>
        <w:rPr>
          <w:rFonts w:ascii="宋体" w:hAnsi="宋体" w:cs="宋体"/>
          <w:sz w:val="24"/>
        </w:rPr>
      </w:pPr>
      <w:r>
        <w:rPr>
          <w:rFonts w:hint="eastAsia" w:ascii="宋体" w:hAnsi="宋体" w:cs="宋体"/>
          <w:sz w:val="24"/>
        </w:rPr>
        <w:t>（4）用户管理：可以查看所有已注册用户的个人信息，对用户进行管理操作，并且可以给普通用户管理员权限。</w:t>
      </w:r>
      <w:r>
        <w:rPr>
          <w:rFonts w:hint="eastAsia" w:ascii="宋体" w:hAnsi="宋体" w:cs="宋体"/>
          <w:sz w:val="24"/>
          <w:lang w:val="en-US" w:eastAsia="zh-CN"/>
        </w:rPr>
        <w:t>如下图6-15所示。</w:t>
      </w:r>
    </w:p>
    <w:p w14:paraId="5217E24B">
      <w:pPr>
        <w:jc w:val="center"/>
        <w:rPr>
          <w:rFonts w:eastAsia="宋体"/>
          <w:b/>
          <w:bCs/>
          <w:sz w:val="28"/>
          <w:szCs w:val="28"/>
        </w:rPr>
      </w:pPr>
      <w:r>
        <w:rPr>
          <w:rFonts w:eastAsia="宋体"/>
          <w:b/>
          <w:bCs/>
          <w:sz w:val="28"/>
          <w:szCs w:val="28"/>
        </w:rPr>
        <w:drawing>
          <wp:inline distT="0" distB="0" distL="114300" distR="114300">
            <wp:extent cx="5147310" cy="3347720"/>
            <wp:effectExtent l="0" t="0" r="8890" b="5080"/>
            <wp:docPr id="108" name="图片 29" descr="用户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9" descr="用户管理"/>
                    <pic:cNvPicPr>
                      <a:picLocks noChangeAspect="1"/>
                    </pic:cNvPicPr>
                  </pic:nvPicPr>
                  <pic:blipFill>
                    <a:blip r:embed="rId165"/>
                    <a:stretch>
                      <a:fillRect/>
                    </a:stretch>
                  </pic:blipFill>
                  <pic:spPr>
                    <a:xfrm>
                      <a:off x="0" y="0"/>
                      <a:ext cx="5147310" cy="3347720"/>
                    </a:xfrm>
                    <a:prstGeom prst="rect">
                      <a:avLst/>
                    </a:prstGeom>
                  </pic:spPr>
                </pic:pic>
              </a:graphicData>
            </a:graphic>
          </wp:inline>
        </w:drawing>
      </w:r>
    </w:p>
    <w:p w14:paraId="40D866A5">
      <w:pPr>
        <w:pStyle w:val="163"/>
        <w:bidi w:val="0"/>
      </w:pPr>
      <w:r>
        <w:rPr>
          <w:rFonts w:hint="eastAsia"/>
        </w:rPr>
        <w:t>图</w:t>
      </w:r>
      <w:r>
        <w:rPr>
          <w:rFonts w:hint="eastAsia"/>
          <w:lang w:val="en-US" w:eastAsia="zh-CN"/>
        </w:rPr>
        <w:t>6-15</w:t>
      </w:r>
      <w:r>
        <w:rPr>
          <w:rFonts w:hint="eastAsia"/>
        </w:rPr>
        <w:t xml:space="preserve"> 用户管理界面</w:t>
      </w:r>
    </w:p>
    <w:p w14:paraId="374DCD2B">
      <w:pPr>
        <w:spacing w:line="440" w:lineRule="exact"/>
        <w:ind w:firstLine="480" w:firstLineChars="200"/>
        <w:jc w:val="left"/>
        <w:rPr>
          <w:rFonts w:ascii="宋体" w:hAnsi="宋体" w:cs="宋体"/>
          <w:sz w:val="24"/>
        </w:rPr>
      </w:pPr>
      <w:r>
        <w:rPr>
          <w:rFonts w:hint="eastAsia" w:ascii="宋体" w:hAnsi="宋体" w:cs="宋体"/>
          <w:sz w:val="24"/>
        </w:rPr>
        <w:t>（5）评论管理：对所有的用户评论进行管理，如发现不良评论可对其进行删除。</w:t>
      </w:r>
      <w:r>
        <w:rPr>
          <w:rFonts w:hint="eastAsia" w:ascii="宋体" w:hAnsi="宋体" w:cs="宋体"/>
          <w:sz w:val="24"/>
          <w:lang w:val="en-US" w:eastAsia="zh-CN"/>
        </w:rPr>
        <w:t>如下图6-16所示。</w:t>
      </w:r>
    </w:p>
    <w:p w14:paraId="70BB0EF3">
      <w:pPr>
        <w:jc w:val="center"/>
        <w:rPr>
          <w:rFonts w:eastAsia="宋体"/>
          <w:b/>
          <w:bCs/>
          <w:sz w:val="28"/>
          <w:szCs w:val="28"/>
        </w:rPr>
      </w:pPr>
      <w:r>
        <w:rPr>
          <w:rFonts w:eastAsia="宋体"/>
          <w:b/>
          <w:bCs/>
          <w:sz w:val="28"/>
          <w:szCs w:val="28"/>
        </w:rPr>
        <w:drawing>
          <wp:inline distT="0" distB="0" distL="114300" distR="114300">
            <wp:extent cx="5247005" cy="3413125"/>
            <wp:effectExtent l="0" t="0" r="10795" b="3175"/>
            <wp:docPr id="109" name="图片 30" descr="评论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0" descr="评论管理"/>
                    <pic:cNvPicPr>
                      <a:picLocks noChangeAspect="1"/>
                    </pic:cNvPicPr>
                  </pic:nvPicPr>
                  <pic:blipFill>
                    <a:blip r:embed="rId151"/>
                    <a:stretch>
                      <a:fillRect/>
                    </a:stretch>
                  </pic:blipFill>
                  <pic:spPr>
                    <a:xfrm>
                      <a:off x="0" y="0"/>
                      <a:ext cx="5247005" cy="3413125"/>
                    </a:xfrm>
                    <a:prstGeom prst="rect">
                      <a:avLst/>
                    </a:prstGeom>
                  </pic:spPr>
                </pic:pic>
              </a:graphicData>
            </a:graphic>
          </wp:inline>
        </w:drawing>
      </w:r>
    </w:p>
    <w:p w14:paraId="32055563">
      <w:pPr>
        <w:pStyle w:val="163"/>
        <w:bidi w:val="0"/>
      </w:pPr>
      <w:r>
        <w:rPr>
          <w:rFonts w:hint="eastAsia"/>
        </w:rPr>
        <w:t>图</w:t>
      </w:r>
      <w:r>
        <w:rPr>
          <w:rFonts w:hint="eastAsia"/>
          <w:lang w:val="en-US" w:eastAsia="zh-CN"/>
        </w:rPr>
        <w:t>6-16</w:t>
      </w:r>
      <w:r>
        <w:rPr>
          <w:rFonts w:hint="eastAsia"/>
        </w:rPr>
        <w:t xml:space="preserve"> 评论管理界面</w:t>
      </w:r>
    </w:p>
    <w:p w14:paraId="1DCA5C4D">
      <w:pPr>
        <w:spacing w:line="440" w:lineRule="exact"/>
        <w:ind w:firstLine="480" w:firstLineChars="200"/>
        <w:jc w:val="left"/>
        <w:rPr>
          <w:rFonts w:ascii="宋体" w:hAnsi="宋体" w:cs="宋体"/>
          <w:sz w:val="24"/>
        </w:rPr>
      </w:pPr>
      <w:r>
        <w:rPr>
          <w:rFonts w:hint="eastAsia" w:ascii="宋体" w:hAnsi="宋体" w:cs="宋体"/>
          <w:sz w:val="24"/>
        </w:rPr>
        <w:t>（6）留言反馈管理：在此可以查看用户对于系统的评价以及反馈，可作为后续维开发软件的参考依据。</w:t>
      </w:r>
      <w:r>
        <w:rPr>
          <w:rFonts w:hint="eastAsia" w:ascii="宋体" w:hAnsi="宋体" w:cs="宋体"/>
          <w:sz w:val="24"/>
          <w:lang w:val="en-US" w:eastAsia="zh-CN"/>
        </w:rPr>
        <w:t>如下图6-17所示。</w:t>
      </w:r>
    </w:p>
    <w:p w14:paraId="4C3AA1C6">
      <w:pPr>
        <w:jc w:val="center"/>
      </w:pPr>
      <w:r>
        <w:drawing>
          <wp:inline distT="0" distB="0" distL="114300" distR="114300">
            <wp:extent cx="5264785" cy="3423920"/>
            <wp:effectExtent l="0" t="0" r="5715" b="5080"/>
            <wp:docPr id="110" name="图片 31" descr="留言反馈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1" descr="留言反馈管理"/>
                    <pic:cNvPicPr>
                      <a:picLocks noChangeAspect="1"/>
                    </pic:cNvPicPr>
                  </pic:nvPicPr>
                  <pic:blipFill>
                    <a:blip r:embed="rId166"/>
                    <a:stretch>
                      <a:fillRect/>
                    </a:stretch>
                  </pic:blipFill>
                  <pic:spPr>
                    <a:xfrm>
                      <a:off x="0" y="0"/>
                      <a:ext cx="5264785" cy="3423920"/>
                    </a:xfrm>
                    <a:prstGeom prst="rect">
                      <a:avLst/>
                    </a:prstGeom>
                  </pic:spPr>
                </pic:pic>
              </a:graphicData>
            </a:graphic>
          </wp:inline>
        </w:drawing>
      </w:r>
    </w:p>
    <w:p w14:paraId="78B948D3">
      <w:pPr>
        <w:pStyle w:val="163"/>
        <w:bidi w:val="0"/>
        <w:rPr>
          <w:rFonts w:hint="eastAsia" w:cs="Times New Roman"/>
          <w:b/>
          <w:bCs/>
          <w:sz w:val="28"/>
          <w:szCs w:val="28"/>
        </w:rPr>
      </w:pPr>
      <w:r>
        <w:rPr>
          <w:rFonts w:hint="eastAsia"/>
        </w:rPr>
        <w:t>图</w:t>
      </w:r>
      <w:r>
        <w:rPr>
          <w:rFonts w:hint="eastAsia"/>
          <w:lang w:val="en-US" w:eastAsia="zh-CN"/>
        </w:rPr>
        <w:t>6-17</w:t>
      </w:r>
      <w:r>
        <w:rPr>
          <w:rFonts w:hint="eastAsia"/>
        </w:rPr>
        <w:t xml:space="preserve"> 留言反馈管理界面</w:t>
      </w:r>
    </w:p>
    <w:p w14:paraId="62494DCA">
      <w:pPr>
        <w:spacing w:line="440" w:lineRule="exact"/>
        <w:rPr>
          <w:rFonts w:cs="Times New Roman"/>
          <w:b/>
          <w:bCs/>
          <w:sz w:val="28"/>
          <w:szCs w:val="28"/>
        </w:rPr>
      </w:pPr>
      <w:r>
        <w:rPr>
          <w:rFonts w:hint="eastAsia" w:cs="Times New Roman"/>
          <w:b/>
          <w:bCs/>
          <w:sz w:val="28"/>
          <w:szCs w:val="28"/>
          <w:lang w:val="en-US" w:eastAsia="zh-CN"/>
        </w:rPr>
        <w:t>7</w:t>
      </w:r>
      <w:r>
        <w:rPr>
          <w:rFonts w:hint="eastAsia" w:cs="Times New Roman"/>
          <w:b/>
          <w:bCs/>
          <w:sz w:val="28"/>
          <w:szCs w:val="28"/>
        </w:rPr>
        <w:t>总结</w:t>
      </w:r>
    </w:p>
    <w:p w14:paraId="6E46EBAA">
      <w:pPr>
        <w:spacing w:line="440" w:lineRule="exact"/>
        <w:ind w:firstLine="480" w:firstLineChars="200"/>
        <w:jc w:val="left"/>
        <w:rPr>
          <w:rFonts w:ascii="宋体" w:hAnsi="宋体" w:eastAsia="宋体" w:cs="宋体"/>
          <w:sz w:val="24"/>
        </w:rPr>
      </w:pPr>
      <w:r>
        <w:rPr>
          <w:rFonts w:hint="eastAsia" w:ascii="宋体" w:hAnsi="宋体" w:eastAsia="宋体" w:cs="宋体"/>
          <w:sz w:val="24"/>
        </w:rPr>
        <w:t>本汉服约拍系统项目经过为期一个月左右的开发与测试，已顺利完成所有预定目标。系统采用SpringBoot + Vue.js前后端分离架构，成功实现了摄影套餐在线展示、预约、管理、评论及个性化推荐等核心功能，构建了一个稳定、易用、可扩展的摄影服务管理平台。在测试环节，系统功能模块测试覆盖率达98.4%，共执行测试用例65个，通过64个，所有核心功能均通过严格验证，用户体验得到显著优化。性能方面，平均响应时间控制在850ms以内，数据库关键业务查询响应时间均保持在250ms以内，满足实际使用需求。技术实现上，项目采用前后端分离架构提高了开发效率和系统可维护性，响应式设计实现了多设备适配。通过敏捷开发模式和团队协作，项目组及时调整需求、控制风险，建立了完善的文档体系，为后续维护升级提供了有力支持。本项目为摄影服务行业提供了数字化解决方案，具备良好的商业价值和技术推广意义，未来将通过社交功能扩展、智能匹配优化、移动端应用开发等方向持续完善，推动摄影服务行业向智能化、平台化方向发展。</w:t>
      </w:r>
    </w:p>
    <w:p w14:paraId="14F83B28">
      <w:pPr>
        <w:rPr>
          <w:rFonts w:ascii="宋体" w:hAnsi="宋体" w:eastAsia="宋体" w:cs="宋体"/>
          <w:sz w:val="24"/>
        </w:rPr>
        <w:sectPr>
          <w:headerReference r:id="rId11" w:type="default"/>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E9B8AE5">
      <w:pPr>
        <w:spacing w:line="440" w:lineRule="exact"/>
        <w:jc w:val="center"/>
        <w:rPr>
          <w:rFonts w:cs="Times New Roman"/>
          <w:b/>
          <w:bCs/>
          <w:sz w:val="28"/>
          <w:szCs w:val="28"/>
        </w:rPr>
      </w:pPr>
      <w:r>
        <w:rPr>
          <w:rFonts w:hint="eastAsia" w:cs="Times New Roman"/>
          <w:b/>
          <w:bCs/>
          <w:sz w:val="28"/>
          <w:szCs w:val="28"/>
        </w:rPr>
        <w:t>参考文献</w:t>
      </w:r>
    </w:p>
    <w:p w14:paraId="110D2BD2">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ascii="宋体" w:hAnsi="宋体" w:eastAsia="宋体" w:cs="宋体"/>
          <w:color w:val="0F1115"/>
          <w:sz w:val="21"/>
          <w:szCs w:val="21"/>
          <w:shd w:val="clear" w:color="auto" w:fill="FFFFFF"/>
        </w:rPr>
        <w:t>[1] 李伟，张明．Spring Boot框架在微服务架构中的应用研究[J]．计算机工程与应用，2021，57(14)：215-221．</w:t>
      </w:r>
    </w:p>
    <w:p w14:paraId="1DD2AC48">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ascii="宋体" w:hAnsi="宋体" w:eastAsia="宋体" w:cs="宋体"/>
          <w:color w:val="0F1115"/>
          <w:sz w:val="21"/>
          <w:szCs w:val="21"/>
          <w:shd w:val="clear" w:color="auto" w:fill="FFFFFF"/>
        </w:rPr>
        <w:t>[2] 王涛，刘洋．Vue.js前端框架在企业级应用中的设计与实现[J]．软件导刊，2022，21(5)：102-107．</w:t>
      </w:r>
    </w:p>
    <w:p w14:paraId="0663B58E">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hint="eastAsia" w:ascii="宋体" w:hAnsi="宋体" w:eastAsia="宋体" w:cs="宋体"/>
          <w:color w:val="0F1115"/>
          <w:sz w:val="21"/>
          <w:szCs w:val="21"/>
          <w:shd w:val="clear" w:color="auto" w:fill="FFFFFF"/>
        </w:rPr>
        <w:t>[3] 周强，李芳．MySQL数据库性能调优实践研究[J]．计算机技术与发展，2021，31(7)：88-94．</w:t>
      </w:r>
    </w:p>
    <w:p w14:paraId="292654AC">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hint="eastAsia" w:ascii="宋体" w:hAnsi="宋体" w:eastAsia="宋体" w:cs="宋体"/>
          <w:color w:val="0F1115"/>
          <w:sz w:val="21"/>
          <w:szCs w:val="21"/>
          <w:shd w:val="clear" w:color="auto" w:fill="FFFFFF"/>
        </w:rPr>
        <w:t>[4] 刘志，杨帆．Spring Security安全框架原理与应用[J]．信息安全研究，2022，8(4)：360-367．</w:t>
      </w:r>
    </w:p>
    <w:p w14:paraId="114DBF9C">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ascii="宋体" w:hAnsi="宋体" w:eastAsia="宋体" w:cs="宋体"/>
          <w:color w:val="0F1115"/>
          <w:sz w:val="21"/>
          <w:szCs w:val="21"/>
          <w:shd w:val="clear" w:color="auto" w:fill="FFFFFF"/>
        </w:rPr>
        <w:t>[</w:t>
      </w:r>
      <w:r>
        <w:rPr>
          <w:rFonts w:hint="eastAsia" w:ascii="宋体" w:hAnsi="宋体" w:eastAsia="宋体" w:cs="宋体"/>
          <w:color w:val="0F1115"/>
          <w:sz w:val="21"/>
          <w:szCs w:val="21"/>
          <w:shd w:val="clear" w:color="auto" w:fill="FFFFFF"/>
        </w:rPr>
        <w:t>5</w:t>
      </w:r>
      <w:r>
        <w:rPr>
          <w:rFonts w:ascii="宋体" w:hAnsi="宋体" w:eastAsia="宋体" w:cs="宋体"/>
          <w:color w:val="0F1115"/>
          <w:sz w:val="21"/>
          <w:szCs w:val="21"/>
          <w:shd w:val="clear" w:color="auto" w:fill="FFFFFF"/>
        </w:rPr>
        <w:t>] 徐峰，周涛．Element UI组件库在前端开发中的应用研究[J]．现代计算机，2021，27(15)：62-66．</w:t>
      </w:r>
    </w:p>
    <w:p w14:paraId="6A5A545A">
      <w:pPr>
        <w:pStyle w:val="32"/>
        <w:widowControl/>
        <w:shd w:val="clear" w:color="auto" w:fill="FFFFFF"/>
        <w:spacing w:beforeAutospacing="0" w:afterAutospacing="0" w:line="400" w:lineRule="exact"/>
        <w:ind w:left="420" w:hanging="420" w:hangingChars="200"/>
        <w:jc w:val="both"/>
        <w:rPr>
          <w:rFonts w:ascii="宋体" w:hAnsi="宋体" w:eastAsia="宋体" w:cs="宋体"/>
          <w:color w:val="0F1115"/>
          <w:sz w:val="21"/>
          <w:szCs w:val="21"/>
          <w:shd w:val="clear" w:color="auto" w:fill="FFFFFF"/>
        </w:rPr>
      </w:pPr>
      <w:r>
        <w:rPr>
          <w:rFonts w:ascii="宋体" w:hAnsi="宋体" w:eastAsia="宋体" w:cs="宋体"/>
          <w:color w:val="0F1115"/>
          <w:sz w:val="21"/>
          <w:szCs w:val="21"/>
          <w:shd w:val="clear" w:color="auto" w:fill="FFFFFF"/>
        </w:rPr>
        <w:t>[</w:t>
      </w:r>
      <w:r>
        <w:rPr>
          <w:rFonts w:hint="eastAsia" w:ascii="宋体" w:hAnsi="宋体" w:eastAsia="宋体" w:cs="宋体"/>
          <w:color w:val="0F1115"/>
          <w:sz w:val="21"/>
          <w:szCs w:val="21"/>
          <w:shd w:val="clear" w:color="auto" w:fill="FFFFFF"/>
        </w:rPr>
        <w:t>6</w:t>
      </w:r>
      <w:r>
        <w:rPr>
          <w:rFonts w:ascii="宋体" w:hAnsi="宋体" w:eastAsia="宋体" w:cs="宋体"/>
          <w:color w:val="0F1115"/>
          <w:sz w:val="21"/>
          <w:szCs w:val="21"/>
          <w:shd w:val="clear" w:color="auto" w:fill="FFFFFF"/>
        </w:rPr>
        <w:t>] 马超，赵雪．WebSocket在实时通信系统中的应用[J]．计算机应用与软件，2022，39(3)：1-6．</w:t>
      </w:r>
    </w:p>
    <w:p w14:paraId="51F19E18">
      <w:pPr>
        <w:rPr>
          <w:rFonts w:ascii="宋体" w:hAnsi="宋体" w:eastAsia="宋体" w:cs="宋体"/>
          <w:color w:val="0F1115"/>
          <w:szCs w:val="21"/>
          <w:shd w:val="clear" w:color="auto" w:fill="FFFFFF"/>
        </w:rPr>
      </w:pPr>
      <w:r>
        <w:rPr>
          <w:rFonts w:ascii="宋体" w:hAnsi="宋体" w:eastAsia="宋体" w:cs="宋体"/>
          <w:color w:val="0F1115"/>
          <w:szCs w:val="21"/>
          <w:shd w:val="clear" w:color="auto" w:fill="FFFFFF"/>
        </w:rPr>
        <w:br w:type="page"/>
      </w:r>
    </w:p>
    <w:p w14:paraId="785F9CDB">
      <w:pPr>
        <w:pStyle w:val="3"/>
        <w:bidi w:val="0"/>
        <w:rPr>
          <w:rFonts w:hint="eastAsia"/>
        </w:rPr>
      </w:pPr>
      <w:bookmarkStart w:id="363" w:name="_Toc15449"/>
      <w:bookmarkStart w:id="364" w:name="_Toc23776"/>
      <w:r>
        <w:rPr>
          <w:rFonts w:hint="eastAsia"/>
          <w:lang w:val="en-US" w:eastAsia="zh-CN"/>
        </w:rPr>
        <w:t>6.</w:t>
      </w:r>
      <w:r>
        <w:rPr>
          <w:rFonts w:hint="eastAsia"/>
        </w:rPr>
        <w:t>基于SpringBoot的服装库存管理系统的设计与实现</w:t>
      </w:r>
      <w:bookmarkEnd w:id="363"/>
      <w:bookmarkEnd w:id="364"/>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2443A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09412E6C">
            <w:pPr>
              <w:rPr>
                <w:rFonts w:ascii="黑体" w:hAnsi="黑体" w:eastAsia="黑体" w:cs="黑体"/>
                <w:sz w:val="24"/>
              </w:rPr>
            </w:pPr>
            <w:r>
              <w:rPr>
                <w:rFonts w:hint="eastAsia" w:ascii="黑体" w:hAnsi="黑体" w:eastAsia="黑体" w:cs="黑体"/>
                <w:kern w:val="0"/>
                <w:sz w:val="24"/>
              </w:rPr>
              <w:t>项目主题：基于SpringBoot的服装库存管理系统的设计与实现</w:t>
            </w:r>
          </w:p>
        </w:tc>
      </w:tr>
      <w:tr w14:paraId="546D53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511F244">
            <w:pPr>
              <w:rPr>
                <w:rFonts w:ascii="黑体" w:hAnsi="黑体" w:eastAsia="黑体" w:cs="黑体"/>
                <w:sz w:val="24"/>
              </w:rPr>
            </w:pPr>
            <w:r>
              <w:rPr>
                <w:rFonts w:hint="eastAsia" w:ascii="黑体" w:hAnsi="黑体" w:eastAsia="黑体" w:cs="黑体"/>
                <w:kern w:val="0"/>
                <w:sz w:val="24"/>
              </w:rPr>
              <w:t>班级：23软件工程本科3班</w:t>
            </w:r>
          </w:p>
        </w:tc>
      </w:tr>
      <w:tr w14:paraId="7D0A87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43CF74B">
            <w:pPr>
              <w:rPr>
                <w:rFonts w:ascii="黑体" w:hAnsi="黑体" w:eastAsia="黑体" w:cs="黑体"/>
                <w:sz w:val="24"/>
              </w:rPr>
            </w:pPr>
            <w:r>
              <w:rPr>
                <w:rFonts w:hint="eastAsia" w:ascii="黑体" w:hAnsi="黑体" w:eastAsia="黑体" w:cs="黑体"/>
                <w:kern w:val="0"/>
                <w:sz w:val="24"/>
              </w:rPr>
              <w:t>学生姓名：郑小露 袁玲 谢炜泓 周子鹏          指导教师：欧阳鼎 黄卓</w:t>
            </w:r>
          </w:p>
        </w:tc>
      </w:tr>
    </w:tbl>
    <w:p w14:paraId="6791E17B">
      <w:pPr>
        <w:pStyle w:val="111"/>
        <w:ind w:left="0" w:leftChars="0" w:firstLine="0" w:firstLineChars="0"/>
        <w:outlineLvl w:val="9"/>
        <w:rPr>
          <w:rFonts w:ascii="宋体" w:hAnsi="宋体" w:eastAsia="宋体" w:cs="宋体"/>
          <w:b w:val="0"/>
          <w:bCs/>
          <w:sz w:val="28"/>
          <w:szCs w:val="28"/>
        </w:rPr>
      </w:pPr>
      <w:bookmarkStart w:id="365" w:name="_Toc217490510"/>
      <w:r>
        <w:rPr>
          <w:rFonts w:hint="eastAsia" w:ascii="宋体" w:hAnsi="宋体" w:eastAsia="宋体" w:cs="宋体"/>
          <w:bCs/>
          <w:sz w:val="28"/>
          <w:szCs w:val="28"/>
        </w:rPr>
        <w:t>1</w:t>
      </w:r>
      <w:r>
        <w:rPr>
          <w:rFonts w:hint="eastAsia" w:ascii="宋体" w:hAnsi="宋体" w:eastAsia="宋体" w:cs="宋体"/>
          <w:bCs/>
          <w:sz w:val="28"/>
          <w:szCs w:val="28"/>
          <w:lang w:val="en-US" w:eastAsia="zh-CN"/>
        </w:rPr>
        <w:t xml:space="preserve"> </w:t>
      </w:r>
      <w:r>
        <w:rPr>
          <w:rFonts w:hint="eastAsia" w:ascii="宋体" w:hAnsi="宋体" w:eastAsia="宋体" w:cs="宋体"/>
          <w:bCs/>
          <w:sz w:val="28"/>
          <w:szCs w:val="28"/>
        </w:rPr>
        <w:t>项目概述</w:t>
      </w:r>
      <w:bookmarkEnd w:id="365"/>
    </w:p>
    <w:p w14:paraId="4932BA79">
      <w:pPr>
        <w:pStyle w:val="133"/>
        <w:outlineLvl w:val="9"/>
        <w:rPr>
          <w:rFonts w:hint="default"/>
        </w:rPr>
      </w:pPr>
      <w:bookmarkStart w:id="366" w:name="_Toc217490511"/>
      <w:bookmarkStart w:id="367" w:name="_Toc217321474"/>
      <w:r>
        <w:t>1.1项目介绍</w:t>
      </w:r>
      <w:bookmarkEnd w:id="366"/>
      <w:bookmarkEnd w:id="367"/>
    </w:p>
    <w:p w14:paraId="202872BD">
      <w:pPr>
        <w:pStyle w:val="134"/>
        <w:outlineLvl w:val="9"/>
        <w:rPr>
          <w:rFonts w:hint="default"/>
        </w:rPr>
      </w:pPr>
      <w:r>
        <w:t>本系统旨在为中小型企业设计一套数字化服装仓库管理解决方案，实现货物信息管理、出入库流程、供应商与客户管理等核心业务的自动化。系统将传统人工管理模式转化为信息化管理，提高仓库作业效率，降低管理成本，减少库存误差，同时为采购、销售、仓储等各部门提供协同工作平台。</w:t>
      </w:r>
    </w:p>
    <w:p w14:paraId="145AA912">
      <w:pPr>
        <w:pStyle w:val="134"/>
        <w:rPr>
          <w:rFonts w:hint="default"/>
        </w:rPr>
      </w:pPr>
      <w:r>
        <w:t>核心功能模块包括以下6个方面：</w:t>
      </w:r>
    </w:p>
    <w:p w14:paraId="748B3599">
      <w:pPr>
        <w:pStyle w:val="134"/>
        <w:rPr>
          <w:rFonts w:hint="default"/>
        </w:rPr>
      </w:pPr>
      <w:r>
        <w:t>（1）货物管理功能：支持货物信息录入、库存监控、库位管理、货物分类管理。</w:t>
      </w:r>
    </w:p>
    <w:p w14:paraId="76E62B9A">
      <w:pPr>
        <w:pStyle w:val="134"/>
        <w:rPr>
          <w:rFonts w:hint="default"/>
        </w:rPr>
      </w:pPr>
      <w:r>
        <w:t>（2）入库管理功能：实现采购入库、退货入库、调拨入库等管理。</w:t>
      </w:r>
    </w:p>
    <w:p w14:paraId="5A76FEBD">
      <w:pPr>
        <w:pStyle w:val="134"/>
        <w:rPr>
          <w:rFonts w:hint="default"/>
        </w:rPr>
      </w:pPr>
      <w:r>
        <w:t>（3）出库管理功能：实现销售出库、退货出库、领料出库等流程控制。</w:t>
      </w:r>
    </w:p>
    <w:p w14:paraId="2BECD8C2">
      <w:pPr>
        <w:pStyle w:val="134"/>
        <w:rPr>
          <w:rFonts w:hint="default"/>
        </w:rPr>
      </w:pPr>
      <w:r>
        <w:t>（4）供应商管理功能：建立供应商信息档案、合作状态。</w:t>
      </w:r>
    </w:p>
    <w:p w14:paraId="52028217">
      <w:pPr>
        <w:pStyle w:val="134"/>
        <w:rPr>
          <w:rFonts w:hint="default"/>
        </w:rPr>
      </w:pPr>
      <w:r>
        <w:t>（5）客户管理功能：管理客户信息、信用等级、交易记录。</w:t>
      </w:r>
    </w:p>
    <w:p w14:paraId="72CD284C">
      <w:pPr>
        <w:pStyle w:val="134"/>
        <w:rPr>
          <w:rFonts w:hint="default"/>
        </w:rPr>
      </w:pPr>
      <w:r>
        <w:t>（6）用户管理功能：操作个人信息、安全设置。</w:t>
      </w:r>
    </w:p>
    <w:p w14:paraId="196DB4BA">
      <w:pPr>
        <w:pStyle w:val="133"/>
        <w:rPr>
          <w:rFonts w:hint="default"/>
        </w:rPr>
      </w:pPr>
      <w:bookmarkStart w:id="368" w:name="_Toc217321475"/>
      <w:bookmarkStart w:id="369" w:name="_Toc217490512"/>
      <w:r>
        <w:t>1.2项目开发环境</w:t>
      </w:r>
      <w:bookmarkEnd w:id="368"/>
      <w:bookmarkEnd w:id="369"/>
    </w:p>
    <w:p w14:paraId="2B610167">
      <w:pPr>
        <w:pStyle w:val="134"/>
        <w:rPr>
          <w:rFonts w:hint="default"/>
        </w:rPr>
      </w:pPr>
      <w:r>
        <w:t>本项目基于SpringBoot2.7+框架开发，采用前后端分离架构。后端选用Java11作为开发语言，数据库选用MySQL8.0，通过MyBatisPlus进行数据访问。开发工具方面，使用IntelliJIDEA2025作为主要集成开发环境，Maven3.8+作为项目管理工具，Git进行版本控制。</w:t>
      </w:r>
    </w:p>
    <w:p w14:paraId="4DB413BF">
      <w:pPr>
        <w:pStyle w:val="133"/>
        <w:rPr>
          <w:rFonts w:hint="default"/>
        </w:rPr>
      </w:pPr>
      <w:bookmarkStart w:id="370" w:name="_Toc217321476"/>
      <w:bookmarkStart w:id="371" w:name="_Toc217490513"/>
      <w:r>
        <w:t>1.3小组人员及分工</w:t>
      </w:r>
      <w:bookmarkEnd w:id="370"/>
      <w:bookmarkEnd w:id="371"/>
    </w:p>
    <w:p w14:paraId="4FB1FD80">
      <w:pPr>
        <w:pStyle w:val="134"/>
        <w:rPr>
          <w:rFonts w:hint="default"/>
        </w:rPr>
      </w:pPr>
      <w:r>
        <w:t>本项目由4名成员共同完成，具体分工如下</w:t>
      </w:r>
      <w:r>
        <w:fldChar w:fldCharType="begin"/>
      </w:r>
      <w:r>
        <w:instrText xml:space="preserve"> REF _Ref217922863 \h  \* MERGEFORMAT </w:instrText>
      </w:r>
      <w:r>
        <w:fldChar w:fldCharType="separate"/>
      </w:r>
      <w:r>
        <w:t>表 1</w:t>
      </w:r>
      <w:r>
        <w:fldChar w:fldCharType="end"/>
      </w:r>
      <w:r>
        <w:rPr>
          <w:rFonts w:hint="eastAsia"/>
          <w:lang w:val="en-US" w:eastAsia="zh-CN"/>
        </w:rPr>
        <w:t>-1</w:t>
      </w:r>
      <w:r>
        <w:t>所示：</w:t>
      </w:r>
    </w:p>
    <w:p w14:paraId="26ED5472">
      <w:pPr>
        <w:pStyle w:val="162"/>
        <w:bidi w:val="0"/>
        <w:rPr>
          <w:rFonts w:hint="eastAsia"/>
          <w:lang w:val="en-US" w:eastAsia="zh-CN"/>
        </w:rPr>
      </w:pPr>
      <w:bookmarkStart w:id="372" w:name="_Ref217922863"/>
      <w:r>
        <w:rPr>
          <w:rFonts w:hint="eastAsia"/>
        </w:rPr>
        <w:t>表</w:t>
      </w:r>
      <w:bookmarkEnd w:id="372"/>
      <w:r>
        <w:rPr>
          <w:rFonts w:hint="eastAsia"/>
          <w:lang w:val="en-US" w:eastAsia="zh-CN"/>
        </w:rPr>
        <w:t xml:space="preserve">1-1 </w:t>
      </w:r>
      <w:r>
        <w:rPr>
          <w:rFonts w:hint="eastAsia"/>
        </w:rPr>
        <w:t>成员分工</w:t>
      </w:r>
      <w:r>
        <w:rPr>
          <w:rFonts w:hint="eastAsia"/>
          <w:lang w:val="en-US" w:eastAsia="zh-CN"/>
        </w:rPr>
        <w:t>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0"/>
        <w:gridCol w:w="6971"/>
      </w:tblGrid>
      <w:tr w14:paraId="6A9A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40" w:type="dxa"/>
          </w:tcPr>
          <w:p w14:paraId="60F17F18">
            <w:pPr>
              <w:pStyle w:val="13"/>
              <w:keepNext/>
              <w:spacing w:line="440" w:lineRule="atLeast"/>
              <w:jc w:val="center"/>
              <w:rPr>
                <w:rFonts w:hint="default" w:asciiTheme="minorEastAsia" w:hAnsiTheme="minorEastAsia" w:eastAsiaTheme="minorEastAsia"/>
                <w:szCs w:val="21"/>
                <w:lang w:val="en-US" w:eastAsia="zh-CN"/>
              </w:rPr>
            </w:pPr>
            <w:bookmarkStart w:id="373" w:name="_Toc217490514"/>
            <w:bookmarkStart w:id="374" w:name="_Toc217321477"/>
            <w:r>
              <w:rPr>
                <w:rFonts w:hint="eastAsia" w:asciiTheme="minorEastAsia" w:hAnsiTheme="minorEastAsia" w:eastAsiaTheme="minorEastAsia"/>
                <w:szCs w:val="21"/>
                <w:lang w:val="en-US" w:eastAsia="zh-CN"/>
              </w:rPr>
              <w:t>小组成员</w:t>
            </w:r>
          </w:p>
        </w:tc>
        <w:tc>
          <w:tcPr>
            <w:tcW w:w="6971" w:type="dxa"/>
          </w:tcPr>
          <w:p w14:paraId="4ADE5932">
            <w:pPr>
              <w:pStyle w:val="13"/>
              <w:keepNext/>
              <w:spacing w:line="440" w:lineRule="atLeast"/>
              <w:jc w:val="center"/>
              <w:rPr>
                <w:rFonts w:hint="eastAsia" w:asciiTheme="minorEastAsia" w:hAnsiTheme="minorEastAsia" w:eastAsiaTheme="minorEastAsia"/>
                <w:szCs w:val="21"/>
                <w:lang w:val="en-US" w:eastAsia="zh-CN"/>
              </w:rPr>
            </w:pPr>
            <w:r>
              <w:rPr>
                <w:rFonts w:hint="eastAsia" w:asciiTheme="minorEastAsia" w:hAnsiTheme="minorEastAsia" w:eastAsiaTheme="minorEastAsia"/>
                <w:szCs w:val="21"/>
                <w:lang w:val="en-US" w:eastAsia="zh-CN"/>
              </w:rPr>
              <w:t>分工</w:t>
            </w:r>
          </w:p>
        </w:tc>
      </w:tr>
      <w:tr w14:paraId="390C6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0" w:type="dxa"/>
          </w:tcPr>
          <w:p w14:paraId="08FCF5D5">
            <w:pPr>
              <w:pStyle w:val="13"/>
              <w:keepNext/>
              <w:spacing w:line="440" w:lineRule="atLeast"/>
              <w:jc w:val="center"/>
              <w:rPr>
                <w:rFonts w:asciiTheme="minorEastAsia" w:hAnsiTheme="minorEastAsia" w:eastAsiaTheme="minorEastAsia"/>
                <w:szCs w:val="21"/>
              </w:rPr>
            </w:pPr>
            <w:r>
              <w:rPr>
                <w:rFonts w:asciiTheme="minorEastAsia" w:hAnsiTheme="minorEastAsia" w:eastAsiaTheme="minorEastAsia"/>
                <w:szCs w:val="21"/>
              </w:rPr>
              <w:t>郑小露</w:t>
            </w:r>
            <w:bookmarkEnd w:id="373"/>
          </w:p>
        </w:tc>
        <w:tc>
          <w:tcPr>
            <w:tcW w:w="6971" w:type="dxa"/>
          </w:tcPr>
          <w:p w14:paraId="2F0EC071">
            <w:pPr>
              <w:pStyle w:val="13"/>
              <w:keepNext/>
              <w:spacing w:line="440" w:lineRule="atLeast"/>
              <w:jc w:val="center"/>
              <w:rPr>
                <w:rFonts w:asciiTheme="minorEastAsia" w:hAnsiTheme="minorEastAsia" w:eastAsiaTheme="minorEastAsia"/>
                <w:szCs w:val="21"/>
              </w:rPr>
            </w:pPr>
            <w:r>
              <w:rPr>
                <w:rFonts w:hint="eastAsia" w:asciiTheme="minorEastAsia" w:hAnsiTheme="minorEastAsia" w:eastAsiaTheme="minorEastAsia"/>
                <w:szCs w:val="21"/>
              </w:rPr>
              <w:t>文档、后端4个表、ppt、前端部分功能、数据编写、测试、海报</w:t>
            </w:r>
          </w:p>
        </w:tc>
      </w:tr>
      <w:tr w14:paraId="0FFB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0" w:type="dxa"/>
          </w:tcPr>
          <w:p w14:paraId="74D6DCCB">
            <w:pPr>
              <w:pStyle w:val="13"/>
              <w:keepNext/>
              <w:spacing w:line="440" w:lineRule="atLeast"/>
              <w:jc w:val="center"/>
              <w:rPr>
                <w:rFonts w:asciiTheme="minorEastAsia" w:hAnsiTheme="minorEastAsia" w:eastAsiaTheme="minorEastAsia"/>
                <w:szCs w:val="21"/>
              </w:rPr>
            </w:pPr>
            <w:bookmarkStart w:id="375" w:name="_Toc217490515"/>
            <w:r>
              <w:rPr>
                <w:rFonts w:asciiTheme="minorEastAsia" w:hAnsiTheme="minorEastAsia" w:eastAsiaTheme="minorEastAsia"/>
                <w:szCs w:val="21"/>
              </w:rPr>
              <w:t>袁玲</w:t>
            </w:r>
            <w:bookmarkEnd w:id="375"/>
          </w:p>
        </w:tc>
        <w:tc>
          <w:tcPr>
            <w:tcW w:w="6971" w:type="dxa"/>
          </w:tcPr>
          <w:p w14:paraId="70E1F03C">
            <w:pPr>
              <w:pStyle w:val="13"/>
              <w:keepNext/>
              <w:spacing w:line="440" w:lineRule="atLeast"/>
              <w:jc w:val="center"/>
              <w:rPr>
                <w:rFonts w:asciiTheme="minorEastAsia" w:hAnsiTheme="minorEastAsia" w:eastAsiaTheme="minorEastAsia"/>
                <w:szCs w:val="21"/>
              </w:rPr>
            </w:pPr>
            <w:bookmarkStart w:id="376" w:name="_Toc217490516"/>
            <w:r>
              <w:rPr>
                <w:rFonts w:asciiTheme="minorEastAsia" w:hAnsiTheme="minorEastAsia" w:eastAsiaTheme="minorEastAsia"/>
                <w:szCs w:val="21"/>
              </w:rPr>
              <w:t>前端架构、PPT、文档、测试</w:t>
            </w:r>
            <w:bookmarkEnd w:id="376"/>
          </w:p>
        </w:tc>
      </w:tr>
      <w:tr w14:paraId="3B677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0" w:type="dxa"/>
          </w:tcPr>
          <w:p w14:paraId="2E5E98FD">
            <w:pPr>
              <w:pStyle w:val="13"/>
              <w:keepNext/>
              <w:spacing w:line="440" w:lineRule="atLeast"/>
              <w:jc w:val="center"/>
              <w:rPr>
                <w:rFonts w:asciiTheme="minorEastAsia" w:hAnsiTheme="minorEastAsia" w:eastAsiaTheme="minorEastAsia"/>
                <w:szCs w:val="21"/>
              </w:rPr>
            </w:pPr>
            <w:bookmarkStart w:id="377" w:name="_Toc217490517"/>
            <w:r>
              <w:rPr>
                <w:rFonts w:asciiTheme="minorEastAsia" w:hAnsiTheme="minorEastAsia" w:eastAsiaTheme="minorEastAsia"/>
                <w:szCs w:val="21"/>
              </w:rPr>
              <w:t>谢炜泓</w:t>
            </w:r>
            <w:bookmarkEnd w:id="377"/>
          </w:p>
        </w:tc>
        <w:tc>
          <w:tcPr>
            <w:tcW w:w="6971" w:type="dxa"/>
          </w:tcPr>
          <w:p w14:paraId="53394C2C">
            <w:pPr>
              <w:pStyle w:val="13"/>
              <w:keepNext/>
              <w:spacing w:line="440" w:lineRule="atLeast"/>
              <w:jc w:val="center"/>
              <w:rPr>
                <w:rFonts w:asciiTheme="minorEastAsia" w:hAnsiTheme="minorEastAsia" w:eastAsiaTheme="minorEastAsia"/>
                <w:szCs w:val="21"/>
              </w:rPr>
            </w:pPr>
            <w:bookmarkStart w:id="378" w:name="_Toc217490518"/>
            <w:r>
              <w:rPr>
                <w:rFonts w:asciiTheme="minorEastAsia" w:hAnsiTheme="minorEastAsia" w:eastAsiaTheme="minorEastAsia"/>
                <w:szCs w:val="21"/>
              </w:rPr>
              <w:t>文档、后端两个表，ppt，前端部分功能，功能测试与完善</w:t>
            </w:r>
            <w:bookmarkEnd w:id="378"/>
          </w:p>
        </w:tc>
      </w:tr>
      <w:tr w14:paraId="7A32B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40" w:type="dxa"/>
          </w:tcPr>
          <w:p w14:paraId="4D33182C">
            <w:pPr>
              <w:pStyle w:val="13"/>
              <w:keepNext/>
              <w:spacing w:line="440" w:lineRule="atLeast"/>
              <w:jc w:val="center"/>
              <w:rPr>
                <w:rFonts w:asciiTheme="minorEastAsia" w:hAnsiTheme="minorEastAsia" w:eastAsiaTheme="minorEastAsia"/>
                <w:szCs w:val="21"/>
              </w:rPr>
            </w:pPr>
            <w:bookmarkStart w:id="379" w:name="_Toc217490519"/>
            <w:r>
              <w:rPr>
                <w:rFonts w:asciiTheme="minorEastAsia" w:hAnsiTheme="minorEastAsia" w:eastAsiaTheme="minorEastAsia"/>
                <w:szCs w:val="21"/>
              </w:rPr>
              <w:t>周子鹏</w:t>
            </w:r>
            <w:bookmarkEnd w:id="379"/>
          </w:p>
        </w:tc>
        <w:tc>
          <w:tcPr>
            <w:tcW w:w="6971" w:type="dxa"/>
          </w:tcPr>
          <w:p w14:paraId="57BEC4D1">
            <w:pPr>
              <w:pStyle w:val="13"/>
              <w:keepNext/>
              <w:spacing w:line="440" w:lineRule="atLeast"/>
              <w:jc w:val="center"/>
              <w:rPr>
                <w:rFonts w:asciiTheme="minorEastAsia" w:hAnsiTheme="minorEastAsia" w:eastAsiaTheme="minorEastAsia"/>
                <w:szCs w:val="21"/>
              </w:rPr>
            </w:pPr>
            <w:bookmarkStart w:id="380" w:name="_Toc217490520"/>
            <w:r>
              <w:rPr>
                <w:rFonts w:asciiTheme="minorEastAsia" w:hAnsiTheme="minorEastAsia" w:eastAsiaTheme="minorEastAsia"/>
                <w:szCs w:val="21"/>
              </w:rPr>
              <w:t>PPT、海报</w:t>
            </w:r>
            <w:bookmarkEnd w:id="380"/>
          </w:p>
        </w:tc>
      </w:tr>
    </w:tbl>
    <w:p w14:paraId="423E9CB6">
      <w:pPr>
        <w:pStyle w:val="111"/>
        <w:ind w:left="0" w:leftChars="0" w:firstLine="0" w:firstLineChars="0"/>
        <w:rPr>
          <w:rFonts w:ascii="宋体" w:hAnsi="宋体" w:cs="宋体"/>
          <w:b w:val="0"/>
          <w:bCs/>
          <w:sz w:val="28"/>
          <w:szCs w:val="28"/>
        </w:rPr>
      </w:pPr>
      <w:bookmarkStart w:id="381" w:name="_Toc217490521"/>
      <w:r>
        <w:rPr>
          <w:rFonts w:ascii="宋体" w:hAnsi="宋体" w:cs="宋体"/>
          <w:bCs/>
          <w:sz w:val="28"/>
          <w:szCs w:val="28"/>
        </w:rPr>
        <w:t>2</w:t>
      </w:r>
      <w:r>
        <w:rPr>
          <w:rFonts w:hint="eastAsia" w:ascii="宋体" w:hAnsi="宋体" w:cs="宋体"/>
          <w:bCs/>
          <w:sz w:val="28"/>
          <w:szCs w:val="28"/>
          <w:lang w:val="en-US" w:eastAsia="zh-CN"/>
        </w:rPr>
        <w:t xml:space="preserve"> </w:t>
      </w:r>
      <w:r>
        <w:rPr>
          <w:rFonts w:ascii="宋体" w:hAnsi="宋体" w:cs="宋体"/>
          <w:bCs/>
          <w:sz w:val="28"/>
          <w:szCs w:val="28"/>
        </w:rPr>
        <w:t>需求分析</w:t>
      </w:r>
      <w:bookmarkEnd w:id="374"/>
      <w:bookmarkEnd w:id="381"/>
    </w:p>
    <w:p w14:paraId="0CE86F85">
      <w:pPr>
        <w:pStyle w:val="133"/>
        <w:rPr>
          <w:rFonts w:hint="default"/>
        </w:rPr>
      </w:pPr>
      <w:bookmarkStart w:id="382" w:name="_Toc217490522"/>
      <w:bookmarkStart w:id="383" w:name="_Toc217321478"/>
      <w:r>
        <w:t>2.1系统需求分析</w:t>
      </w:r>
      <w:bookmarkEnd w:id="382"/>
      <w:bookmarkEnd w:id="383"/>
    </w:p>
    <w:p w14:paraId="08516052">
      <w:pPr>
        <w:pStyle w:val="133"/>
        <w:rPr>
          <w:rFonts w:hint="default"/>
        </w:rPr>
      </w:pPr>
      <w:bookmarkStart w:id="384" w:name="_Toc217321479"/>
      <w:bookmarkStart w:id="385" w:name="_Toc217490523"/>
      <w:r>
        <w:t>2.1.1功能需求</w:t>
      </w:r>
      <w:bookmarkEnd w:id="384"/>
      <w:bookmarkEnd w:id="385"/>
    </w:p>
    <w:p w14:paraId="2F31560E">
      <w:pPr>
        <w:pStyle w:val="134"/>
        <w:rPr>
          <w:rFonts w:hint="default"/>
        </w:rPr>
      </w:pPr>
      <w:r>
        <w:t>仓库管理系统运用涵盖了入库信息管理、出库信息管理、货物信息管理、供应商信息管理、客户信息管理、用户管理以及数据展示等功能。</w:t>
      </w:r>
    </w:p>
    <w:p w14:paraId="608C1CA8">
      <w:pPr>
        <w:pStyle w:val="134"/>
        <w:rPr>
          <w:rFonts w:hint="default"/>
        </w:rPr>
      </w:pPr>
      <w:r>
        <w:t>（1）用户管理</w:t>
      </w:r>
    </w:p>
    <w:p w14:paraId="4A9F6444">
      <w:pPr>
        <w:pStyle w:val="134"/>
        <w:rPr>
          <w:rFonts w:hint="default"/>
        </w:rPr>
      </w:pPr>
      <w:r>
        <w:t>用户注册登录：支持用户名密码登录，包含验证码机制。</w:t>
      </w:r>
    </w:p>
    <w:p w14:paraId="36FA0F67">
      <w:pPr>
        <w:pStyle w:val="134"/>
        <w:rPr>
          <w:rFonts w:hint="default"/>
        </w:rPr>
      </w:pPr>
      <w:r>
        <w:t>个人信息管理：用户可查看和修改个人信息、修改密码、查看登录记录。</w:t>
      </w:r>
    </w:p>
    <w:p w14:paraId="29DAC842">
      <w:pPr>
        <w:pStyle w:val="134"/>
        <w:rPr>
          <w:rFonts w:hint="default"/>
        </w:rPr>
      </w:pPr>
      <w:r>
        <w:t>（2）货物信息管理</w:t>
      </w:r>
    </w:p>
    <w:p w14:paraId="579B2B77">
      <w:pPr>
        <w:pStyle w:val="134"/>
        <w:rPr>
          <w:rFonts w:hint="default"/>
        </w:rPr>
      </w:pPr>
      <w:r>
        <w:t>货物信息管理：支持货物的增删改查操作，包含货物编码、名称、类型、规格、单位、单价等字段。</w:t>
      </w:r>
    </w:p>
    <w:p w14:paraId="2F50B725">
      <w:pPr>
        <w:pStyle w:val="134"/>
        <w:rPr>
          <w:rFonts w:hint="default"/>
        </w:rPr>
      </w:pPr>
      <w:r>
        <w:t>库存监控：实时监控当前库存，设置库存上下限预警阈值。</w:t>
      </w:r>
    </w:p>
    <w:p w14:paraId="5E589791">
      <w:pPr>
        <w:pStyle w:val="134"/>
        <w:rPr>
          <w:rFonts w:hint="default"/>
        </w:rPr>
      </w:pPr>
      <w:r>
        <w:t>库位管理：采用“区排位”3级库位编码体系（如A0101）。</w:t>
      </w:r>
    </w:p>
    <w:p w14:paraId="7874DBF0">
      <w:pPr>
        <w:pStyle w:val="134"/>
        <w:rPr>
          <w:rFonts w:hint="default"/>
        </w:rPr>
      </w:pPr>
      <w:r>
        <w:t>批次管理：支持按生产批次管理货物，记录生产日期、保质期。</w:t>
      </w:r>
    </w:p>
    <w:p w14:paraId="63834E36">
      <w:pPr>
        <w:pStyle w:val="134"/>
        <w:rPr>
          <w:rFonts w:hint="default"/>
        </w:rPr>
      </w:pPr>
      <w:r>
        <w:t>（3）入库信息管理</w:t>
      </w:r>
    </w:p>
    <w:p w14:paraId="671A0E39">
      <w:pPr>
        <w:pStyle w:val="134"/>
        <w:rPr>
          <w:rFonts w:hint="default"/>
        </w:rPr>
      </w:pPr>
      <w:r>
        <w:t>入库类型：采购入库、退货入库、调拨入库、盘盈入库。</w:t>
      </w:r>
    </w:p>
    <w:p w14:paraId="58E61F7D">
      <w:pPr>
        <w:pStyle w:val="134"/>
        <w:rPr>
          <w:rFonts w:hint="default"/>
        </w:rPr>
      </w:pPr>
      <w:r>
        <w:t>入库单管理：支持入库单的创建、编辑、查询、删除。</w:t>
      </w:r>
    </w:p>
    <w:p w14:paraId="526D100D">
      <w:pPr>
        <w:pStyle w:val="134"/>
        <w:rPr>
          <w:rFonts w:hint="default"/>
        </w:rPr>
      </w:pPr>
      <w:r>
        <w:t>单号生成：根据入库时间自动生成单号。</w:t>
      </w:r>
    </w:p>
    <w:p w14:paraId="18CA799D">
      <w:pPr>
        <w:pStyle w:val="134"/>
        <w:rPr>
          <w:rFonts w:hint="default"/>
        </w:rPr>
      </w:pPr>
      <w:r>
        <w:t>实时统计：今日入库数量。</w:t>
      </w:r>
    </w:p>
    <w:p w14:paraId="0E62DC61">
      <w:pPr>
        <w:pStyle w:val="134"/>
        <w:rPr>
          <w:rFonts w:hint="default"/>
        </w:rPr>
      </w:pPr>
      <w:r>
        <w:t>（4）出库信息管理</w:t>
      </w:r>
    </w:p>
    <w:p w14:paraId="205B4EFD">
      <w:pPr>
        <w:pStyle w:val="134"/>
        <w:rPr>
          <w:rFonts w:hint="default"/>
        </w:rPr>
      </w:pPr>
      <w:r>
        <w:t>出库类型：销售出库、退货出库、调拨出库、盘亏出库。</w:t>
      </w:r>
    </w:p>
    <w:p w14:paraId="2CD9797D">
      <w:pPr>
        <w:pStyle w:val="134"/>
        <w:rPr>
          <w:rFonts w:hint="default"/>
        </w:rPr>
      </w:pPr>
      <w:r>
        <w:t>出库单管理：支持出库单的创建、编辑、查询、删除。</w:t>
      </w:r>
    </w:p>
    <w:p w14:paraId="4DF2765E">
      <w:pPr>
        <w:pStyle w:val="134"/>
        <w:rPr>
          <w:rFonts w:hint="default"/>
        </w:rPr>
      </w:pPr>
      <w:r>
        <w:t>（5）供应商信息管理</w:t>
      </w:r>
    </w:p>
    <w:p w14:paraId="6AD27368">
      <w:pPr>
        <w:pStyle w:val="134"/>
        <w:rPr>
          <w:rFonts w:hint="default"/>
        </w:rPr>
      </w:pPr>
      <w:r>
        <w:t>供应商档案：完整的供应商信息管理，包括基本信息、联系人等等。</w:t>
      </w:r>
    </w:p>
    <w:p w14:paraId="3576E512">
      <w:pPr>
        <w:pStyle w:val="134"/>
        <w:rPr>
          <w:rFonts w:hint="default"/>
        </w:rPr>
      </w:pPr>
      <w:r>
        <w:t>供应商分类：生产厂商、代理商、批发商、个体户。</w:t>
      </w:r>
    </w:p>
    <w:p w14:paraId="1BCE65E6">
      <w:pPr>
        <w:pStyle w:val="134"/>
        <w:rPr>
          <w:rFonts w:hint="default"/>
        </w:rPr>
      </w:pPr>
      <w:r>
        <w:t>合作状态：合作中、暂停合作、终止合作。</w:t>
      </w:r>
    </w:p>
    <w:p w14:paraId="67D2DCDB">
      <w:pPr>
        <w:pStyle w:val="134"/>
        <w:rPr>
          <w:rFonts w:hint="default"/>
        </w:rPr>
      </w:pPr>
      <w:r>
        <w:t>（6）客户信息管理</w:t>
      </w:r>
    </w:p>
    <w:p w14:paraId="0C734089">
      <w:pPr>
        <w:pStyle w:val="134"/>
        <w:rPr>
          <w:rFonts w:hint="default"/>
        </w:rPr>
      </w:pPr>
      <w:r>
        <w:t>客户档案：完整的客户信息管理，包括基本信息、联系人、配送地址。</w:t>
      </w:r>
    </w:p>
    <w:p w14:paraId="7F7CF168">
      <w:pPr>
        <w:pStyle w:val="134"/>
        <w:rPr>
          <w:rFonts w:hint="default"/>
        </w:rPr>
      </w:pPr>
      <w:r>
        <w:t>信用管理：设置信用等级（VIP、优质、普通、风险）。</w:t>
      </w:r>
    </w:p>
    <w:p w14:paraId="5FF76D96">
      <w:pPr>
        <w:pStyle w:val="134"/>
        <w:rPr>
          <w:rFonts w:hint="default"/>
        </w:rPr>
      </w:pPr>
      <w:r>
        <w:t>合作状态：合作中、暂停合作、终止合作。</w:t>
      </w:r>
    </w:p>
    <w:p w14:paraId="0650B369">
      <w:pPr>
        <w:pStyle w:val="134"/>
        <w:rPr>
          <w:rFonts w:hint="default"/>
        </w:rPr>
      </w:pPr>
      <w:bookmarkStart w:id="386" w:name="_Toc217321480"/>
      <w:bookmarkStart w:id="387" w:name="_Toc217490524"/>
      <w:r>
        <w:t>2.1.2非功能需求</w:t>
      </w:r>
      <w:bookmarkEnd w:id="386"/>
      <w:bookmarkEnd w:id="387"/>
    </w:p>
    <w:p w14:paraId="51AB550B">
      <w:pPr>
        <w:pStyle w:val="134"/>
        <w:rPr>
          <w:rFonts w:hint="default"/>
        </w:rPr>
      </w:pPr>
      <w:r>
        <w:t>（1）安全性：服装仓库管理系统应具备防止未授权用户访问的功能，同时保护供应商和客户的信息。</w:t>
      </w:r>
    </w:p>
    <w:p w14:paraId="6DB40CDE">
      <w:pPr>
        <w:pStyle w:val="134"/>
        <w:rPr>
          <w:rFonts w:hint="default"/>
        </w:rPr>
      </w:pPr>
      <w:r>
        <w:t>（2）可靠性：服装仓库管理系统应具备良好的稳定性和容错性。</w:t>
      </w:r>
    </w:p>
    <w:p w14:paraId="3DBC6E68">
      <w:pPr>
        <w:pStyle w:val="134"/>
        <w:rPr>
          <w:rFonts w:hint="default"/>
        </w:rPr>
      </w:pPr>
      <w:r>
        <w:t>（3）易用性：服装仓库管理系统界面应简洁清晰，操作流程应简单明了，方便用户快速上手使用。</w:t>
      </w:r>
    </w:p>
    <w:p w14:paraId="6022AD2F">
      <w:pPr>
        <w:pStyle w:val="134"/>
        <w:rPr>
          <w:rFonts w:hint="default"/>
        </w:rPr>
      </w:pPr>
      <w:r>
        <w:t>（4）可扩展性：服装仓库管理系统需要具备一定的可扩展性，能够适应不同规模和不同需求的仓库，实现系统的功能和架构的升级和扩展。</w:t>
      </w:r>
    </w:p>
    <w:p w14:paraId="5D10FF20">
      <w:pPr>
        <w:pStyle w:val="134"/>
        <w:rPr>
          <w:rFonts w:hint="default"/>
        </w:rPr>
      </w:pPr>
      <w:bookmarkStart w:id="388" w:name="_Toc217321481"/>
      <w:bookmarkStart w:id="389" w:name="_Toc217490525"/>
      <w:r>
        <w:t>2.2可行性分析</w:t>
      </w:r>
      <w:bookmarkEnd w:id="388"/>
      <w:bookmarkEnd w:id="389"/>
    </w:p>
    <w:p w14:paraId="45F38759">
      <w:pPr>
        <w:pStyle w:val="134"/>
        <w:rPr>
          <w:rFonts w:hint="default"/>
        </w:rPr>
      </w:pPr>
      <w:bookmarkStart w:id="390" w:name="_Toc217321482"/>
      <w:bookmarkStart w:id="391" w:name="_Toc217490526"/>
      <w:r>
        <w:t>2.2.1技术可行性</w:t>
      </w:r>
      <w:bookmarkEnd w:id="390"/>
      <w:bookmarkEnd w:id="391"/>
    </w:p>
    <w:p w14:paraId="65CF11C2">
      <w:pPr>
        <w:pStyle w:val="134"/>
        <w:rPr>
          <w:rFonts w:hint="default"/>
        </w:rPr>
      </w:pPr>
      <w:bookmarkStart w:id="392" w:name="_Toc217321483"/>
      <w:r>
        <w:t>服装仓库管理系统主要开发语言为Java，基于SpringBoot和Vue.js编写，使用MySQL存储数据，对于应用程序的开发要求具备完整功能，使用简单的特点，并建立一个数据完整安全稳定的数据库。服装仓库管理系统的开发技术具有很高可行性，且开发人员掌握了一定的开发技术，故系统的开发具有可行性。</w:t>
      </w:r>
    </w:p>
    <w:p w14:paraId="7D5F75E6">
      <w:pPr>
        <w:pStyle w:val="134"/>
        <w:rPr>
          <w:rFonts w:hint="default"/>
        </w:rPr>
      </w:pPr>
      <w:bookmarkStart w:id="393" w:name="_Toc217490527"/>
      <w:r>
        <w:t>2.2.2操作可行性</w:t>
      </w:r>
      <w:bookmarkEnd w:id="392"/>
      <w:bookmarkEnd w:id="393"/>
    </w:p>
    <w:p w14:paraId="10B46F7F">
      <w:pPr>
        <w:pStyle w:val="134"/>
        <w:rPr>
          <w:rFonts w:hint="default"/>
        </w:rPr>
      </w:pPr>
      <w:bookmarkStart w:id="394" w:name="_Toc217321484"/>
      <w:r>
        <w:t>服装仓库管理系统的登录界面简单易于操作，采用常见的界面窗口来登录界面，通过电脑进行访问操作，用户只要平时使用过电脑都能进行访问操作。此系统的开发采用java语言开发，基于SpringBoot框架，这些开发环境使系统更加完善。本系统具有易操作、易管理、交互性好的特点，在操作上是非常简单的。</w:t>
      </w:r>
    </w:p>
    <w:p w14:paraId="16859A4F">
      <w:pPr>
        <w:pStyle w:val="134"/>
        <w:rPr>
          <w:rFonts w:hint="default"/>
        </w:rPr>
      </w:pPr>
      <w:bookmarkStart w:id="395" w:name="_Toc217490528"/>
      <w:r>
        <w:t>2.2.3经济可行性</w:t>
      </w:r>
      <w:bookmarkEnd w:id="395"/>
    </w:p>
    <w:p w14:paraId="45C854D3">
      <w:pPr>
        <w:pStyle w:val="134"/>
        <w:rPr>
          <w:rFonts w:hint="default"/>
        </w:rPr>
      </w:pPr>
      <w:r>
        <w:t>服装仓库管理系统是基于流行的SpringBoot和Vue.js编写，采用Mysql数据库储存数据，所要求的硬件和软件环境，都很容易获得，程序开发主要是管理系统的开发和维护。所以程序在开发人力、财力上要求不高，而且此系统不是很复杂，开发周期短，在经济方面具有较高的可行性。</w:t>
      </w:r>
    </w:p>
    <w:p w14:paraId="36AD9F4D">
      <w:pPr>
        <w:pStyle w:val="111"/>
        <w:ind w:left="0" w:leftChars="0" w:firstLine="0" w:firstLineChars="0"/>
        <w:rPr>
          <w:rFonts w:ascii="宋体" w:hAnsi="宋体" w:cs="宋体"/>
          <w:b w:val="0"/>
          <w:bCs/>
          <w:color w:val="000000"/>
          <w:sz w:val="28"/>
          <w:szCs w:val="28"/>
        </w:rPr>
      </w:pPr>
      <w:bookmarkStart w:id="396" w:name="_Toc217490529"/>
      <w:r>
        <w:rPr>
          <w:rFonts w:ascii="宋体" w:hAnsi="宋体" w:cs="宋体"/>
          <w:bCs/>
          <w:color w:val="000000"/>
          <w:sz w:val="28"/>
          <w:szCs w:val="28"/>
        </w:rPr>
        <w:t>3</w:t>
      </w:r>
      <w:r>
        <w:rPr>
          <w:rFonts w:hint="eastAsia" w:ascii="宋体" w:hAnsi="宋体" w:cs="宋体"/>
          <w:bCs/>
          <w:color w:val="000000"/>
          <w:sz w:val="28"/>
          <w:szCs w:val="28"/>
          <w:lang w:val="en-US" w:eastAsia="zh-CN"/>
        </w:rPr>
        <w:t xml:space="preserve"> </w:t>
      </w:r>
      <w:r>
        <w:rPr>
          <w:rFonts w:ascii="宋体" w:hAnsi="宋体" w:cs="宋体"/>
          <w:bCs/>
          <w:color w:val="000000"/>
          <w:sz w:val="28"/>
          <w:szCs w:val="28"/>
        </w:rPr>
        <w:t>系统设计</w:t>
      </w:r>
      <w:bookmarkEnd w:id="394"/>
      <w:bookmarkEnd w:id="396"/>
    </w:p>
    <w:p w14:paraId="41AE5141">
      <w:pPr>
        <w:pStyle w:val="133"/>
        <w:rPr>
          <w:rFonts w:hint="default"/>
        </w:rPr>
      </w:pPr>
      <w:bookmarkStart w:id="397" w:name="_Toc217490530"/>
      <w:bookmarkStart w:id="398" w:name="_Toc217321485"/>
      <w:r>
        <w:t>3.1系统结构设计</w:t>
      </w:r>
      <w:bookmarkEnd w:id="397"/>
      <w:bookmarkEnd w:id="398"/>
    </w:p>
    <w:p w14:paraId="748DCFA1">
      <w:pPr>
        <w:pStyle w:val="134"/>
        <w:rPr>
          <w:rFonts w:hint="default" w:eastAsiaTheme="minorEastAsia"/>
          <w:lang w:val="en-US" w:eastAsia="zh-CN"/>
        </w:rPr>
      </w:pPr>
      <w:r>
        <w:t>经过对系统的需求分析，服装仓库管理系统主要划分为六个大模块：入库信息管理、出库信息管理、货物信息管理、供应商信息管理、客户信息管理和用户个人信息。</w:t>
      </w:r>
      <w:r>
        <w:rPr>
          <w:rFonts w:hint="eastAsia"/>
          <w:lang w:val="en-US" w:eastAsia="zh-CN"/>
        </w:rPr>
        <w:t>如图3-1所示。</w:t>
      </w:r>
    </w:p>
    <w:p w14:paraId="1070BE57">
      <w:pPr>
        <w:keepNext/>
        <w:spacing w:line="440" w:lineRule="atLeast"/>
        <w:jc w:val="center"/>
      </w:pPr>
      <w:r>
        <w:rPr>
          <w:rFonts w:hint="eastAsia" w:ascii="宋体" w:hAnsi="宋体" w:cs="宋体"/>
          <w:sz w:val="24"/>
        </w:rPr>
        <w:drawing>
          <wp:inline distT="0" distB="0" distL="0" distR="0">
            <wp:extent cx="5081905" cy="1923415"/>
            <wp:effectExtent l="0" t="0" r="10795" b="6985"/>
            <wp:docPr id="1027" name="图片 1"/>
            <wp:cNvGraphicFramePr/>
            <a:graphic xmlns:a="http://schemas.openxmlformats.org/drawingml/2006/main">
              <a:graphicData uri="http://schemas.openxmlformats.org/drawingml/2006/picture">
                <pic:pic xmlns:pic="http://schemas.openxmlformats.org/drawingml/2006/picture">
                  <pic:nvPicPr>
                    <pic:cNvPr id="1027" name="图片 1"/>
                    <pic:cNvPicPr/>
                  </pic:nvPicPr>
                  <pic:blipFill>
                    <a:blip r:embed="rId167" cstate="print"/>
                    <a:srcRect l="21531" t="43437" r="2785" b="10725"/>
                    <a:stretch>
                      <a:fillRect/>
                    </a:stretch>
                  </pic:blipFill>
                  <pic:spPr>
                    <a:xfrm>
                      <a:off x="0" y="0"/>
                      <a:ext cx="5081905" cy="1923415"/>
                    </a:xfrm>
                    <a:prstGeom prst="rect">
                      <a:avLst/>
                    </a:prstGeom>
                    <a:ln>
                      <a:noFill/>
                    </a:ln>
                  </pic:spPr>
                </pic:pic>
              </a:graphicData>
            </a:graphic>
          </wp:inline>
        </w:drawing>
      </w:r>
    </w:p>
    <w:p w14:paraId="57C6C5F6">
      <w:pPr>
        <w:pStyle w:val="163"/>
        <w:bidi w:val="0"/>
      </w:pPr>
      <w:r>
        <w:rPr>
          <w:rFonts w:hint="eastAsia"/>
        </w:rPr>
        <w:t>图</w:t>
      </w:r>
      <w:r>
        <w:rPr>
          <w:rFonts w:hint="eastAsia"/>
          <w:lang w:val="en-US" w:eastAsia="zh-CN"/>
        </w:rPr>
        <w:t xml:space="preserve">3-1 </w:t>
      </w:r>
      <w:r>
        <w:rPr>
          <w:rFonts w:hint="eastAsia"/>
        </w:rPr>
        <w:t>服装库存管理系统图</w:t>
      </w:r>
    </w:p>
    <w:p w14:paraId="0953A4DB">
      <w:pPr>
        <w:pStyle w:val="134"/>
        <w:rPr>
          <w:rFonts w:hint="default"/>
        </w:rPr>
      </w:pPr>
      <w:bookmarkStart w:id="399" w:name="_Toc217321486"/>
      <w:bookmarkStart w:id="400" w:name="_Toc217490531"/>
      <w:r>
        <w:t>3.2系统功能模块设计</w:t>
      </w:r>
      <w:bookmarkEnd w:id="399"/>
      <w:bookmarkEnd w:id="400"/>
    </w:p>
    <w:p w14:paraId="0D7A836C">
      <w:pPr>
        <w:pStyle w:val="134"/>
        <w:rPr>
          <w:rFonts w:hint="default"/>
        </w:rPr>
      </w:pPr>
      <w:bookmarkStart w:id="401" w:name="_Toc217490532"/>
      <w:r>
        <w:t>3.2.1出库管理模块</w:t>
      </w:r>
      <w:bookmarkEnd w:id="401"/>
    </w:p>
    <w:p w14:paraId="74A41A91">
      <w:pPr>
        <w:pStyle w:val="134"/>
        <w:rPr>
          <w:rFonts w:hint="default" w:eastAsiaTheme="minorEastAsia"/>
          <w:lang w:val="en-US" w:eastAsia="zh-CN"/>
        </w:rPr>
      </w:pPr>
      <w:r>
        <w:t>本模块专门处理货物的出库流程，支持销售出库、退货出库、调拨出库等多种出库类型。操作人员可创建出库单，关联客户信息。出库前系统会自动检查库存数量，避免缺货出库。同时提供出库数据的统计分析，帮助企业优化出库效率和客户服务水平。</w:t>
      </w:r>
      <w:r>
        <w:rPr>
          <w:rFonts w:hint="eastAsia"/>
          <w:lang w:val="en-US" w:eastAsia="zh-CN"/>
        </w:rPr>
        <w:t>如图3-2所示。</w:t>
      </w:r>
    </w:p>
    <w:p w14:paraId="0F69C69D">
      <w:pPr>
        <w:keepNext/>
        <w:spacing w:line="440" w:lineRule="atLeast"/>
        <w:jc w:val="center"/>
      </w:pPr>
      <w:r>
        <w:rPr>
          <w:rFonts w:hint="eastAsia" w:ascii="宋体" w:hAnsi="宋体" w:cs="宋体"/>
          <w:sz w:val="24"/>
        </w:rPr>
        <w:drawing>
          <wp:inline distT="0" distB="0" distL="0" distR="0">
            <wp:extent cx="2878455" cy="2110105"/>
            <wp:effectExtent l="0" t="0" r="4445" b="10795"/>
            <wp:docPr id="1028" name="图片 9" descr="屏幕截图 2025-12-23 223744"/>
            <wp:cNvGraphicFramePr/>
            <a:graphic xmlns:a="http://schemas.openxmlformats.org/drawingml/2006/main">
              <a:graphicData uri="http://schemas.openxmlformats.org/drawingml/2006/picture">
                <pic:pic xmlns:pic="http://schemas.openxmlformats.org/drawingml/2006/picture">
                  <pic:nvPicPr>
                    <pic:cNvPr id="1028" name="图片 9" descr="屏幕截图 2025-12-23 223744"/>
                    <pic:cNvPicPr/>
                  </pic:nvPicPr>
                  <pic:blipFill>
                    <a:blip r:embed="rId168" cstate="print"/>
                    <a:srcRect/>
                    <a:stretch>
                      <a:fillRect/>
                    </a:stretch>
                  </pic:blipFill>
                  <pic:spPr>
                    <a:xfrm>
                      <a:off x="0" y="0"/>
                      <a:ext cx="2878455" cy="2110105"/>
                    </a:xfrm>
                    <a:prstGeom prst="rect">
                      <a:avLst/>
                    </a:prstGeom>
                  </pic:spPr>
                </pic:pic>
              </a:graphicData>
            </a:graphic>
          </wp:inline>
        </w:drawing>
      </w:r>
    </w:p>
    <w:p w14:paraId="02C5073E">
      <w:pPr>
        <w:pStyle w:val="163"/>
        <w:bidi w:val="0"/>
      </w:pPr>
      <w:r>
        <w:rPr>
          <w:rFonts w:hint="eastAsia"/>
        </w:rPr>
        <w:t>图</w:t>
      </w:r>
      <w:r>
        <w:rPr>
          <w:rFonts w:hint="eastAsia"/>
          <w:lang w:val="en-US" w:eastAsia="zh-CN"/>
        </w:rPr>
        <w:t xml:space="preserve">3-2 </w:t>
      </w:r>
      <w:r>
        <w:rPr>
          <w:rFonts w:hint="eastAsia"/>
        </w:rPr>
        <w:t>出库信息用例图</w:t>
      </w:r>
    </w:p>
    <w:p w14:paraId="63C8BE33">
      <w:pPr>
        <w:pStyle w:val="134"/>
        <w:rPr>
          <w:rFonts w:hint="default"/>
        </w:rPr>
      </w:pPr>
      <w:bookmarkStart w:id="402" w:name="_Toc217490533"/>
      <w:r>
        <w:t>3.2.2入库管理模块</w:t>
      </w:r>
      <w:bookmarkEnd w:id="402"/>
    </w:p>
    <w:p w14:paraId="355AFD2F">
      <w:pPr>
        <w:pStyle w:val="134"/>
        <w:rPr>
          <w:rFonts w:hint="default" w:eastAsiaTheme="minorEastAsia"/>
          <w:lang w:val="en-US" w:eastAsia="zh-CN"/>
        </w:rPr>
      </w:pPr>
      <w:r>
        <w:t>本模块用于系统化管理所有入库流程。用户可创建入库单、录入货物信息、记录供应商和采购详情。该模块支持多类型入库处理，包括采购入库、退货入库、调拨入库和盘盈入库。入库时需进行质量检验，合格后方可正式入库并更新库存。模块还提供入库单据的审核、修改、查询及统计分析功能，确保入库操作的准确性和可追溯性，帮助仓库实现规范化、高效化的入库管理。</w:t>
      </w:r>
      <w:r>
        <w:rPr>
          <w:rFonts w:hint="eastAsia"/>
          <w:lang w:val="en-US" w:eastAsia="zh-CN"/>
        </w:rPr>
        <w:t>如图3-3所示。</w:t>
      </w:r>
    </w:p>
    <w:p w14:paraId="67B83426">
      <w:pPr>
        <w:keepNext/>
        <w:jc w:val="center"/>
      </w:pPr>
      <w:r>
        <w:rPr>
          <w:rFonts w:hint="eastAsia" w:ascii="宋体" w:hAnsi="宋体" w:cs="宋体"/>
          <w:color w:val="0F1115"/>
          <w:sz w:val="24"/>
          <w:shd w:val="clear" w:color="auto" w:fill="FFFFFF"/>
        </w:rPr>
        <w:drawing>
          <wp:inline distT="0" distB="0" distL="0" distR="0">
            <wp:extent cx="2759075" cy="2233930"/>
            <wp:effectExtent l="0" t="0" r="9525" b="1270"/>
            <wp:docPr id="1029" name="图片 2" descr="屏幕截图 2025-12-28 224345"/>
            <wp:cNvGraphicFramePr/>
            <a:graphic xmlns:a="http://schemas.openxmlformats.org/drawingml/2006/main">
              <a:graphicData uri="http://schemas.openxmlformats.org/drawingml/2006/picture">
                <pic:pic xmlns:pic="http://schemas.openxmlformats.org/drawingml/2006/picture">
                  <pic:nvPicPr>
                    <pic:cNvPr id="1029" name="图片 2" descr="屏幕截图 2025-12-28 224345"/>
                    <pic:cNvPicPr/>
                  </pic:nvPicPr>
                  <pic:blipFill>
                    <a:blip r:embed="rId169" cstate="print"/>
                    <a:srcRect/>
                    <a:stretch>
                      <a:fillRect/>
                    </a:stretch>
                  </pic:blipFill>
                  <pic:spPr>
                    <a:xfrm>
                      <a:off x="0" y="0"/>
                      <a:ext cx="2759075" cy="2233930"/>
                    </a:xfrm>
                    <a:prstGeom prst="rect">
                      <a:avLst/>
                    </a:prstGeom>
                  </pic:spPr>
                </pic:pic>
              </a:graphicData>
            </a:graphic>
          </wp:inline>
        </w:drawing>
      </w:r>
    </w:p>
    <w:p w14:paraId="0122104C">
      <w:pPr>
        <w:pStyle w:val="163"/>
        <w:bidi w:val="0"/>
      </w:pPr>
      <w:r>
        <w:rPr>
          <w:rFonts w:hint="eastAsia"/>
        </w:rPr>
        <w:t>图</w:t>
      </w:r>
      <w:r>
        <w:rPr>
          <w:rFonts w:hint="eastAsia"/>
          <w:lang w:val="en-US" w:eastAsia="zh-CN"/>
        </w:rPr>
        <w:t xml:space="preserve">3-3 </w:t>
      </w:r>
      <w:r>
        <w:rPr>
          <w:rFonts w:hint="eastAsia"/>
        </w:rPr>
        <w:t>入库信息用例图</w:t>
      </w:r>
      <w:bookmarkStart w:id="403" w:name="_Toc217490534"/>
    </w:p>
    <w:p w14:paraId="441E5D0D">
      <w:pPr>
        <w:pStyle w:val="134"/>
        <w:rPr>
          <w:rFonts w:hint="default"/>
        </w:rPr>
      </w:pPr>
      <w:r>
        <w:t>3.2.3货物管理模块</w:t>
      </w:r>
      <w:bookmarkEnd w:id="403"/>
    </w:p>
    <w:p w14:paraId="4D90A170">
      <w:pPr>
        <w:pStyle w:val="134"/>
        <w:rPr>
          <w:rFonts w:hint="default" w:eastAsiaTheme="minorEastAsia"/>
          <w:lang w:val="en-US" w:eastAsia="zh-CN"/>
        </w:rPr>
      </w:pPr>
      <w:r>
        <w:t>本模块是服装仓库管理的核心，负责维护所有货物的基础信息与库存状态。管理员可添加、修改、查询和删除货物信息，包括货物名称、类别、单位、单价等。系统实时监控库存数量，根据预设的最低库存和最高库存进行预警提示。同时跟踪货物状态（正常、临期、过期、缺货）和保质期，确保库存质量。</w:t>
      </w:r>
      <w:r>
        <w:rPr>
          <w:rFonts w:hint="eastAsia"/>
          <w:lang w:val="en-US" w:eastAsia="zh-CN"/>
        </w:rPr>
        <w:t>如图3-4所示。</w:t>
      </w:r>
    </w:p>
    <w:p w14:paraId="54D67A23">
      <w:pPr>
        <w:keepNext/>
        <w:spacing w:line="440" w:lineRule="atLeast"/>
        <w:jc w:val="center"/>
      </w:pPr>
      <w:r>
        <w:rPr>
          <w:rFonts w:hint="eastAsia" w:ascii="宋体" w:hAnsi="宋体" w:cs="宋体"/>
          <w:color w:val="0F1115"/>
          <w:sz w:val="24"/>
          <w:shd w:val="clear" w:color="auto" w:fill="FFFFFF"/>
        </w:rPr>
        <w:drawing>
          <wp:inline distT="0" distB="0" distL="0" distR="0">
            <wp:extent cx="3162935" cy="3168015"/>
            <wp:effectExtent l="0" t="0" r="12065" b="6985"/>
            <wp:docPr id="1030" name="图片 10" descr="屏幕截图 2025-12-23 224500"/>
            <wp:cNvGraphicFramePr/>
            <a:graphic xmlns:a="http://schemas.openxmlformats.org/drawingml/2006/main">
              <a:graphicData uri="http://schemas.openxmlformats.org/drawingml/2006/picture">
                <pic:pic xmlns:pic="http://schemas.openxmlformats.org/drawingml/2006/picture">
                  <pic:nvPicPr>
                    <pic:cNvPr id="1030" name="图片 10" descr="屏幕截图 2025-12-23 224500"/>
                    <pic:cNvPicPr/>
                  </pic:nvPicPr>
                  <pic:blipFill>
                    <a:blip r:embed="rId170" cstate="print"/>
                    <a:srcRect/>
                    <a:stretch>
                      <a:fillRect/>
                    </a:stretch>
                  </pic:blipFill>
                  <pic:spPr>
                    <a:xfrm>
                      <a:off x="0" y="0"/>
                      <a:ext cx="3162935" cy="3168015"/>
                    </a:xfrm>
                    <a:prstGeom prst="rect">
                      <a:avLst/>
                    </a:prstGeom>
                  </pic:spPr>
                </pic:pic>
              </a:graphicData>
            </a:graphic>
          </wp:inline>
        </w:drawing>
      </w:r>
    </w:p>
    <w:p w14:paraId="6A4F70D4">
      <w:pPr>
        <w:pStyle w:val="163"/>
        <w:bidi w:val="0"/>
      </w:pPr>
      <w:r>
        <w:rPr>
          <w:rFonts w:hint="eastAsia"/>
        </w:rPr>
        <w:t>图</w:t>
      </w:r>
      <w:r>
        <w:rPr>
          <w:rFonts w:hint="eastAsia"/>
          <w:lang w:val="en-US" w:eastAsia="zh-CN"/>
        </w:rPr>
        <w:t xml:space="preserve">3-4 </w:t>
      </w:r>
      <w:r>
        <w:rPr>
          <w:rFonts w:hint="eastAsia"/>
        </w:rPr>
        <w:t>货物信息用例图</w:t>
      </w:r>
    </w:p>
    <w:p w14:paraId="2CDE0A73">
      <w:pPr>
        <w:pStyle w:val="134"/>
        <w:rPr>
          <w:rFonts w:hint="default"/>
        </w:rPr>
      </w:pPr>
      <w:bookmarkStart w:id="404" w:name="_Toc217490535"/>
      <w:r>
        <w:t>3.2.4供应商管理模块</w:t>
      </w:r>
      <w:bookmarkEnd w:id="404"/>
    </w:p>
    <w:p w14:paraId="5B272A9B">
      <w:pPr>
        <w:pStyle w:val="134"/>
        <w:rPr>
          <w:rFonts w:hint="default" w:eastAsiaTheme="minorEastAsia"/>
          <w:lang w:val="en-US" w:eastAsia="zh-CN"/>
        </w:rPr>
      </w:pPr>
      <w:r>
        <w:t>本模块用于维护和管理所有供应商信息，建立完整的供应商档案。内容包括供应商基本信息、联系人、合作类型、信用等级、账期、银行账户等。管理员可设置供应商合作状态（合作中、已暂停、已终止），跟踪付款情况，评估供应商稳定性。该模块有助于企业优化供应链，选择优质供应商，降低采购风险，建立长期稳定的供应关系。</w:t>
      </w:r>
      <w:r>
        <w:rPr>
          <w:rFonts w:hint="eastAsia"/>
          <w:lang w:val="en-US" w:eastAsia="zh-CN"/>
        </w:rPr>
        <w:t>如图3-5所示。</w:t>
      </w:r>
    </w:p>
    <w:p w14:paraId="25180D7C">
      <w:pPr>
        <w:keepNext/>
        <w:spacing w:line="440" w:lineRule="atLeast"/>
        <w:jc w:val="center"/>
      </w:pPr>
      <w:r>
        <w:rPr>
          <w:rFonts w:hint="eastAsia" w:ascii="宋体" w:hAnsi="宋体" w:cs="宋体"/>
          <w:sz w:val="24"/>
        </w:rPr>
        <w:drawing>
          <wp:inline distT="0" distB="0" distL="0" distR="0">
            <wp:extent cx="4357370" cy="2294890"/>
            <wp:effectExtent l="0" t="0" r="11430" b="3810"/>
            <wp:docPr id="1031" name="图片 11" descr="屏幕截图 2025-12-23 224942"/>
            <wp:cNvGraphicFramePr/>
            <a:graphic xmlns:a="http://schemas.openxmlformats.org/drawingml/2006/main">
              <a:graphicData uri="http://schemas.openxmlformats.org/drawingml/2006/picture">
                <pic:pic xmlns:pic="http://schemas.openxmlformats.org/drawingml/2006/picture">
                  <pic:nvPicPr>
                    <pic:cNvPr id="1031" name="图片 11" descr="屏幕截图 2025-12-23 224942"/>
                    <pic:cNvPicPr/>
                  </pic:nvPicPr>
                  <pic:blipFill>
                    <a:blip r:embed="rId171" cstate="print"/>
                    <a:srcRect/>
                    <a:stretch>
                      <a:fillRect/>
                    </a:stretch>
                  </pic:blipFill>
                  <pic:spPr>
                    <a:xfrm>
                      <a:off x="0" y="0"/>
                      <a:ext cx="4357370" cy="2294890"/>
                    </a:xfrm>
                    <a:prstGeom prst="rect">
                      <a:avLst/>
                    </a:prstGeom>
                  </pic:spPr>
                </pic:pic>
              </a:graphicData>
            </a:graphic>
          </wp:inline>
        </w:drawing>
      </w:r>
    </w:p>
    <w:p w14:paraId="58E1A1CB">
      <w:pPr>
        <w:pStyle w:val="163"/>
        <w:bidi w:val="0"/>
      </w:pPr>
      <w:r>
        <w:rPr>
          <w:rFonts w:hint="eastAsia"/>
        </w:rPr>
        <w:t>图</w:t>
      </w:r>
      <w:r>
        <w:rPr>
          <w:rFonts w:hint="eastAsia"/>
          <w:lang w:val="en-US" w:eastAsia="zh-CN"/>
        </w:rPr>
        <w:t xml:space="preserve">3-5 </w:t>
      </w:r>
      <w:r>
        <w:rPr>
          <w:rFonts w:hint="eastAsia"/>
        </w:rPr>
        <w:t>供应商管理用例图</w:t>
      </w:r>
    </w:p>
    <w:p w14:paraId="09AAD334">
      <w:pPr>
        <w:pStyle w:val="134"/>
        <w:rPr>
          <w:rFonts w:hint="default"/>
        </w:rPr>
      </w:pPr>
      <w:bookmarkStart w:id="405" w:name="_Toc217490536"/>
      <w:r>
        <w:t>3.2.5客户管理模块</w:t>
      </w:r>
      <w:bookmarkEnd w:id="405"/>
    </w:p>
    <w:p w14:paraId="10D6870E">
      <w:pPr>
        <w:pStyle w:val="134"/>
        <w:rPr>
          <w:rFonts w:hint="default" w:eastAsiaTheme="minorEastAsia"/>
          <w:lang w:val="en-US" w:eastAsia="zh-CN"/>
        </w:rPr>
      </w:pPr>
      <w:r>
        <w:t>本模块全面管理客户信息与交易关系，支持不同类型的客户（超市零售、电商平台、批发商、个人客户）分类管理。系统记录客户基本信息、联系人、地址、、账期等关键数据。</w:t>
      </w:r>
      <w:r>
        <w:rPr>
          <w:rFonts w:hint="eastAsia"/>
          <w:lang w:val="en-US" w:eastAsia="zh-CN"/>
        </w:rPr>
        <w:t>如图3-6所示。</w:t>
      </w:r>
    </w:p>
    <w:p w14:paraId="41A7EA8E">
      <w:pPr>
        <w:keepNext/>
        <w:spacing w:line="440" w:lineRule="atLeast"/>
        <w:jc w:val="center"/>
      </w:pPr>
      <w:r>
        <w:rPr>
          <w:rFonts w:hint="eastAsia" w:ascii="宋体" w:hAnsi="宋体" w:cs="宋体"/>
          <w:sz w:val="24"/>
        </w:rPr>
        <w:drawing>
          <wp:inline distT="0" distB="0" distL="0" distR="0">
            <wp:extent cx="4352925" cy="2888615"/>
            <wp:effectExtent l="0" t="0" r="3175" b="6985"/>
            <wp:docPr id="1032" name="图片 12" descr="屏幕截图 2025-12-23 225121"/>
            <wp:cNvGraphicFramePr/>
            <a:graphic xmlns:a="http://schemas.openxmlformats.org/drawingml/2006/main">
              <a:graphicData uri="http://schemas.openxmlformats.org/drawingml/2006/picture">
                <pic:pic xmlns:pic="http://schemas.openxmlformats.org/drawingml/2006/picture">
                  <pic:nvPicPr>
                    <pic:cNvPr id="1032" name="图片 12" descr="屏幕截图 2025-12-23 225121"/>
                    <pic:cNvPicPr/>
                  </pic:nvPicPr>
                  <pic:blipFill>
                    <a:blip r:embed="rId172" cstate="print"/>
                    <a:srcRect/>
                    <a:stretch>
                      <a:fillRect/>
                    </a:stretch>
                  </pic:blipFill>
                  <pic:spPr>
                    <a:xfrm>
                      <a:off x="0" y="0"/>
                      <a:ext cx="4352925" cy="2888615"/>
                    </a:xfrm>
                    <a:prstGeom prst="rect">
                      <a:avLst/>
                    </a:prstGeom>
                  </pic:spPr>
                </pic:pic>
              </a:graphicData>
            </a:graphic>
          </wp:inline>
        </w:drawing>
      </w:r>
    </w:p>
    <w:p w14:paraId="6F7C8908">
      <w:pPr>
        <w:pStyle w:val="163"/>
        <w:bidi w:val="0"/>
      </w:pPr>
      <w:r>
        <w:rPr>
          <w:rFonts w:hint="eastAsia"/>
        </w:rPr>
        <w:t>图</w:t>
      </w:r>
      <w:r>
        <w:rPr>
          <w:rFonts w:hint="eastAsia"/>
          <w:lang w:val="en-US" w:eastAsia="zh-CN"/>
        </w:rPr>
        <w:t xml:space="preserve">3-6 </w:t>
      </w:r>
      <w:r>
        <w:rPr>
          <w:rFonts w:hint="eastAsia"/>
        </w:rPr>
        <w:t>客户管理用例图</w:t>
      </w:r>
    </w:p>
    <w:p w14:paraId="42A5A8DB">
      <w:pPr>
        <w:pStyle w:val="134"/>
        <w:rPr>
          <w:rFonts w:hint="default"/>
        </w:rPr>
      </w:pPr>
      <w:bookmarkStart w:id="406" w:name="_Toc217490537"/>
      <w:r>
        <w:t>3.2.6用户管理模块</w:t>
      </w:r>
      <w:bookmarkEnd w:id="406"/>
    </w:p>
    <w:p w14:paraId="05E8FB59">
      <w:pPr>
        <w:pStyle w:val="134"/>
        <w:rPr>
          <w:rFonts w:hint="default" w:eastAsiaTheme="minorEastAsia"/>
          <w:lang w:val="en-US" w:eastAsia="zh-CN"/>
        </w:rPr>
      </w:pPr>
      <w:r>
        <w:t>本模块负责系统用户的个人管理，用户可进行注册、登录、密码找回等操作。系统记录用户的登录时间，保障系统安全。</w:t>
      </w:r>
      <w:r>
        <w:rPr>
          <w:rFonts w:hint="eastAsia"/>
          <w:lang w:val="en-US" w:eastAsia="zh-CN"/>
        </w:rPr>
        <w:t>如图3-7所示。</w:t>
      </w:r>
    </w:p>
    <w:p w14:paraId="40BB5752">
      <w:pPr>
        <w:keepNext/>
        <w:spacing w:line="440" w:lineRule="atLeast"/>
        <w:jc w:val="center"/>
      </w:pPr>
      <w:r>
        <w:rPr>
          <w:rFonts w:hint="eastAsia" w:ascii="宋体" w:hAnsi="宋体" w:cs="宋体"/>
          <w:sz w:val="24"/>
        </w:rPr>
        <w:drawing>
          <wp:inline distT="0" distB="0" distL="0" distR="0">
            <wp:extent cx="3135630" cy="2523490"/>
            <wp:effectExtent l="0" t="0" r="1270" b="3810"/>
            <wp:docPr id="1033" name="图片 13" descr="屏幕截图 2025-12-23 225356"/>
            <wp:cNvGraphicFramePr/>
            <a:graphic xmlns:a="http://schemas.openxmlformats.org/drawingml/2006/main">
              <a:graphicData uri="http://schemas.openxmlformats.org/drawingml/2006/picture">
                <pic:pic xmlns:pic="http://schemas.openxmlformats.org/drawingml/2006/picture">
                  <pic:nvPicPr>
                    <pic:cNvPr id="1033" name="图片 13" descr="屏幕截图 2025-12-23 225356"/>
                    <pic:cNvPicPr/>
                  </pic:nvPicPr>
                  <pic:blipFill>
                    <a:blip r:embed="rId173" cstate="print"/>
                    <a:srcRect/>
                    <a:stretch>
                      <a:fillRect/>
                    </a:stretch>
                  </pic:blipFill>
                  <pic:spPr>
                    <a:xfrm>
                      <a:off x="0" y="0"/>
                      <a:ext cx="3135630" cy="2523490"/>
                    </a:xfrm>
                    <a:prstGeom prst="rect">
                      <a:avLst/>
                    </a:prstGeom>
                  </pic:spPr>
                </pic:pic>
              </a:graphicData>
            </a:graphic>
          </wp:inline>
        </w:drawing>
      </w:r>
    </w:p>
    <w:p w14:paraId="7003FAB2">
      <w:pPr>
        <w:pStyle w:val="163"/>
        <w:bidi w:val="0"/>
      </w:pPr>
      <w:r>
        <w:rPr>
          <w:rFonts w:hint="eastAsia"/>
        </w:rPr>
        <w:t>图</w:t>
      </w:r>
      <w:r>
        <w:rPr>
          <w:rFonts w:hint="eastAsia"/>
          <w:lang w:val="en-US" w:eastAsia="zh-CN"/>
        </w:rPr>
        <w:t xml:space="preserve">3-7 </w:t>
      </w:r>
      <w:r>
        <w:rPr>
          <w:rFonts w:hint="eastAsia"/>
        </w:rPr>
        <w:t>用户管理用例图</w:t>
      </w:r>
    </w:p>
    <w:p w14:paraId="4FB16AE6">
      <w:pPr>
        <w:spacing w:line="440" w:lineRule="exact"/>
        <w:jc w:val="left"/>
        <w:outlineLvl w:val="9"/>
        <w:rPr>
          <w:rFonts w:ascii="宋体" w:hAnsi="宋体" w:cs="宋体"/>
          <w:b/>
          <w:bCs/>
          <w:sz w:val="28"/>
          <w:szCs w:val="28"/>
        </w:rPr>
      </w:pPr>
      <w:bookmarkStart w:id="407" w:name="_Toc217490538"/>
      <w:bookmarkStart w:id="408" w:name="_Toc14353"/>
      <w:r>
        <w:rPr>
          <w:rFonts w:hint="eastAsia" w:ascii="宋体" w:hAnsi="宋体" w:cs="宋体"/>
          <w:b/>
          <w:bCs/>
          <w:sz w:val="28"/>
          <w:szCs w:val="28"/>
        </w:rPr>
        <w:t>4</w:t>
      </w:r>
      <w:r>
        <w:rPr>
          <w:rFonts w:hint="eastAsia" w:ascii="宋体" w:hAnsi="宋体" w:cs="宋体"/>
          <w:b/>
          <w:bCs/>
          <w:sz w:val="28"/>
          <w:szCs w:val="28"/>
          <w:lang w:val="en-US" w:eastAsia="zh-CN"/>
        </w:rPr>
        <w:t xml:space="preserve"> </w:t>
      </w:r>
      <w:r>
        <w:rPr>
          <w:rFonts w:hint="eastAsia" w:ascii="宋体" w:hAnsi="宋体" w:cs="宋体"/>
          <w:b/>
          <w:bCs/>
          <w:sz w:val="28"/>
          <w:szCs w:val="28"/>
        </w:rPr>
        <w:t>系统实现</w:t>
      </w:r>
      <w:bookmarkEnd w:id="407"/>
      <w:bookmarkEnd w:id="408"/>
      <w:r>
        <w:rPr>
          <w:rFonts w:hint="eastAsia" w:cs="宋体" w:asciiTheme="minorEastAsia" w:hAnsiTheme="minorEastAsia"/>
          <w:sz w:val="28"/>
          <w:szCs w:val="28"/>
        </w:rPr>
        <w:t xml:space="preserve"> </w:t>
      </w:r>
    </w:p>
    <w:p w14:paraId="6331F1DC">
      <w:pPr>
        <w:pStyle w:val="134"/>
        <w:outlineLvl w:val="9"/>
        <w:rPr>
          <w:rFonts w:hint="default"/>
        </w:rPr>
      </w:pPr>
      <w:bookmarkStart w:id="409" w:name="_Toc217490539"/>
      <w:r>
        <w:t>4.1系统开发环境</w:t>
      </w:r>
      <w:bookmarkEnd w:id="409"/>
    </w:p>
    <w:p w14:paraId="19944419">
      <w:pPr>
        <w:pStyle w:val="134"/>
        <w:outlineLvl w:val="9"/>
        <w:rPr>
          <w:rFonts w:hint="default"/>
        </w:rPr>
      </w:pPr>
      <w:bookmarkStart w:id="410" w:name="_Toc217490540"/>
      <w:r>
        <w:t>4.1.1 服务器端</w:t>
      </w:r>
      <w:bookmarkEnd w:id="410"/>
    </w:p>
    <w:p w14:paraId="22DFAB35">
      <w:pPr>
        <w:pStyle w:val="134"/>
        <w:outlineLvl w:val="9"/>
        <w:rPr>
          <w:rFonts w:hint="default"/>
        </w:rPr>
      </w:pPr>
      <w:r>
        <w:t>（1）硬件配置</w:t>
      </w:r>
    </w:p>
    <w:p w14:paraId="661094FF">
      <w:pPr>
        <w:pStyle w:val="134"/>
        <w:outlineLvl w:val="9"/>
        <w:rPr>
          <w:rFonts w:hint="default"/>
        </w:rPr>
      </w:pPr>
      <w:r>
        <w:t>本系统测试环境的服务器硬件配置详细信息见</w:t>
      </w:r>
      <w:r>
        <w:fldChar w:fldCharType="begin"/>
      </w:r>
      <w:r>
        <w:instrText xml:space="preserve"> REF _Ref217923038 \h  \* MERGEFORMAT </w:instrText>
      </w:r>
      <w:r>
        <w:fldChar w:fldCharType="separate"/>
      </w:r>
      <w:r>
        <w:t>表</w:t>
      </w:r>
      <w:r>
        <w:rPr>
          <w:rFonts w:hint="eastAsia"/>
          <w:lang w:val="en-US" w:eastAsia="zh-CN"/>
        </w:rPr>
        <w:t>4</w:t>
      </w:r>
      <w:r>
        <w:fldChar w:fldCharType="end"/>
      </w:r>
      <w:r>
        <w:rPr>
          <w:rFonts w:hint="eastAsia"/>
          <w:lang w:val="en-US" w:eastAsia="zh-CN"/>
        </w:rPr>
        <w:t>-1</w:t>
      </w:r>
      <w:r>
        <w:t>所示：</w:t>
      </w:r>
    </w:p>
    <w:p w14:paraId="1B30A412">
      <w:pPr>
        <w:pStyle w:val="162"/>
        <w:bidi w:val="0"/>
      </w:pPr>
      <w:bookmarkStart w:id="411" w:name="_Ref217923038"/>
      <w:r>
        <w:rPr>
          <w:rFonts w:hint="eastAsia"/>
        </w:rPr>
        <w:t>表</w:t>
      </w:r>
      <w:bookmarkEnd w:id="411"/>
      <w:r>
        <w:rPr>
          <w:rFonts w:hint="eastAsia"/>
          <w:lang w:val="en-US" w:eastAsia="zh-CN"/>
        </w:rPr>
        <w:t xml:space="preserve">4-1 </w:t>
      </w:r>
      <w:r>
        <w:rPr>
          <w:rFonts w:hint="eastAsia"/>
        </w:rPr>
        <w:t>服务器端硬件配置表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844F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5322C12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硬件</w:t>
            </w:r>
          </w:p>
        </w:tc>
        <w:tc>
          <w:tcPr>
            <w:tcW w:w="4261" w:type="dxa"/>
          </w:tcPr>
          <w:p w14:paraId="108DE5A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79B1D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5DC9E2A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CPU</w:t>
            </w:r>
          </w:p>
        </w:tc>
        <w:tc>
          <w:tcPr>
            <w:tcW w:w="4261" w:type="dxa"/>
          </w:tcPr>
          <w:p w14:paraId="5116EDE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IntelCorei7 11800H2.30GHz</w:t>
            </w:r>
          </w:p>
        </w:tc>
      </w:tr>
      <w:tr w14:paraId="74D68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08834BF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内存</w:t>
            </w:r>
          </w:p>
        </w:tc>
        <w:tc>
          <w:tcPr>
            <w:tcW w:w="4261" w:type="dxa"/>
          </w:tcPr>
          <w:p w14:paraId="7760B5B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16GB DDR4</w:t>
            </w:r>
          </w:p>
        </w:tc>
      </w:tr>
      <w:tr w14:paraId="48BC1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5AB7C7D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显卡</w:t>
            </w:r>
          </w:p>
        </w:tc>
        <w:tc>
          <w:tcPr>
            <w:tcW w:w="4261" w:type="dxa"/>
          </w:tcPr>
          <w:p w14:paraId="498ECAF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NVIDIAGeForceRTX3060LaptopGPU</w:t>
            </w:r>
          </w:p>
        </w:tc>
      </w:tr>
      <w:tr w14:paraId="5DB9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3F6DF10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硬盘</w:t>
            </w:r>
          </w:p>
        </w:tc>
        <w:tc>
          <w:tcPr>
            <w:tcW w:w="4261" w:type="dxa"/>
          </w:tcPr>
          <w:p w14:paraId="1594B47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512GBSSDNVMe</w:t>
            </w:r>
          </w:p>
        </w:tc>
      </w:tr>
    </w:tbl>
    <w:p w14:paraId="4FAA1693">
      <w:pPr>
        <w:pStyle w:val="134"/>
        <w:rPr>
          <w:rFonts w:hint="default"/>
        </w:rPr>
      </w:pPr>
      <w:r>
        <w:t>（2）软件配置</w:t>
      </w:r>
    </w:p>
    <w:p w14:paraId="248A9B8A">
      <w:pPr>
        <w:pStyle w:val="134"/>
      </w:pPr>
      <w:r>
        <w:t>本系统服务器端测试所使用的软件环境配置见</w:t>
      </w:r>
      <w:r>
        <w:fldChar w:fldCharType="begin"/>
      </w:r>
      <w:r>
        <w:instrText xml:space="preserve"> REF _Ref217923061 \h  \* MERGEFORMAT </w:instrText>
      </w:r>
      <w:r>
        <w:fldChar w:fldCharType="separate"/>
      </w:r>
      <w:r>
        <w:t>表</w:t>
      </w:r>
      <w:r>
        <w:rPr>
          <w:rFonts w:hint="eastAsia"/>
          <w:lang w:val="en-US" w:eastAsia="zh-CN"/>
        </w:rPr>
        <w:t>4</w:t>
      </w:r>
      <w:r>
        <w:fldChar w:fldCharType="end"/>
      </w:r>
      <w:r>
        <w:rPr>
          <w:rFonts w:hint="eastAsia"/>
          <w:lang w:val="en-US" w:eastAsia="zh-CN"/>
        </w:rPr>
        <w:t>-2</w:t>
      </w:r>
      <w:r>
        <w:t xml:space="preserve">所示： </w:t>
      </w:r>
      <w:bookmarkStart w:id="412" w:name="_Ref217923061"/>
    </w:p>
    <w:p w14:paraId="035B8AEE">
      <w:pPr>
        <w:pStyle w:val="162"/>
        <w:bidi w:val="0"/>
      </w:pPr>
      <w:r>
        <w:rPr>
          <w:rFonts w:hint="eastAsia"/>
        </w:rPr>
        <w:t>表</w:t>
      </w:r>
      <w:bookmarkEnd w:id="412"/>
      <w:r>
        <w:rPr>
          <w:rFonts w:hint="eastAsia"/>
          <w:lang w:val="en-US" w:eastAsia="zh-CN"/>
        </w:rPr>
        <w:t xml:space="preserve">4-2 </w:t>
      </w:r>
      <w:r>
        <w:rPr>
          <w:rFonts w:hint="eastAsia"/>
        </w:rPr>
        <w:t>服务器端软件配置表</w:t>
      </w:r>
    </w:p>
    <w:tbl>
      <w:tblPr>
        <w:tblStyle w:val="35"/>
        <w:tblpPr w:leftFromText="180" w:rightFromText="180" w:vertAnchor="text" w:tblpX="-5" w:tblpY="1"/>
        <w:tblOverlap w:val="never"/>
        <w:tblW w:w="0" w:type="auto"/>
        <w:tblInd w:w="-6" w:type="dxa"/>
        <w:tblLayout w:type="autofit"/>
        <w:tblCellMar>
          <w:top w:w="0" w:type="dxa"/>
          <w:left w:w="108" w:type="dxa"/>
          <w:bottom w:w="0" w:type="dxa"/>
          <w:right w:w="108" w:type="dxa"/>
        </w:tblCellMar>
      </w:tblPr>
      <w:tblGrid>
        <w:gridCol w:w="4279"/>
        <w:gridCol w:w="4022"/>
      </w:tblGrid>
      <w:tr w14:paraId="54069967">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7C698CB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软件</w:t>
            </w:r>
          </w:p>
        </w:tc>
        <w:tc>
          <w:tcPr>
            <w:tcW w:w="4022" w:type="dxa"/>
            <w:tcBorders>
              <w:top w:val="single" w:color="000000" w:sz="4" w:space="0"/>
              <w:left w:val="single" w:color="000000" w:sz="4" w:space="0"/>
              <w:bottom w:val="single" w:color="000000" w:sz="4" w:space="0"/>
              <w:right w:val="single" w:color="000000" w:sz="4" w:space="0"/>
            </w:tcBorders>
            <w:vAlign w:val="top"/>
          </w:tcPr>
          <w:p w14:paraId="1A8DA2A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70381951">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0319626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操作系统</w:t>
            </w:r>
          </w:p>
        </w:tc>
        <w:tc>
          <w:tcPr>
            <w:tcW w:w="4022" w:type="dxa"/>
            <w:tcBorders>
              <w:top w:val="single" w:color="000000" w:sz="4" w:space="0"/>
              <w:left w:val="single" w:color="000000" w:sz="4" w:space="0"/>
              <w:bottom w:val="single" w:color="000000" w:sz="4" w:space="0"/>
              <w:right w:val="single" w:color="000000" w:sz="4" w:space="0"/>
            </w:tcBorders>
            <w:vAlign w:val="top"/>
          </w:tcPr>
          <w:p w14:paraId="4B1B001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Windows11</w:t>
            </w:r>
          </w:p>
        </w:tc>
      </w:tr>
      <w:tr w14:paraId="4CBFA11E">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50190BE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数据库</w:t>
            </w:r>
          </w:p>
        </w:tc>
        <w:tc>
          <w:tcPr>
            <w:tcW w:w="4022" w:type="dxa"/>
            <w:tcBorders>
              <w:top w:val="single" w:color="000000" w:sz="4" w:space="0"/>
              <w:left w:val="single" w:color="000000" w:sz="4" w:space="0"/>
              <w:bottom w:val="single" w:color="000000" w:sz="4" w:space="0"/>
              <w:right w:val="single" w:color="000000" w:sz="4" w:space="0"/>
            </w:tcBorders>
            <w:vAlign w:val="top"/>
          </w:tcPr>
          <w:p w14:paraId="3E14024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MySQL8.0</w:t>
            </w:r>
          </w:p>
        </w:tc>
      </w:tr>
      <w:tr w14:paraId="7420B233">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601FF7B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Java环境</w:t>
            </w:r>
          </w:p>
        </w:tc>
        <w:tc>
          <w:tcPr>
            <w:tcW w:w="4022" w:type="dxa"/>
            <w:tcBorders>
              <w:top w:val="single" w:color="000000" w:sz="4" w:space="0"/>
              <w:left w:val="single" w:color="000000" w:sz="4" w:space="0"/>
              <w:bottom w:val="single" w:color="000000" w:sz="4" w:space="0"/>
              <w:right w:val="single" w:color="000000" w:sz="4" w:space="0"/>
            </w:tcBorders>
            <w:vAlign w:val="top"/>
          </w:tcPr>
          <w:p w14:paraId="53294CF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JDK17</w:t>
            </w:r>
          </w:p>
        </w:tc>
      </w:tr>
      <w:tr w14:paraId="355FE961">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09290D6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项目管理</w:t>
            </w:r>
          </w:p>
        </w:tc>
        <w:tc>
          <w:tcPr>
            <w:tcW w:w="4022" w:type="dxa"/>
            <w:tcBorders>
              <w:top w:val="single" w:color="000000" w:sz="4" w:space="0"/>
              <w:left w:val="single" w:color="000000" w:sz="4" w:space="0"/>
              <w:bottom w:val="single" w:color="000000" w:sz="4" w:space="0"/>
              <w:right w:val="single" w:color="000000" w:sz="4" w:space="0"/>
            </w:tcBorders>
            <w:vAlign w:val="top"/>
          </w:tcPr>
          <w:p w14:paraId="4D91CF1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Maven3.8.3</w:t>
            </w:r>
          </w:p>
        </w:tc>
      </w:tr>
      <w:tr w14:paraId="186422C9">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7BCFBBF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软件</w:t>
            </w:r>
          </w:p>
        </w:tc>
        <w:tc>
          <w:tcPr>
            <w:tcW w:w="4022" w:type="dxa"/>
            <w:tcBorders>
              <w:top w:val="single" w:color="000000" w:sz="4" w:space="0"/>
              <w:left w:val="single" w:color="000000" w:sz="4" w:space="0"/>
              <w:bottom w:val="single" w:color="000000" w:sz="4" w:space="0"/>
              <w:right w:val="single" w:color="000000" w:sz="4" w:space="0"/>
            </w:tcBorders>
            <w:vAlign w:val="top"/>
          </w:tcPr>
          <w:p w14:paraId="755A3C1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59656B7D">
        <w:tblPrEx>
          <w:tblCellMar>
            <w:top w:w="0" w:type="dxa"/>
            <w:left w:w="108" w:type="dxa"/>
            <w:bottom w:w="0" w:type="dxa"/>
            <w:right w:w="108" w:type="dxa"/>
          </w:tblCellMar>
        </w:tblPrEx>
        <w:tc>
          <w:tcPr>
            <w:tcW w:w="4279" w:type="dxa"/>
            <w:tcBorders>
              <w:top w:val="single" w:color="000000" w:sz="4" w:space="0"/>
              <w:left w:val="single" w:color="000000" w:sz="4" w:space="0"/>
              <w:bottom w:val="single" w:color="000000" w:sz="4" w:space="0"/>
              <w:right w:val="single" w:color="000000" w:sz="4" w:space="0"/>
            </w:tcBorders>
            <w:vAlign w:val="top"/>
          </w:tcPr>
          <w:p w14:paraId="56A59B3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后端框架</w:t>
            </w:r>
          </w:p>
        </w:tc>
        <w:tc>
          <w:tcPr>
            <w:tcW w:w="4022" w:type="dxa"/>
            <w:tcBorders>
              <w:top w:val="single" w:color="000000" w:sz="4" w:space="0"/>
              <w:left w:val="single" w:color="000000" w:sz="4" w:space="0"/>
              <w:bottom w:val="single" w:color="000000" w:sz="4" w:space="0"/>
              <w:right w:val="single" w:color="000000" w:sz="4" w:space="0"/>
            </w:tcBorders>
            <w:vAlign w:val="top"/>
          </w:tcPr>
          <w:p w14:paraId="6FE55D8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SpringBoot2.7.0</w:t>
            </w:r>
          </w:p>
        </w:tc>
      </w:tr>
    </w:tbl>
    <w:p w14:paraId="4DD02D16">
      <w:pPr>
        <w:pStyle w:val="134"/>
        <w:rPr>
          <w:rFonts w:hint="default"/>
        </w:rPr>
      </w:pPr>
      <w:bookmarkStart w:id="413" w:name="_Toc217490541"/>
      <w:r>
        <w:t>4.1.2客户端</w:t>
      </w:r>
      <w:bookmarkEnd w:id="413"/>
    </w:p>
    <w:p w14:paraId="60B49E58">
      <w:pPr>
        <w:pStyle w:val="134"/>
        <w:rPr>
          <w:rFonts w:hint="default"/>
        </w:rPr>
      </w:pPr>
      <w:r>
        <w:t>（1）硬件配置</w:t>
      </w:r>
    </w:p>
    <w:p w14:paraId="485990B8">
      <w:pPr>
        <w:pStyle w:val="134"/>
        <w:rPr>
          <w:rFonts w:hint="default" w:asciiTheme="minorEastAsia" w:hAnsiTheme="minorEastAsia"/>
        </w:rPr>
      </w:pPr>
      <w:r>
        <w:t>本系统测试客户端的硬件配置详细信息见</w:t>
      </w:r>
      <w:r>
        <w:fldChar w:fldCharType="begin"/>
      </w:r>
      <w:r>
        <w:instrText xml:space="preserve"> REF _Ref217923150 \h  \* MERGEFORMAT </w:instrText>
      </w:r>
      <w:r>
        <w:fldChar w:fldCharType="separate"/>
      </w:r>
      <w:r>
        <w:t>表</w:t>
      </w:r>
      <w:r>
        <w:rPr>
          <w:rFonts w:hint="eastAsia"/>
          <w:lang w:val="en-US" w:eastAsia="zh-CN"/>
        </w:rPr>
        <w:t>4</w:t>
      </w:r>
      <w:r>
        <w:fldChar w:fldCharType="end"/>
      </w:r>
      <w:r>
        <w:rPr>
          <w:rFonts w:hint="eastAsia"/>
          <w:lang w:val="en-US" w:eastAsia="zh-CN"/>
        </w:rPr>
        <w:t>-3</w:t>
      </w:r>
      <w:r>
        <w:t>所示：</w:t>
      </w:r>
      <w:r>
        <w:rPr>
          <w:rFonts w:asciiTheme="minorEastAsia" w:hAnsiTheme="minorEastAsia"/>
        </w:rPr>
        <w:t xml:space="preserve"> </w:t>
      </w:r>
    </w:p>
    <w:p w14:paraId="7BF94599">
      <w:pPr>
        <w:pStyle w:val="162"/>
        <w:bidi w:val="0"/>
      </w:pPr>
      <w:bookmarkStart w:id="414" w:name="_Ref217923150"/>
      <w:r>
        <w:rPr>
          <w:rFonts w:hint="eastAsia"/>
        </w:rPr>
        <w:t>表</w:t>
      </w:r>
      <w:bookmarkEnd w:id="414"/>
      <w:r>
        <w:rPr>
          <w:rFonts w:hint="eastAsia"/>
          <w:lang w:val="en-US" w:eastAsia="zh-CN"/>
        </w:rPr>
        <w:t xml:space="preserve">4-3 </w:t>
      </w:r>
      <w:r>
        <w:rPr>
          <w:rFonts w:hint="eastAsia"/>
        </w:rPr>
        <w:t>客户端硬件配置表</w:t>
      </w:r>
    </w:p>
    <w:tbl>
      <w:tblPr>
        <w:tblStyle w:val="35"/>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38"/>
        <w:gridCol w:w="4063"/>
      </w:tblGrid>
      <w:tr w14:paraId="642E1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8" w:type="dxa"/>
          </w:tcPr>
          <w:p w14:paraId="2C2CBFC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硬件</w:t>
            </w:r>
          </w:p>
        </w:tc>
        <w:tc>
          <w:tcPr>
            <w:tcW w:w="4063" w:type="dxa"/>
          </w:tcPr>
          <w:p w14:paraId="07B0D25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14A58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8" w:type="dxa"/>
          </w:tcPr>
          <w:p w14:paraId="509E220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CPU</w:t>
            </w:r>
          </w:p>
        </w:tc>
        <w:tc>
          <w:tcPr>
            <w:tcW w:w="4063" w:type="dxa"/>
          </w:tcPr>
          <w:p w14:paraId="7747A79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IntelCorei5 10210U1.60GHz</w:t>
            </w:r>
          </w:p>
        </w:tc>
      </w:tr>
      <w:tr w14:paraId="34CC5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8" w:type="dxa"/>
          </w:tcPr>
          <w:p w14:paraId="19436E1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内存</w:t>
            </w:r>
          </w:p>
        </w:tc>
        <w:tc>
          <w:tcPr>
            <w:tcW w:w="4063" w:type="dxa"/>
          </w:tcPr>
          <w:p w14:paraId="56668E4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16GB</w:t>
            </w:r>
          </w:p>
        </w:tc>
      </w:tr>
      <w:tr w14:paraId="09670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8" w:type="dxa"/>
          </w:tcPr>
          <w:p w14:paraId="170A162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显卡</w:t>
            </w:r>
          </w:p>
        </w:tc>
        <w:tc>
          <w:tcPr>
            <w:tcW w:w="4063" w:type="dxa"/>
          </w:tcPr>
          <w:p w14:paraId="06AB39B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NVIDIAGeForceMX350</w:t>
            </w:r>
          </w:p>
        </w:tc>
      </w:tr>
      <w:tr w14:paraId="7EF91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38" w:type="dxa"/>
          </w:tcPr>
          <w:p w14:paraId="0468B67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硬盘</w:t>
            </w:r>
          </w:p>
        </w:tc>
        <w:tc>
          <w:tcPr>
            <w:tcW w:w="4063" w:type="dxa"/>
          </w:tcPr>
          <w:p w14:paraId="2E545BE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512GB SSD</w:t>
            </w:r>
          </w:p>
        </w:tc>
      </w:tr>
    </w:tbl>
    <w:p w14:paraId="53502692">
      <w:pPr>
        <w:pStyle w:val="74"/>
        <w:spacing w:line="440" w:lineRule="exact"/>
        <w:ind w:firstLine="480"/>
        <w:jc w:val="left"/>
        <w:rPr>
          <w:rFonts w:ascii="宋体" w:hAnsi="宋体" w:cs="宋体"/>
          <w:sz w:val="24"/>
        </w:rPr>
      </w:pPr>
      <w:r>
        <w:rPr>
          <w:rFonts w:hint="eastAsia" w:ascii="宋体" w:hAnsi="宋体" w:cs="宋体"/>
          <w:sz w:val="24"/>
        </w:rPr>
        <w:t>（2）软件配置</w:t>
      </w:r>
    </w:p>
    <w:p w14:paraId="3FAEF87C">
      <w:pPr>
        <w:pStyle w:val="74"/>
        <w:spacing w:line="440" w:lineRule="exact"/>
        <w:ind w:firstLine="480"/>
        <w:jc w:val="left"/>
        <w:rPr>
          <w:rFonts w:cs="宋体" w:asciiTheme="minorEastAsia" w:hAnsiTheme="minorEastAsia"/>
          <w:sz w:val="24"/>
        </w:rPr>
      </w:pPr>
      <w:r>
        <w:rPr>
          <w:rFonts w:hint="eastAsia" w:cs="宋体" w:asciiTheme="minorEastAsia" w:hAnsiTheme="minorEastAsia" w:eastAsiaTheme="minorEastAsia"/>
          <w:sz w:val="24"/>
        </w:rPr>
        <w:t>本系统客户端测试所使用的软件环境配置见</w:t>
      </w:r>
      <w:r>
        <w:rPr>
          <w:rFonts w:hint="eastAsia" w:cs="宋体" w:asciiTheme="minorEastAsia" w:hAnsiTheme="minorEastAsia"/>
          <w:sz w:val="24"/>
        </w:rPr>
        <w:fldChar w:fldCharType="begin"/>
      </w:r>
      <w:r>
        <w:rPr>
          <w:rFonts w:hint="eastAsia" w:cs="宋体" w:asciiTheme="minorEastAsia" w:hAnsiTheme="minorEastAsia" w:eastAsiaTheme="minorEastAsia"/>
          <w:sz w:val="24"/>
        </w:rPr>
        <w:instrText xml:space="preserve"> REF _Ref217923186 \h </w:instrText>
      </w:r>
      <w:r>
        <w:rPr>
          <w:rFonts w:hint="eastAsia" w:cs="宋体" w:asciiTheme="minorEastAsia" w:hAnsiTheme="minorEastAsia"/>
          <w:sz w:val="24"/>
        </w:rPr>
        <w:fldChar w:fldCharType="separate"/>
      </w:r>
      <w:r>
        <w:rPr>
          <w:rFonts w:hint="eastAsia" w:asciiTheme="minorEastAsia" w:hAnsiTheme="minorEastAsia" w:eastAsiaTheme="minorEastAsia"/>
          <w:sz w:val="24"/>
        </w:rPr>
        <w:t>表</w:t>
      </w:r>
      <w:r>
        <w:rPr>
          <w:rFonts w:hint="eastAsia" w:asciiTheme="minorEastAsia" w:hAnsiTheme="minorEastAsia" w:eastAsiaTheme="minorEastAsia"/>
          <w:sz w:val="24"/>
          <w:lang w:val="en-US" w:eastAsia="zh-CN"/>
        </w:rPr>
        <w:t>4</w:t>
      </w:r>
      <w:r>
        <w:rPr>
          <w:rFonts w:hint="eastAsia" w:cs="宋体" w:asciiTheme="minorEastAsia" w:hAnsiTheme="minorEastAsia"/>
          <w:sz w:val="24"/>
        </w:rPr>
        <w:fldChar w:fldCharType="end"/>
      </w:r>
      <w:r>
        <w:rPr>
          <w:rFonts w:hint="eastAsia" w:cs="宋体" w:asciiTheme="minorEastAsia" w:hAnsiTheme="minorEastAsia"/>
          <w:sz w:val="24"/>
          <w:lang w:val="en-US" w:eastAsia="zh-CN"/>
        </w:rPr>
        <w:t>-4</w:t>
      </w:r>
      <w:r>
        <w:rPr>
          <w:rFonts w:hint="eastAsia" w:cs="宋体" w:asciiTheme="minorEastAsia" w:hAnsiTheme="minorEastAsia" w:eastAsiaTheme="minorEastAsia"/>
          <w:sz w:val="24"/>
        </w:rPr>
        <w:t>所示：</w:t>
      </w:r>
    </w:p>
    <w:p w14:paraId="1C72358D">
      <w:pPr>
        <w:pStyle w:val="162"/>
        <w:bidi w:val="0"/>
      </w:pPr>
      <w:bookmarkStart w:id="415" w:name="_Ref217923186"/>
      <w:r>
        <w:rPr>
          <w:rFonts w:hint="eastAsia"/>
        </w:rPr>
        <w:t>表</w:t>
      </w:r>
      <w:bookmarkEnd w:id="415"/>
      <w:r>
        <w:rPr>
          <w:rFonts w:hint="eastAsia"/>
          <w:lang w:val="en-US" w:eastAsia="zh-CN"/>
        </w:rPr>
        <w:t xml:space="preserve">4-4 </w:t>
      </w:r>
      <w:r>
        <w:rPr>
          <w:rFonts w:hint="eastAsia"/>
        </w:rPr>
        <w:t>客户端软件配置表</w:t>
      </w:r>
    </w:p>
    <w:tbl>
      <w:tblPr>
        <w:tblStyle w:val="35"/>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0"/>
        <w:gridCol w:w="4051"/>
      </w:tblGrid>
      <w:tr w14:paraId="09BD0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6D0EDCD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软件</w:t>
            </w:r>
          </w:p>
        </w:tc>
        <w:tc>
          <w:tcPr>
            <w:tcW w:w="4051" w:type="dxa"/>
          </w:tcPr>
          <w:p w14:paraId="0405777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1ECF1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6D0FA9F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操作系统</w:t>
            </w:r>
          </w:p>
        </w:tc>
        <w:tc>
          <w:tcPr>
            <w:tcW w:w="4051" w:type="dxa"/>
          </w:tcPr>
          <w:p w14:paraId="0D4EEAF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Windows11</w:t>
            </w:r>
          </w:p>
        </w:tc>
      </w:tr>
      <w:tr w14:paraId="7DEB3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28E7B7B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浏览器</w:t>
            </w:r>
          </w:p>
        </w:tc>
        <w:tc>
          <w:tcPr>
            <w:tcW w:w="4051" w:type="dxa"/>
          </w:tcPr>
          <w:p w14:paraId="422104D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Chrome120.0</w:t>
            </w:r>
          </w:p>
        </w:tc>
      </w:tr>
      <w:tr w14:paraId="1E1EB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37F2C5F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开发工具</w:t>
            </w:r>
          </w:p>
        </w:tc>
        <w:tc>
          <w:tcPr>
            <w:tcW w:w="4051" w:type="dxa"/>
          </w:tcPr>
          <w:p w14:paraId="55A6575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VisualStudioCode</w:t>
            </w:r>
          </w:p>
        </w:tc>
      </w:tr>
      <w:tr w14:paraId="2182A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0" w:type="dxa"/>
          </w:tcPr>
          <w:p w14:paraId="2EEAE67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前端框架</w:t>
            </w:r>
          </w:p>
        </w:tc>
        <w:tc>
          <w:tcPr>
            <w:tcW w:w="4051" w:type="dxa"/>
          </w:tcPr>
          <w:p w14:paraId="330AB23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Vue.js 3.3.0</w:t>
            </w:r>
          </w:p>
        </w:tc>
      </w:tr>
    </w:tbl>
    <w:p w14:paraId="22B45C1B">
      <w:pPr>
        <w:pStyle w:val="134"/>
        <w:rPr>
          <w:rFonts w:hint="default"/>
        </w:rPr>
      </w:pPr>
      <w:bookmarkStart w:id="416" w:name="_Toc217490542"/>
      <w:r>
        <w:t>4.2 系统功能实现</w:t>
      </w:r>
      <w:bookmarkEnd w:id="416"/>
    </w:p>
    <w:p w14:paraId="3048621D">
      <w:pPr>
        <w:pStyle w:val="134"/>
        <w:rPr>
          <w:rFonts w:hint="default"/>
        </w:rPr>
      </w:pPr>
      <w:bookmarkStart w:id="417" w:name="_Toc217490543"/>
      <w:r>
        <w:t>4.2.1 用户登录与权限管理模块</w:t>
      </w:r>
      <w:bookmarkEnd w:id="417"/>
    </w:p>
    <w:p w14:paraId="028F699B">
      <w:pPr>
        <w:pStyle w:val="134"/>
        <w:rPr>
          <w:rFonts w:hint="default"/>
        </w:rPr>
      </w:pPr>
      <w:r>
        <w:t>模块功能描述：</w:t>
      </w:r>
    </w:p>
    <w:p w14:paraId="4138A44C">
      <w:pPr>
        <w:pStyle w:val="134"/>
        <w:rPr>
          <w:rFonts w:hint="default"/>
        </w:rPr>
      </w:pPr>
      <w:r>
        <w:t>用户登录模块采用访问控制机制，系统在登录界面设计了数学计算验证环节以增强基础交互安全性。用户输入用户名、密码并完成验证计算后，前端将认证请求提交至后端。</w:t>
      </w:r>
    </w:p>
    <w:p w14:paraId="046434CE">
      <w:pPr>
        <w:pStyle w:val="134"/>
        <w:rPr>
          <w:rFonts w:hint="default"/>
        </w:rPr>
      </w:pPr>
      <w:r>
        <w:t>后端核心代码展示了登录验证的核心逻辑：系统首先校验验证码的正确性，随后通过用户凭证查询数据库进行身份验证。验证过程采用安全的密码比对策略，在验证成功后系统生成并返回用户会话凭证，同时记录登录日志。</w:t>
      </w:r>
    </w:p>
    <w:p w14:paraId="5B79C646">
      <w:pPr>
        <w:pStyle w:val="134"/>
        <w:rPr>
          <w:rFonts w:hint="default"/>
        </w:rPr>
      </w:pPr>
      <w:r>
        <w:t>部分代码如下：</w:t>
      </w:r>
    </w:p>
    <w:p w14:paraId="5EAC8264">
      <w:pPr>
        <w:pStyle w:val="134"/>
        <w:rPr>
          <w:rFonts w:hint="default"/>
        </w:rPr>
      </w:pPr>
      <w:r>
        <w:t>if (user != null) {</w:t>
      </w:r>
      <w:r>
        <w:br w:type="textWrapping"/>
      </w:r>
      <w:r>
        <w:t xml:space="preserve">    response.put("success", true);</w:t>
      </w:r>
      <w:r>
        <w:br w:type="textWrapping"/>
      </w:r>
      <w:r>
        <w:t xml:space="preserve">    response.put("message", "登录成功");</w:t>
      </w:r>
      <w:r>
        <w:br w:type="textWrapping"/>
      </w:r>
      <w:r>
        <w:t xml:space="preserve">    Map&lt;String, Object&gt; userInfo = new HashMap&lt;&gt;();</w:t>
      </w:r>
      <w:r>
        <w:br w:type="textWrapping"/>
      </w:r>
      <w:r>
        <w:t xml:space="preserve">    userInfo.put("id", user.getId());</w:t>
      </w:r>
      <w:r>
        <w:br w:type="textWrapping"/>
      </w:r>
      <w:r>
        <w:t xml:space="preserve">    userInfo.put("username", user.getUsername());</w:t>
      </w:r>
      <w:r>
        <w:br w:type="textWrapping"/>
      </w:r>
      <w:r>
        <w:t xml:space="preserve">    userInfo.put("realName", user.getRealName());</w:t>
      </w:r>
      <w:r>
        <w:br w:type="textWrapping"/>
      </w:r>
      <w:r>
        <w:t xml:space="preserve">    userInfo.put("userType", user.getUserType());</w:t>
      </w:r>
      <w:r>
        <w:br w:type="textWrapping"/>
      </w:r>
      <w:r>
        <w:t xml:space="preserve">    userInfo.put("phone", user.getPhone());</w:t>
      </w:r>
      <w:r>
        <w:br w:type="textWrapping"/>
      </w:r>
      <w:r>
        <w:t xml:space="preserve">    userInfo.put("warehouseArea", user.getWarehouseArea());</w:t>
      </w:r>
      <w:r>
        <w:br w:type="textWrapping"/>
      </w:r>
      <w:r>
        <w:t xml:space="preserve">    response.put("data", userInfo);</w:t>
      </w:r>
      <w:r>
        <w:br w:type="textWrapping"/>
      </w:r>
      <w:r>
        <w:t xml:space="preserve">    return ResponseEntity.ok(response);</w:t>
      </w:r>
      <w:r>
        <w:br w:type="textWrapping"/>
      </w:r>
      <w:r>
        <w:t>} else {</w:t>
      </w:r>
      <w:r>
        <w:br w:type="textWrapping"/>
      </w:r>
      <w:r>
        <w:t xml:space="preserve">    response.put("success", false);</w:t>
      </w:r>
      <w:r>
        <w:br w:type="textWrapping"/>
      </w:r>
      <w:r>
        <w:t xml:space="preserve">    response.put("message", "用户名或密码错误");</w:t>
      </w:r>
      <w:r>
        <w:br w:type="textWrapping"/>
      </w:r>
      <w:r>
        <w:t xml:space="preserve">    return ResponseEntity.status(401).body(response);</w:t>
      </w:r>
      <w:r>
        <w:br w:type="textWrapping"/>
      </w:r>
      <w:r>
        <w:t>}</w:t>
      </w:r>
    </w:p>
    <w:p w14:paraId="372900F5">
      <w:pPr>
        <w:pStyle w:val="134"/>
        <w:rPr>
          <w:rFonts w:hint="default"/>
        </w:rPr>
      </w:pPr>
      <w:r>
        <w:t>功能实现如</w:t>
      </w:r>
      <w:r>
        <w:fldChar w:fldCharType="begin"/>
      </w:r>
      <w:r>
        <w:instrText xml:space="preserve"> REF _Ref217923213 \h  \* MERGEFORMAT </w:instrText>
      </w:r>
      <w:r>
        <w:fldChar w:fldCharType="separate"/>
      </w:r>
      <w:r>
        <w:t>图</w:t>
      </w:r>
      <w:r>
        <w:rPr>
          <w:rFonts w:hint="eastAsia"/>
          <w:lang w:val="en-US" w:eastAsia="zh-CN"/>
        </w:rPr>
        <w:t>4</w:t>
      </w:r>
      <w:r>
        <w:fldChar w:fldCharType="end"/>
      </w:r>
      <w:r>
        <w:rPr>
          <w:rFonts w:hint="eastAsia"/>
          <w:lang w:val="en-US" w:eastAsia="zh-CN"/>
        </w:rPr>
        <w:t>-1</w:t>
      </w:r>
      <w:r>
        <w:t>所示：</w:t>
      </w:r>
    </w:p>
    <w:p w14:paraId="2E1A8EF1">
      <w:pPr>
        <w:keepNext/>
      </w:pPr>
      <w:r>
        <w:drawing>
          <wp:inline distT="0" distB="0" distL="0" distR="0">
            <wp:extent cx="5274310" cy="3372485"/>
            <wp:effectExtent l="0" t="0" r="2540" b="0"/>
            <wp:docPr id="9408237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23758" name="图片 1"/>
                    <pic:cNvPicPr>
                      <a:picLocks noChangeAspect="1"/>
                    </pic:cNvPicPr>
                  </pic:nvPicPr>
                  <pic:blipFill>
                    <a:blip r:embed="rId174"/>
                    <a:stretch>
                      <a:fillRect/>
                    </a:stretch>
                  </pic:blipFill>
                  <pic:spPr>
                    <a:xfrm>
                      <a:off x="0" y="0"/>
                      <a:ext cx="5274310" cy="3372485"/>
                    </a:xfrm>
                    <a:prstGeom prst="rect">
                      <a:avLst/>
                    </a:prstGeom>
                  </pic:spPr>
                </pic:pic>
              </a:graphicData>
            </a:graphic>
          </wp:inline>
        </w:drawing>
      </w:r>
    </w:p>
    <w:p w14:paraId="12F3A26F">
      <w:pPr>
        <w:pStyle w:val="163"/>
        <w:bidi w:val="0"/>
      </w:pPr>
      <w:bookmarkStart w:id="418" w:name="_Ref217923213"/>
      <w:r>
        <w:rPr>
          <w:rFonts w:hint="eastAsia"/>
        </w:rPr>
        <w:t>图</w:t>
      </w:r>
      <w:bookmarkEnd w:id="418"/>
      <w:r>
        <w:rPr>
          <w:rFonts w:hint="eastAsia"/>
          <w:lang w:val="en-US" w:eastAsia="zh-CN"/>
        </w:rPr>
        <w:t xml:space="preserve">4-1 </w:t>
      </w:r>
      <w:r>
        <w:rPr>
          <w:rFonts w:hint="eastAsia"/>
        </w:rPr>
        <w:t>用户登录验证</w:t>
      </w:r>
    </w:p>
    <w:p w14:paraId="1574A460">
      <w:pPr>
        <w:pStyle w:val="134"/>
        <w:rPr>
          <w:rFonts w:hint="default"/>
        </w:rPr>
      </w:pPr>
      <w:r>
        <w:t>在用户注册或修改密码时，系统调用组件对原始密码自动加密哈希值。该哈希值将被存储于数据库用户表的密码字段中，替代原始明文密码。在用户登录认证过程中，系统通过前端传入的密码（经HTTPS安全传输）与数据库中存储的哈希值进行安全比对，该过程无需解密，有效规避密码泄露风险。展示了系统在用户密码安全处理环节的核心加密代码实现。该部分代码位于后端服务层的安全配置模块，采用MD5哈希算法对用户密码进行加密存储。</w:t>
      </w:r>
    </w:p>
    <w:p w14:paraId="7D0124A8">
      <w:pPr>
        <w:pStyle w:val="134"/>
        <w:rPr>
          <w:rFonts w:hint="default"/>
        </w:rPr>
      </w:pPr>
      <w:r>
        <w:t>部分代码如下：</w:t>
      </w:r>
      <w:r>
        <w:br w:type="textWrapping"/>
      </w:r>
      <w:r>
        <w:t>public User login(String username, String password) {</w:t>
      </w:r>
      <w:r>
        <w:br w:type="textWrapping"/>
      </w:r>
      <w:r>
        <w:t xml:space="preserve">    User user = userMapper.findByUsername(username);</w:t>
      </w:r>
      <w:r>
        <w:br w:type="textWrapping"/>
      </w:r>
      <w:r>
        <w:t xml:space="preserve">    if (user != null &amp;&amp; user.getIsActive()) {</w:t>
      </w:r>
      <w:r>
        <w:br w:type="textWrapping"/>
      </w:r>
      <w:r>
        <w:t xml:space="preserve">        // 使用MD5验证密码</w:t>
      </w:r>
      <w:r>
        <w:br w:type="textWrapping"/>
      </w:r>
      <w:r>
        <w:t xml:space="preserve">        if (MD5Util.verify(password, user.getPasswordHash())) {</w:t>
      </w:r>
      <w:r>
        <w:br w:type="textWrapping"/>
      </w:r>
      <w:r>
        <w:t xml:space="preserve">            // 更新最后登录时间</w:t>
      </w:r>
      <w:r>
        <w:br w:type="textWrapping"/>
      </w:r>
      <w:r>
        <w:t xml:space="preserve">            userMapper.updateLastLoginTime(user.getId());</w:t>
      </w:r>
      <w:r>
        <w:br w:type="textWrapping"/>
      </w:r>
      <w:r>
        <w:t xml:space="preserve">            return user;</w:t>
      </w:r>
      <w:r>
        <w:br w:type="textWrapping"/>
      </w:r>
      <w:r>
        <w:t xml:space="preserve">        }}</w:t>
      </w:r>
      <w:r>
        <w:br w:type="textWrapping"/>
      </w:r>
      <w:r>
        <w:t xml:space="preserve">    return null;}</w:t>
      </w:r>
    </w:p>
    <w:p w14:paraId="358C3FEE">
      <w:pPr>
        <w:spacing w:line="440" w:lineRule="exact"/>
        <w:ind w:firstLine="480" w:firstLineChars="200"/>
        <w:jc w:val="left"/>
        <w:rPr>
          <w:rFonts w:cs="宋体" w:asciiTheme="minorEastAsia" w:hAnsiTheme="minorEastAsia"/>
          <w:sz w:val="24"/>
        </w:rPr>
      </w:pPr>
      <w:r>
        <w:rPr>
          <w:rFonts w:hint="eastAsia" w:cs="宋体" w:asciiTheme="minorEastAsia" w:hAnsiTheme="minorEastAsia"/>
          <w:sz w:val="24"/>
        </w:rPr>
        <w:t>功能实现如</w:t>
      </w:r>
      <w:r>
        <w:rPr>
          <w:rFonts w:hint="eastAsia" w:cs="宋体" w:asciiTheme="minorEastAsia" w:hAnsiTheme="minorEastAsia"/>
          <w:sz w:val="24"/>
        </w:rPr>
        <w:fldChar w:fldCharType="begin"/>
      </w:r>
      <w:r>
        <w:rPr>
          <w:rFonts w:hint="eastAsia" w:cs="宋体" w:asciiTheme="minorEastAsia" w:hAnsiTheme="minorEastAsia"/>
          <w:sz w:val="24"/>
        </w:rPr>
        <w:instrText xml:space="preserve"> REF _Ref217923229 \h  \* MERGEFORMAT </w:instrText>
      </w:r>
      <w:r>
        <w:rPr>
          <w:rFonts w:hint="eastAsia" w:cs="宋体" w:asciiTheme="minorEastAsia" w:hAnsiTheme="minorEastAsia"/>
          <w:sz w:val="24"/>
        </w:rPr>
        <w:fldChar w:fldCharType="separate"/>
      </w:r>
      <w:r>
        <w:rPr>
          <w:rFonts w:hint="eastAsia" w:cs="宋体" w:asciiTheme="minorEastAsia" w:hAnsiTheme="minorEastAsia"/>
          <w:sz w:val="24"/>
        </w:rPr>
        <w:t>图</w:t>
      </w:r>
      <w:r>
        <w:rPr>
          <w:rFonts w:hint="eastAsia" w:cs="宋体" w:asciiTheme="minorEastAsia" w:hAnsiTheme="minorEastAsia"/>
          <w:sz w:val="24"/>
          <w:lang w:val="en-US" w:eastAsia="zh-CN"/>
        </w:rPr>
        <w:t>4</w:t>
      </w:r>
      <w:r>
        <w:rPr>
          <w:rFonts w:hint="eastAsia" w:cs="宋体" w:asciiTheme="minorEastAsia" w:hAnsiTheme="minorEastAsia"/>
          <w:sz w:val="24"/>
        </w:rPr>
        <w:fldChar w:fldCharType="end"/>
      </w:r>
      <w:r>
        <w:rPr>
          <w:rFonts w:hint="eastAsia" w:cs="宋体" w:asciiTheme="minorEastAsia" w:hAnsiTheme="minorEastAsia"/>
          <w:sz w:val="24"/>
          <w:lang w:val="en-US" w:eastAsia="zh-CN"/>
        </w:rPr>
        <w:t>-2</w:t>
      </w:r>
      <w:r>
        <w:rPr>
          <w:rFonts w:hint="eastAsia" w:cs="宋体" w:asciiTheme="minorEastAsia" w:hAnsiTheme="minorEastAsia"/>
          <w:sz w:val="24"/>
        </w:rPr>
        <w:t>所示：</w:t>
      </w:r>
    </w:p>
    <w:p w14:paraId="04B1B98C">
      <w:pPr>
        <w:keepNext/>
      </w:pPr>
      <w:r>
        <w:drawing>
          <wp:inline distT="0" distB="0" distL="0" distR="0">
            <wp:extent cx="5274310" cy="3295650"/>
            <wp:effectExtent l="0" t="0" r="2540" b="0"/>
            <wp:docPr id="5961573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57331" name="图片 1"/>
                    <pic:cNvPicPr>
                      <a:picLocks noChangeAspect="1"/>
                    </pic:cNvPicPr>
                  </pic:nvPicPr>
                  <pic:blipFill>
                    <a:blip r:embed="rId175"/>
                    <a:stretch>
                      <a:fillRect/>
                    </a:stretch>
                  </pic:blipFill>
                  <pic:spPr>
                    <a:xfrm>
                      <a:off x="0" y="0"/>
                      <a:ext cx="5274310" cy="3295650"/>
                    </a:xfrm>
                    <a:prstGeom prst="rect">
                      <a:avLst/>
                    </a:prstGeom>
                  </pic:spPr>
                </pic:pic>
              </a:graphicData>
            </a:graphic>
          </wp:inline>
        </w:drawing>
      </w:r>
    </w:p>
    <w:p w14:paraId="418B2681">
      <w:pPr>
        <w:pStyle w:val="163"/>
        <w:bidi w:val="0"/>
      </w:pPr>
      <w:bookmarkStart w:id="419" w:name="_Ref217923229"/>
      <w:r>
        <w:rPr>
          <w:rFonts w:hint="eastAsia"/>
        </w:rPr>
        <w:t>图</w:t>
      </w:r>
      <w:bookmarkEnd w:id="419"/>
      <w:r>
        <w:rPr>
          <w:rFonts w:hint="eastAsia"/>
          <w:lang w:val="en-US" w:eastAsia="zh-CN"/>
        </w:rPr>
        <w:t xml:space="preserve">4-2 </w:t>
      </w:r>
      <w:r>
        <w:rPr>
          <w:rFonts w:hint="eastAsia"/>
        </w:rPr>
        <w:t>加密部分代码</w:t>
      </w:r>
    </w:p>
    <w:p w14:paraId="19809E8F">
      <w:pPr>
        <w:pStyle w:val="134"/>
        <w:rPr>
          <w:rFonts w:hint="default"/>
        </w:rPr>
      </w:pPr>
      <w:bookmarkStart w:id="420" w:name="_Toc217490544"/>
      <w:r>
        <w:t>4.2.2 服装信息管理模块</w:t>
      </w:r>
      <w:bookmarkEnd w:id="420"/>
    </w:p>
    <w:p w14:paraId="2F22A1B4">
      <w:pPr>
        <w:pStyle w:val="134"/>
        <w:rPr>
          <w:rFonts w:hint="default"/>
        </w:rPr>
      </w:pPr>
      <w:r>
        <w:t>模块功能描述：</w:t>
      </w:r>
    </w:p>
    <w:p w14:paraId="6E3FF7FE">
      <w:pPr>
        <w:pStyle w:val="134"/>
        <w:rPr>
          <w:rFonts w:hint="default"/>
        </w:rPr>
      </w:pPr>
      <w:r>
        <w:t>实现货物的增删改查、分类管理、库存预警等功能。支持按id查询。</w:t>
      </w:r>
    </w:p>
    <w:p w14:paraId="1E7E9540">
      <w:pPr>
        <w:pStyle w:val="134"/>
        <w:rPr>
          <w:rFonts w:hint="default"/>
        </w:rPr>
      </w:pPr>
      <w:r>
        <w:t>部分代码如下：</w:t>
      </w:r>
    </w:p>
    <w:p w14:paraId="18C73286">
      <w:pPr>
        <w:pStyle w:val="134"/>
        <w:rPr>
          <w:rFonts w:hint="default"/>
        </w:rPr>
      </w:pPr>
      <w:r>
        <w:t>try {</w:t>
      </w:r>
      <w:r>
        <w:br w:type="textWrapping"/>
      </w:r>
      <w:r>
        <w:t xml:space="preserve">    if (goodsService.addGoods(goods)) {</w:t>
      </w:r>
      <w:r>
        <w:br w:type="textWrapping"/>
      </w:r>
      <w:r>
        <w:t xml:space="preserve">        result.put("success", true);</w:t>
      </w:r>
      <w:r>
        <w:br w:type="textWrapping"/>
      </w:r>
      <w:r>
        <w:t xml:space="preserve">        result.put("message", "新增货物成功");</w:t>
      </w:r>
      <w:r>
        <w:br w:type="textWrapping"/>
      </w:r>
      <w:r>
        <w:t xml:space="preserve">        return ResponseEntity.ok(result);</w:t>
      </w:r>
      <w:r>
        <w:br w:type="textWrapping"/>
      </w:r>
      <w:r>
        <w:t xml:space="preserve">    } else {</w:t>
      </w:r>
      <w:r>
        <w:br w:type="textWrapping"/>
      </w:r>
      <w:r>
        <w:t xml:space="preserve">        result.put("success", false);</w:t>
      </w:r>
      <w:r>
        <w:br w:type="textWrapping"/>
      </w:r>
      <w:r>
        <w:t xml:space="preserve">        result.put("message", "新增货物失败");</w:t>
      </w:r>
      <w:r>
        <w:br w:type="textWrapping"/>
      </w:r>
      <w:r>
        <w:t xml:space="preserve">        return ResponseEntity.badRequest().body(result);</w:t>
      </w:r>
      <w:r>
        <w:br w:type="textWrapping"/>
      </w:r>
      <w:r>
        <w:t xml:space="preserve">    }</w:t>
      </w:r>
      <w:r>
        <w:br w:type="textWrapping"/>
      </w:r>
      <w:r>
        <w:t>} catch (Exception e) {</w:t>
      </w:r>
      <w:r>
        <w:br w:type="textWrapping"/>
      </w:r>
      <w:r>
        <w:t xml:space="preserve">    result.put("success", false);</w:t>
      </w:r>
      <w:r>
        <w:br w:type="textWrapping"/>
      </w:r>
      <w:r>
        <w:t xml:space="preserve">    result.put("message", "新增失败: " + e.getMessage());</w:t>
      </w:r>
      <w:r>
        <w:br w:type="textWrapping"/>
      </w:r>
      <w:r>
        <w:t xml:space="preserve">    return ResponseEntity.status(500).body(result);}</w:t>
      </w:r>
    </w:p>
    <w:p w14:paraId="111035F6">
      <w:pPr>
        <w:spacing w:line="440" w:lineRule="exact"/>
        <w:ind w:firstLine="420"/>
        <w:jc w:val="left"/>
        <w:rPr>
          <w:rFonts w:cs="宋体" w:asciiTheme="minorEastAsia" w:hAnsiTheme="minorEastAsia"/>
          <w:sz w:val="24"/>
        </w:rPr>
      </w:pPr>
      <w:r>
        <w:rPr>
          <w:rFonts w:hint="eastAsia" w:cs="宋体" w:asciiTheme="minorEastAsia" w:hAnsiTheme="minorEastAsia"/>
          <w:sz w:val="24"/>
        </w:rPr>
        <w:t>货物更新核心代码及前端示例如</w:t>
      </w:r>
      <w:r>
        <w:rPr>
          <w:rFonts w:hint="eastAsia" w:cs="宋体" w:asciiTheme="minorEastAsia" w:hAnsiTheme="minorEastAsia"/>
          <w:sz w:val="24"/>
        </w:rPr>
        <w:fldChar w:fldCharType="begin"/>
      </w:r>
      <w:r>
        <w:rPr>
          <w:rFonts w:hint="eastAsia" w:cs="宋体" w:asciiTheme="minorEastAsia" w:hAnsiTheme="minorEastAsia"/>
          <w:sz w:val="24"/>
        </w:rPr>
        <w:instrText xml:space="preserve"> REF _Ref217923245 \h </w:instrText>
      </w:r>
      <w:r>
        <w:rPr>
          <w:rFonts w:hint="eastAsia" w:cs="宋体" w:asciiTheme="minorEastAsia" w:hAnsiTheme="minorEastAsia"/>
          <w:sz w:val="24"/>
        </w:rPr>
        <w:fldChar w:fldCharType="separate"/>
      </w:r>
      <w:r>
        <w:rPr>
          <w:rFonts w:hint="eastAsia" w:asciiTheme="minorEastAsia" w:hAnsiTheme="minorEastAsia"/>
          <w:sz w:val="24"/>
        </w:rPr>
        <w:t>图</w:t>
      </w:r>
      <w:r>
        <w:rPr>
          <w:rFonts w:hint="eastAsia" w:asciiTheme="minorEastAsia" w:hAnsiTheme="minorEastAsia"/>
          <w:sz w:val="24"/>
          <w:lang w:val="en-US" w:eastAsia="zh-CN"/>
        </w:rPr>
        <w:t>4</w:t>
      </w:r>
      <w:r>
        <w:rPr>
          <w:rFonts w:hint="eastAsia" w:cs="宋体" w:asciiTheme="minorEastAsia" w:hAnsiTheme="minorEastAsia"/>
          <w:sz w:val="24"/>
        </w:rPr>
        <w:fldChar w:fldCharType="end"/>
      </w:r>
      <w:r>
        <w:rPr>
          <w:rFonts w:hint="eastAsia" w:cs="宋体" w:asciiTheme="minorEastAsia" w:hAnsiTheme="minorEastAsia"/>
          <w:sz w:val="24"/>
          <w:lang w:val="en-US" w:eastAsia="zh-CN"/>
        </w:rPr>
        <w:t>-3</w:t>
      </w:r>
      <w:r>
        <w:rPr>
          <w:rFonts w:hint="eastAsia" w:cs="宋体" w:asciiTheme="minorEastAsia" w:hAnsiTheme="minorEastAsia"/>
          <w:sz w:val="24"/>
        </w:rPr>
        <w:t>所示：</w:t>
      </w:r>
    </w:p>
    <w:p w14:paraId="546472BB">
      <w:pPr>
        <w:keepNext/>
      </w:pPr>
      <w:r>
        <w:rPr>
          <w:rFonts w:hint="eastAsia" w:cs="宋体" w:asciiTheme="minorEastAsia" w:hAnsiTheme="minorEastAsia"/>
          <w:sz w:val="24"/>
        </w:rPr>
        <w:drawing>
          <wp:inline distT="0" distB="0" distL="0" distR="0">
            <wp:extent cx="5274310" cy="3098800"/>
            <wp:effectExtent l="0" t="0" r="2540" b="6350"/>
            <wp:docPr id="1036" name="图片 1"/>
            <wp:cNvGraphicFramePr/>
            <a:graphic xmlns:a="http://schemas.openxmlformats.org/drawingml/2006/main">
              <a:graphicData uri="http://schemas.openxmlformats.org/drawingml/2006/picture">
                <pic:pic xmlns:pic="http://schemas.openxmlformats.org/drawingml/2006/picture">
                  <pic:nvPicPr>
                    <pic:cNvPr id="1036" name="图片 1"/>
                    <pic:cNvPicPr/>
                  </pic:nvPicPr>
                  <pic:blipFill>
                    <a:blip r:embed="rId176" cstate="print"/>
                    <a:srcRect/>
                    <a:stretch>
                      <a:fillRect/>
                    </a:stretch>
                  </pic:blipFill>
                  <pic:spPr>
                    <a:xfrm>
                      <a:off x="0" y="0"/>
                      <a:ext cx="5274310" cy="3098800"/>
                    </a:xfrm>
                    <a:prstGeom prst="rect">
                      <a:avLst/>
                    </a:prstGeom>
                  </pic:spPr>
                </pic:pic>
              </a:graphicData>
            </a:graphic>
          </wp:inline>
        </w:drawing>
      </w:r>
    </w:p>
    <w:p w14:paraId="161B595F">
      <w:pPr>
        <w:pStyle w:val="163"/>
        <w:bidi w:val="0"/>
      </w:pPr>
      <w:bookmarkStart w:id="421" w:name="_Ref217923245"/>
      <w:r>
        <w:rPr>
          <w:rFonts w:hint="eastAsia"/>
        </w:rPr>
        <w:t>图</w:t>
      </w:r>
      <w:bookmarkEnd w:id="421"/>
      <w:r>
        <w:rPr>
          <w:rFonts w:hint="eastAsia"/>
          <w:lang w:val="en-US" w:eastAsia="zh-CN"/>
        </w:rPr>
        <w:t xml:space="preserve">4-3 </w:t>
      </w:r>
      <w:r>
        <w:rPr>
          <w:rFonts w:hint="eastAsia"/>
        </w:rPr>
        <w:t>货物更新核心代码及前端示例</w:t>
      </w:r>
      <w:bookmarkStart w:id="422" w:name="_Toc217490545"/>
    </w:p>
    <w:p w14:paraId="4C8699F1">
      <w:pPr>
        <w:pStyle w:val="134"/>
        <w:rPr>
          <w:rFonts w:hint="default"/>
        </w:rPr>
      </w:pPr>
      <w:r>
        <w:t>4.2.3 入库管理模块</w:t>
      </w:r>
      <w:bookmarkEnd w:id="422"/>
    </w:p>
    <w:p w14:paraId="702D21BA">
      <w:pPr>
        <w:pStyle w:val="134"/>
        <w:rPr>
          <w:rFonts w:hint="default"/>
        </w:rPr>
      </w:pPr>
      <w:r>
        <w:t>模块功能描述：</w:t>
      </w:r>
    </w:p>
    <w:p w14:paraId="7695CA47">
      <w:pPr>
        <w:pStyle w:val="134"/>
        <w:rPr>
          <w:rFonts w:hint="default"/>
        </w:rPr>
      </w:pPr>
      <w:r>
        <w:t>实现货物入库登记、库存数量自动更新、入库单生成与查询等功能。入库操作会实时更新货物库存，并生成入库记录。</w:t>
      </w:r>
    </w:p>
    <w:p w14:paraId="5554A1DF">
      <w:pPr>
        <w:pStyle w:val="134"/>
        <w:rPr>
          <w:rFonts w:hint="default"/>
        </w:rPr>
      </w:pPr>
      <w:r>
        <w:t>部分代码如下：</w:t>
      </w:r>
    </w:p>
    <w:p w14:paraId="098013F8">
      <w:pPr>
        <w:pStyle w:val="134"/>
        <w:rPr>
          <w:rFonts w:hint="default"/>
        </w:rPr>
      </w:pPr>
      <w:r>
        <w:t>@GetMapping("/getAll")</w:t>
      </w:r>
      <w:r>
        <w:br w:type="textWrapping"/>
      </w:r>
      <w:r>
        <w:t>public ResponseEntity&lt;Map&lt;String, Object&gt;&gt; getAllStockIn() {</w:t>
      </w:r>
      <w:r>
        <w:br w:type="textWrapping"/>
      </w:r>
      <w:r>
        <w:t xml:space="preserve">    Map&lt;String, Object&gt; result = new HashMap&lt;&gt;();</w:t>
      </w:r>
      <w:r>
        <w:br w:type="textWrapping"/>
      </w:r>
      <w:r>
        <w:t xml:space="preserve">    try {</w:t>
      </w:r>
      <w:r>
        <w:br w:type="textWrapping"/>
      </w:r>
      <w:r>
        <w:t xml:space="preserve">        List&lt;StockIn&gt; stockInList = stockInService.getAllStockIn();</w:t>
      </w:r>
      <w:r>
        <w:br w:type="textWrapping"/>
      </w:r>
      <w:r>
        <w:t xml:space="preserve">        result.put("success", true);</w:t>
      </w:r>
      <w:r>
        <w:br w:type="textWrapping"/>
      </w:r>
      <w:r>
        <w:t xml:space="preserve">        result.put("data", stockInList);</w:t>
      </w:r>
      <w:r>
        <w:br w:type="textWrapping"/>
      </w:r>
      <w:r>
        <w:t xml:space="preserve">        result.put("total", stockInList.size());</w:t>
      </w:r>
      <w:r>
        <w:br w:type="textWrapping"/>
      </w:r>
      <w:r>
        <w:t xml:space="preserve">        result.put("message", "查询成功");</w:t>
      </w:r>
      <w:r>
        <w:br w:type="textWrapping"/>
      </w:r>
      <w:r>
        <w:t xml:space="preserve">        return ResponseEntity.ok(result);</w:t>
      </w:r>
      <w:r>
        <w:br w:type="textWrapping"/>
      </w:r>
      <w:r>
        <w:t xml:space="preserve">    } catch (Exception e) {</w:t>
      </w:r>
      <w:r>
        <w:br w:type="textWrapping"/>
      </w:r>
      <w:r>
        <w:t xml:space="preserve">        result.put("success", false);</w:t>
      </w:r>
      <w:r>
        <w:br w:type="textWrapping"/>
      </w:r>
      <w:r>
        <w:t xml:space="preserve">        result.put("message", "查询失败: " + e.getMessage());</w:t>
      </w:r>
      <w:r>
        <w:br w:type="textWrapping"/>
      </w:r>
      <w:r>
        <w:t xml:space="preserve">        return ResponseEntity.status(500).body(result);</w:t>
      </w:r>
      <w:r>
        <w:br w:type="textWrapping"/>
      </w:r>
      <w:r>
        <w:t>}}</w:t>
      </w:r>
    </w:p>
    <w:p w14:paraId="6886DFC8">
      <w:pPr>
        <w:pStyle w:val="134"/>
        <w:rPr>
          <w:rFonts w:hint="default"/>
        </w:rPr>
      </w:pPr>
      <w:r>
        <w:drawing>
          <wp:anchor distT="0" distB="0" distL="0" distR="0" simplePos="0" relativeHeight="251681792" behindDoc="1" locked="0" layoutInCell="1" allowOverlap="1">
            <wp:simplePos x="0" y="0"/>
            <wp:positionH relativeFrom="margin">
              <wp:align>right</wp:align>
            </wp:positionH>
            <wp:positionV relativeFrom="paragraph">
              <wp:posOffset>403225</wp:posOffset>
            </wp:positionV>
            <wp:extent cx="5212080" cy="2630170"/>
            <wp:effectExtent l="0" t="0" r="7620" b="0"/>
            <wp:wrapTight wrapText="bothSides">
              <wp:wrapPolygon>
                <wp:start x="0" y="0"/>
                <wp:lineTo x="0" y="21485"/>
                <wp:lineTo x="21526" y="21485"/>
                <wp:lineTo x="21526" y="0"/>
                <wp:lineTo x="0" y="0"/>
              </wp:wrapPolygon>
            </wp:wrapTight>
            <wp:docPr id="1037" name="图片 1"/>
            <wp:cNvGraphicFramePr/>
            <a:graphic xmlns:a="http://schemas.openxmlformats.org/drawingml/2006/main">
              <a:graphicData uri="http://schemas.openxmlformats.org/drawingml/2006/picture">
                <pic:pic xmlns:pic="http://schemas.openxmlformats.org/drawingml/2006/picture">
                  <pic:nvPicPr>
                    <pic:cNvPr id="1037" name="图片 1"/>
                    <pic:cNvPicPr/>
                  </pic:nvPicPr>
                  <pic:blipFill>
                    <a:blip r:embed="rId177" cstate="print"/>
                    <a:srcRect/>
                    <a:stretch>
                      <a:fillRect/>
                    </a:stretch>
                  </pic:blipFill>
                  <pic:spPr>
                    <a:xfrm>
                      <a:off x="0" y="0"/>
                      <a:ext cx="5212080" cy="2630170"/>
                    </a:xfrm>
                    <a:prstGeom prst="rect">
                      <a:avLst/>
                    </a:prstGeom>
                  </pic:spPr>
                </pic:pic>
              </a:graphicData>
            </a:graphic>
          </wp:anchor>
        </w:drawing>
      </w:r>
      <w:r>
        <w:t>实现截图如</w:t>
      </w:r>
      <w:r>
        <w:fldChar w:fldCharType="begin"/>
      </w:r>
      <w:r>
        <w:instrText xml:space="preserve"> REF _Ref217923266 \h  \* MERGEFORMAT </w:instrText>
      </w:r>
      <w:r>
        <w:fldChar w:fldCharType="separate"/>
      </w:r>
      <w:r>
        <w:t>图</w:t>
      </w:r>
      <w:r>
        <w:rPr>
          <w:rFonts w:hint="eastAsia"/>
          <w:lang w:val="en-US" w:eastAsia="zh-CN"/>
        </w:rPr>
        <w:t>4</w:t>
      </w:r>
      <w:r>
        <w:fldChar w:fldCharType="end"/>
      </w:r>
      <w:r>
        <w:rPr>
          <w:rFonts w:hint="eastAsia"/>
          <w:lang w:val="en-US" w:eastAsia="zh-CN"/>
        </w:rPr>
        <w:t>-4</w:t>
      </w:r>
      <w:r>
        <w:t>所示：</w:t>
      </w:r>
      <w:bookmarkStart w:id="423" w:name="_Toc217490546"/>
    </w:p>
    <w:bookmarkEnd w:id="423"/>
    <w:p w14:paraId="3CE4D671">
      <w:pPr>
        <w:pStyle w:val="134"/>
        <w:rPr>
          <w:rFonts w:hint="default"/>
        </w:rPr>
      </w:pPr>
      <w:bookmarkStart w:id="424" w:name="_Toc217490548"/>
      <w:r>
        <mc:AlternateContent>
          <mc:Choice Requires="wps">
            <w:drawing>
              <wp:anchor distT="0" distB="0" distL="114300" distR="114300" simplePos="0" relativeHeight="251682816" behindDoc="0" locked="0" layoutInCell="1" allowOverlap="1">
                <wp:simplePos x="0" y="0"/>
                <wp:positionH relativeFrom="column">
                  <wp:posOffset>18415</wp:posOffset>
                </wp:positionH>
                <wp:positionV relativeFrom="paragraph">
                  <wp:posOffset>121285</wp:posOffset>
                </wp:positionV>
                <wp:extent cx="5274310" cy="635"/>
                <wp:effectExtent l="0" t="0" r="0" b="0"/>
                <wp:wrapTopAndBottom/>
                <wp:docPr id="2014865997" name="文本框 1"/>
                <wp:cNvGraphicFramePr/>
                <a:graphic xmlns:a="http://schemas.openxmlformats.org/drawingml/2006/main">
                  <a:graphicData uri="http://schemas.microsoft.com/office/word/2010/wordprocessingShape">
                    <wps:wsp>
                      <wps:cNvSpPr txBox="1"/>
                      <wps:spPr>
                        <a:xfrm>
                          <a:off x="0" y="0"/>
                          <a:ext cx="5274310" cy="635"/>
                        </a:xfrm>
                        <a:prstGeom prst="rect">
                          <a:avLst/>
                        </a:prstGeom>
                        <a:solidFill>
                          <a:prstClr val="white"/>
                        </a:solidFill>
                        <a:ln>
                          <a:noFill/>
                        </a:ln>
                      </wps:spPr>
                      <wps:txbx>
                        <w:txbxContent>
                          <w:p w14:paraId="52F53146">
                            <w:pPr>
                              <w:pStyle w:val="163"/>
                              <w:bidi w:val="0"/>
                            </w:pPr>
                            <w:bookmarkStart w:id="1887" w:name="_Ref217923266"/>
                            <w:r>
                              <w:rPr>
                                <w:rFonts w:hint="eastAsia"/>
                              </w:rPr>
                              <w:t>图</w:t>
                            </w:r>
                            <w:bookmarkEnd w:id="1887"/>
                            <w:r>
                              <w:rPr>
                                <w:rFonts w:hint="eastAsia"/>
                                <w:lang w:val="en-US" w:eastAsia="zh-CN"/>
                              </w:rPr>
                              <w:t xml:space="preserve">4-4 </w:t>
                            </w:r>
                            <w:r>
                              <w:rPr>
                                <w:rFonts w:hint="eastAsia"/>
                              </w:rPr>
                              <w:t>入库信息管理页面</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left:1.45pt;margin-top:9.55pt;height:0.05pt;width:415.3pt;mso-wrap-distance-bottom:0pt;mso-wrap-distance-top:0pt;z-index:251682816;mso-width-relative:page;mso-height-relative:page;" fillcolor="#FFFFFF" filled="t" stroked="f" coordsize="21600,21600" o:gfxdata="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PUCGzWAAAABwEAAA8AAAAAAAAAAQAgAAAAIgAA&#10;AGRycy9kb3ducmV2LnhtbFBLAQIUABQAAAAIAIdO4kAt15ryQwIAAHsEAAAOAAAAAAAAAAEAIAAA&#10;ACUBAABkcnMvZTJvRG9jLnhtbFBLBQYAAAAABgAGAFkBAADaBQAAAAA=&#10;">
                <v:fill on="t" focussize="0,0"/>
                <v:stroke on="f"/>
                <v:imagedata o:title=""/>
                <o:lock v:ext="edit" aspectratio="f"/>
                <v:textbox inset="0mm,0mm,0mm,0mm" style="mso-fit-shape-to-text:t;">
                  <w:txbxContent>
                    <w:p w14:paraId="52F53146">
                      <w:pPr>
                        <w:pStyle w:val="163"/>
                        <w:bidi w:val="0"/>
                      </w:pPr>
                      <w:bookmarkStart w:id="1887" w:name="_Ref217923266"/>
                      <w:r>
                        <w:rPr>
                          <w:rFonts w:hint="eastAsia"/>
                        </w:rPr>
                        <w:t>图</w:t>
                      </w:r>
                      <w:bookmarkEnd w:id="1887"/>
                      <w:r>
                        <w:rPr>
                          <w:rFonts w:hint="eastAsia"/>
                          <w:lang w:val="en-US" w:eastAsia="zh-CN"/>
                        </w:rPr>
                        <w:t xml:space="preserve">4-4 </w:t>
                      </w:r>
                      <w:r>
                        <w:rPr>
                          <w:rFonts w:hint="eastAsia"/>
                        </w:rPr>
                        <w:t>入库信息管理页面</w:t>
                      </w:r>
                    </w:p>
                  </w:txbxContent>
                </v:textbox>
                <w10:wrap type="topAndBottom"/>
              </v:shape>
            </w:pict>
          </mc:Fallback>
        </mc:AlternateContent>
      </w:r>
      <w:r>
        <w:t>4.2.4 出库管理模块</w:t>
      </w:r>
    </w:p>
    <w:p w14:paraId="59F11950">
      <w:pPr>
        <w:pStyle w:val="134"/>
        <w:rPr>
          <w:rFonts w:hint="default"/>
        </w:rPr>
      </w:pPr>
      <w:r>
        <w:t xml:space="preserve">模块功能描述：  </w:t>
      </w:r>
    </w:p>
    <w:p w14:paraId="4B30035B">
      <w:pPr>
        <w:pStyle w:val="134"/>
        <w:rPr>
          <w:rFonts w:hint="default"/>
        </w:rPr>
      </w:pPr>
      <w:r>
        <w:t>实现货物出库申请、库存检查、出库单生成、退货处理等功能，覆盖从出库需求产生到货物实际出库的全流程管理，确保出库作业准确高效、有据可依。</w:t>
      </w:r>
    </w:p>
    <w:p w14:paraId="62DB048C">
      <w:pPr>
        <w:pStyle w:val="134"/>
        <w:rPr>
          <w:rFonts w:hint="default"/>
        </w:rPr>
      </w:pPr>
      <w:r>
        <w:t>主要功能包括：</w:t>
      </w:r>
    </w:p>
    <w:p w14:paraId="50E5413D">
      <w:pPr>
        <w:pStyle w:val="134"/>
        <w:rPr>
          <w:rFonts w:hint="default"/>
        </w:rPr>
      </w:pPr>
      <w:r>
        <w:t xml:space="preserve">(1)出库申请与审批  </w:t>
      </w:r>
    </w:p>
    <w:p w14:paraId="6F18338F">
      <w:pPr>
        <w:pStyle w:val="134"/>
        <w:rPr>
          <w:rFonts w:hint="default"/>
        </w:rPr>
      </w:pPr>
      <w:r>
        <w:t>支持销售订单、调拨需求、退货出库等多种出库类型申请。</w:t>
      </w:r>
    </w:p>
    <w:p w14:paraId="1A1D74DA">
      <w:pPr>
        <w:pStyle w:val="134"/>
        <w:rPr>
          <w:rFonts w:hint="default"/>
        </w:rPr>
      </w:pPr>
      <w:r>
        <w:t>可设置审批流程，对出库申请进行多级审核，确保出库合规。</w:t>
      </w:r>
    </w:p>
    <w:p w14:paraId="64897D76">
      <w:pPr>
        <w:pStyle w:val="134"/>
        <w:rPr>
          <w:rFonts w:hint="default"/>
        </w:rPr>
      </w:pPr>
      <w:r>
        <w:t xml:space="preserve">(2)库存可用性检查  </w:t>
      </w:r>
    </w:p>
    <w:p w14:paraId="77BBED8B">
      <w:pPr>
        <w:pStyle w:val="134"/>
        <w:rPr>
          <w:rFonts w:hint="default"/>
        </w:rPr>
      </w:pPr>
      <w:r>
        <w:t>在出库前自动检查库存数量、所在库位、批次状态等，防止超库存出库。支持先进先出、按批次优先等出库策略配置。</w:t>
      </w:r>
    </w:p>
    <w:p w14:paraId="35CECA4B">
      <w:pPr>
        <w:pStyle w:val="134"/>
        <w:rPr>
          <w:rFonts w:hint="default"/>
        </w:rPr>
      </w:pPr>
      <w:r>
        <w:t>4.2.5 库存预警模块</w:t>
      </w:r>
    </w:p>
    <w:p w14:paraId="12C17480">
      <w:pPr>
        <w:pStyle w:val="134"/>
        <w:rPr>
          <w:rFonts w:hint="default"/>
        </w:rPr>
      </w:pPr>
      <w:r>
        <w:t xml:space="preserve">模块功能描述：  </w:t>
      </w:r>
    </w:p>
    <w:p w14:paraId="04837EA0">
      <w:pPr>
        <w:pStyle w:val="134"/>
        <w:rPr>
          <w:rFonts w:hint="default"/>
        </w:rPr>
      </w:pPr>
      <w:r>
        <w:t>系统实现库存数量监控与多维度预警功能。当库存数量低于预设的最小库存阈值时，系统自动发出补货预警；当衣服款式过时或过季时，自动触发滞销预警，帮助仓库管理者及时制定促销或清仓策略，优化库存结构。</w:t>
      </w:r>
    </w:p>
    <w:p w14:paraId="1643A392">
      <w:pPr>
        <w:pStyle w:val="134"/>
        <w:rPr>
          <w:rFonts w:hint="default"/>
        </w:rPr>
      </w:pPr>
      <w:r>
        <w:t>主要功能包括：</w:t>
      </w:r>
    </w:p>
    <w:p w14:paraId="42FFD79B">
      <w:pPr>
        <w:pStyle w:val="134"/>
        <w:rPr>
          <w:rFonts w:hint="default"/>
        </w:rPr>
      </w:pPr>
      <w:r>
        <w:t xml:space="preserve">(1)库存阈值预警  </w:t>
      </w:r>
    </w:p>
    <w:p w14:paraId="1F14FC0F">
      <w:pPr>
        <w:pStyle w:val="134"/>
        <w:rPr>
          <w:rFonts w:hint="default"/>
        </w:rPr>
      </w:pPr>
      <w:r>
        <w:t>支持按品类等维度设置最低库存量与最高库存量。</w:t>
      </w:r>
    </w:p>
    <w:p w14:paraId="4C25B334">
      <w:pPr>
        <w:pStyle w:val="134"/>
        <w:rPr>
          <w:rFonts w:hint="default"/>
        </w:rPr>
      </w:pPr>
      <w:r>
        <w:t>当库存低于安全库存或高于积压阈值时，自动通过系统消息方式提醒相关管理人员。</w:t>
      </w:r>
    </w:p>
    <w:p w14:paraId="42002CBE">
      <w:pPr>
        <w:pStyle w:val="134"/>
        <w:rPr>
          <w:rFonts w:hint="default"/>
        </w:rPr>
      </w:pPr>
      <w:r>
        <w:t xml:space="preserve">(2)智能动态阈值调整  </w:t>
      </w:r>
    </w:p>
    <w:p w14:paraId="488CC258">
      <w:pPr>
        <w:pStyle w:val="134"/>
        <w:rPr>
          <w:rFonts w:hint="default"/>
        </w:rPr>
      </w:pPr>
      <w:r>
        <w:t>可根据历史销售数据、季节趋势、促销计划等动态调整安全库存阈值。</w:t>
      </w:r>
    </w:p>
    <w:p w14:paraId="51C6D40E">
      <w:pPr>
        <w:pStyle w:val="134"/>
        <w:rPr>
          <w:rFonts w:hint="default"/>
        </w:rPr>
      </w:pPr>
      <w:r>
        <w:t>支持设置预警灵敏度，避免频繁误报。</w:t>
      </w:r>
    </w:p>
    <w:p w14:paraId="43054DA8">
      <w:pPr>
        <w:pStyle w:val="134"/>
        <w:rPr>
          <w:rFonts w:hint="default"/>
        </w:rPr>
      </w:pPr>
      <w:r>
        <w:t xml:space="preserve">(3)季节与时效性预警  </w:t>
      </w:r>
    </w:p>
    <w:p w14:paraId="2D6D6124">
      <w:pPr>
        <w:pStyle w:val="134"/>
        <w:rPr>
          <w:rFonts w:hint="default"/>
        </w:rPr>
      </w:pPr>
      <w:r>
        <w:t>可设定服装的季节属性（如春、夏、秋、冬季）及上市周期，系统在换季前自动提醒待处理款式。</w:t>
      </w:r>
    </w:p>
    <w:p w14:paraId="45CA655A">
      <w:pPr>
        <w:pStyle w:val="134"/>
        <w:rPr>
          <w:rFonts w:hint="default"/>
        </w:rPr>
      </w:pPr>
      <w:r>
        <w:t>对临近过季、长期未动销的款式进行分级预警（如提示、严重、紧急）。</w:t>
      </w:r>
    </w:p>
    <w:p w14:paraId="6559CB6A">
      <w:pPr>
        <w:pStyle w:val="134"/>
        <w:rPr>
          <w:rFonts w:hint="default"/>
        </w:rPr>
      </w:pPr>
      <w:r>
        <w:t xml:space="preserve">(4)保质期/批次效期预警  </w:t>
      </w:r>
    </w:p>
    <w:p w14:paraId="4BEB08F5">
      <w:pPr>
        <w:pStyle w:val="134"/>
        <w:rPr>
          <w:rFonts w:hint="default"/>
        </w:rPr>
      </w:pPr>
      <w:r>
        <w:t>针对有保质期或批次管理的商品（如功能性服饰），设置有效期提醒，防止过期库存积压。</w:t>
      </w:r>
    </w:p>
    <w:p w14:paraId="730A52C6">
      <w:pPr>
        <w:spacing w:line="440" w:lineRule="exact"/>
        <w:jc w:val="left"/>
        <w:outlineLvl w:val="9"/>
        <w:rPr>
          <w:rFonts w:ascii="宋体" w:hAnsi="宋体" w:cs="宋体"/>
          <w:b/>
          <w:bCs/>
          <w:sz w:val="28"/>
          <w:szCs w:val="28"/>
        </w:rPr>
      </w:pPr>
      <w:bookmarkStart w:id="425" w:name="_Toc11298"/>
      <w:r>
        <w:rPr>
          <w:rFonts w:hint="eastAsia" w:ascii="宋体" w:hAnsi="宋体" w:cs="宋体"/>
          <w:b/>
          <w:bCs/>
          <w:sz w:val="28"/>
          <w:szCs w:val="28"/>
        </w:rPr>
        <w:t>5 系统测试</w:t>
      </w:r>
      <w:bookmarkEnd w:id="424"/>
      <w:bookmarkEnd w:id="425"/>
    </w:p>
    <w:p w14:paraId="641D638E">
      <w:pPr>
        <w:pStyle w:val="134"/>
        <w:outlineLvl w:val="9"/>
        <w:rPr>
          <w:rFonts w:hint="default"/>
        </w:rPr>
      </w:pPr>
      <w:bookmarkStart w:id="426" w:name="_Toc217490549"/>
      <w:r>
        <w:t>5.1系统测试环境</w:t>
      </w:r>
      <w:bookmarkEnd w:id="426"/>
    </w:p>
    <w:p w14:paraId="5E9A7A68">
      <w:pPr>
        <w:pStyle w:val="134"/>
        <w:outlineLvl w:val="9"/>
        <w:rPr>
          <w:rFonts w:hint="default"/>
        </w:rPr>
      </w:pPr>
      <w:bookmarkStart w:id="427" w:name="_Toc217490550"/>
      <w:r>
        <w:t>5.1.1服务器端</w:t>
      </w:r>
      <w:bookmarkEnd w:id="427"/>
    </w:p>
    <w:p w14:paraId="0EC3707A">
      <w:pPr>
        <w:pStyle w:val="134"/>
        <w:outlineLvl w:val="9"/>
        <w:rPr>
          <w:rFonts w:hint="default"/>
        </w:rPr>
      </w:pPr>
      <w:r>
        <w:t>（1）硬件配置</w:t>
      </w:r>
    </w:p>
    <w:p w14:paraId="581EBA0D">
      <w:pPr>
        <w:pStyle w:val="134"/>
        <w:outlineLvl w:val="9"/>
        <w:rPr>
          <w:rFonts w:hint="default"/>
        </w:rPr>
      </w:pPr>
      <w:r>
        <w:t>本系统测试环境的服务器硬件配置详细信息见</w:t>
      </w:r>
      <w:r>
        <w:fldChar w:fldCharType="begin"/>
      </w:r>
      <w:r>
        <w:instrText xml:space="preserve"> REF _Ref217923306 \h </w:instrText>
      </w:r>
      <w:r>
        <w:fldChar w:fldCharType="separate"/>
      </w:r>
      <w:r>
        <w:t>表</w:t>
      </w:r>
      <w:r>
        <w:rPr>
          <w:rFonts w:hint="eastAsia"/>
          <w:lang w:val="en-US" w:eastAsia="zh-CN"/>
        </w:rPr>
        <w:t>5</w:t>
      </w:r>
      <w:r>
        <w:fldChar w:fldCharType="end"/>
      </w:r>
      <w:r>
        <w:rPr>
          <w:rFonts w:hint="eastAsia"/>
          <w:lang w:val="en-US" w:eastAsia="zh-CN"/>
        </w:rPr>
        <w:t>-1</w:t>
      </w:r>
      <w:r>
        <w:t>所示：</w:t>
      </w:r>
    </w:p>
    <w:p w14:paraId="5C496B8E">
      <w:pPr>
        <w:pStyle w:val="13"/>
        <w:keepNext/>
        <w:spacing w:line="440" w:lineRule="exact"/>
        <w:rPr>
          <w:rFonts w:asciiTheme="minorEastAsia" w:hAnsiTheme="minorEastAsia" w:eastAsiaTheme="minorEastAsia"/>
          <w:szCs w:val="21"/>
        </w:rPr>
      </w:pPr>
      <w:bookmarkStart w:id="428" w:name="_Ref217923306"/>
      <w:r>
        <w:rPr>
          <w:rFonts w:hint="eastAsia" w:asciiTheme="minorEastAsia" w:hAnsiTheme="minorEastAsia" w:eastAsiaTheme="minorEastAsia"/>
          <w:szCs w:val="21"/>
        </w:rPr>
        <w:t>表</w:t>
      </w:r>
      <w:bookmarkEnd w:id="428"/>
      <w:r>
        <w:rPr>
          <w:rFonts w:hint="eastAsia" w:asciiTheme="minorEastAsia" w:hAnsiTheme="minorEastAsia" w:eastAsiaTheme="minorEastAsia"/>
          <w:szCs w:val="21"/>
          <w:lang w:val="en-US" w:eastAsia="zh-CN"/>
        </w:rPr>
        <w:t>5-1</w:t>
      </w:r>
      <w:r>
        <w:rPr>
          <w:rFonts w:hint="eastAsia" w:asciiTheme="minorEastAsia" w:hAnsiTheme="minorEastAsia" w:eastAsiaTheme="minorEastAsia"/>
          <w:szCs w:val="21"/>
        </w:rPr>
        <w:t>服务器端硬件配置表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5A99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61" w:type="dxa"/>
          </w:tcPr>
          <w:p w14:paraId="28E96D8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硬件</w:t>
            </w:r>
          </w:p>
        </w:tc>
        <w:tc>
          <w:tcPr>
            <w:tcW w:w="4261" w:type="dxa"/>
          </w:tcPr>
          <w:p w14:paraId="4FB5914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499C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7657ADA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CPU</w:t>
            </w:r>
          </w:p>
        </w:tc>
        <w:tc>
          <w:tcPr>
            <w:tcW w:w="4261" w:type="dxa"/>
          </w:tcPr>
          <w:p w14:paraId="3FD2A0E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IntelCorei7 11800H2.30GHz</w:t>
            </w:r>
          </w:p>
        </w:tc>
      </w:tr>
      <w:tr w14:paraId="43B19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7248156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内存</w:t>
            </w:r>
          </w:p>
        </w:tc>
        <w:tc>
          <w:tcPr>
            <w:tcW w:w="4261" w:type="dxa"/>
          </w:tcPr>
          <w:p w14:paraId="207A3C8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16GB DDR4</w:t>
            </w:r>
          </w:p>
        </w:tc>
      </w:tr>
      <w:tr w14:paraId="710B2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6E146CA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显卡</w:t>
            </w:r>
          </w:p>
        </w:tc>
        <w:tc>
          <w:tcPr>
            <w:tcW w:w="4261" w:type="dxa"/>
          </w:tcPr>
          <w:p w14:paraId="331DAD2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NVIDIAGeForceRTX3060LaptopGPU</w:t>
            </w:r>
          </w:p>
        </w:tc>
      </w:tr>
      <w:tr w14:paraId="3144A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1" w:type="dxa"/>
          </w:tcPr>
          <w:p w14:paraId="0193079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硬盘</w:t>
            </w:r>
          </w:p>
        </w:tc>
        <w:tc>
          <w:tcPr>
            <w:tcW w:w="4261" w:type="dxa"/>
          </w:tcPr>
          <w:p w14:paraId="341F588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512GBSSDNVMe</w:t>
            </w:r>
          </w:p>
        </w:tc>
      </w:tr>
    </w:tbl>
    <w:p w14:paraId="416DE125">
      <w:pPr>
        <w:pStyle w:val="134"/>
        <w:rPr>
          <w:rFonts w:hint="default"/>
        </w:rPr>
      </w:pPr>
      <w:r>
        <w:t>（2）软件配置</w:t>
      </w:r>
    </w:p>
    <w:p w14:paraId="2F33739C">
      <w:pPr>
        <w:pStyle w:val="134"/>
        <w:rPr>
          <w:rFonts w:hint="default"/>
        </w:rPr>
      </w:pPr>
      <w:r>
        <w:t>本系统服务器端测试所使用的软件环境配置见</w:t>
      </w:r>
      <w:r>
        <w:fldChar w:fldCharType="begin"/>
      </w:r>
      <w:r>
        <w:instrText xml:space="preserve"> REF _Ref217923326 \h </w:instrText>
      </w:r>
      <w:r>
        <w:fldChar w:fldCharType="separate"/>
      </w:r>
      <w:r>
        <w:t>表</w:t>
      </w:r>
      <w:r>
        <w:rPr>
          <w:rFonts w:hint="eastAsia"/>
          <w:lang w:val="en-US" w:eastAsia="zh-CN"/>
        </w:rPr>
        <w:t>5</w:t>
      </w:r>
      <w:r>
        <w:fldChar w:fldCharType="end"/>
      </w:r>
      <w:r>
        <w:rPr>
          <w:rFonts w:hint="eastAsia"/>
          <w:lang w:val="en-US" w:eastAsia="zh-CN"/>
        </w:rPr>
        <w:t>-2</w:t>
      </w:r>
      <w:r>
        <w:t>。所有软件均采用当前主流稳定版本，确保开发、测试与运行环境的一致性，减少因环境差异导致的系统异常。</w:t>
      </w:r>
    </w:p>
    <w:p w14:paraId="05EAC1E6">
      <w:pPr>
        <w:pStyle w:val="162"/>
        <w:bidi w:val="0"/>
      </w:pPr>
      <w:bookmarkStart w:id="429" w:name="_Ref217923326"/>
      <w:r>
        <w:rPr>
          <w:rFonts w:hint="eastAsia"/>
        </w:rPr>
        <w:t>表</w:t>
      </w:r>
      <w:bookmarkEnd w:id="429"/>
      <w:r>
        <w:rPr>
          <w:rFonts w:hint="eastAsia"/>
          <w:lang w:val="en-US" w:eastAsia="zh-CN"/>
        </w:rPr>
        <w:t xml:space="preserve">5-2 </w:t>
      </w:r>
      <w:r>
        <w:rPr>
          <w:rFonts w:hint="eastAsia"/>
        </w:rPr>
        <w:t>服务器端软件配置表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53"/>
        <w:gridCol w:w="4109"/>
      </w:tblGrid>
      <w:tr w14:paraId="3A750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5570860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软件</w:t>
            </w:r>
          </w:p>
        </w:tc>
        <w:tc>
          <w:tcPr>
            <w:tcW w:w="4109" w:type="dxa"/>
          </w:tcPr>
          <w:p w14:paraId="6DF6551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48B98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135F704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操作系统</w:t>
            </w:r>
          </w:p>
        </w:tc>
        <w:tc>
          <w:tcPr>
            <w:tcW w:w="4109" w:type="dxa"/>
          </w:tcPr>
          <w:p w14:paraId="629A7F6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Windows11</w:t>
            </w:r>
          </w:p>
        </w:tc>
      </w:tr>
      <w:tr w14:paraId="08320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464E732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数据库</w:t>
            </w:r>
          </w:p>
        </w:tc>
        <w:tc>
          <w:tcPr>
            <w:tcW w:w="4109" w:type="dxa"/>
          </w:tcPr>
          <w:p w14:paraId="55FD8EE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MySQL8.0</w:t>
            </w:r>
          </w:p>
        </w:tc>
      </w:tr>
      <w:tr w14:paraId="311E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6E94A16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Java环境</w:t>
            </w:r>
          </w:p>
        </w:tc>
        <w:tc>
          <w:tcPr>
            <w:tcW w:w="4109" w:type="dxa"/>
          </w:tcPr>
          <w:p w14:paraId="3C02141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JDK17</w:t>
            </w:r>
          </w:p>
        </w:tc>
      </w:tr>
      <w:tr w14:paraId="0C44A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01A78C1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项目管理</w:t>
            </w:r>
          </w:p>
        </w:tc>
        <w:tc>
          <w:tcPr>
            <w:tcW w:w="4109" w:type="dxa"/>
          </w:tcPr>
          <w:p w14:paraId="459E890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Maven3.8.3</w:t>
            </w:r>
          </w:p>
        </w:tc>
      </w:tr>
      <w:tr w14:paraId="62D88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53" w:type="dxa"/>
          </w:tcPr>
          <w:p w14:paraId="3FD753E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后端框架</w:t>
            </w:r>
          </w:p>
        </w:tc>
        <w:tc>
          <w:tcPr>
            <w:tcW w:w="4109" w:type="dxa"/>
          </w:tcPr>
          <w:p w14:paraId="2B8EB25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SpringBoot2.7.0</w:t>
            </w:r>
          </w:p>
        </w:tc>
      </w:tr>
    </w:tbl>
    <w:p w14:paraId="1DB693FE">
      <w:pPr>
        <w:pStyle w:val="134"/>
        <w:rPr>
          <w:rFonts w:hint="default"/>
        </w:rPr>
      </w:pPr>
      <w:bookmarkStart w:id="430" w:name="_Toc217490551"/>
      <w:r>
        <w:t>5.1.2客户端</w:t>
      </w:r>
      <w:bookmarkEnd w:id="430"/>
    </w:p>
    <w:p w14:paraId="0A9C2CE7">
      <w:pPr>
        <w:pStyle w:val="134"/>
        <w:rPr>
          <w:rFonts w:hint="default"/>
        </w:rPr>
      </w:pPr>
      <w:r>
        <w:t>（1）硬件配置</w:t>
      </w:r>
    </w:p>
    <w:p w14:paraId="5CCCC995">
      <w:pPr>
        <w:pStyle w:val="134"/>
        <w:rPr>
          <w:rFonts w:hint="default"/>
        </w:rPr>
      </w:pPr>
      <w:r>
        <w:t>本系统测试客户端的硬件配置详细信息见</w:t>
      </w:r>
      <w:r>
        <w:fldChar w:fldCharType="begin"/>
      </w:r>
      <w:r>
        <w:instrText xml:space="preserve"> REF _Ref217923341 \h </w:instrText>
      </w:r>
      <w:r>
        <w:fldChar w:fldCharType="separate"/>
      </w:r>
      <w:r>
        <w:t>表</w:t>
      </w:r>
      <w:r>
        <w:rPr>
          <w:rFonts w:hint="eastAsia"/>
          <w:lang w:val="en-US" w:eastAsia="zh-CN"/>
        </w:rPr>
        <w:t>5</w:t>
      </w:r>
      <w:r>
        <w:fldChar w:fldCharType="end"/>
      </w:r>
      <w:r>
        <w:rPr>
          <w:rFonts w:hint="eastAsia"/>
          <w:lang w:val="en-US" w:eastAsia="zh-CN"/>
        </w:rPr>
        <w:t>-3</w:t>
      </w:r>
      <w:r>
        <w:t>所示：</w:t>
      </w:r>
    </w:p>
    <w:p w14:paraId="79C26F37">
      <w:pPr>
        <w:pStyle w:val="162"/>
        <w:bidi w:val="0"/>
      </w:pPr>
      <w:bookmarkStart w:id="431" w:name="_Ref217923341"/>
      <w:r>
        <w:rPr>
          <w:rFonts w:hint="eastAsia"/>
        </w:rPr>
        <w:t>表</w:t>
      </w:r>
      <w:bookmarkEnd w:id="431"/>
      <w:r>
        <w:rPr>
          <w:rFonts w:hint="eastAsia"/>
          <w:lang w:val="en-US" w:eastAsia="zh-CN"/>
        </w:rPr>
        <w:t xml:space="preserve">5-3 </w:t>
      </w:r>
      <w:r>
        <w:rPr>
          <w:rFonts w:hint="eastAsia"/>
        </w:rPr>
        <w:t>客户端硬件配置表</w:t>
      </w:r>
    </w:p>
    <w:tbl>
      <w:tblPr>
        <w:tblStyle w:val="35"/>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28"/>
        <w:gridCol w:w="4473"/>
      </w:tblGrid>
      <w:tr w14:paraId="44D4E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tcPr>
          <w:p w14:paraId="0FC6711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硬件</w:t>
            </w:r>
          </w:p>
        </w:tc>
        <w:tc>
          <w:tcPr>
            <w:tcW w:w="4473" w:type="dxa"/>
          </w:tcPr>
          <w:p w14:paraId="2C04EBC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配置</w:t>
            </w:r>
          </w:p>
        </w:tc>
      </w:tr>
      <w:tr w14:paraId="02E4A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tcPr>
          <w:p w14:paraId="57713DF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CPU</w:t>
            </w:r>
          </w:p>
        </w:tc>
        <w:tc>
          <w:tcPr>
            <w:tcW w:w="4473" w:type="dxa"/>
          </w:tcPr>
          <w:p w14:paraId="677E3AD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IntelCorei5 10210U1.60GHz</w:t>
            </w:r>
          </w:p>
        </w:tc>
      </w:tr>
      <w:tr w14:paraId="6A346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tcPr>
          <w:p w14:paraId="71AF929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内存</w:t>
            </w:r>
          </w:p>
        </w:tc>
        <w:tc>
          <w:tcPr>
            <w:tcW w:w="4473" w:type="dxa"/>
          </w:tcPr>
          <w:p w14:paraId="3B80D22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16GB</w:t>
            </w:r>
          </w:p>
        </w:tc>
      </w:tr>
      <w:tr w14:paraId="4B95E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tcPr>
          <w:p w14:paraId="64F3083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显卡</w:t>
            </w:r>
          </w:p>
        </w:tc>
        <w:tc>
          <w:tcPr>
            <w:tcW w:w="4473" w:type="dxa"/>
          </w:tcPr>
          <w:p w14:paraId="2B0057C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NVIDIAGeForceMX350</w:t>
            </w:r>
          </w:p>
        </w:tc>
      </w:tr>
      <w:tr w14:paraId="3A222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tcPr>
          <w:p w14:paraId="74C300E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硬盘</w:t>
            </w:r>
          </w:p>
        </w:tc>
        <w:tc>
          <w:tcPr>
            <w:tcW w:w="4473" w:type="dxa"/>
          </w:tcPr>
          <w:p w14:paraId="206B86F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512GB SSD</w:t>
            </w:r>
          </w:p>
        </w:tc>
      </w:tr>
    </w:tbl>
    <w:p w14:paraId="3B3F8B67">
      <w:pPr>
        <w:pStyle w:val="134"/>
        <w:rPr>
          <w:rFonts w:hint="default"/>
        </w:rPr>
      </w:pPr>
      <w:r>
        <w:t>（2）软件配置</w:t>
      </w:r>
    </w:p>
    <w:p w14:paraId="7F5A86D6">
      <w:pPr>
        <w:pStyle w:val="134"/>
        <w:rPr>
          <w:rFonts w:hint="default"/>
        </w:rPr>
      </w:pPr>
      <w:r>
        <w:t>本系统客户端测试所使用的软件环境配置见</w:t>
      </w:r>
      <w:r>
        <w:fldChar w:fldCharType="begin"/>
      </w:r>
      <w:r>
        <w:instrText xml:space="preserve"> REF _Ref217923366 \h </w:instrText>
      </w:r>
      <w:r>
        <w:fldChar w:fldCharType="separate"/>
      </w:r>
      <w:r>
        <w:t>表</w:t>
      </w:r>
      <w:r>
        <w:rPr>
          <w:rFonts w:hint="eastAsia"/>
          <w:lang w:val="en-US" w:eastAsia="zh-CN"/>
        </w:rPr>
        <w:t>5</w:t>
      </w:r>
      <w:r>
        <w:fldChar w:fldCharType="end"/>
      </w:r>
      <w:r>
        <w:rPr>
          <w:rFonts w:hint="eastAsia"/>
          <w:lang w:val="en-US" w:eastAsia="zh-CN"/>
        </w:rPr>
        <w:t>-4</w:t>
      </w:r>
      <w:r>
        <w:t>所示：</w:t>
      </w:r>
    </w:p>
    <w:p w14:paraId="47D84BE6">
      <w:pPr>
        <w:pStyle w:val="162"/>
        <w:bidi w:val="0"/>
        <w:rPr>
          <w:rFonts w:hint="eastAsia"/>
        </w:rPr>
      </w:pPr>
      <w:bookmarkStart w:id="432" w:name="_Ref217923366"/>
      <w:r>
        <w:rPr>
          <w:rFonts w:hint="eastAsia"/>
        </w:rPr>
        <w:t>表</w:t>
      </w:r>
      <w:bookmarkEnd w:id="432"/>
      <w:r>
        <w:rPr>
          <w:rFonts w:hint="eastAsia"/>
          <w:lang w:val="en-US" w:eastAsia="zh-CN"/>
        </w:rPr>
        <w:t xml:space="preserve">5-4 </w:t>
      </w:r>
      <w:r>
        <w:rPr>
          <w:rFonts w:hint="eastAsia"/>
        </w:rPr>
        <w:t>客户端软件配置表</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0A631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tcPr>
          <w:p w14:paraId="3AD56D65">
            <w:pPr>
              <w:pStyle w:val="162"/>
              <w:keepLines w:val="0"/>
              <w:pageBreakBefore w:val="0"/>
              <w:kinsoku/>
              <w:wordWrap/>
              <w:overflowPunct/>
              <w:topLinePunct w:val="0"/>
              <w:autoSpaceDE/>
              <w:autoSpaceDN/>
              <w:bidi w:val="0"/>
              <w:adjustRightInd/>
              <w:snapToGrid/>
              <w:spacing w:line="440" w:lineRule="exact"/>
              <w:textAlignment w:val="auto"/>
              <w:rPr>
                <w:rFonts w:hint="default" w:eastAsia="宋体"/>
                <w:vertAlign w:val="baseline"/>
                <w:lang w:val="en-US" w:eastAsia="zh-CN"/>
              </w:rPr>
            </w:pPr>
            <w:r>
              <w:rPr>
                <w:rFonts w:hint="eastAsia"/>
                <w:vertAlign w:val="baseline"/>
                <w:lang w:val="en-US" w:eastAsia="zh-CN"/>
              </w:rPr>
              <w:t>软件</w:t>
            </w:r>
          </w:p>
        </w:tc>
        <w:tc>
          <w:tcPr>
            <w:tcW w:w="4261" w:type="dxa"/>
          </w:tcPr>
          <w:p w14:paraId="654F5AD1">
            <w:pPr>
              <w:pStyle w:val="162"/>
              <w:keepLines w:val="0"/>
              <w:pageBreakBefore w:val="0"/>
              <w:kinsoku/>
              <w:wordWrap/>
              <w:overflowPunct/>
              <w:topLinePunct w:val="0"/>
              <w:autoSpaceDE/>
              <w:autoSpaceDN/>
              <w:bidi w:val="0"/>
              <w:adjustRightInd/>
              <w:snapToGrid/>
              <w:spacing w:line="440" w:lineRule="exact"/>
              <w:textAlignment w:val="auto"/>
              <w:rPr>
                <w:rFonts w:hint="eastAsia" w:eastAsia="宋体"/>
                <w:vertAlign w:val="baseline"/>
                <w:lang w:val="en-US" w:eastAsia="zh-CN"/>
              </w:rPr>
            </w:pPr>
            <w:r>
              <w:rPr>
                <w:rFonts w:hint="eastAsia"/>
                <w:vertAlign w:val="baseline"/>
                <w:lang w:val="en-US" w:eastAsia="zh-CN"/>
              </w:rPr>
              <w:t>配置</w:t>
            </w:r>
          </w:p>
        </w:tc>
      </w:tr>
      <w:tr w14:paraId="3F654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C935CC1">
            <w:pPr>
              <w:pStyle w:val="162"/>
              <w:keepLines w:val="0"/>
              <w:pageBreakBefore w:val="0"/>
              <w:kinsoku/>
              <w:wordWrap/>
              <w:overflowPunct/>
              <w:topLinePunct w:val="0"/>
              <w:autoSpaceDE/>
              <w:autoSpaceDN/>
              <w:bidi w:val="0"/>
              <w:adjustRightInd/>
              <w:snapToGrid/>
              <w:spacing w:line="440" w:lineRule="exact"/>
              <w:textAlignment w:val="auto"/>
              <w:rPr>
                <w:rFonts w:hint="default" w:eastAsia="宋体"/>
                <w:vertAlign w:val="baseline"/>
                <w:lang w:val="en-US" w:eastAsia="zh-CN"/>
              </w:rPr>
            </w:pPr>
            <w:r>
              <w:rPr>
                <w:rFonts w:hint="eastAsia"/>
                <w:vertAlign w:val="baseline"/>
                <w:lang w:val="en-US" w:eastAsia="zh-CN"/>
              </w:rPr>
              <w:t>操作系统</w:t>
            </w:r>
          </w:p>
        </w:tc>
        <w:tc>
          <w:tcPr>
            <w:tcW w:w="4261" w:type="dxa"/>
          </w:tcPr>
          <w:p w14:paraId="77E7D0E1">
            <w:pPr>
              <w:pStyle w:val="162"/>
              <w:keepLines w:val="0"/>
              <w:pageBreakBefore w:val="0"/>
              <w:kinsoku/>
              <w:wordWrap/>
              <w:overflowPunct/>
              <w:topLinePunct w:val="0"/>
              <w:autoSpaceDE/>
              <w:autoSpaceDN/>
              <w:bidi w:val="0"/>
              <w:adjustRightInd/>
              <w:snapToGrid/>
              <w:spacing w:line="440" w:lineRule="exact"/>
              <w:textAlignment w:val="auto"/>
              <w:rPr>
                <w:rFonts w:hint="eastAsia"/>
                <w:vertAlign w:val="baseline"/>
              </w:rPr>
            </w:pPr>
            <w:r>
              <w:rPr>
                <w:rFonts w:hint="eastAsia" w:asciiTheme="minorEastAsia" w:hAnsiTheme="minorEastAsia" w:eastAsiaTheme="minorEastAsia"/>
                <w:szCs w:val="21"/>
              </w:rPr>
              <w:t>Windows11</w:t>
            </w:r>
          </w:p>
        </w:tc>
      </w:tr>
      <w:tr w14:paraId="5C068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4864B73">
            <w:pPr>
              <w:pStyle w:val="162"/>
              <w:keepLines w:val="0"/>
              <w:pageBreakBefore w:val="0"/>
              <w:kinsoku/>
              <w:wordWrap/>
              <w:overflowPunct/>
              <w:topLinePunct w:val="0"/>
              <w:autoSpaceDE/>
              <w:autoSpaceDN/>
              <w:bidi w:val="0"/>
              <w:adjustRightInd/>
              <w:snapToGrid/>
              <w:spacing w:line="440" w:lineRule="exact"/>
              <w:textAlignment w:val="auto"/>
              <w:rPr>
                <w:rFonts w:hint="eastAsia"/>
                <w:vertAlign w:val="baseline"/>
              </w:rPr>
            </w:pPr>
            <w:r>
              <w:rPr>
                <w:rFonts w:hint="eastAsia" w:asciiTheme="minorEastAsia" w:hAnsiTheme="minorEastAsia" w:eastAsiaTheme="minorEastAsia"/>
                <w:szCs w:val="21"/>
              </w:rPr>
              <w:t>浏览器</w:t>
            </w:r>
          </w:p>
        </w:tc>
        <w:tc>
          <w:tcPr>
            <w:tcW w:w="4261" w:type="dxa"/>
          </w:tcPr>
          <w:p w14:paraId="22DEA3E1">
            <w:pPr>
              <w:pStyle w:val="162"/>
              <w:keepLines w:val="0"/>
              <w:pageBreakBefore w:val="0"/>
              <w:kinsoku/>
              <w:wordWrap/>
              <w:overflowPunct/>
              <w:topLinePunct w:val="0"/>
              <w:autoSpaceDE/>
              <w:autoSpaceDN/>
              <w:bidi w:val="0"/>
              <w:adjustRightInd/>
              <w:snapToGrid/>
              <w:spacing w:line="440" w:lineRule="exact"/>
              <w:textAlignment w:val="auto"/>
              <w:rPr>
                <w:rFonts w:hint="eastAsia"/>
                <w:vertAlign w:val="baseline"/>
              </w:rPr>
            </w:pPr>
            <w:r>
              <w:rPr>
                <w:rFonts w:hint="eastAsia" w:asciiTheme="minorEastAsia" w:hAnsiTheme="minorEastAsia" w:eastAsiaTheme="minorEastAsia"/>
                <w:szCs w:val="21"/>
              </w:rPr>
              <w:t>Chrome120.0</w:t>
            </w:r>
          </w:p>
        </w:tc>
      </w:tr>
    </w:tbl>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0"/>
        <w:gridCol w:w="4051"/>
      </w:tblGrid>
      <w:tr w14:paraId="4E8B7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0" w:type="dxa"/>
          </w:tcPr>
          <w:p w14:paraId="708A9336">
            <w:pPr>
              <w:pStyle w:val="13"/>
              <w:keepNext/>
              <w:keepLines w:val="0"/>
              <w:pageBreakBefore w:val="0"/>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开发工具</w:t>
            </w:r>
          </w:p>
        </w:tc>
        <w:tc>
          <w:tcPr>
            <w:tcW w:w="4051" w:type="dxa"/>
          </w:tcPr>
          <w:p w14:paraId="322BF360">
            <w:pPr>
              <w:pStyle w:val="13"/>
              <w:keepNext/>
              <w:keepLines w:val="0"/>
              <w:pageBreakBefore w:val="0"/>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VisualStudioCode</w:t>
            </w:r>
          </w:p>
        </w:tc>
      </w:tr>
      <w:tr w14:paraId="7CFED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50" w:type="dxa"/>
          </w:tcPr>
          <w:p w14:paraId="4533B96F">
            <w:pPr>
              <w:pStyle w:val="13"/>
              <w:keepNext/>
              <w:keepLines w:val="0"/>
              <w:pageBreakBefore w:val="0"/>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前端框架</w:t>
            </w:r>
          </w:p>
        </w:tc>
        <w:tc>
          <w:tcPr>
            <w:tcW w:w="4051" w:type="dxa"/>
          </w:tcPr>
          <w:p w14:paraId="7FC32D65">
            <w:pPr>
              <w:pStyle w:val="13"/>
              <w:keepNext/>
              <w:keepLines w:val="0"/>
              <w:pageBreakBefore w:val="0"/>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Vue.js 3.3.0</w:t>
            </w:r>
          </w:p>
        </w:tc>
      </w:tr>
    </w:tbl>
    <w:p w14:paraId="1231CA84">
      <w:pPr>
        <w:pStyle w:val="134"/>
        <w:rPr>
          <w:rFonts w:hint="default"/>
        </w:rPr>
      </w:pPr>
      <w:bookmarkStart w:id="433" w:name="_Toc217490552"/>
      <w:r>
        <w:t>5.2系统功能测试</w:t>
      </w:r>
      <w:bookmarkEnd w:id="433"/>
    </w:p>
    <w:p w14:paraId="548BBD17">
      <w:pPr>
        <w:pStyle w:val="134"/>
        <w:rPr>
          <w:rFonts w:hint="default"/>
        </w:rPr>
      </w:pPr>
      <w:r>
        <w:t>（1）用户登录模块测试</w:t>
      </w:r>
    </w:p>
    <w:p w14:paraId="478AFCBD">
      <w:pPr>
        <w:pStyle w:val="134"/>
        <w:rPr>
          <w:rFonts w:hint="default"/>
        </w:rPr>
      </w:pPr>
      <w:r>
        <w:t>用户登录模块测试主要验证用户身份认证功能的正确性，除了用户名及密码验证外，还增加数字验证码验证。测试结果见</w:t>
      </w:r>
      <w:r>
        <w:fldChar w:fldCharType="begin"/>
      </w:r>
      <w:r>
        <w:instrText xml:space="preserve"> REF _Ref217923386 \h </w:instrText>
      </w:r>
      <w:r>
        <w:fldChar w:fldCharType="separate"/>
      </w:r>
      <w:r>
        <w:t>表</w:t>
      </w:r>
      <w:r>
        <w:rPr>
          <w:rFonts w:hint="eastAsia"/>
          <w:lang w:val="en-US" w:eastAsia="zh-CN"/>
        </w:rPr>
        <w:t>5</w:t>
      </w:r>
      <w:r>
        <w:fldChar w:fldCharType="end"/>
      </w:r>
      <w:r>
        <w:rPr>
          <w:rFonts w:hint="eastAsia"/>
          <w:lang w:val="en-US" w:eastAsia="zh-CN"/>
        </w:rPr>
        <w:t>-5</w:t>
      </w:r>
      <w:r>
        <w:t>所示：</w:t>
      </w:r>
    </w:p>
    <w:p w14:paraId="3AA6AE7B">
      <w:pPr>
        <w:pStyle w:val="162"/>
        <w:bidi w:val="0"/>
      </w:pPr>
      <w:bookmarkStart w:id="434" w:name="_Ref217923386"/>
      <w:r>
        <w:rPr>
          <w:rFonts w:hint="eastAsia"/>
        </w:rPr>
        <w:t>表</w:t>
      </w:r>
      <w:bookmarkEnd w:id="434"/>
      <w:r>
        <w:rPr>
          <w:rFonts w:hint="eastAsia"/>
          <w:lang w:val="en-US" w:eastAsia="zh-CN"/>
        </w:rPr>
        <w:t xml:space="preserve">5-5 </w:t>
      </w:r>
      <w:r>
        <w:rPr>
          <w:rFonts w:hint="eastAsia"/>
        </w:rPr>
        <w:t>用户登录模块测试表</w:t>
      </w:r>
    </w:p>
    <w:tbl>
      <w:tblPr>
        <w:tblStyle w:val="35"/>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0"/>
        <w:gridCol w:w="2731"/>
        <w:gridCol w:w="3312"/>
        <w:gridCol w:w="1224"/>
      </w:tblGrid>
      <w:tr w14:paraId="06DC9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50" w:type="dxa"/>
          </w:tcPr>
          <w:p w14:paraId="15BDF5BC">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编号</w:t>
            </w:r>
          </w:p>
        </w:tc>
        <w:tc>
          <w:tcPr>
            <w:tcW w:w="2731" w:type="dxa"/>
          </w:tcPr>
          <w:p w14:paraId="08C4F3E0">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操作</w:t>
            </w:r>
          </w:p>
        </w:tc>
        <w:tc>
          <w:tcPr>
            <w:tcW w:w="3312" w:type="dxa"/>
          </w:tcPr>
          <w:p w14:paraId="3B4B4EB1">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预期结果</w:t>
            </w:r>
          </w:p>
        </w:tc>
        <w:tc>
          <w:tcPr>
            <w:tcW w:w="1224" w:type="dxa"/>
          </w:tcPr>
          <w:p w14:paraId="67DC451F">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测试结果</w:t>
            </w:r>
          </w:p>
        </w:tc>
      </w:tr>
      <w:tr w14:paraId="7C7AA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950" w:type="dxa"/>
          </w:tcPr>
          <w:p w14:paraId="31B0A684">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1</w:t>
            </w:r>
          </w:p>
        </w:tc>
        <w:tc>
          <w:tcPr>
            <w:tcW w:w="2731" w:type="dxa"/>
          </w:tcPr>
          <w:p w14:paraId="5610CA0B">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输入正确的用户名和密码</w:t>
            </w:r>
          </w:p>
        </w:tc>
        <w:tc>
          <w:tcPr>
            <w:tcW w:w="3312" w:type="dxa"/>
          </w:tcPr>
          <w:p w14:paraId="6D1CC4A5">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登录成功，跳转至系统主页</w:t>
            </w:r>
          </w:p>
        </w:tc>
        <w:tc>
          <w:tcPr>
            <w:tcW w:w="1224" w:type="dxa"/>
          </w:tcPr>
          <w:p w14:paraId="2152A6F6">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通过</w:t>
            </w:r>
          </w:p>
        </w:tc>
      </w:tr>
      <w:tr w14:paraId="071D6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950" w:type="dxa"/>
          </w:tcPr>
          <w:p w14:paraId="32619BAE">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2</w:t>
            </w:r>
          </w:p>
        </w:tc>
        <w:tc>
          <w:tcPr>
            <w:tcW w:w="2731" w:type="dxa"/>
          </w:tcPr>
          <w:p w14:paraId="64BD9AB0">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输入错误的用户名</w:t>
            </w:r>
          </w:p>
        </w:tc>
        <w:tc>
          <w:tcPr>
            <w:tcW w:w="3312" w:type="dxa"/>
          </w:tcPr>
          <w:p w14:paraId="74A84745">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提示“登录失败，请稍后重试”</w:t>
            </w:r>
          </w:p>
        </w:tc>
        <w:tc>
          <w:tcPr>
            <w:tcW w:w="1224" w:type="dxa"/>
          </w:tcPr>
          <w:p w14:paraId="24B3F529">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EEE3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950" w:type="dxa"/>
          </w:tcPr>
          <w:p w14:paraId="1F002AE4">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3</w:t>
            </w:r>
          </w:p>
        </w:tc>
        <w:tc>
          <w:tcPr>
            <w:tcW w:w="2731" w:type="dxa"/>
          </w:tcPr>
          <w:p w14:paraId="1696295A">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输入错误的密码</w:t>
            </w:r>
          </w:p>
        </w:tc>
        <w:tc>
          <w:tcPr>
            <w:tcW w:w="3312" w:type="dxa"/>
          </w:tcPr>
          <w:p w14:paraId="7A273A08">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提示“登录失败，请稍后重试”</w:t>
            </w:r>
          </w:p>
        </w:tc>
        <w:tc>
          <w:tcPr>
            <w:tcW w:w="1224" w:type="dxa"/>
          </w:tcPr>
          <w:p w14:paraId="1AE6861B">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FFC7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50" w:type="dxa"/>
          </w:tcPr>
          <w:p w14:paraId="52A386C2">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4</w:t>
            </w:r>
          </w:p>
        </w:tc>
        <w:tc>
          <w:tcPr>
            <w:tcW w:w="2731" w:type="dxa"/>
          </w:tcPr>
          <w:p w14:paraId="6BBB03B9">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用户名为空，点击登录</w:t>
            </w:r>
          </w:p>
        </w:tc>
        <w:tc>
          <w:tcPr>
            <w:tcW w:w="3312" w:type="dxa"/>
          </w:tcPr>
          <w:p w14:paraId="492080A7">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提示“用户名不能为空”</w:t>
            </w:r>
          </w:p>
        </w:tc>
        <w:tc>
          <w:tcPr>
            <w:tcW w:w="1224" w:type="dxa"/>
          </w:tcPr>
          <w:p w14:paraId="7C62B65D">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08A96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950" w:type="dxa"/>
          </w:tcPr>
          <w:p w14:paraId="2494E641">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5</w:t>
            </w:r>
          </w:p>
        </w:tc>
        <w:tc>
          <w:tcPr>
            <w:tcW w:w="2731" w:type="dxa"/>
          </w:tcPr>
          <w:p w14:paraId="24A227B7">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密码为空，点击登录</w:t>
            </w:r>
          </w:p>
        </w:tc>
        <w:tc>
          <w:tcPr>
            <w:tcW w:w="3312" w:type="dxa"/>
          </w:tcPr>
          <w:p w14:paraId="3E8503E1">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提示“登录失败，请稍后重试”</w:t>
            </w:r>
          </w:p>
        </w:tc>
        <w:tc>
          <w:tcPr>
            <w:tcW w:w="1224" w:type="dxa"/>
          </w:tcPr>
          <w:p w14:paraId="46C3C41D">
            <w:pPr>
              <w:pStyle w:val="13"/>
              <w:keepNext/>
              <w:keepLines w:val="0"/>
              <w:pageBreakBefore w:val="0"/>
              <w:widowControl/>
              <w:kinsoku/>
              <w:wordWrap/>
              <w:overflowPunct/>
              <w:topLinePunct w:val="0"/>
              <w:autoSpaceDE/>
              <w:autoSpaceDN/>
              <w:bidi w:val="0"/>
              <w:adjustRightInd/>
              <w:snapToGrid/>
              <w:spacing w:line="440" w:lineRule="exact"/>
              <w:textAlignment w:val="auto"/>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7F919667">
      <w:pPr>
        <w:pStyle w:val="134"/>
        <w:rPr>
          <w:rFonts w:hint="default"/>
        </w:rPr>
      </w:pPr>
      <w:r>
        <w:t>（2）货物信息管理模块测试</w:t>
      </w:r>
    </w:p>
    <w:p w14:paraId="5428A7CC">
      <w:pPr>
        <w:pStyle w:val="134"/>
      </w:pPr>
      <w:r>
        <w:t>货物信息管理模块测试验证货物信息的增删改查功能，测试结果见</w:t>
      </w:r>
      <w:r>
        <w:fldChar w:fldCharType="begin"/>
      </w:r>
      <w:r>
        <w:instrText xml:space="preserve"> REF _Ref217923406 \h </w:instrText>
      </w:r>
      <w:r>
        <w:fldChar w:fldCharType="separate"/>
      </w:r>
      <w:r>
        <w:t>表</w:t>
      </w:r>
      <w:r>
        <w:rPr>
          <w:rFonts w:hint="eastAsia"/>
          <w:lang w:val="en-US" w:eastAsia="zh-CN"/>
        </w:rPr>
        <w:t>5</w:t>
      </w:r>
      <w:r>
        <w:fldChar w:fldCharType="end"/>
      </w:r>
      <w:r>
        <w:rPr>
          <w:rFonts w:hint="eastAsia"/>
          <w:lang w:val="en-US" w:eastAsia="zh-CN"/>
        </w:rPr>
        <w:t>-6</w:t>
      </w:r>
      <w:r>
        <w:t>所示：</w:t>
      </w:r>
      <w:bookmarkStart w:id="435" w:name="_Ref217923406"/>
    </w:p>
    <w:p w14:paraId="5BD96D66">
      <w:pPr>
        <w:pStyle w:val="162"/>
        <w:bidi w:val="0"/>
      </w:pPr>
      <w:r>
        <w:rPr>
          <w:rFonts w:hint="eastAsia"/>
        </w:rPr>
        <w:t>表</w:t>
      </w:r>
      <w:bookmarkEnd w:id="435"/>
      <w:r>
        <w:rPr>
          <w:rFonts w:hint="eastAsia"/>
          <w:lang w:val="en-US" w:eastAsia="zh-CN"/>
        </w:rPr>
        <w:t xml:space="preserve">5-6 </w:t>
      </w:r>
      <w:r>
        <w:rPr>
          <w:rFonts w:hint="eastAsia"/>
        </w:rPr>
        <w:t>货物信息管理模块测试表</w:t>
      </w:r>
    </w:p>
    <w:tbl>
      <w:tblPr>
        <w:tblStyle w:val="35"/>
        <w:tblpPr w:leftFromText="180" w:rightFromText="180" w:vertAnchor="text" w:tblpXSpec="center" w:tblpY="1"/>
        <w:tblOverlap w:val="never"/>
        <w:tblW w:w="83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515"/>
        <w:gridCol w:w="2521"/>
        <w:gridCol w:w="2242"/>
        <w:gridCol w:w="956"/>
      </w:tblGrid>
      <w:tr w14:paraId="3698F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1094" w:type="dxa"/>
            <w:vAlign w:val="center"/>
          </w:tcPr>
          <w:p w14:paraId="0E7E7AF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编号</w:t>
            </w:r>
          </w:p>
        </w:tc>
        <w:tc>
          <w:tcPr>
            <w:tcW w:w="1514" w:type="dxa"/>
          </w:tcPr>
          <w:p w14:paraId="187E786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用例名称</w:t>
            </w:r>
          </w:p>
        </w:tc>
        <w:tc>
          <w:tcPr>
            <w:tcW w:w="2521" w:type="dxa"/>
          </w:tcPr>
          <w:p w14:paraId="2C493D1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w:t>
            </w:r>
          </w:p>
        </w:tc>
        <w:tc>
          <w:tcPr>
            <w:tcW w:w="2243" w:type="dxa"/>
          </w:tcPr>
          <w:p w14:paraId="1CF4CA1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预期结果</w:t>
            </w:r>
          </w:p>
        </w:tc>
        <w:tc>
          <w:tcPr>
            <w:tcW w:w="956" w:type="dxa"/>
            <w:vAlign w:val="center"/>
          </w:tcPr>
          <w:p w14:paraId="255B5C3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结果</w:t>
            </w:r>
          </w:p>
        </w:tc>
      </w:tr>
      <w:tr w14:paraId="45A55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4" w:type="dxa"/>
            <w:vAlign w:val="center"/>
          </w:tcPr>
          <w:p w14:paraId="4B942C8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w:t>
            </w:r>
          </w:p>
        </w:tc>
        <w:tc>
          <w:tcPr>
            <w:tcW w:w="1514" w:type="dxa"/>
          </w:tcPr>
          <w:p w14:paraId="7F3B1D4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查询货物信息</w:t>
            </w:r>
          </w:p>
        </w:tc>
        <w:tc>
          <w:tcPr>
            <w:tcW w:w="2521" w:type="dxa"/>
          </w:tcPr>
          <w:p w14:paraId="32CD575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在搜索框通过id查询商品</w:t>
            </w:r>
          </w:p>
        </w:tc>
        <w:tc>
          <w:tcPr>
            <w:tcW w:w="2243" w:type="dxa"/>
          </w:tcPr>
          <w:p w14:paraId="0259C96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显示相关货物信息</w:t>
            </w:r>
          </w:p>
        </w:tc>
        <w:tc>
          <w:tcPr>
            <w:tcW w:w="956" w:type="dxa"/>
            <w:vAlign w:val="center"/>
          </w:tcPr>
          <w:p w14:paraId="645D3DC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04104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094" w:type="dxa"/>
            <w:vAlign w:val="center"/>
          </w:tcPr>
          <w:p w14:paraId="70CB28C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2</w:t>
            </w:r>
          </w:p>
        </w:tc>
        <w:tc>
          <w:tcPr>
            <w:tcW w:w="1514" w:type="dxa"/>
          </w:tcPr>
          <w:p w14:paraId="2C00C43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添加新货物</w:t>
            </w:r>
          </w:p>
        </w:tc>
        <w:tc>
          <w:tcPr>
            <w:tcW w:w="2521" w:type="dxa"/>
          </w:tcPr>
          <w:p w14:paraId="1CFCF18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点击“新增”按钮，填写货物信息后提交</w:t>
            </w:r>
          </w:p>
        </w:tc>
        <w:tc>
          <w:tcPr>
            <w:tcW w:w="2243" w:type="dxa"/>
          </w:tcPr>
          <w:p w14:paraId="18D4F20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提示“添加成功”，列表中显示新货物</w:t>
            </w:r>
          </w:p>
        </w:tc>
        <w:tc>
          <w:tcPr>
            <w:tcW w:w="956" w:type="dxa"/>
            <w:vAlign w:val="center"/>
          </w:tcPr>
          <w:p w14:paraId="1579F04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34E7F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4" w:hRule="atLeast"/>
          <w:jc w:val="center"/>
        </w:trPr>
        <w:tc>
          <w:tcPr>
            <w:tcW w:w="1094" w:type="dxa"/>
            <w:vAlign w:val="center"/>
          </w:tcPr>
          <w:p w14:paraId="5F0B366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3</w:t>
            </w:r>
          </w:p>
        </w:tc>
        <w:tc>
          <w:tcPr>
            <w:tcW w:w="1515" w:type="dxa"/>
          </w:tcPr>
          <w:p w14:paraId="1A2034C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修改货物信息</w:t>
            </w:r>
          </w:p>
        </w:tc>
        <w:tc>
          <w:tcPr>
            <w:tcW w:w="2522" w:type="dxa"/>
          </w:tcPr>
          <w:p w14:paraId="13D61AE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点击某货物“编辑”按钮，修改价格后保存</w:t>
            </w:r>
          </w:p>
        </w:tc>
        <w:tc>
          <w:tcPr>
            <w:tcW w:w="2241" w:type="dxa"/>
          </w:tcPr>
          <w:p w14:paraId="041FCF6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提示“修改成功”，列表中价格更新</w:t>
            </w:r>
          </w:p>
        </w:tc>
        <w:tc>
          <w:tcPr>
            <w:tcW w:w="956" w:type="dxa"/>
            <w:vAlign w:val="center"/>
          </w:tcPr>
          <w:p w14:paraId="6431B86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7DCC0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094" w:type="dxa"/>
            <w:vAlign w:val="center"/>
          </w:tcPr>
          <w:p w14:paraId="0506727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4</w:t>
            </w:r>
          </w:p>
        </w:tc>
        <w:tc>
          <w:tcPr>
            <w:tcW w:w="1515" w:type="dxa"/>
          </w:tcPr>
          <w:p w14:paraId="30D6536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删除货物信息</w:t>
            </w:r>
          </w:p>
        </w:tc>
        <w:tc>
          <w:tcPr>
            <w:tcW w:w="2522" w:type="dxa"/>
          </w:tcPr>
          <w:p w14:paraId="13C6998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点击某货物”删除”按钮，确认删除</w:t>
            </w:r>
          </w:p>
        </w:tc>
        <w:tc>
          <w:tcPr>
            <w:tcW w:w="2241" w:type="dxa"/>
          </w:tcPr>
          <w:p w14:paraId="1C68906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提示“删除成功”，列表中不再显示</w:t>
            </w:r>
          </w:p>
        </w:tc>
        <w:tc>
          <w:tcPr>
            <w:tcW w:w="956" w:type="dxa"/>
            <w:vAlign w:val="center"/>
          </w:tcPr>
          <w:p w14:paraId="7172A1B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21B0D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94" w:type="dxa"/>
            <w:vAlign w:val="center"/>
          </w:tcPr>
          <w:p w14:paraId="6BEE5FF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w:t>
            </w:r>
          </w:p>
        </w:tc>
        <w:tc>
          <w:tcPr>
            <w:tcW w:w="1515" w:type="dxa"/>
          </w:tcPr>
          <w:p w14:paraId="45D20C4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查看货物详情</w:t>
            </w:r>
          </w:p>
        </w:tc>
        <w:tc>
          <w:tcPr>
            <w:tcW w:w="2522" w:type="dxa"/>
          </w:tcPr>
          <w:p w14:paraId="6BC6714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点击某货物名称</w:t>
            </w:r>
          </w:p>
        </w:tc>
        <w:tc>
          <w:tcPr>
            <w:tcW w:w="2241" w:type="dxa"/>
          </w:tcPr>
          <w:p w14:paraId="280BED3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跳转到货物详情页面</w:t>
            </w:r>
          </w:p>
        </w:tc>
        <w:tc>
          <w:tcPr>
            <w:tcW w:w="956" w:type="dxa"/>
            <w:vAlign w:val="center"/>
          </w:tcPr>
          <w:p w14:paraId="4B736AA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A9D4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94" w:type="dxa"/>
            <w:vAlign w:val="center"/>
          </w:tcPr>
          <w:p w14:paraId="0A79E84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6</w:t>
            </w:r>
          </w:p>
        </w:tc>
        <w:tc>
          <w:tcPr>
            <w:tcW w:w="1515" w:type="dxa"/>
          </w:tcPr>
          <w:p w14:paraId="358594C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批量删除商品</w:t>
            </w:r>
          </w:p>
        </w:tc>
        <w:tc>
          <w:tcPr>
            <w:tcW w:w="2522" w:type="dxa"/>
          </w:tcPr>
          <w:p w14:paraId="79F68BF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选中商品右侧方框，点击批量删除按键</w:t>
            </w:r>
          </w:p>
        </w:tc>
        <w:tc>
          <w:tcPr>
            <w:tcW w:w="2241" w:type="dxa"/>
          </w:tcPr>
          <w:p w14:paraId="2A87047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提示“是否批量删除”</w:t>
            </w:r>
          </w:p>
        </w:tc>
        <w:tc>
          <w:tcPr>
            <w:tcW w:w="956" w:type="dxa"/>
            <w:vAlign w:val="center"/>
          </w:tcPr>
          <w:p w14:paraId="2D224CD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bl>
    <w:p w14:paraId="26641D7B">
      <w:pPr>
        <w:pStyle w:val="134"/>
        <w:rPr>
          <w:rFonts w:hint="default"/>
        </w:rPr>
      </w:pPr>
      <w:r>
        <w:t>（3）入库信息管理模块测试</w:t>
      </w:r>
    </w:p>
    <w:p w14:paraId="0A843BDE">
      <w:pPr>
        <w:pStyle w:val="134"/>
        <w:rPr>
          <w:rFonts w:hint="default"/>
        </w:rPr>
      </w:pPr>
      <w:r>
        <w:t>入库信息管理模块测试验证入库记录的添加和查询功能，测试结果见</w:t>
      </w:r>
      <w:r>
        <w:fldChar w:fldCharType="begin"/>
      </w:r>
      <w:r>
        <w:instrText xml:space="preserve"> REF _Ref217934501 \h </w:instrText>
      </w:r>
      <w:r>
        <w:fldChar w:fldCharType="separate"/>
      </w:r>
      <w:r>
        <w:t>表</w:t>
      </w:r>
      <w:r>
        <w:rPr>
          <w:rFonts w:hint="eastAsia"/>
          <w:lang w:val="en-US" w:eastAsia="zh-CN"/>
        </w:rPr>
        <w:t>5</w:t>
      </w:r>
      <w:r>
        <w:fldChar w:fldCharType="end"/>
      </w:r>
      <w:r>
        <w:rPr>
          <w:rFonts w:hint="eastAsia"/>
          <w:lang w:val="en-US" w:eastAsia="zh-CN"/>
        </w:rPr>
        <w:t>-7</w:t>
      </w:r>
      <w:r>
        <w:t>所示：</w:t>
      </w:r>
      <w:r>
        <w:fldChar w:fldCharType="begin"/>
      </w:r>
      <w:r>
        <w:instrText xml:space="preserve"> REF _Ref217319797 \h </w:instrText>
      </w:r>
      <w:r>
        <w:fldChar w:fldCharType="end"/>
      </w:r>
    </w:p>
    <w:p w14:paraId="2A0BAF64">
      <w:pPr>
        <w:pStyle w:val="162"/>
        <w:bidi w:val="0"/>
      </w:pPr>
      <w:bookmarkStart w:id="436" w:name="_Ref217934501"/>
      <w:r>
        <w:rPr>
          <w:rFonts w:hint="eastAsia"/>
        </w:rPr>
        <w:t>表</w:t>
      </w:r>
      <w:bookmarkEnd w:id="436"/>
      <w:r>
        <w:rPr>
          <w:rFonts w:hint="eastAsia"/>
          <w:lang w:val="en-US" w:eastAsia="zh-CN"/>
        </w:rPr>
        <w:t xml:space="preserve">5-7 </w:t>
      </w:r>
      <w:r>
        <w:rPr>
          <w:rFonts w:hint="eastAsia"/>
        </w:rPr>
        <w:t>入库信息管理模块测试表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1"/>
        <w:gridCol w:w="1493"/>
        <w:gridCol w:w="2492"/>
        <w:gridCol w:w="1562"/>
        <w:gridCol w:w="1533"/>
      </w:tblGrid>
      <w:tr w14:paraId="7A419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556BD2E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编号</w:t>
            </w:r>
          </w:p>
        </w:tc>
        <w:tc>
          <w:tcPr>
            <w:tcW w:w="1493" w:type="dxa"/>
          </w:tcPr>
          <w:p w14:paraId="0C073C9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用例名称</w:t>
            </w:r>
          </w:p>
        </w:tc>
        <w:tc>
          <w:tcPr>
            <w:tcW w:w="2492" w:type="dxa"/>
          </w:tcPr>
          <w:p w14:paraId="30B5349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w:t>
            </w:r>
          </w:p>
        </w:tc>
        <w:tc>
          <w:tcPr>
            <w:tcW w:w="1562" w:type="dxa"/>
          </w:tcPr>
          <w:p w14:paraId="3680977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预期结果</w:t>
            </w:r>
          </w:p>
        </w:tc>
        <w:tc>
          <w:tcPr>
            <w:tcW w:w="1533" w:type="dxa"/>
            <w:vAlign w:val="center"/>
          </w:tcPr>
          <w:p w14:paraId="059BD9F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测试结果</w:t>
            </w:r>
          </w:p>
        </w:tc>
      </w:tr>
      <w:tr w14:paraId="3257B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13B9ED9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w:t>
            </w:r>
          </w:p>
        </w:tc>
        <w:tc>
          <w:tcPr>
            <w:tcW w:w="1493" w:type="dxa"/>
          </w:tcPr>
          <w:p w14:paraId="638D345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新增入库记录</w:t>
            </w:r>
          </w:p>
        </w:tc>
        <w:tc>
          <w:tcPr>
            <w:tcW w:w="2492" w:type="dxa"/>
          </w:tcPr>
          <w:p w14:paraId="6CB6697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选择货物“薄款针织衫”，数量100，选择供应商“鸿星尔克”</w:t>
            </w:r>
          </w:p>
        </w:tc>
        <w:tc>
          <w:tcPr>
            <w:tcW w:w="1562" w:type="dxa"/>
          </w:tcPr>
          <w:p w14:paraId="460D676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提示“入库成功”，生成入库编号</w:t>
            </w:r>
          </w:p>
        </w:tc>
        <w:tc>
          <w:tcPr>
            <w:tcW w:w="1533" w:type="dxa"/>
            <w:vAlign w:val="center"/>
          </w:tcPr>
          <w:p w14:paraId="2C27971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2DBCF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624B56D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2</w:t>
            </w:r>
          </w:p>
        </w:tc>
        <w:tc>
          <w:tcPr>
            <w:tcW w:w="1493" w:type="dxa"/>
          </w:tcPr>
          <w:p w14:paraId="3F8BE19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查询入库记录</w:t>
            </w:r>
          </w:p>
        </w:tc>
        <w:tc>
          <w:tcPr>
            <w:tcW w:w="2492" w:type="dxa"/>
          </w:tcPr>
          <w:p w14:paraId="727F4B2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输入入库编号“1”</w:t>
            </w:r>
          </w:p>
        </w:tc>
        <w:tc>
          <w:tcPr>
            <w:tcW w:w="1562" w:type="dxa"/>
          </w:tcPr>
          <w:p w14:paraId="37E557F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显示对应的入库记录</w:t>
            </w:r>
          </w:p>
        </w:tc>
        <w:tc>
          <w:tcPr>
            <w:tcW w:w="1533" w:type="dxa"/>
            <w:vAlign w:val="center"/>
          </w:tcPr>
          <w:p w14:paraId="7268192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3869D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5FAC9B4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3</w:t>
            </w:r>
          </w:p>
        </w:tc>
        <w:tc>
          <w:tcPr>
            <w:tcW w:w="1493" w:type="dxa"/>
          </w:tcPr>
          <w:p w14:paraId="462B482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按日期筛选</w:t>
            </w:r>
          </w:p>
        </w:tc>
        <w:tc>
          <w:tcPr>
            <w:tcW w:w="2492" w:type="dxa"/>
          </w:tcPr>
          <w:p w14:paraId="09B1A40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选择日期范围20240101至20240131</w:t>
            </w:r>
          </w:p>
        </w:tc>
        <w:tc>
          <w:tcPr>
            <w:tcW w:w="1562" w:type="dxa"/>
          </w:tcPr>
          <w:p w14:paraId="2286275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显示该日期范围内的入库记录</w:t>
            </w:r>
          </w:p>
        </w:tc>
        <w:tc>
          <w:tcPr>
            <w:tcW w:w="1533" w:type="dxa"/>
            <w:vAlign w:val="center"/>
          </w:tcPr>
          <w:p w14:paraId="528E753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7F89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1A3B9CB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4</w:t>
            </w:r>
          </w:p>
        </w:tc>
        <w:tc>
          <w:tcPr>
            <w:tcW w:w="1493" w:type="dxa"/>
          </w:tcPr>
          <w:p w14:paraId="5BB9256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修改入库信息</w:t>
            </w:r>
          </w:p>
        </w:tc>
        <w:tc>
          <w:tcPr>
            <w:tcW w:w="2492" w:type="dxa"/>
          </w:tcPr>
          <w:p w14:paraId="70D0B7A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修改已入库记录的数量</w:t>
            </w:r>
          </w:p>
        </w:tc>
        <w:tc>
          <w:tcPr>
            <w:tcW w:w="1562" w:type="dxa"/>
          </w:tcPr>
          <w:p w14:paraId="13FA55A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提示“修改成功“，库存数量同步更新</w:t>
            </w:r>
          </w:p>
        </w:tc>
        <w:tc>
          <w:tcPr>
            <w:tcW w:w="1533" w:type="dxa"/>
            <w:vAlign w:val="center"/>
          </w:tcPr>
          <w:p w14:paraId="7620610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F25F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1" w:type="dxa"/>
            <w:vAlign w:val="center"/>
          </w:tcPr>
          <w:p w14:paraId="00D5F93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w:t>
            </w:r>
          </w:p>
        </w:tc>
        <w:tc>
          <w:tcPr>
            <w:tcW w:w="1493" w:type="dxa"/>
          </w:tcPr>
          <w:p w14:paraId="7F235DE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查看入库详情</w:t>
            </w:r>
          </w:p>
        </w:tc>
        <w:tc>
          <w:tcPr>
            <w:tcW w:w="2492" w:type="dxa"/>
          </w:tcPr>
          <w:p w14:paraId="7B3B865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点击入库编号</w:t>
            </w:r>
          </w:p>
        </w:tc>
        <w:tc>
          <w:tcPr>
            <w:tcW w:w="1562" w:type="dxa"/>
          </w:tcPr>
          <w:p w14:paraId="5F57D4C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显示详细的入库信息</w:t>
            </w:r>
          </w:p>
        </w:tc>
        <w:tc>
          <w:tcPr>
            <w:tcW w:w="1533" w:type="dxa"/>
            <w:vAlign w:val="center"/>
          </w:tcPr>
          <w:p w14:paraId="0301E4F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04FA891C">
      <w:pPr>
        <w:pStyle w:val="134"/>
        <w:rPr>
          <w:rFonts w:hint="default"/>
        </w:rPr>
      </w:pPr>
      <w:r>
        <w:t>（4）出库信息管理模块测试</w:t>
      </w:r>
    </w:p>
    <w:p w14:paraId="1F0CDDE2">
      <w:pPr>
        <w:pStyle w:val="134"/>
        <w:rPr>
          <w:rFonts w:hint="default" w:asciiTheme="minorEastAsia" w:hAnsiTheme="minorEastAsia"/>
        </w:rPr>
      </w:pPr>
      <w:r>
        <w:t>出库信息管理模块测试验证出库操作的完整流程，测试结果见</w:t>
      </w:r>
      <w:r>
        <w:fldChar w:fldCharType="begin"/>
      </w:r>
      <w:r>
        <w:instrText xml:space="preserve"> REF _Ref217923612 \h </w:instrText>
      </w:r>
      <w:r>
        <w:fldChar w:fldCharType="separate"/>
      </w:r>
      <w:r>
        <w:t>表</w:t>
      </w:r>
      <w:r>
        <w:rPr>
          <w:rFonts w:hint="eastAsia"/>
          <w:lang w:val="en-US" w:eastAsia="zh-CN"/>
        </w:rPr>
        <w:t>5</w:t>
      </w:r>
      <w:r>
        <w:fldChar w:fldCharType="end"/>
      </w:r>
      <w:r>
        <w:rPr>
          <w:rFonts w:hint="eastAsia"/>
          <w:lang w:val="en-US" w:eastAsia="zh-CN"/>
        </w:rPr>
        <w:t>-8</w:t>
      </w:r>
      <w:r>
        <w:t>所示：</w:t>
      </w:r>
    </w:p>
    <w:p w14:paraId="3AA8CA6C">
      <w:pPr>
        <w:pStyle w:val="162"/>
        <w:bidi w:val="0"/>
      </w:pPr>
      <w:bookmarkStart w:id="437" w:name="_Ref217923612"/>
      <w:r>
        <w:rPr>
          <w:rFonts w:hint="eastAsia"/>
        </w:rPr>
        <w:t>表</w:t>
      </w:r>
      <w:bookmarkEnd w:id="437"/>
      <w:r>
        <w:rPr>
          <w:rFonts w:hint="eastAsia"/>
          <w:lang w:val="en-US" w:eastAsia="zh-CN"/>
        </w:rPr>
        <w:t xml:space="preserve">5-8 </w:t>
      </w:r>
      <w:r>
        <w:rPr>
          <w:rFonts w:hint="eastAsia"/>
        </w:rPr>
        <w:t>出库信息管理模块测试表</w:t>
      </w:r>
    </w:p>
    <w:tbl>
      <w:tblPr>
        <w:tblStyle w:val="35"/>
        <w:tblpPr w:leftFromText="180" w:rightFromText="180" w:vertAnchor="text" w:tblpXSpec="center" w:tblpY="1"/>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0"/>
        <w:gridCol w:w="1491"/>
        <w:gridCol w:w="2586"/>
        <w:gridCol w:w="1518"/>
        <w:gridCol w:w="1486"/>
      </w:tblGrid>
      <w:tr w14:paraId="0B9B8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20" w:type="dxa"/>
            <w:vAlign w:val="center"/>
          </w:tcPr>
          <w:p w14:paraId="2644269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编号</w:t>
            </w:r>
          </w:p>
        </w:tc>
        <w:tc>
          <w:tcPr>
            <w:tcW w:w="1491" w:type="dxa"/>
            <w:vAlign w:val="center"/>
          </w:tcPr>
          <w:p w14:paraId="66E0B70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用例名称</w:t>
            </w:r>
          </w:p>
        </w:tc>
        <w:tc>
          <w:tcPr>
            <w:tcW w:w="2586" w:type="dxa"/>
            <w:vAlign w:val="center"/>
          </w:tcPr>
          <w:p w14:paraId="0AD9E62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w:t>
            </w:r>
          </w:p>
        </w:tc>
        <w:tc>
          <w:tcPr>
            <w:tcW w:w="1518" w:type="dxa"/>
            <w:vAlign w:val="center"/>
          </w:tcPr>
          <w:p w14:paraId="02F96F1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预期结果</w:t>
            </w:r>
          </w:p>
        </w:tc>
        <w:tc>
          <w:tcPr>
            <w:tcW w:w="1486" w:type="dxa"/>
            <w:vAlign w:val="center"/>
          </w:tcPr>
          <w:p w14:paraId="16C23EC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测试结果</w:t>
            </w:r>
          </w:p>
        </w:tc>
      </w:tr>
      <w:tr w14:paraId="41F60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0" w:type="dxa"/>
            <w:vAlign w:val="center"/>
          </w:tcPr>
          <w:p w14:paraId="6BFF48D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w:t>
            </w:r>
          </w:p>
        </w:tc>
        <w:tc>
          <w:tcPr>
            <w:tcW w:w="1491" w:type="dxa"/>
            <w:vAlign w:val="center"/>
          </w:tcPr>
          <w:p w14:paraId="472B793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新增出库记录</w:t>
            </w:r>
          </w:p>
        </w:tc>
        <w:tc>
          <w:tcPr>
            <w:tcW w:w="2586" w:type="dxa"/>
            <w:vAlign w:val="center"/>
          </w:tcPr>
          <w:p w14:paraId="776706D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选择货物“加厚毛衣”，数量10，客户“阿迪达斯”</w:t>
            </w:r>
          </w:p>
        </w:tc>
        <w:tc>
          <w:tcPr>
            <w:tcW w:w="1518" w:type="dxa"/>
            <w:vAlign w:val="center"/>
          </w:tcPr>
          <w:p w14:paraId="7447746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提示“出库成功”，库存数量减少</w:t>
            </w:r>
          </w:p>
        </w:tc>
        <w:tc>
          <w:tcPr>
            <w:tcW w:w="1486" w:type="dxa"/>
            <w:vAlign w:val="center"/>
          </w:tcPr>
          <w:p w14:paraId="28F88D6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1CE7C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0" w:type="dxa"/>
            <w:vAlign w:val="center"/>
          </w:tcPr>
          <w:p w14:paraId="6FE98EA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2</w:t>
            </w:r>
          </w:p>
        </w:tc>
        <w:tc>
          <w:tcPr>
            <w:tcW w:w="1491" w:type="dxa"/>
            <w:vAlign w:val="center"/>
          </w:tcPr>
          <w:p w14:paraId="336430A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库存不足出库</w:t>
            </w:r>
          </w:p>
        </w:tc>
        <w:tc>
          <w:tcPr>
            <w:tcW w:w="2586" w:type="dxa"/>
            <w:vAlign w:val="center"/>
          </w:tcPr>
          <w:p w14:paraId="12353F2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尝试出库数量超过库存数量</w:t>
            </w:r>
          </w:p>
        </w:tc>
        <w:tc>
          <w:tcPr>
            <w:tcW w:w="1518" w:type="dxa"/>
            <w:vAlign w:val="center"/>
          </w:tcPr>
          <w:p w14:paraId="5842481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提示“库存不足”</w:t>
            </w:r>
          </w:p>
        </w:tc>
        <w:tc>
          <w:tcPr>
            <w:tcW w:w="1486" w:type="dxa"/>
            <w:vAlign w:val="center"/>
          </w:tcPr>
          <w:p w14:paraId="20FC578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1AE8B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0" w:type="dxa"/>
            <w:vAlign w:val="center"/>
          </w:tcPr>
          <w:p w14:paraId="55C15B4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3</w:t>
            </w:r>
          </w:p>
        </w:tc>
        <w:tc>
          <w:tcPr>
            <w:tcW w:w="1491" w:type="dxa"/>
            <w:vAlign w:val="center"/>
          </w:tcPr>
          <w:p w14:paraId="522E74B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查询出库记录</w:t>
            </w:r>
          </w:p>
        </w:tc>
        <w:tc>
          <w:tcPr>
            <w:tcW w:w="2586" w:type="dxa"/>
            <w:vAlign w:val="center"/>
          </w:tcPr>
          <w:p w14:paraId="2E7A66A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输入出库编号“OUT20240115001”</w:t>
            </w:r>
          </w:p>
        </w:tc>
        <w:tc>
          <w:tcPr>
            <w:tcW w:w="1518" w:type="dxa"/>
            <w:vAlign w:val="center"/>
          </w:tcPr>
          <w:p w14:paraId="5A2804D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显示对应的出库记录</w:t>
            </w:r>
          </w:p>
        </w:tc>
        <w:tc>
          <w:tcPr>
            <w:tcW w:w="1486" w:type="dxa"/>
            <w:vAlign w:val="center"/>
          </w:tcPr>
          <w:p w14:paraId="2B4F5EA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08F3107D">
      <w:pPr>
        <w:pStyle w:val="134"/>
        <w:rPr>
          <w:rFonts w:hint="default"/>
        </w:rPr>
      </w:pPr>
      <w:r>
        <w:t>（5）供应商/客户管理模块测试</w:t>
      </w:r>
    </w:p>
    <w:p w14:paraId="7AD74030">
      <w:pPr>
        <w:pStyle w:val="134"/>
        <w:rPr>
          <w:rFonts w:hint="default"/>
        </w:rPr>
      </w:pPr>
      <w:r>
        <w:t>供应商与客户管理模块测试验证基础数据输入以及维护功能，测试结果见</w:t>
      </w:r>
      <w:r>
        <w:rPr>
          <w:rFonts w:hint="eastAsia"/>
          <w:lang w:val="en-US" w:eastAsia="zh-CN"/>
        </w:rPr>
        <w:t>5-9</w:t>
      </w:r>
      <w:r>
        <w:t>所示：</w:t>
      </w:r>
    </w:p>
    <w:p w14:paraId="79CD4864">
      <w:pPr>
        <w:pStyle w:val="162"/>
        <w:bidi w:val="0"/>
      </w:pPr>
      <w:bookmarkStart w:id="438" w:name="_Ref217923632"/>
      <w:r>
        <w:rPr>
          <w:rFonts w:hint="eastAsia"/>
        </w:rPr>
        <w:t>表</w:t>
      </w:r>
      <w:bookmarkEnd w:id="438"/>
      <w:r>
        <w:rPr>
          <w:rFonts w:hint="eastAsia"/>
          <w:lang w:val="en-US" w:eastAsia="zh-CN"/>
        </w:rPr>
        <w:t xml:space="preserve">5-9 </w:t>
      </w:r>
      <w:r>
        <w:rPr>
          <w:rFonts w:hint="eastAsia"/>
        </w:rPr>
        <w:t>供应商/客户管理模块测试表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1559"/>
        <w:gridCol w:w="2595"/>
        <w:gridCol w:w="1799"/>
        <w:gridCol w:w="1468"/>
      </w:tblGrid>
      <w:tr w14:paraId="0C43E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030D17E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编号</w:t>
            </w:r>
          </w:p>
        </w:tc>
        <w:tc>
          <w:tcPr>
            <w:tcW w:w="1559" w:type="dxa"/>
            <w:vAlign w:val="center"/>
          </w:tcPr>
          <w:p w14:paraId="5CF6CD8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用例名称</w:t>
            </w:r>
          </w:p>
        </w:tc>
        <w:tc>
          <w:tcPr>
            <w:tcW w:w="2595" w:type="dxa"/>
            <w:vAlign w:val="center"/>
          </w:tcPr>
          <w:p w14:paraId="266E893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操作</w:t>
            </w:r>
          </w:p>
        </w:tc>
        <w:tc>
          <w:tcPr>
            <w:tcW w:w="1799" w:type="dxa"/>
            <w:vAlign w:val="center"/>
          </w:tcPr>
          <w:p w14:paraId="6C726C3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预期结果</w:t>
            </w:r>
          </w:p>
        </w:tc>
        <w:tc>
          <w:tcPr>
            <w:tcW w:w="1468" w:type="dxa"/>
            <w:vAlign w:val="center"/>
          </w:tcPr>
          <w:p w14:paraId="367E2E2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测试结果</w:t>
            </w:r>
          </w:p>
        </w:tc>
      </w:tr>
      <w:tr w14:paraId="0DEAC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5AFB1E9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w:t>
            </w:r>
          </w:p>
        </w:tc>
        <w:tc>
          <w:tcPr>
            <w:tcW w:w="1559" w:type="dxa"/>
            <w:vAlign w:val="center"/>
          </w:tcPr>
          <w:p w14:paraId="3EEC863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添加新供应商</w:t>
            </w:r>
          </w:p>
        </w:tc>
        <w:tc>
          <w:tcPr>
            <w:tcW w:w="2595" w:type="dxa"/>
            <w:vAlign w:val="center"/>
          </w:tcPr>
          <w:p w14:paraId="0807ED8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点击“新增供应商”，填写完整信息</w:t>
            </w:r>
          </w:p>
        </w:tc>
        <w:tc>
          <w:tcPr>
            <w:tcW w:w="1799" w:type="dxa"/>
            <w:vAlign w:val="center"/>
          </w:tcPr>
          <w:p w14:paraId="64C76C1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提示“添加成功”，列表中显示新供应商</w:t>
            </w:r>
          </w:p>
        </w:tc>
        <w:tc>
          <w:tcPr>
            <w:tcW w:w="1468" w:type="dxa"/>
            <w:vAlign w:val="center"/>
          </w:tcPr>
          <w:p w14:paraId="4458CF3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78F5F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0DD354E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2</w:t>
            </w:r>
          </w:p>
        </w:tc>
        <w:tc>
          <w:tcPr>
            <w:tcW w:w="1559" w:type="dxa"/>
            <w:vAlign w:val="center"/>
          </w:tcPr>
          <w:p w14:paraId="00D4430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修改客户信息</w:t>
            </w:r>
          </w:p>
        </w:tc>
        <w:tc>
          <w:tcPr>
            <w:tcW w:w="2595" w:type="dxa"/>
            <w:vAlign w:val="center"/>
          </w:tcPr>
          <w:p w14:paraId="63362D0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编辑现有客户的联系方式</w:t>
            </w:r>
          </w:p>
        </w:tc>
        <w:tc>
          <w:tcPr>
            <w:tcW w:w="1799" w:type="dxa"/>
            <w:vAlign w:val="center"/>
          </w:tcPr>
          <w:p w14:paraId="6F856EF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提示“修改成功”，信息更新</w:t>
            </w:r>
          </w:p>
        </w:tc>
        <w:tc>
          <w:tcPr>
            <w:tcW w:w="1468" w:type="dxa"/>
            <w:vAlign w:val="center"/>
          </w:tcPr>
          <w:p w14:paraId="1264667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12D4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26177C1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3</w:t>
            </w:r>
          </w:p>
        </w:tc>
        <w:tc>
          <w:tcPr>
            <w:tcW w:w="1559" w:type="dxa"/>
            <w:vAlign w:val="center"/>
          </w:tcPr>
          <w:p w14:paraId="370ED12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删除供应商</w:t>
            </w:r>
          </w:p>
        </w:tc>
        <w:tc>
          <w:tcPr>
            <w:tcW w:w="2595" w:type="dxa"/>
            <w:vAlign w:val="center"/>
          </w:tcPr>
          <w:p w14:paraId="57115D3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选择供应商执行删除操作</w:t>
            </w:r>
          </w:p>
        </w:tc>
        <w:tc>
          <w:tcPr>
            <w:tcW w:w="1799" w:type="dxa"/>
            <w:vAlign w:val="center"/>
          </w:tcPr>
          <w:p w14:paraId="2A69D10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提示“删除成功”，列表中不再显示</w:t>
            </w:r>
          </w:p>
        </w:tc>
        <w:tc>
          <w:tcPr>
            <w:tcW w:w="1468" w:type="dxa"/>
            <w:vAlign w:val="center"/>
          </w:tcPr>
          <w:p w14:paraId="7BE0593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5F4F8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6644BA6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4</w:t>
            </w:r>
          </w:p>
        </w:tc>
        <w:tc>
          <w:tcPr>
            <w:tcW w:w="1559" w:type="dxa"/>
            <w:vAlign w:val="center"/>
          </w:tcPr>
          <w:p w14:paraId="7A2C38F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查询供应商</w:t>
            </w:r>
          </w:p>
        </w:tc>
        <w:tc>
          <w:tcPr>
            <w:tcW w:w="2595" w:type="dxa"/>
            <w:vAlign w:val="center"/>
          </w:tcPr>
          <w:p w14:paraId="6686FB0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输入供应商名称“康师傅”</w:t>
            </w:r>
          </w:p>
        </w:tc>
        <w:tc>
          <w:tcPr>
            <w:tcW w:w="1799" w:type="dxa"/>
            <w:vAlign w:val="center"/>
          </w:tcPr>
          <w:p w14:paraId="2C512A8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显示相关供应商信息</w:t>
            </w:r>
          </w:p>
        </w:tc>
        <w:tc>
          <w:tcPr>
            <w:tcW w:w="1468" w:type="dxa"/>
            <w:vAlign w:val="center"/>
          </w:tcPr>
          <w:p w14:paraId="6A53208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0BA6B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Align w:val="center"/>
          </w:tcPr>
          <w:p w14:paraId="3D77E74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5</w:t>
            </w:r>
          </w:p>
        </w:tc>
        <w:tc>
          <w:tcPr>
            <w:tcW w:w="1559" w:type="dxa"/>
            <w:vAlign w:val="center"/>
          </w:tcPr>
          <w:p w14:paraId="063A1AE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必填项验证</w:t>
            </w:r>
          </w:p>
        </w:tc>
        <w:tc>
          <w:tcPr>
            <w:tcW w:w="2595" w:type="dxa"/>
            <w:vAlign w:val="center"/>
          </w:tcPr>
          <w:p w14:paraId="35CAB06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添加客户时不填写名称字段</w:t>
            </w:r>
          </w:p>
        </w:tc>
        <w:tc>
          <w:tcPr>
            <w:tcW w:w="1799" w:type="dxa"/>
            <w:vAlign w:val="center"/>
          </w:tcPr>
          <w:p w14:paraId="0FB8BF2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提示“操作失败，未定义”</w:t>
            </w:r>
          </w:p>
        </w:tc>
        <w:tc>
          <w:tcPr>
            <w:tcW w:w="1468" w:type="dxa"/>
            <w:vAlign w:val="center"/>
          </w:tcPr>
          <w:p w14:paraId="7C0BF8D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6A29A51F">
      <w:pPr>
        <w:pStyle w:val="134"/>
        <w:rPr>
          <w:rFonts w:hint="default"/>
        </w:rPr>
      </w:pPr>
      <w:bookmarkStart w:id="439" w:name="_Toc217490553"/>
      <w:r>
        <w:t>5.3 API接口测试</w:t>
      </w:r>
      <w:bookmarkEnd w:id="439"/>
    </w:p>
    <w:p w14:paraId="5176C3D4">
      <w:pPr>
        <w:pStyle w:val="134"/>
        <w:rPr>
          <w:rFonts w:hint="default"/>
        </w:rPr>
      </w:pPr>
      <w:r>
        <w:t>（1）接口测试概述</w:t>
      </w:r>
    </w:p>
    <w:p w14:paraId="1FFBA8EF">
      <w:pPr>
        <w:pStyle w:val="134"/>
        <w:rPr>
          <w:rFonts w:hint="default"/>
        </w:rPr>
      </w:pPr>
      <w:r>
        <w:t>本系统采用前后端分离架构，通过RESTful API进行数据交互。为确保接口能够正确、稳定地支撑服装行业特有的业务需求，我们对系统中涉及用户认证、服装多属性管理（款式、颜色、尺码等）、季节性商品入库出库、门店调拨等核心业务流程的接口进行了系统性的功能测试、异常测试与性能验证。测试过程中使用Postman工具模拟各类服装业务场景请求，并依据接口文档对请求方法、路径、参数及响应格式进行全面校验。</w:t>
      </w:r>
    </w:p>
    <w:p w14:paraId="2E85F35F">
      <w:pPr>
        <w:pStyle w:val="134"/>
        <w:rPr>
          <w:rFonts w:hint="default"/>
        </w:rPr>
      </w:pPr>
      <w:r>
        <w:t>（2）主要接口测试结果</w:t>
      </w:r>
    </w:p>
    <w:p w14:paraId="495F0297">
      <w:pPr>
        <w:pStyle w:val="134"/>
        <w:rPr>
          <w:rFonts w:hint="default"/>
        </w:rPr>
      </w:pPr>
      <w:r>
        <w:t>测试覆盖了增、删、改、查等基本操作及业务关联逻辑，重点验证接口在正常业务场景下的功能实现与数据一致性。</w:t>
      </w:r>
    </w:p>
    <w:p w14:paraId="5BBB20F4">
      <w:pPr>
        <w:pStyle w:val="134"/>
        <w:rPr>
          <w:rFonts w:hint="default"/>
        </w:rPr>
      </w:pPr>
      <w:r>
        <w:t>核心API接口测试结果汇总见</w:t>
      </w:r>
      <w:r>
        <w:fldChar w:fldCharType="begin"/>
      </w:r>
      <w:r>
        <w:instrText xml:space="preserve"> REF _Ref217934634 \h </w:instrText>
      </w:r>
      <w:r>
        <w:fldChar w:fldCharType="separate"/>
      </w:r>
      <w:r>
        <w:t>表</w:t>
      </w:r>
      <w:r>
        <w:rPr>
          <w:rFonts w:hint="eastAsia"/>
          <w:lang w:val="en-US" w:eastAsia="zh-CN"/>
        </w:rPr>
        <w:t>5</w:t>
      </w:r>
      <w:r>
        <w:fldChar w:fldCharType="end"/>
      </w:r>
      <w:r>
        <w:rPr>
          <w:rFonts w:hint="eastAsia"/>
          <w:lang w:val="en-US" w:eastAsia="zh-CN"/>
        </w:rPr>
        <w:t>-10</w:t>
      </w:r>
      <w:r>
        <w:t>所示：</w:t>
      </w:r>
    </w:p>
    <w:p w14:paraId="6FDB8C97">
      <w:pPr>
        <w:pStyle w:val="162"/>
        <w:bidi w:val="0"/>
        <w:rPr>
          <w:rFonts w:hint="eastAsia"/>
        </w:rPr>
      </w:pPr>
      <w:bookmarkStart w:id="440" w:name="_Ref217934634"/>
      <w:r>
        <w:rPr>
          <w:rFonts w:hint="eastAsia"/>
        </w:rPr>
        <w:t>表</w:t>
      </w:r>
      <w:bookmarkEnd w:id="440"/>
      <w:r>
        <w:rPr>
          <w:rFonts w:hint="eastAsia"/>
          <w:lang w:val="en-US" w:eastAsia="zh-CN"/>
        </w:rPr>
        <w:t>5-10</w:t>
      </w:r>
      <w:r>
        <w:rPr>
          <w:rFonts w:hint="eastAsia"/>
        </w:rPr>
        <w:t xml:space="preserve"> API接口测试结果表</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
        <w:gridCol w:w="1360"/>
        <w:gridCol w:w="4224"/>
        <w:gridCol w:w="1366"/>
        <w:gridCol w:w="796"/>
      </w:tblGrid>
      <w:tr w14:paraId="0F7BF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tcPr>
          <w:p w14:paraId="16E6B93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vertAlign w:val="baseline"/>
              </w:rPr>
            </w:pPr>
            <w:r>
              <w:rPr>
                <w:rFonts w:hint="eastAsia" w:asciiTheme="minorEastAsia" w:hAnsiTheme="minorEastAsia" w:eastAsiaTheme="minorEastAsia"/>
                <w:szCs w:val="21"/>
              </w:rPr>
              <w:t>接口名称</w:t>
            </w:r>
          </w:p>
        </w:tc>
        <w:tc>
          <w:tcPr>
            <w:tcW w:w="1360" w:type="dxa"/>
          </w:tcPr>
          <w:p w14:paraId="7DD7AA9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vertAlign w:val="baseline"/>
              </w:rPr>
            </w:pPr>
            <w:r>
              <w:rPr>
                <w:rFonts w:hint="eastAsia" w:asciiTheme="minorEastAsia" w:hAnsiTheme="minorEastAsia" w:eastAsiaTheme="minorEastAsia"/>
                <w:szCs w:val="21"/>
              </w:rPr>
              <w:t>请求方法</w:t>
            </w:r>
          </w:p>
        </w:tc>
        <w:tc>
          <w:tcPr>
            <w:tcW w:w="4224" w:type="dxa"/>
          </w:tcPr>
          <w:p w14:paraId="680D9CB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vertAlign w:val="baseline"/>
              </w:rPr>
            </w:pPr>
            <w:r>
              <w:rPr>
                <w:rFonts w:hint="eastAsia" w:asciiTheme="minorEastAsia" w:hAnsiTheme="minorEastAsia" w:eastAsiaTheme="minorEastAsia"/>
                <w:szCs w:val="21"/>
              </w:rPr>
              <w:t>接口地址</w:t>
            </w:r>
          </w:p>
        </w:tc>
        <w:tc>
          <w:tcPr>
            <w:tcW w:w="1366" w:type="dxa"/>
          </w:tcPr>
          <w:p w14:paraId="21417F3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vertAlign w:val="baseline"/>
              </w:rPr>
            </w:pPr>
            <w:r>
              <w:rPr>
                <w:rFonts w:hint="eastAsia" w:asciiTheme="minorEastAsia" w:hAnsiTheme="minorEastAsia" w:eastAsiaTheme="minorEastAsia"/>
                <w:szCs w:val="21"/>
              </w:rPr>
              <w:t>测试要点</w:t>
            </w:r>
          </w:p>
        </w:tc>
        <w:tc>
          <w:tcPr>
            <w:tcW w:w="796" w:type="dxa"/>
          </w:tcPr>
          <w:p w14:paraId="7719D47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vertAlign w:val="baseline"/>
              </w:rPr>
            </w:pPr>
            <w:r>
              <w:rPr>
                <w:rFonts w:hint="eastAsia" w:asciiTheme="minorEastAsia" w:hAnsiTheme="minorEastAsia" w:eastAsiaTheme="minorEastAsia"/>
                <w:szCs w:val="21"/>
              </w:rPr>
              <w:t>测试结果</w:t>
            </w:r>
          </w:p>
        </w:tc>
      </w:tr>
      <w:tr w14:paraId="22756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 w:type="dxa"/>
            <w:vAlign w:val="center"/>
          </w:tcPr>
          <w:p w14:paraId="35B43CBA">
            <w:pPr>
              <w:pStyle w:val="13"/>
              <w:keepNext/>
              <w:spacing w:line="440" w:lineRule="exact"/>
              <w:jc w:val="center"/>
              <w:rPr>
                <w:rFonts w:hint="eastAsia"/>
                <w:vertAlign w:val="baseline"/>
              </w:rPr>
            </w:pPr>
            <w:r>
              <w:rPr>
                <w:rFonts w:hint="eastAsia" w:asciiTheme="minorEastAsia" w:hAnsiTheme="minorEastAsia" w:eastAsiaTheme="minorEastAsia"/>
                <w:szCs w:val="21"/>
              </w:rPr>
              <w:t>用户登录</w:t>
            </w:r>
          </w:p>
        </w:tc>
        <w:tc>
          <w:tcPr>
            <w:tcW w:w="1360" w:type="dxa"/>
            <w:vAlign w:val="center"/>
          </w:tcPr>
          <w:p w14:paraId="39116695">
            <w:pPr>
              <w:pStyle w:val="13"/>
              <w:keepNext/>
              <w:spacing w:line="440" w:lineRule="exact"/>
              <w:jc w:val="center"/>
              <w:rPr>
                <w:rFonts w:hint="eastAsia"/>
                <w:vertAlign w:val="baseline"/>
              </w:rPr>
            </w:pPr>
            <w:r>
              <w:rPr>
                <w:rFonts w:hint="eastAsia" w:asciiTheme="minorEastAsia" w:hAnsiTheme="minorEastAsia" w:eastAsiaTheme="minorEastAsia"/>
                <w:szCs w:val="21"/>
              </w:rPr>
              <w:t>POST</w:t>
            </w:r>
          </w:p>
        </w:tc>
        <w:tc>
          <w:tcPr>
            <w:tcW w:w="4224" w:type="dxa"/>
            <w:vAlign w:val="center"/>
          </w:tcPr>
          <w:p w14:paraId="2A623206">
            <w:pPr>
              <w:pStyle w:val="13"/>
              <w:keepNext/>
              <w:spacing w:line="440" w:lineRule="exact"/>
              <w:jc w:val="center"/>
              <w:rPr>
                <w:rFonts w:hint="eastAsia"/>
                <w:vertAlign w:val="baseline"/>
              </w:rPr>
            </w:pPr>
            <w:r>
              <w:rPr>
                <w:rFonts w:hint="eastAsia" w:asciiTheme="minorEastAsia" w:hAnsiTheme="minorEastAsia" w:eastAsiaTheme="minorEastAsia"/>
                <w:szCs w:val="21"/>
              </w:rPr>
              <w:t>http://localhost:8080/api/users/login</w:t>
            </w:r>
          </w:p>
        </w:tc>
        <w:tc>
          <w:tcPr>
            <w:tcW w:w="1366" w:type="dxa"/>
            <w:vAlign w:val="center"/>
          </w:tcPr>
          <w:p w14:paraId="10C723DC">
            <w:pPr>
              <w:pStyle w:val="13"/>
              <w:keepNext/>
              <w:spacing w:line="440" w:lineRule="exact"/>
              <w:jc w:val="center"/>
              <w:rPr>
                <w:rFonts w:hint="eastAsia"/>
                <w:vertAlign w:val="baseline"/>
              </w:rPr>
            </w:pPr>
            <w:r>
              <w:rPr>
                <w:rFonts w:hint="eastAsia" w:asciiTheme="minorEastAsia" w:hAnsiTheme="minorEastAsia" w:eastAsiaTheme="minorEastAsia"/>
                <w:szCs w:val="21"/>
              </w:rPr>
              <w:t>用户名密码验证</w:t>
            </w:r>
          </w:p>
        </w:tc>
        <w:tc>
          <w:tcPr>
            <w:tcW w:w="796" w:type="dxa"/>
            <w:vAlign w:val="center"/>
          </w:tcPr>
          <w:p w14:paraId="12596A87">
            <w:pPr>
              <w:pStyle w:val="13"/>
              <w:keepNext/>
              <w:spacing w:line="440" w:lineRule="exact"/>
              <w:jc w:val="center"/>
              <w:rPr>
                <w:rFonts w:hint="eastAsia"/>
                <w:vertAlign w:val="baseline"/>
              </w:rPr>
            </w:pPr>
            <w:r>
              <w:rPr>
                <w:rFonts w:hint="eastAsia" w:asciiTheme="minorEastAsia" w:hAnsiTheme="minorEastAsia" w:eastAsiaTheme="minorEastAsia"/>
                <w:szCs w:val="21"/>
              </w:rPr>
              <w:t>通过</w:t>
            </w:r>
          </w:p>
        </w:tc>
      </w:tr>
    </w:tbl>
    <w:p w14:paraId="709393AE">
      <w:pPr>
        <w:bidi w:val="0"/>
        <w:rPr>
          <w:rFonts w:hint="eastAsia"/>
        </w:rPr>
      </w:pPr>
    </w:p>
    <w:p w14:paraId="40AD607A">
      <w:pPr>
        <w:pStyle w:val="162"/>
        <w:bidi w:val="0"/>
        <w:rPr>
          <w:rFonts w:hint="eastAsia"/>
        </w:rPr>
      </w:pP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134"/>
        <w:gridCol w:w="4253"/>
        <w:gridCol w:w="1451"/>
        <w:gridCol w:w="754"/>
      </w:tblGrid>
      <w:tr w14:paraId="00284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auto"/>
            <w:vAlign w:val="center"/>
          </w:tcPr>
          <w:p w14:paraId="50E8085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添加货物</w:t>
            </w:r>
          </w:p>
        </w:tc>
        <w:tc>
          <w:tcPr>
            <w:tcW w:w="1134" w:type="dxa"/>
            <w:shd w:val="clear" w:color="auto" w:fill="auto"/>
            <w:vAlign w:val="center"/>
          </w:tcPr>
          <w:p w14:paraId="153CDBD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POST</w:t>
            </w:r>
          </w:p>
        </w:tc>
        <w:tc>
          <w:tcPr>
            <w:tcW w:w="4253" w:type="dxa"/>
            <w:shd w:val="clear" w:color="auto" w:fill="auto"/>
            <w:vAlign w:val="center"/>
          </w:tcPr>
          <w:p w14:paraId="57ADBE6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http://localhost:8080/goods/add</w:t>
            </w:r>
          </w:p>
        </w:tc>
        <w:tc>
          <w:tcPr>
            <w:tcW w:w="1451" w:type="dxa"/>
            <w:shd w:val="clear" w:color="auto" w:fill="auto"/>
            <w:vAlign w:val="center"/>
          </w:tcPr>
          <w:p w14:paraId="62AD020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数据验证、重复检查</w:t>
            </w:r>
          </w:p>
        </w:tc>
        <w:tc>
          <w:tcPr>
            <w:tcW w:w="754" w:type="dxa"/>
            <w:shd w:val="clear" w:color="auto" w:fill="auto"/>
            <w:vAlign w:val="center"/>
          </w:tcPr>
          <w:p w14:paraId="017DFB6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47051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Align w:val="center"/>
          </w:tcPr>
          <w:p w14:paraId="2E1E49E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更新货物</w:t>
            </w:r>
          </w:p>
        </w:tc>
        <w:tc>
          <w:tcPr>
            <w:tcW w:w="1134" w:type="dxa"/>
            <w:vAlign w:val="center"/>
          </w:tcPr>
          <w:p w14:paraId="5BE474A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PUT</w:t>
            </w:r>
          </w:p>
        </w:tc>
        <w:tc>
          <w:tcPr>
            <w:tcW w:w="4253" w:type="dxa"/>
            <w:vAlign w:val="center"/>
          </w:tcPr>
          <w:p w14:paraId="32AA4DF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http://localhost:8080/goods/update</w:t>
            </w:r>
          </w:p>
        </w:tc>
        <w:tc>
          <w:tcPr>
            <w:tcW w:w="1451" w:type="dxa"/>
            <w:vAlign w:val="center"/>
          </w:tcPr>
          <w:p w14:paraId="577ACB8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数据更新、库存同步</w:t>
            </w:r>
          </w:p>
        </w:tc>
        <w:tc>
          <w:tcPr>
            <w:tcW w:w="754" w:type="dxa"/>
            <w:vAlign w:val="center"/>
          </w:tcPr>
          <w:p w14:paraId="23A9AD3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1342C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Align w:val="center"/>
          </w:tcPr>
          <w:p w14:paraId="218C68E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删除货物</w:t>
            </w:r>
          </w:p>
        </w:tc>
        <w:tc>
          <w:tcPr>
            <w:tcW w:w="1134" w:type="dxa"/>
            <w:vAlign w:val="center"/>
          </w:tcPr>
          <w:p w14:paraId="2786E70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DELETE</w:t>
            </w:r>
          </w:p>
        </w:tc>
        <w:tc>
          <w:tcPr>
            <w:tcW w:w="4253" w:type="dxa"/>
            <w:vAlign w:val="center"/>
          </w:tcPr>
          <w:p w14:paraId="2088FBA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http://localhost:8080/goods/delete/1</w:t>
            </w:r>
          </w:p>
        </w:tc>
        <w:tc>
          <w:tcPr>
            <w:tcW w:w="1451" w:type="dxa"/>
            <w:vAlign w:val="center"/>
          </w:tcPr>
          <w:p w14:paraId="14E3723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关联数据检查、级联删除</w:t>
            </w:r>
          </w:p>
        </w:tc>
        <w:tc>
          <w:tcPr>
            <w:tcW w:w="754" w:type="dxa"/>
            <w:vAlign w:val="center"/>
          </w:tcPr>
          <w:p w14:paraId="3148EC2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503AD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Align w:val="center"/>
          </w:tcPr>
          <w:p w14:paraId="5A3D62F8">
            <w:pPr>
              <w:pStyle w:val="13"/>
              <w:keepNext/>
              <w:spacing w:line="440" w:lineRule="exact"/>
              <w:rPr>
                <w:rFonts w:asciiTheme="minorEastAsia" w:hAnsiTheme="minorEastAsia" w:eastAsiaTheme="minorEastAsia" w:cstheme="majorBidi"/>
                <w:sz w:val="21"/>
                <w:szCs w:val="21"/>
                <w:lang w:val="en-US" w:eastAsia="zh-CN" w:bidi="ar-SA"/>
              </w:rPr>
            </w:pPr>
            <w:r>
              <w:rPr>
                <w:rFonts w:hint="eastAsia" w:asciiTheme="minorEastAsia" w:hAnsiTheme="minorEastAsia" w:eastAsiaTheme="minorEastAsia"/>
                <w:szCs w:val="21"/>
              </w:rPr>
              <w:t>新增入库</w:t>
            </w:r>
          </w:p>
        </w:tc>
        <w:tc>
          <w:tcPr>
            <w:tcW w:w="1134" w:type="dxa"/>
            <w:vAlign w:val="center"/>
          </w:tcPr>
          <w:p w14:paraId="619D10D4">
            <w:pPr>
              <w:pStyle w:val="13"/>
              <w:keepNext/>
              <w:spacing w:line="440" w:lineRule="exact"/>
              <w:rPr>
                <w:rFonts w:asciiTheme="minorEastAsia" w:hAnsiTheme="minorEastAsia" w:eastAsiaTheme="minorEastAsia" w:cstheme="majorBidi"/>
                <w:sz w:val="21"/>
                <w:szCs w:val="21"/>
                <w:lang w:val="en-US" w:eastAsia="zh-CN" w:bidi="ar-SA"/>
              </w:rPr>
            </w:pPr>
            <w:r>
              <w:rPr>
                <w:rFonts w:hint="eastAsia" w:asciiTheme="minorEastAsia" w:hAnsiTheme="minorEastAsia" w:eastAsiaTheme="minorEastAsia"/>
                <w:szCs w:val="21"/>
              </w:rPr>
              <w:t>POST</w:t>
            </w:r>
          </w:p>
        </w:tc>
        <w:tc>
          <w:tcPr>
            <w:tcW w:w="4253" w:type="dxa"/>
            <w:vAlign w:val="center"/>
          </w:tcPr>
          <w:p w14:paraId="168B5BE1">
            <w:pPr>
              <w:pStyle w:val="13"/>
              <w:keepNext/>
              <w:spacing w:line="440" w:lineRule="exact"/>
              <w:rPr>
                <w:rFonts w:asciiTheme="minorEastAsia" w:hAnsiTheme="minorEastAsia" w:eastAsiaTheme="minorEastAsia" w:cstheme="majorBidi"/>
                <w:sz w:val="21"/>
                <w:szCs w:val="21"/>
                <w:lang w:val="en-US" w:eastAsia="zh-CN" w:bidi="ar-SA"/>
              </w:rPr>
            </w:pPr>
            <w:r>
              <w:rPr>
                <w:rFonts w:hint="eastAsia" w:asciiTheme="minorEastAsia" w:hAnsiTheme="minorEastAsia" w:eastAsiaTheme="minorEastAsia"/>
                <w:szCs w:val="21"/>
              </w:rPr>
              <w:t>http://localhost:8080/stockIn/add</w:t>
            </w:r>
          </w:p>
        </w:tc>
        <w:tc>
          <w:tcPr>
            <w:tcW w:w="1451" w:type="dxa"/>
            <w:vAlign w:val="center"/>
          </w:tcPr>
          <w:p w14:paraId="4B1FA86E">
            <w:pPr>
              <w:pStyle w:val="13"/>
              <w:keepNext/>
              <w:spacing w:line="440" w:lineRule="exact"/>
              <w:rPr>
                <w:rFonts w:asciiTheme="minorEastAsia" w:hAnsiTheme="minorEastAsia" w:eastAsiaTheme="minorEastAsia" w:cstheme="majorBidi"/>
                <w:sz w:val="21"/>
                <w:szCs w:val="21"/>
                <w:lang w:val="en-US" w:eastAsia="zh-CN" w:bidi="ar-SA"/>
              </w:rPr>
            </w:pPr>
            <w:r>
              <w:rPr>
                <w:rFonts w:hint="eastAsia" w:asciiTheme="minorEastAsia" w:hAnsiTheme="minorEastAsia" w:eastAsiaTheme="minorEastAsia"/>
                <w:szCs w:val="21"/>
              </w:rPr>
              <w:t>库存增加、记录生成</w:t>
            </w:r>
          </w:p>
        </w:tc>
        <w:tc>
          <w:tcPr>
            <w:tcW w:w="754" w:type="dxa"/>
            <w:vAlign w:val="center"/>
          </w:tcPr>
          <w:p w14:paraId="1BE41287">
            <w:pPr>
              <w:pStyle w:val="13"/>
              <w:keepNext/>
              <w:spacing w:line="440" w:lineRule="exact"/>
              <w:rPr>
                <w:rFonts w:asciiTheme="minorEastAsia" w:hAnsiTheme="minorEastAsia" w:eastAsiaTheme="minorEastAsia" w:cstheme="majorBidi"/>
                <w:sz w:val="21"/>
                <w:szCs w:val="21"/>
                <w:lang w:val="en-US" w:eastAsia="zh-CN" w:bidi="ar-SA"/>
              </w:rPr>
            </w:pPr>
            <w:r>
              <w:rPr>
                <w:rFonts w:hint="eastAsia" w:asciiTheme="minorEastAsia" w:hAnsiTheme="minorEastAsia" w:eastAsiaTheme="minorEastAsia"/>
                <w:szCs w:val="21"/>
              </w:rPr>
              <w:t>通过</w:t>
            </w:r>
          </w:p>
        </w:tc>
      </w:tr>
      <w:tr w14:paraId="6EF1F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Align w:val="center"/>
          </w:tcPr>
          <w:p w14:paraId="7AD5FB2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新增出库</w:t>
            </w:r>
          </w:p>
        </w:tc>
        <w:tc>
          <w:tcPr>
            <w:tcW w:w="1134" w:type="dxa"/>
            <w:vAlign w:val="center"/>
          </w:tcPr>
          <w:p w14:paraId="6EC9ADA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POST</w:t>
            </w:r>
          </w:p>
        </w:tc>
        <w:tc>
          <w:tcPr>
            <w:tcW w:w="4253" w:type="dxa"/>
            <w:vAlign w:val="center"/>
          </w:tcPr>
          <w:p w14:paraId="40C26D6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http://localhost:8080/stockOut/add</w:t>
            </w:r>
          </w:p>
        </w:tc>
        <w:tc>
          <w:tcPr>
            <w:tcW w:w="1451" w:type="dxa"/>
            <w:vAlign w:val="center"/>
          </w:tcPr>
          <w:p w14:paraId="1BDC45C6">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库存检查、库存减少</w:t>
            </w:r>
          </w:p>
        </w:tc>
        <w:tc>
          <w:tcPr>
            <w:tcW w:w="754" w:type="dxa"/>
            <w:vAlign w:val="center"/>
          </w:tcPr>
          <w:p w14:paraId="4214CB6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6AE4239C">
      <w:pPr>
        <w:pStyle w:val="134"/>
        <w:rPr>
          <w:rFonts w:hint="default"/>
        </w:rPr>
      </w:pPr>
      <w:r>
        <w:t>（3）接口异常处理测试</w:t>
      </w:r>
    </w:p>
    <w:p w14:paraId="3D042126">
      <w:pPr>
        <w:pStyle w:val="134"/>
        <w:rPr>
          <w:rFonts w:hint="default"/>
        </w:rPr>
      </w:pPr>
      <w:r>
        <w:t>针对API接口的异常情况进行了测试，结果见</w:t>
      </w:r>
      <w:r>
        <w:fldChar w:fldCharType="begin"/>
      </w:r>
      <w:r>
        <w:instrText xml:space="preserve"> REF _Ref217934736 \h </w:instrText>
      </w:r>
      <w:r>
        <w:fldChar w:fldCharType="separate"/>
      </w:r>
      <w:r>
        <w:t>表</w:t>
      </w:r>
      <w:r>
        <w:rPr>
          <w:rFonts w:hint="eastAsia"/>
          <w:lang w:val="en-US" w:eastAsia="zh-CN"/>
        </w:rPr>
        <w:t>5</w:t>
      </w:r>
      <w:r>
        <w:fldChar w:fldCharType="end"/>
      </w:r>
      <w:r>
        <w:rPr>
          <w:rFonts w:hint="eastAsia"/>
          <w:lang w:val="en-US" w:eastAsia="zh-CN"/>
        </w:rPr>
        <w:t>-11</w:t>
      </w:r>
      <w:r>
        <w:t>所示：</w:t>
      </w:r>
    </w:p>
    <w:p w14:paraId="296367A1">
      <w:pPr>
        <w:pStyle w:val="162"/>
        <w:bidi w:val="0"/>
      </w:pPr>
      <w:bookmarkStart w:id="441" w:name="_Ref217934736"/>
      <w:r>
        <w:rPr>
          <w:rFonts w:hint="eastAsia"/>
        </w:rPr>
        <w:t>表</w:t>
      </w:r>
      <w:bookmarkEnd w:id="441"/>
      <w:r>
        <w:rPr>
          <w:rFonts w:hint="eastAsia"/>
          <w:lang w:val="en-US" w:eastAsia="zh-CN"/>
        </w:rPr>
        <w:t xml:space="preserve">5-11 </w:t>
      </w:r>
      <w:r>
        <w:rPr>
          <w:rFonts w:hint="eastAsia"/>
        </w:rPr>
        <w:t>接口异常处理测试表</w:t>
      </w:r>
    </w:p>
    <w:tbl>
      <w:tblPr>
        <w:tblStyle w:val="35"/>
        <w:tblW w:w="0" w:type="auto"/>
        <w:tblInd w:w="-5" w:type="dxa"/>
        <w:tblLayout w:type="autofit"/>
        <w:tblCellMar>
          <w:top w:w="0" w:type="dxa"/>
          <w:left w:w="108" w:type="dxa"/>
          <w:bottom w:w="0" w:type="dxa"/>
          <w:right w:w="108" w:type="dxa"/>
        </w:tblCellMar>
      </w:tblPr>
      <w:tblGrid>
        <w:gridCol w:w="2343"/>
        <w:gridCol w:w="1989"/>
        <w:gridCol w:w="1990"/>
        <w:gridCol w:w="1979"/>
      </w:tblGrid>
      <w:tr w14:paraId="5AC5C2EC">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4139248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测试场景</w:t>
            </w:r>
          </w:p>
        </w:tc>
        <w:tc>
          <w:tcPr>
            <w:tcW w:w="1989" w:type="dxa"/>
            <w:tcBorders>
              <w:top w:val="single" w:color="000000" w:sz="4" w:space="0"/>
              <w:left w:val="single" w:color="000000" w:sz="4" w:space="0"/>
              <w:bottom w:val="single" w:color="000000" w:sz="4" w:space="0"/>
              <w:right w:val="single" w:color="000000" w:sz="4" w:space="0"/>
            </w:tcBorders>
            <w:vAlign w:val="center"/>
          </w:tcPr>
          <w:p w14:paraId="3995AE1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预期响应</w:t>
            </w:r>
          </w:p>
        </w:tc>
        <w:tc>
          <w:tcPr>
            <w:tcW w:w="1990" w:type="dxa"/>
            <w:tcBorders>
              <w:top w:val="single" w:color="000000" w:sz="4" w:space="0"/>
              <w:left w:val="single" w:color="000000" w:sz="4" w:space="0"/>
              <w:bottom w:val="single" w:color="000000" w:sz="4" w:space="0"/>
              <w:right w:val="single" w:color="000000" w:sz="4" w:space="0"/>
            </w:tcBorders>
            <w:vAlign w:val="center"/>
          </w:tcPr>
          <w:p w14:paraId="3F65AD4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实际响应</w:t>
            </w:r>
          </w:p>
        </w:tc>
        <w:tc>
          <w:tcPr>
            <w:tcW w:w="1979" w:type="dxa"/>
            <w:tcBorders>
              <w:top w:val="single" w:color="000000" w:sz="4" w:space="0"/>
              <w:left w:val="single" w:color="000000" w:sz="4" w:space="0"/>
              <w:bottom w:val="single" w:color="000000" w:sz="4" w:space="0"/>
              <w:right w:val="single" w:color="000000" w:sz="4" w:space="0"/>
            </w:tcBorders>
            <w:vAlign w:val="center"/>
          </w:tcPr>
          <w:p w14:paraId="7FA61B4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测试结果</w:t>
            </w:r>
          </w:p>
        </w:tc>
      </w:tr>
      <w:tr w14:paraId="781BB0EB">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28214A6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访问不存在的接口</w:t>
            </w:r>
          </w:p>
        </w:tc>
        <w:tc>
          <w:tcPr>
            <w:tcW w:w="1989" w:type="dxa"/>
            <w:tcBorders>
              <w:top w:val="single" w:color="000000" w:sz="4" w:space="0"/>
              <w:left w:val="single" w:color="000000" w:sz="4" w:space="0"/>
              <w:bottom w:val="single" w:color="000000" w:sz="4" w:space="0"/>
              <w:right w:val="single" w:color="000000" w:sz="4" w:space="0"/>
            </w:tcBorders>
            <w:vAlign w:val="center"/>
          </w:tcPr>
          <w:p w14:paraId="1862125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返回404状态码</w:t>
            </w:r>
          </w:p>
        </w:tc>
        <w:tc>
          <w:tcPr>
            <w:tcW w:w="1990" w:type="dxa"/>
            <w:tcBorders>
              <w:top w:val="single" w:color="000000" w:sz="4" w:space="0"/>
              <w:left w:val="single" w:color="000000" w:sz="4" w:space="0"/>
              <w:bottom w:val="single" w:color="000000" w:sz="4" w:space="0"/>
              <w:right w:val="single" w:color="000000" w:sz="4" w:space="0"/>
            </w:tcBorders>
            <w:vAlign w:val="center"/>
          </w:tcPr>
          <w:p w14:paraId="0E8A417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返回404状态码</w:t>
            </w:r>
          </w:p>
        </w:tc>
        <w:tc>
          <w:tcPr>
            <w:tcW w:w="1979" w:type="dxa"/>
            <w:tcBorders>
              <w:top w:val="single" w:color="000000" w:sz="4" w:space="0"/>
              <w:left w:val="single" w:color="000000" w:sz="4" w:space="0"/>
              <w:bottom w:val="single" w:color="000000" w:sz="4" w:space="0"/>
              <w:right w:val="single" w:color="000000" w:sz="4" w:space="0"/>
            </w:tcBorders>
            <w:vAlign w:val="center"/>
          </w:tcPr>
          <w:p w14:paraId="7D04D09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2EB15D1C">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17B43F2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未授权访问接口</w:t>
            </w:r>
          </w:p>
        </w:tc>
        <w:tc>
          <w:tcPr>
            <w:tcW w:w="1989" w:type="dxa"/>
            <w:tcBorders>
              <w:top w:val="single" w:color="000000" w:sz="4" w:space="0"/>
              <w:left w:val="single" w:color="000000" w:sz="4" w:space="0"/>
              <w:bottom w:val="single" w:color="000000" w:sz="4" w:space="0"/>
              <w:right w:val="single" w:color="000000" w:sz="4" w:space="0"/>
            </w:tcBorders>
            <w:vAlign w:val="center"/>
          </w:tcPr>
          <w:p w14:paraId="13CF280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返回401状态码</w:t>
            </w:r>
          </w:p>
        </w:tc>
        <w:tc>
          <w:tcPr>
            <w:tcW w:w="1990" w:type="dxa"/>
            <w:tcBorders>
              <w:top w:val="single" w:color="000000" w:sz="4" w:space="0"/>
              <w:left w:val="single" w:color="000000" w:sz="4" w:space="0"/>
              <w:bottom w:val="single" w:color="000000" w:sz="4" w:space="0"/>
              <w:right w:val="single" w:color="000000" w:sz="4" w:space="0"/>
            </w:tcBorders>
            <w:vAlign w:val="center"/>
          </w:tcPr>
          <w:p w14:paraId="6B64D17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返回401状态码</w:t>
            </w:r>
          </w:p>
        </w:tc>
        <w:tc>
          <w:tcPr>
            <w:tcW w:w="1979" w:type="dxa"/>
            <w:tcBorders>
              <w:top w:val="single" w:color="000000" w:sz="4" w:space="0"/>
              <w:left w:val="single" w:color="000000" w:sz="4" w:space="0"/>
              <w:bottom w:val="single" w:color="000000" w:sz="4" w:space="0"/>
              <w:right w:val="single" w:color="000000" w:sz="4" w:space="0"/>
            </w:tcBorders>
            <w:vAlign w:val="center"/>
          </w:tcPr>
          <w:p w14:paraId="1BFF17C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不通过</w:t>
            </w:r>
          </w:p>
        </w:tc>
      </w:tr>
      <w:tr w14:paraId="2BA43634">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41F3386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参数格式错误</w:t>
            </w:r>
          </w:p>
        </w:tc>
        <w:tc>
          <w:tcPr>
            <w:tcW w:w="1989" w:type="dxa"/>
            <w:tcBorders>
              <w:top w:val="single" w:color="000000" w:sz="4" w:space="0"/>
              <w:left w:val="single" w:color="000000" w:sz="4" w:space="0"/>
              <w:bottom w:val="single" w:color="000000" w:sz="4" w:space="0"/>
              <w:right w:val="single" w:color="000000" w:sz="4" w:space="0"/>
            </w:tcBorders>
            <w:vAlign w:val="center"/>
          </w:tcPr>
          <w:p w14:paraId="7DABAC7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返回400状态码</w:t>
            </w:r>
          </w:p>
        </w:tc>
        <w:tc>
          <w:tcPr>
            <w:tcW w:w="1990" w:type="dxa"/>
            <w:tcBorders>
              <w:top w:val="single" w:color="000000" w:sz="4" w:space="0"/>
              <w:left w:val="single" w:color="000000" w:sz="4" w:space="0"/>
              <w:bottom w:val="single" w:color="000000" w:sz="4" w:space="0"/>
              <w:right w:val="single" w:color="000000" w:sz="4" w:space="0"/>
            </w:tcBorders>
            <w:vAlign w:val="center"/>
          </w:tcPr>
          <w:p w14:paraId="2D09514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返回400状态码</w:t>
            </w:r>
          </w:p>
        </w:tc>
        <w:tc>
          <w:tcPr>
            <w:tcW w:w="1979" w:type="dxa"/>
            <w:tcBorders>
              <w:top w:val="single" w:color="000000" w:sz="4" w:space="0"/>
              <w:left w:val="single" w:color="000000" w:sz="4" w:space="0"/>
              <w:bottom w:val="single" w:color="000000" w:sz="4" w:space="0"/>
              <w:right w:val="single" w:color="000000" w:sz="4" w:space="0"/>
            </w:tcBorders>
            <w:vAlign w:val="center"/>
          </w:tcPr>
          <w:p w14:paraId="77AD42E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35622172">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6C484A0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服务器内部错误</w:t>
            </w:r>
          </w:p>
        </w:tc>
        <w:tc>
          <w:tcPr>
            <w:tcW w:w="1989" w:type="dxa"/>
            <w:tcBorders>
              <w:top w:val="single" w:color="000000" w:sz="4" w:space="0"/>
              <w:left w:val="single" w:color="000000" w:sz="4" w:space="0"/>
              <w:bottom w:val="single" w:color="000000" w:sz="4" w:space="0"/>
              <w:right w:val="single" w:color="000000" w:sz="4" w:space="0"/>
            </w:tcBorders>
            <w:vAlign w:val="center"/>
          </w:tcPr>
          <w:p w14:paraId="31551CB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返回500状态码</w:t>
            </w:r>
          </w:p>
        </w:tc>
        <w:tc>
          <w:tcPr>
            <w:tcW w:w="1990" w:type="dxa"/>
            <w:tcBorders>
              <w:top w:val="single" w:color="000000" w:sz="4" w:space="0"/>
              <w:left w:val="single" w:color="000000" w:sz="4" w:space="0"/>
              <w:bottom w:val="single" w:color="000000" w:sz="4" w:space="0"/>
              <w:right w:val="single" w:color="000000" w:sz="4" w:space="0"/>
            </w:tcBorders>
            <w:vAlign w:val="center"/>
          </w:tcPr>
          <w:p w14:paraId="76F85DF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返回500状态码</w:t>
            </w:r>
          </w:p>
        </w:tc>
        <w:tc>
          <w:tcPr>
            <w:tcW w:w="1979" w:type="dxa"/>
            <w:tcBorders>
              <w:top w:val="single" w:color="000000" w:sz="4" w:space="0"/>
              <w:left w:val="single" w:color="000000" w:sz="4" w:space="0"/>
              <w:bottom w:val="single" w:color="000000" w:sz="4" w:space="0"/>
              <w:right w:val="single" w:color="000000" w:sz="4" w:space="0"/>
            </w:tcBorders>
            <w:vAlign w:val="center"/>
          </w:tcPr>
          <w:p w14:paraId="3EB215EA">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r w14:paraId="67A3305E">
        <w:tblPrEx>
          <w:tblCellMar>
            <w:top w:w="0" w:type="dxa"/>
            <w:left w:w="108" w:type="dxa"/>
            <w:bottom w:w="0" w:type="dxa"/>
            <w:right w:w="108" w:type="dxa"/>
          </w:tblCellMar>
        </w:tblPrEx>
        <w:tc>
          <w:tcPr>
            <w:tcW w:w="2343" w:type="dxa"/>
            <w:tcBorders>
              <w:top w:val="single" w:color="000000" w:sz="4" w:space="0"/>
              <w:left w:val="single" w:color="000000" w:sz="4" w:space="0"/>
              <w:bottom w:val="single" w:color="000000" w:sz="4" w:space="0"/>
              <w:right w:val="single" w:color="000000" w:sz="4" w:space="0"/>
            </w:tcBorders>
            <w:vAlign w:val="center"/>
          </w:tcPr>
          <w:p w14:paraId="0E2068D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请求超时处理</w:t>
            </w:r>
          </w:p>
        </w:tc>
        <w:tc>
          <w:tcPr>
            <w:tcW w:w="1989" w:type="dxa"/>
            <w:tcBorders>
              <w:top w:val="single" w:color="000000" w:sz="4" w:space="0"/>
              <w:left w:val="single" w:color="000000" w:sz="4" w:space="0"/>
              <w:bottom w:val="single" w:color="000000" w:sz="4" w:space="0"/>
              <w:right w:val="single" w:color="000000" w:sz="4" w:space="0"/>
            </w:tcBorders>
            <w:vAlign w:val="center"/>
          </w:tcPr>
          <w:p w14:paraId="354F04C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返回504状态码</w:t>
            </w:r>
          </w:p>
        </w:tc>
        <w:tc>
          <w:tcPr>
            <w:tcW w:w="1990" w:type="dxa"/>
            <w:tcBorders>
              <w:top w:val="single" w:color="000000" w:sz="4" w:space="0"/>
              <w:left w:val="single" w:color="000000" w:sz="4" w:space="0"/>
              <w:bottom w:val="single" w:color="000000" w:sz="4" w:space="0"/>
              <w:right w:val="single" w:color="000000" w:sz="4" w:space="0"/>
            </w:tcBorders>
            <w:vAlign w:val="center"/>
          </w:tcPr>
          <w:p w14:paraId="5C646AAC">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返回504状态码</w:t>
            </w:r>
          </w:p>
        </w:tc>
        <w:tc>
          <w:tcPr>
            <w:tcW w:w="1979" w:type="dxa"/>
            <w:tcBorders>
              <w:top w:val="single" w:color="000000" w:sz="4" w:space="0"/>
              <w:left w:val="single" w:color="000000" w:sz="4" w:space="0"/>
              <w:bottom w:val="single" w:color="000000" w:sz="4" w:space="0"/>
              <w:right w:val="single" w:color="000000" w:sz="4" w:space="0"/>
            </w:tcBorders>
            <w:vAlign w:val="center"/>
          </w:tcPr>
          <w:p w14:paraId="2D368D4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通过</w:t>
            </w:r>
          </w:p>
        </w:tc>
      </w:tr>
    </w:tbl>
    <w:p w14:paraId="42316E04">
      <w:pPr>
        <w:pStyle w:val="134"/>
        <w:rPr>
          <w:rFonts w:hint="default"/>
        </w:rPr>
      </w:pPr>
      <w:bookmarkStart w:id="442" w:name="_Toc217490554"/>
      <w:r>
        <w:t>5.4系统兼容性测试</w:t>
      </w:r>
      <w:bookmarkEnd w:id="442"/>
    </w:p>
    <w:p w14:paraId="016D37C1">
      <w:pPr>
        <w:pStyle w:val="134"/>
        <w:rPr>
          <w:rFonts w:hint="default"/>
        </w:rPr>
      </w:pPr>
      <w:r>
        <w:t>浏览器兼容性测试</w:t>
      </w:r>
    </w:p>
    <w:p w14:paraId="6C5DEC1C">
      <w:pPr>
        <w:pStyle w:val="134"/>
        <w:rPr>
          <w:rFonts w:hint="default"/>
        </w:rPr>
      </w:pPr>
      <w:r>
        <w:t>系统在不同浏览器上的兼容性测试结果见</w:t>
      </w:r>
      <w:r>
        <w:fldChar w:fldCharType="begin"/>
      </w:r>
      <w:r>
        <w:instrText xml:space="preserve"> REF _Ref217923788 \h </w:instrText>
      </w:r>
      <w:r>
        <w:fldChar w:fldCharType="separate"/>
      </w:r>
      <w:r>
        <w:t>表</w:t>
      </w:r>
      <w:r>
        <w:rPr>
          <w:rFonts w:hint="eastAsia"/>
          <w:lang w:val="en-US" w:eastAsia="zh-CN"/>
        </w:rPr>
        <w:t>5</w:t>
      </w:r>
      <w:r>
        <w:fldChar w:fldCharType="end"/>
      </w:r>
      <w:r>
        <w:rPr>
          <w:rFonts w:hint="eastAsia"/>
          <w:lang w:val="en-US" w:eastAsia="zh-CN"/>
        </w:rPr>
        <w:t>-12</w:t>
      </w:r>
      <w:r>
        <w:t>所示：</w:t>
      </w:r>
    </w:p>
    <w:p w14:paraId="09CA60BA">
      <w:pPr>
        <w:pStyle w:val="162"/>
        <w:bidi w:val="0"/>
      </w:pPr>
      <w:bookmarkStart w:id="443" w:name="_Ref217923788"/>
      <w:r>
        <w:rPr>
          <w:rFonts w:hint="eastAsia"/>
        </w:rPr>
        <w:t>表</w:t>
      </w:r>
      <w:bookmarkEnd w:id="443"/>
      <w:r>
        <w:rPr>
          <w:rFonts w:hint="eastAsia"/>
          <w:lang w:val="en-US" w:eastAsia="zh-CN"/>
        </w:rPr>
        <w:t xml:space="preserve">5-12 </w:t>
      </w:r>
      <w:r>
        <w:rPr>
          <w:rFonts w:hint="eastAsia"/>
        </w:rPr>
        <w:t>浏览器兼容性测试表</w:t>
      </w:r>
    </w:p>
    <w:tbl>
      <w:tblPr>
        <w:tblStyle w:val="35"/>
        <w:tblW w:w="0" w:type="auto"/>
        <w:tblInd w:w="360" w:type="dxa"/>
        <w:tblLayout w:type="autofit"/>
        <w:tblCellMar>
          <w:top w:w="0" w:type="dxa"/>
          <w:left w:w="108" w:type="dxa"/>
          <w:bottom w:w="0" w:type="dxa"/>
          <w:right w:w="108" w:type="dxa"/>
        </w:tblCellMar>
      </w:tblPr>
      <w:tblGrid>
        <w:gridCol w:w="1383"/>
        <w:gridCol w:w="1369"/>
        <w:gridCol w:w="1352"/>
        <w:gridCol w:w="1352"/>
        <w:gridCol w:w="1353"/>
        <w:gridCol w:w="1353"/>
      </w:tblGrid>
      <w:tr w14:paraId="194DE392">
        <w:tc>
          <w:tcPr>
            <w:tcW w:w="1383" w:type="dxa"/>
            <w:tcBorders>
              <w:top w:val="single" w:color="000000" w:sz="4" w:space="0"/>
              <w:left w:val="single" w:color="000000" w:sz="4" w:space="0"/>
              <w:bottom w:val="single" w:color="000000" w:sz="4" w:space="0"/>
              <w:right w:val="single" w:color="000000" w:sz="4" w:space="0"/>
            </w:tcBorders>
          </w:tcPr>
          <w:p w14:paraId="772F563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浏览器</w:t>
            </w:r>
          </w:p>
        </w:tc>
        <w:tc>
          <w:tcPr>
            <w:tcW w:w="1369" w:type="dxa"/>
            <w:tcBorders>
              <w:top w:val="single" w:color="000000" w:sz="4" w:space="0"/>
              <w:left w:val="single" w:color="000000" w:sz="4" w:space="0"/>
              <w:bottom w:val="single" w:color="000000" w:sz="4" w:space="0"/>
              <w:right w:val="single" w:color="000000" w:sz="4" w:space="0"/>
            </w:tcBorders>
          </w:tcPr>
          <w:p w14:paraId="7EE94F1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版本</w:t>
            </w:r>
          </w:p>
        </w:tc>
        <w:tc>
          <w:tcPr>
            <w:tcW w:w="1352" w:type="dxa"/>
            <w:tcBorders>
              <w:top w:val="single" w:color="000000" w:sz="4" w:space="0"/>
              <w:left w:val="single" w:color="000000" w:sz="4" w:space="0"/>
              <w:bottom w:val="single" w:color="000000" w:sz="4" w:space="0"/>
              <w:right w:val="single" w:color="000000" w:sz="4" w:space="0"/>
            </w:tcBorders>
          </w:tcPr>
          <w:p w14:paraId="0395BA12">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登录功能</w:t>
            </w:r>
          </w:p>
        </w:tc>
        <w:tc>
          <w:tcPr>
            <w:tcW w:w="1352" w:type="dxa"/>
            <w:tcBorders>
              <w:top w:val="single" w:color="000000" w:sz="4" w:space="0"/>
              <w:left w:val="single" w:color="000000" w:sz="4" w:space="0"/>
              <w:bottom w:val="single" w:color="000000" w:sz="4" w:space="0"/>
              <w:right w:val="single" w:color="000000" w:sz="4" w:space="0"/>
            </w:tcBorders>
          </w:tcPr>
          <w:p w14:paraId="13DD8F2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货物管理</w:t>
            </w:r>
          </w:p>
        </w:tc>
        <w:tc>
          <w:tcPr>
            <w:tcW w:w="1353" w:type="dxa"/>
            <w:tcBorders>
              <w:top w:val="single" w:color="000000" w:sz="4" w:space="0"/>
              <w:left w:val="single" w:color="000000" w:sz="4" w:space="0"/>
              <w:bottom w:val="single" w:color="000000" w:sz="4" w:space="0"/>
              <w:right w:val="single" w:color="000000" w:sz="4" w:space="0"/>
            </w:tcBorders>
          </w:tcPr>
          <w:p w14:paraId="7227039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入库出库</w:t>
            </w:r>
          </w:p>
        </w:tc>
        <w:tc>
          <w:tcPr>
            <w:tcW w:w="1353" w:type="dxa"/>
            <w:tcBorders>
              <w:top w:val="single" w:color="000000" w:sz="4" w:space="0"/>
              <w:left w:val="single" w:color="000000" w:sz="4" w:space="0"/>
              <w:bottom w:val="single" w:color="000000" w:sz="4" w:space="0"/>
              <w:right w:val="single" w:color="000000" w:sz="4" w:space="0"/>
            </w:tcBorders>
          </w:tcPr>
          <w:p w14:paraId="3330B988">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整体评分</w:t>
            </w:r>
          </w:p>
        </w:tc>
      </w:tr>
      <w:tr w14:paraId="6FFAB9F5">
        <w:tblPrEx>
          <w:tblCellMar>
            <w:top w:w="0" w:type="dxa"/>
            <w:left w:w="108" w:type="dxa"/>
            <w:bottom w:w="0" w:type="dxa"/>
            <w:right w:w="108" w:type="dxa"/>
          </w:tblCellMar>
        </w:tblPrEx>
        <w:tc>
          <w:tcPr>
            <w:tcW w:w="1383" w:type="dxa"/>
            <w:tcBorders>
              <w:top w:val="single" w:color="000000" w:sz="4" w:space="0"/>
              <w:left w:val="single" w:color="000000" w:sz="4" w:space="0"/>
              <w:bottom w:val="single" w:color="000000" w:sz="4" w:space="0"/>
              <w:right w:val="single" w:color="000000" w:sz="4" w:space="0"/>
            </w:tcBorders>
          </w:tcPr>
          <w:p w14:paraId="4081F905">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Chrome</w:t>
            </w:r>
          </w:p>
        </w:tc>
        <w:tc>
          <w:tcPr>
            <w:tcW w:w="1369" w:type="dxa"/>
            <w:tcBorders>
              <w:top w:val="single" w:color="000000" w:sz="4" w:space="0"/>
              <w:left w:val="single" w:color="000000" w:sz="4" w:space="0"/>
              <w:bottom w:val="single" w:color="000000" w:sz="4" w:space="0"/>
              <w:right w:val="single" w:color="000000" w:sz="4" w:space="0"/>
            </w:tcBorders>
          </w:tcPr>
          <w:p w14:paraId="79F7A110">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120.0</w:t>
            </w:r>
          </w:p>
        </w:tc>
        <w:tc>
          <w:tcPr>
            <w:tcW w:w="1352" w:type="dxa"/>
            <w:tcBorders>
              <w:top w:val="single" w:color="000000" w:sz="4" w:space="0"/>
              <w:left w:val="single" w:color="000000" w:sz="4" w:space="0"/>
              <w:bottom w:val="single" w:color="000000" w:sz="4" w:space="0"/>
              <w:right w:val="single" w:color="000000" w:sz="4" w:space="0"/>
            </w:tcBorders>
          </w:tcPr>
          <w:p w14:paraId="68D9A2E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2" w:type="dxa"/>
            <w:tcBorders>
              <w:top w:val="single" w:color="000000" w:sz="4" w:space="0"/>
              <w:left w:val="single" w:color="000000" w:sz="4" w:space="0"/>
              <w:bottom w:val="single" w:color="000000" w:sz="4" w:space="0"/>
              <w:right w:val="single" w:color="000000" w:sz="4" w:space="0"/>
            </w:tcBorders>
          </w:tcPr>
          <w:p w14:paraId="1910A84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3EED75A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6C5568D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优秀</w:t>
            </w:r>
          </w:p>
        </w:tc>
      </w:tr>
      <w:tr w14:paraId="5E1ADD5B">
        <w:tblPrEx>
          <w:tblCellMar>
            <w:top w:w="0" w:type="dxa"/>
            <w:left w:w="108" w:type="dxa"/>
            <w:bottom w:w="0" w:type="dxa"/>
            <w:right w:w="108" w:type="dxa"/>
          </w:tblCellMar>
        </w:tblPrEx>
        <w:tc>
          <w:tcPr>
            <w:tcW w:w="1383" w:type="dxa"/>
            <w:tcBorders>
              <w:top w:val="single" w:color="000000" w:sz="4" w:space="0"/>
              <w:left w:val="single" w:color="000000" w:sz="4" w:space="0"/>
              <w:bottom w:val="single" w:color="000000" w:sz="4" w:space="0"/>
              <w:right w:val="single" w:color="000000" w:sz="4" w:space="0"/>
            </w:tcBorders>
          </w:tcPr>
          <w:p w14:paraId="2FF9B46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Firefox</w:t>
            </w:r>
          </w:p>
        </w:tc>
        <w:tc>
          <w:tcPr>
            <w:tcW w:w="1369" w:type="dxa"/>
            <w:tcBorders>
              <w:top w:val="single" w:color="000000" w:sz="4" w:space="0"/>
              <w:left w:val="single" w:color="000000" w:sz="4" w:space="0"/>
              <w:bottom w:val="single" w:color="000000" w:sz="4" w:space="0"/>
              <w:right w:val="single" w:color="000000" w:sz="4" w:space="0"/>
            </w:tcBorders>
          </w:tcPr>
          <w:p w14:paraId="28B7D78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121.0</w:t>
            </w:r>
          </w:p>
        </w:tc>
        <w:tc>
          <w:tcPr>
            <w:tcW w:w="1352" w:type="dxa"/>
            <w:tcBorders>
              <w:top w:val="single" w:color="000000" w:sz="4" w:space="0"/>
              <w:left w:val="single" w:color="000000" w:sz="4" w:space="0"/>
              <w:bottom w:val="single" w:color="000000" w:sz="4" w:space="0"/>
              <w:right w:val="single" w:color="000000" w:sz="4" w:space="0"/>
            </w:tcBorders>
          </w:tcPr>
          <w:p w14:paraId="7D651393">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2" w:type="dxa"/>
            <w:tcBorders>
              <w:top w:val="single" w:color="000000" w:sz="4" w:space="0"/>
              <w:left w:val="single" w:color="000000" w:sz="4" w:space="0"/>
              <w:bottom w:val="single" w:color="000000" w:sz="4" w:space="0"/>
              <w:right w:val="single" w:color="000000" w:sz="4" w:space="0"/>
            </w:tcBorders>
          </w:tcPr>
          <w:p w14:paraId="22894614">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6278055E">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284D2A5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优秀</w:t>
            </w:r>
          </w:p>
        </w:tc>
      </w:tr>
      <w:tr w14:paraId="5836AB0F">
        <w:tblPrEx>
          <w:tblCellMar>
            <w:top w:w="0" w:type="dxa"/>
            <w:left w:w="108" w:type="dxa"/>
            <w:bottom w:w="0" w:type="dxa"/>
            <w:right w:w="108" w:type="dxa"/>
          </w:tblCellMar>
        </w:tblPrEx>
        <w:tc>
          <w:tcPr>
            <w:tcW w:w="1383" w:type="dxa"/>
            <w:tcBorders>
              <w:top w:val="single" w:color="000000" w:sz="4" w:space="0"/>
              <w:left w:val="single" w:color="000000" w:sz="4" w:space="0"/>
              <w:bottom w:val="single" w:color="000000" w:sz="4" w:space="0"/>
              <w:right w:val="single" w:color="000000" w:sz="4" w:space="0"/>
            </w:tcBorders>
          </w:tcPr>
          <w:p w14:paraId="0D3F15F9">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Edge</w:t>
            </w:r>
          </w:p>
        </w:tc>
        <w:tc>
          <w:tcPr>
            <w:tcW w:w="1369" w:type="dxa"/>
            <w:tcBorders>
              <w:top w:val="single" w:color="000000" w:sz="4" w:space="0"/>
              <w:left w:val="single" w:color="000000" w:sz="4" w:space="0"/>
              <w:bottom w:val="single" w:color="000000" w:sz="4" w:space="0"/>
              <w:right w:val="single" w:color="000000" w:sz="4" w:space="0"/>
            </w:tcBorders>
          </w:tcPr>
          <w:p w14:paraId="397B3A01">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119.0</w:t>
            </w:r>
          </w:p>
        </w:tc>
        <w:tc>
          <w:tcPr>
            <w:tcW w:w="1352" w:type="dxa"/>
            <w:tcBorders>
              <w:top w:val="single" w:color="000000" w:sz="4" w:space="0"/>
              <w:left w:val="single" w:color="000000" w:sz="4" w:space="0"/>
              <w:bottom w:val="single" w:color="000000" w:sz="4" w:space="0"/>
              <w:right w:val="single" w:color="000000" w:sz="4" w:space="0"/>
            </w:tcBorders>
          </w:tcPr>
          <w:p w14:paraId="38E6F25D">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2" w:type="dxa"/>
            <w:tcBorders>
              <w:top w:val="single" w:color="000000" w:sz="4" w:space="0"/>
              <w:left w:val="single" w:color="000000" w:sz="4" w:space="0"/>
              <w:bottom w:val="single" w:color="000000" w:sz="4" w:space="0"/>
              <w:right w:val="single" w:color="000000" w:sz="4" w:space="0"/>
            </w:tcBorders>
          </w:tcPr>
          <w:p w14:paraId="362BB98B">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12B4FFE7">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正常</w:t>
            </w:r>
          </w:p>
        </w:tc>
        <w:tc>
          <w:tcPr>
            <w:tcW w:w="1353" w:type="dxa"/>
            <w:tcBorders>
              <w:top w:val="single" w:color="000000" w:sz="4" w:space="0"/>
              <w:left w:val="single" w:color="000000" w:sz="4" w:space="0"/>
              <w:bottom w:val="single" w:color="000000" w:sz="4" w:space="0"/>
              <w:right w:val="single" w:color="000000" w:sz="4" w:space="0"/>
            </w:tcBorders>
          </w:tcPr>
          <w:p w14:paraId="3EBE972F">
            <w:pPr>
              <w:pStyle w:val="13"/>
              <w:keepNext/>
              <w:spacing w:line="440" w:lineRule="exact"/>
              <w:rPr>
                <w:rFonts w:asciiTheme="minorEastAsia" w:hAnsiTheme="minorEastAsia" w:eastAsiaTheme="minorEastAsia"/>
                <w:szCs w:val="21"/>
              </w:rPr>
            </w:pPr>
            <w:r>
              <w:rPr>
                <w:rFonts w:hint="eastAsia" w:asciiTheme="minorEastAsia" w:hAnsiTheme="minorEastAsia" w:eastAsiaTheme="minorEastAsia"/>
                <w:szCs w:val="21"/>
              </w:rPr>
              <w:t>优秀</w:t>
            </w:r>
          </w:p>
        </w:tc>
      </w:tr>
    </w:tbl>
    <w:p w14:paraId="52089A65">
      <w:pPr>
        <w:pStyle w:val="134"/>
        <w:rPr>
          <w:rFonts w:hint="default"/>
        </w:rPr>
      </w:pPr>
      <w:bookmarkStart w:id="444" w:name="_Toc217490555"/>
      <w:r>
        <w:t>5.5测试结论</w:t>
      </w:r>
      <w:bookmarkEnd w:id="444"/>
    </w:p>
    <w:p w14:paraId="2FB4DEB0">
      <w:pPr>
        <w:pStyle w:val="134"/>
        <w:rPr>
          <w:rFonts w:hint="default"/>
        </w:rPr>
      </w:pPr>
      <w:r>
        <w:t>通过对仓库管理系统的全面测试，得出以下结论：</w:t>
      </w:r>
    </w:p>
    <w:p w14:paraId="7D533E4D">
      <w:pPr>
        <w:pStyle w:val="134"/>
        <w:rPr>
          <w:rFonts w:hint="default"/>
        </w:rPr>
      </w:pPr>
      <w:r>
        <w:t>（1）功能完整性：系统实现了设计的所有核心功能，包括货物信息管理、入库管理、出库管理、供应商与客户管理等模块，功能完整且运行正常。</w:t>
      </w:r>
    </w:p>
    <w:p w14:paraId="3FA6A921">
      <w:pPr>
        <w:pStyle w:val="134"/>
        <w:rPr>
          <w:rFonts w:hint="default"/>
        </w:rPr>
      </w:pPr>
      <w:r>
        <w:t>（2）接口稳定性：所有API接口均通过测试，响应正确，异常处理机制完善，数据传输稳定可靠。</w:t>
      </w:r>
    </w:p>
    <w:p w14:paraId="6F1AE5E9">
      <w:pPr>
        <w:pStyle w:val="134"/>
        <w:rPr>
          <w:rFonts w:hint="default"/>
        </w:rPr>
      </w:pPr>
      <w:r>
        <w:t>（3）用户体验：用户界面简洁直观，操作流程清晰，各项功能响应迅速，用户体验良好。</w:t>
      </w:r>
    </w:p>
    <w:p w14:paraId="352BAA11">
      <w:pPr>
        <w:pStyle w:val="134"/>
        <w:rPr>
          <w:rFonts w:hint="default"/>
        </w:rPr>
      </w:pPr>
      <w:r>
        <w:t>（4）兼容性表现：系统在主流浏览器上表现良好，在高分辨率和大屏幕下显示效果优秀，但在移动端的适配性有待提升。</w:t>
      </w:r>
    </w:p>
    <w:p w14:paraId="4135A4CC">
      <w:pPr>
        <w:pStyle w:val="134"/>
        <w:rPr>
          <w:rFonts w:hint="default"/>
        </w:rPr>
      </w:pPr>
      <w:r>
        <w:t>（5）系统可靠性：经过功能测试和接口测试，系统运行稳定，数据一致性保持良好，未发现重大缺陷。</w:t>
      </w:r>
    </w:p>
    <w:p w14:paraId="4EE783C9">
      <w:pPr>
        <w:pStyle w:val="134"/>
        <w:rPr>
          <w:rFonts w:hint="default"/>
        </w:rPr>
      </w:pPr>
      <w:r>
        <w:t>（6）待改进方面：</w:t>
      </w:r>
    </w:p>
    <w:p w14:paraId="4B08A96E">
      <w:pPr>
        <w:pStyle w:val="134"/>
        <w:rPr>
          <w:rFonts w:hint="default"/>
        </w:rPr>
      </w:pPr>
      <w:r>
        <w:t>①移动端适配需进一步优化</w:t>
      </w:r>
    </w:p>
    <w:p w14:paraId="3B5E3652">
      <w:pPr>
        <w:pStyle w:val="134"/>
        <w:rPr>
          <w:rFonts w:hint="default"/>
        </w:rPr>
      </w:pPr>
      <w:r>
        <w:t>②部分复杂查询功能响应时间有待优化</w:t>
      </w:r>
    </w:p>
    <w:p w14:paraId="49550E82">
      <w:pPr>
        <w:pStyle w:val="134"/>
        <w:rPr>
          <w:rFonts w:hint="default"/>
        </w:rPr>
      </w:pPr>
      <w:bookmarkStart w:id="445" w:name="_Toc217490556"/>
      <w:r>
        <w:t>总体评价：本服装库存管理系统功能完善，性能稳定，接口设计规范，基本满足了服装行业对于多属性商品管理、季节性流转和门店协同的业务需求，达到了项目设计目标，具备上线运行条件。建议在后续版本中针对移动端适配性、复杂查询响应速度等已发现的不足之处进行优化改进。</w:t>
      </w:r>
    </w:p>
    <w:p w14:paraId="34B1539B">
      <w:pPr>
        <w:spacing w:line="440" w:lineRule="exact"/>
        <w:jc w:val="left"/>
        <w:outlineLvl w:val="9"/>
        <w:rPr>
          <w:rFonts w:ascii="宋体" w:hAnsi="宋体" w:cs="宋体"/>
          <w:b/>
          <w:bCs/>
          <w:sz w:val="28"/>
          <w:szCs w:val="28"/>
        </w:rPr>
      </w:pPr>
      <w:bookmarkStart w:id="446" w:name="_Toc4592"/>
      <w:r>
        <w:rPr>
          <w:rFonts w:hint="eastAsia" w:ascii="宋体" w:hAnsi="宋体" w:cs="宋体"/>
          <w:b/>
          <w:bCs/>
          <w:sz w:val="28"/>
          <w:szCs w:val="28"/>
        </w:rPr>
        <w:t>6 系统功能及使用说明</w:t>
      </w:r>
      <w:bookmarkEnd w:id="445"/>
      <w:bookmarkEnd w:id="446"/>
    </w:p>
    <w:p w14:paraId="4C44C889">
      <w:pPr>
        <w:pStyle w:val="74"/>
        <w:spacing w:line="440" w:lineRule="exact"/>
        <w:ind w:firstLine="480"/>
        <w:jc w:val="left"/>
        <w:outlineLvl w:val="9"/>
        <w:rPr>
          <w:rFonts w:ascii="宋体" w:hAnsi="宋体" w:cs="宋体"/>
          <w:sz w:val="24"/>
        </w:rPr>
      </w:pPr>
      <w:bookmarkStart w:id="447" w:name="_Toc217490557"/>
      <w:bookmarkStart w:id="448" w:name="_Toc29554"/>
      <w:r>
        <w:rPr>
          <w:rFonts w:hint="eastAsia" w:ascii="宋体" w:hAnsi="宋体" w:cs="宋体"/>
          <w:sz w:val="24"/>
        </w:rPr>
        <w:t>6.1系统概述</w:t>
      </w:r>
      <w:bookmarkEnd w:id="447"/>
      <w:bookmarkEnd w:id="448"/>
    </w:p>
    <w:p w14:paraId="1CD34629">
      <w:pPr>
        <w:pStyle w:val="74"/>
        <w:spacing w:line="440" w:lineRule="exact"/>
        <w:ind w:firstLine="480"/>
        <w:jc w:val="left"/>
        <w:outlineLvl w:val="9"/>
        <w:rPr>
          <w:rFonts w:ascii="宋体" w:hAnsi="宋体" w:cs="宋体"/>
          <w:sz w:val="24"/>
        </w:rPr>
      </w:pPr>
      <w:r>
        <w:rPr>
          <w:rFonts w:ascii="宋体" w:hAnsi="宋体" w:cs="宋体"/>
          <w:sz w:val="24"/>
        </w:rPr>
        <w:t>本系统是一个基于SpringBoot+Vue.js前后端分离架构的服装库存管理系统，主要用于管理服装类货物信息、入库记录、供应商信息等基础仓储业务。系统分为管理员端和用户端，管理员可进行服装货物信息管理、入库出库记录管理、供应商与客户管理等操作。</w:t>
      </w:r>
    </w:p>
    <w:p w14:paraId="4E016BA4">
      <w:pPr>
        <w:pStyle w:val="74"/>
        <w:spacing w:line="440" w:lineRule="exact"/>
        <w:ind w:firstLine="480"/>
        <w:jc w:val="left"/>
        <w:rPr>
          <w:rFonts w:ascii="宋体" w:hAnsi="宋体" w:cs="宋体"/>
          <w:sz w:val="24"/>
        </w:rPr>
      </w:pPr>
      <w:r>
        <w:rPr>
          <w:rFonts w:ascii="宋体" w:hAnsi="宋体" w:cs="宋体"/>
          <w:sz w:val="24"/>
        </w:rPr>
        <w:t>6.2系统功能模块说明</w:t>
      </w:r>
    </w:p>
    <w:p w14:paraId="2134B863">
      <w:pPr>
        <w:pStyle w:val="134"/>
        <w:rPr>
          <w:rFonts w:hint="default"/>
        </w:rPr>
      </w:pPr>
      <w:r>
        <w:t>6.2.1服装货物信息管理模块</w:t>
      </w:r>
    </w:p>
    <w:p w14:paraId="5BD1DB4E">
      <w:pPr>
        <w:pStyle w:val="134"/>
        <w:rPr>
          <w:rFonts w:hint="default"/>
        </w:rPr>
      </w:pPr>
      <w:r>
        <w:t>功能说明：</w:t>
      </w:r>
    </w:p>
    <w:p w14:paraId="07D634F1">
      <w:pPr>
        <w:pStyle w:val="134"/>
        <w:rPr>
          <w:rFonts w:hint="default"/>
        </w:rPr>
      </w:pPr>
      <w:r>
        <w:t>该模块用于维护系统内所有服装货物的基础信息。管理员可对服装货物进行全生命周期管理，包括货物的新增、查看、修改、删除及查询。每条服装货物信息包含以下字段：货物编号（系统自动生成）、服装名称、服装类型、规格型号、单位、单价、当前库存量、最低库存预警值、关联供应商以及备注信息。</w:t>
      </w:r>
      <w:r>
        <w:br w:type="textWrapping"/>
      </w:r>
      <w:r>
        <w:t>使用说明：</w:t>
      </w:r>
    </w:p>
    <w:p w14:paraId="0F5346D6">
      <w:pPr>
        <w:pStyle w:val="134"/>
        <w:rPr>
          <w:rFonts w:hint="default"/>
        </w:rPr>
      </w:pPr>
      <w:r>
        <w:t>①登录系统后，在左侧导航菜单中点击“服装货物信息管理”，进入货物列表页面。</w:t>
      </w:r>
    </w:p>
    <w:p w14:paraId="40C478B8">
      <w:pPr>
        <w:pStyle w:val="134"/>
        <w:rPr>
          <w:rFonts w:hint="default"/>
        </w:rPr>
      </w:pPr>
      <w:r>
        <w:t>（2）列表以表格形式展示所有服装货物，每行显示关键信息，并在操作列提供“编辑”、“删除”按钮。</w:t>
      </w:r>
    </w:p>
    <w:p w14:paraId="51D056F8">
      <w:pPr>
        <w:pStyle w:val="134"/>
        <w:rPr>
          <w:rFonts w:hint="default"/>
        </w:rPr>
      </w:pPr>
      <w:r>
        <w:t>（3）点击列表上方的“新增服装货物”按钮，弹出表单对话框，需填写服装名称、选择类型、输入颜色、尺码、材质等规格信息、单价、预警库存等信息，其中带星号（）的为必填项。填写完毕后点击“提交”保存。</w:t>
      </w:r>
    </w:p>
    <w:p w14:paraId="2693D98E">
      <w:pPr>
        <w:pStyle w:val="134"/>
        <w:rPr>
          <w:rFonts w:hint="default"/>
        </w:rPr>
      </w:pPr>
      <w:r>
        <w:t>（4）点击某条记录操作列的“编辑”按钮，可修改该服装货物信息，修改后保存生效。</w:t>
      </w:r>
    </w:p>
    <w:p w14:paraId="1E82D4DA">
      <w:pPr>
        <w:pStyle w:val="134"/>
        <w:rPr>
          <w:rFonts w:hint="default"/>
        </w:rPr>
      </w:pPr>
      <w:r>
        <w:t>（5）点击“删除”按钮，系统将提示确认，确认后该服装货物信息将被移除（若该货物存在出入库记录，系统可能提示禁止删除以确保数据完整性）。</w:t>
      </w:r>
    </w:p>
    <w:p w14:paraId="7E02223A">
      <w:pPr>
        <w:pStyle w:val="134"/>
        <w:rPr>
          <w:rFonts w:hint="default"/>
        </w:rPr>
      </w:pPr>
      <w:r>
        <w:t>（6）在列表上方的搜索框中，可输入服装名称关键字或选择服装类型、颜色、尺码进行组合查询，点击“搜索”按钮即可筛选显示结果。</w:t>
      </w:r>
    </w:p>
    <w:p w14:paraId="4C930993">
      <w:pPr>
        <w:ind w:firstLine="480" w:firstLineChars="200"/>
        <w:rPr>
          <w:rFonts w:cs="宋体" w:asciiTheme="minorEastAsia" w:hAnsiTheme="minorEastAsia"/>
          <w:sz w:val="24"/>
        </w:rPr>
      </w:pPr>
      <w:r>
        <w:rPr>
          <w:rFonts w:hint="eastAsia" w:cs="宋体" w:asciiTheme="minorEastAsia" w:hAnsiTheme="minorEastAsia"/>
          <w:sz w:val="24"/>
        </w:rPr>
        <w:t>货物信息</w:t>
      </w:r>
      <w:r>
        <w:rPr>
          <w:rFonts w:hint="eastAsia" w:cs="宋体" w:asciiTheme="minorEastAsia" w:hAnsiTheme="minorEastAsia"/>
          <w:sz w:val="24"/>
        </w:rPr>
        <w:fldChar w:fldCharType="begin"/>
      </w:r>
      <w:r>
        <w:rPr>
          <w:rFonts w:hint="eastAsia" w:cs="宋体" w:asciiTheme="minorEastAsia" w:hAnsiTheme="minorEastAsia"/>
          <w:sz w:val="24"/>
        </w:rPr>
        <w:instrText xml:space="preserve"> REF _Ref217923836 \h </w:instrText>
      </w:r>
      <w:r>
        <w:rPr>
          <w:rFonts w:hint="eastAsia" w:cs="宋体" w:asciiTheme="minorEastAsia" w:hAnsiTheme="minorEastAsia"/>
          <w:sz w:val="24"/>
        </w:rPr>
        <w:fldChar w:fldCharType="separate"/>
      </w:r>
      <w:r>
        <w:rPr>
          <w:rFonts w:hint="eastAsia" w:asciiTheme="minorEastAsia" w:hAnsiTheme="minorEastAsia"/>
          <w:sz w:val="24"/>
        </w:rPr>
        <w:t>图</w:t>
      </w:r>
      <w:r>
        <w:rPr>
          <w:rFonts w:hint="eastAsia" w:asciiTheme="minorEastAsia" w:hAnsiTheme="minorEastAsia"/>
          <w:sz w:val="24"/>
          <w:lang w:val="en-US" w:eastAsia="zh-CN"/>
        </w:rPr>
        <w:t>6</w:t>
      </w:r>
      <w:r>
        <w:rPr>
          <w:rFonts w:hint="eastAsia" w:cs="宋体" w:asciiTheme="minorEastAsia" w:hAnsiTheme="minorEastAsia"/>
          <w:sz w:val="24"/>
        </w:rPr>
        <w:fldChar w:fldCharType="end"/>
      </w:r>
      <w:r>
        <w:rPr>
          <w:rFonts w:hint="eastAsia" w:cs="宋体" w:asciiTheme="minorEastAsia" w:hAnsiTheme="minorEastAsia"/>
          <w:sz w:val="24"/>
          <w:lang w:val="en-US" w:eastAsia="zh-CN"/>
        </w:rPr>
        <w:t>-1</w:t>
      </w:r>
      <w:r>
        <w:rPr>
          <w:rFonts w:hint="eastAsia" w:cs="宋体" w:asciiTheme="minorEastAsia" w:hAnsiTheme="minorEastAsia"/>
          <w:sz w:val="24"/>
        </w:rPr>
        <w:t>所示：</w:t>
      </w:r>
    </w:p>
    <w:p w14:paraId="4479C06D">
      <w:pPr>
        <w:jc w:val="center"/>
        <w:rPr>
          <w:rFonts w:cs="宋体" w:asciiTheme="minorEastAsia" w:hAnsiTheme="minorEastAsia"/>
          <w:sz w:val="24"/>
        </w:rPr>
      </w:pPr>
      <w:r>
        <w:drawing>
          <wp:inline distT="0" distB="0" distL="114300" distR="114300">
            <wp:extent cx="4994910" cy="2767330"/>
            <wp:effectExtent l="0" t="0" r="8890" b="1270"/>
            <wp:docPr id="20191461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146180" name="图片 1"/>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4994910" cy="2767330"/>
                    </a:xfrm>
                    <a:prstGeom prst="rect">
                      <a:avLst/>
                    </a:prstGeom>
                  </pic:spPr>
                </pic:pic>
              </a:graphicData>
            </a:graphic>
          </wp:inline>
        </w:drawing>
      </w:r>
    </w:p>
    <w:p w14:paraId="13FB94AD">
      <w:pPr>
        <w:pStyle w:val="13"/>
        <w:rPr>
          <w:rFonts w:asciiTheme="minorEastAsia" w:hAnsiTheme="minorEastAsia" w:eastAsiaTheme="minorEastAsia"/>
          <w:szCs w:val="21"/>
        </w:rPr>
      </w:pPr>
      <w:bookmarkStart w:id="449" w:name="_Ref217923836"/>
      <w:r>
        <w:rPr>
          <w:rFonts w:hint="eastAsia" w:asciiTheme="minorEastAsia" w:hAnsiTheme="minorEastAsia" w:eastAsiaTheme="minorEastAsia"/>
          <w:szCs w:val="21"/>
        </w:rPr>
        <w:t>图</w:t>
      </w:r>
      <w:bookmarkEnd w:id="449"/>
      <w:r>
        <w:rPr>
          <w:rFonts w:hint="eastAsia" w:asciiTheme="minorEastAsia" w:hAnsiTheme="minorEastAsia" w:eastAsiaTheme="minorEastAsia"/>
          <w:szCs w:val="21"/>
          <w:lang w:val="en-US" w:eastAsia="zh-CN"/>
        </w:rPr>
        <w:t xml:space="preserve">6-1 </w:t>
      </w:r>
      <w:r>
        <w:rPr>
          <w:rFonts w:hint="eastAsia" w:asciiTheme="minorEastAsia" w:hAnsiTheme="minorEastAsia" w:eastAsiaTheme="minorEastAsia"/>
          <w:szCs w:val="21"/>
        </w:rPr>
        <w:t>货物信息</w:t>
      </w:r>
    </w:p>
    <w:p w14:paraId="3D113DBF">
      <w:pPr>
        <w:pStyle w:val="134"/>
        <w:rPr>
          <w:rFonts w:hint="default"/>
        </w:rPr>
      </w:pPr>
      <w:bookmarkStart w:id="450" w:name="_Toc217490560"/>
      <w:r>
        <w:t>6.2.2入库信息管理模块</w:t>
      </w:r>
      <w:bookmarkEnd w:id="450"/>
    </w:p>
    <w:p w14:paraId="3B584B0D">
      <w:pPr>
        <w:pStyle w:val="134"/>
        <w:rPr>
          <w:rFonts w:hint="default"/>
        </w:rPr>
      </w:pPr>
      <w:r>
        <w:t>功能说明：</w:t>
      </w:r>
    </w:p>
    <w:p w14:paraId="5F4D18AC">
      <w:pPr>
        <w:pStyle w:val="134"/>
        <w:rPr>
          <w:rFonts w:hint="default"/>
        </w:rPr>
      </w:pPr>
      <w:r>
        <w:t>管理员可记录和管理入库信息，包括入库编号、货物名称、入库数量、单价、供应商、入库位置等。</w:t>
      </w:r>
    </w:p>
    <w:p w14:paraId="47501B5F">
      <w:pPr>
        <w:pStyle w:val="134"/>
        <w:rPr>
          <w:rFonts w:hint="default"/>
        </w:rPr>
      </w:pPr>
      <w:r>
        <w:t>使用说明：</w:t>
      </w:r>
    </w:p>
    <w:p w14:paraId="6916F155">
      <w:pPr>
        <w:pStyle w:val="134"/>
        <w:rPr>
          <w:rFonts w:hint="default"/>
        </w:rPr>
      </w:pPr>
      <w:r>
        <w:t>（1）在入库记录页面查看所有入库记录；</w:t>
      </w:r>
    </w:p>
    <w:p w14:paraId="2B743510">
      <w:pPr>
        <w:pStyle w:val="134"/>
        <w:rPr>
          <w:rFonts w:hint="default"/>
        </w:rPr>
      </w:pPr>
      <w:r>
        <w:t>（2）支持按入库编号、货物名称等条件查询；</w:t>
      </w:r>
    </w:p>
    <w:p w14:paraId="0E1D3711">
      <w:pPr>
        <w:pStyle w:val="134"/>
        <w:rPr>
          <w:rFonts w:hint="default"/>
        </w:rPr>
      </w:pPr>
      <w:r>
        <w:t>（3）可添加新的入库记录，填写相关信息后提交。</w:t>
      </w:r>
    </w:p>
    <w:p w14:paraId="564E5F22">
      <w:pPr>
        <w:pStyle w:val="134"/>
        <w:rPr>
          <w:rFonts w:hint="default"/>
        </w:rPr>
      </w:pPr>
      <w:r>
        <w:drawing>
          <wp:anchor distT="0" distB="0" distL="114300" distR="114300" simplePos="0" relativeHeight="251683840" behindDoc="1" locked="0" layoutInCell="1" allowOverlap="1">
            <wp:simplePos x="0" y="0"/>
            <wp:positionH relativeFrom="margin">
              <wp:posOffset>147320</wp:posOffset>
            </wp:positionH>
            <wp:positionV relativeFrom="paragraph">
              <wp:posOffset>392430</wp:posOffset>
            </wp:positionV>
            <wp:extent cx="4975225" cy="2737485"/>
            <wp:effectExtent l="0" t="0" r="0" b="5715"/>
            <wp:wrapTight wrapText="bothSides">
              <wp:wrapPolygon>
                <wp:start x="0" y="0"/>
                <wp:lineTo x="0" y="21545"/>
                <wp:lineTo x="21559" y="21545"/>
                <wp:lineTo x="21559" y="0"/>
                <wp:lineTo x="0" y="0"/>
              </wp:wrapPolygon>
            </wp:wrapTight>
            <wp:docPr id="1378814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1479" name="图片 1"/>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4975225" cy="2737485"/>
                    </a:xfrm>
                    <a:prstGeom prst="rect">
                      <a:avLst/>
                    </a:prstGeom>
                  </pic:spPr>
                </pic:pic>
              </a:graphicData>
            </a:graphic>
          </wp:anchor>
        </w:drawing>
      </w:r>
      <w:r>
        <mc:AlternateContent>
          <mc:Choice Requires="wps">
            <w:drawing>
              <wp:anchor distT="0" distB="0" distL="114300" distR="114300" simplePos="0" relativeHeight="251684864" behindDoc="1" locked="0" layoutInCell="1" allowOverlap="1">
                <wp:simplePos x="0" y="0"/>
                <wp:positionH relativeFrom="margin">
                  <wp:align>center</wp:align>
                </wp:positionH>
                <wp:positionV relativeFrom="paragraph">
                  <wp:posOffset>3044825</wp:posOffset>
                </wp:positionV>
                <wp:extent cx="4975225" cy="635"/>
                <wp:effectExtent l="0" t="0" r="0" b="0"/>
                <wp:wrapTight wrapText="bothSides">
                  <wp:wrapPolygon>
                    <wp:start x="0" y="0"/>
                    <wp:lineTo x="0" y="20769"/>
                    <wp:lineTo x="21559" y="20769"/>
                    <wp:lineTo x="21559" y="0"/>
                    <wp:lineTo x="0" y="0"/>
                  </wp:wrapPolygon>
                </wp:wrapTight>
                <wp:docPr id="368979361" name="文本框 1"/>
                <wp:cNvGraphicFramePr/>
                <a:graphic xmlns:a="http://schemas.openxmlformats.org/drawingml/2006/main">
                  <a:graphicData uri="http://schemas.microsoft.com/office/word/2010/wordprocessingShape">
                    <wps:wsp>
                      <wps:cNvSpPr txBox="1"/>
                      <wps:spPr>
                        <a:xfrm>
                          <a:off x="0" y="0"/>
                          <a:ext cx="4975225" cy="635"/>
                        </a:xfrm>
                        <a:prstGeom prst="rect">
                          <a:avLst/>
                        </a:prstGeom>
                        <a:solidFill>
                          <a:prstClr val="white"/>
                        </a:solidFill>
                        <a:ln>
                          <a:noFill/>
                        </a:ln>
                      </wps:spPr>
                      <wps:txbx>
                        <w:txbxContent>
                          <w:p w14:paraId="55D1C4B2">
                            <w:pPr>
                              <w:pStyle w:val="13"/>
                              <w:rPr>
                                <w:rFonts w:asciiTheme="minorEastAsia" w:hAnsiTheme="minorEastAsia" w:eastAsiaTheme="minorEastAsia"/>
                                <w:szCs w:val="21"/>
                              </w:rPr>
                            </w:pPr>
                            <w:bookmarkStart w:id="1888" w:name="_Ref217923918"/>
                            <w:r>
                              <w:rPr>
                                <w:rFonts w:hint="eastAsia" w:asciiTheme="minorEastAsia" w:hAnsiTheme="minorEastAsia" w:eastAsiaTheme="minorEastAsia"/>
                                <w:szCs w:val="21"/>
                              </w:rPr>
                              <w:t>图</w:t>
                            </w:r>
                            <w:bookmarkEnd w:id="1888"/>
                            <w:r>
                              <w:rPr>
                                <w:rFonts w:hint="eastAsia" w:asciiTheme="minorEastAsia" w:hAnsiTheme="minorEastAsia" w:eastAsiaTheme="minorEastAsia"/>
                                <w:szCs w:val="21"/>
                                <w:lang w:val="en-US" w:eastAsia="zh-CN"/>
                              </w:rPr>
                              <w:t xml:space="preserve">6-2 </w:t>
                            </w:r>
                            <w:r>
                              <w:rPr>
                                <w:rFonts w:hint="eastAsia" w:asciiTheme="minorEastAsia" w:hAnsiTheme="minorEastAsia" w:eastAsiaTheme="minorEastAsia"/>
                                <w:szCs w:val="21"/>
                              </w:rPr>
                              <w:t>入库信息管理页面</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239.75pt;height:0.05pt;width:391.75pt;mso-position-horizontal:center;mso-position-horizontal-relative:margin;mso-wrap-distance-left:9pt;mso-wrap-distance-right:9pt;z-index:-251631616;mso-width-relative:page;mso-height-relative:page;" fillcolor="#FFFFFF" filled="t" stroked="f" coordsize="21600,21600" wrapcoords="0 0 0 20769 21559 20769 21559 0 0 0" o:gfxdata="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jq81nZAAAACAEAAA8AAAAAAAAAAQAgAAAA&#10;IgAAAGRycy9kb3ducmV2LnhtbFBLAQIUABQAAAAIAIdO4kDfENCZQwIAAHoEAAAOAAAAAAAAAAEA&#10;IAAAACgBAABkcnMvZTJvRG9jLnhtbFBLBQYAAAAABgAGAFkBAADdBQAAAAA=&#10;">
                <v:fill on="t" focussize="0,0"/>
                <v:stroke on="f"/>
                <v:imagedata o:title=""/>
                <o:lock v:ext="edit" aspectratio="f"/>
                <v:textbox inset="0mm,0mm,0mm,0mm" style="mso-fit-shape-to-text:t;">
                  <w:txbxContent>
                    <w:p w14:paraId="55D1C4B2">
                      <w:pPr>
                        <w:pStyle w:val="13"/>
                        <w:rPr>
                          <w:rFonts w:asciiTheme="minorEastAsia" w:hAnsiTheme="minorEastAsia" w:eastAsiaTheme="minorEastAsia"/>
                          <w:szCs w:val="21"/>
                        </w:rPr>
                      </w:pPr>
                      <w:bookmarkStart w:id="1888" w:name="_Ref217923918"/>
                      <w:r>
                        <w:rPr>
                          <w:rFonts w:hint="eastAsia" w:asciiTheme="minorEastAsia" w:hAnsiTheme="minorEastAsia" w:eastAsiaTheme="minorEastAsia"/>
                          <w:szCs w:val="21"/>
                        </w:rPr>
                        <w:t>图</w:t>
                      </w:r>
                      <w:bookmarkEnd w:id="1888"/>
                      <w:r>
                        <w:rPr>
                          <w:rFonts w:hint="eastAsia" w:asciiTheme="minorEastAsia" w:hAnsiTheme="minorEastAsia" w:eastAsiaTheme="minorEastAsia"/>
                          <w:szCs w:val="21"/>
                          <w:lang w:val="en-US" w:eastAsia="zh-CN"/>
                        </w:rPr>
                        <w:t xml:space="preserve">6-2 </w:t>
                      </w:r>
                      <w:r>
                        <w:rPr>
                          <w:rFonts w:hint="eastAsia" w:asciiTheme="minorEastAsia" w:hAnsiTheme="minorEastAsia" w:eastAsiaTheme="minorEastAsia"/>
                          <w:szCs w:val="21"/>
                        </w:rPr>
                        <w:t>入库信息管理页面</w:t>
                      </w:r>
                    </w:p>
                  </w:txbxContent>
                </v:textbox>
                <w10:wrap type="tight"/>
              </v:shape>
            </w:pict>
          </mc:Fallback>
        </mc:AlternateContent>
      </w:r>
      <w:r>
        <w:t>入库信息管理如下</w:t>
      </w:r>
      <w:r>
        <w:fldChar w:fldCharType="begin"/>
      </w:r>
      <w:r>
        <w:instrText xml:space="preserve"> REF _Ref217923918 \h </w:instrText>
      </w:r>
      <w:r>
        <w:fldChar w:fldCharType="separate"/>
      </w:r>
      <w:r>
        <w:t>图</w:t>
      </w:r>
      <w:r>
        <w:rPr>
          <w:rFonts w:hint="eastAsia"/>
          <w:lang w:val="en-US" w:eastAsia="zh-CN"/>
        </w:rPr>
        <w:t>6</w:t>
      </w:r>
      <w:r>
        <w:fldChar w:fldCharType="end"/>
      </w:r>
      <w:r>
        <w:rPr>
          <w:rFonts w:hint="eastAsia"/>
          <w:lang w:val="en-US" w:eastAsia="zh-CN"/>
        </w:rPr>
        <w:t>-2</w:t>
      </w:r>
      <w:r>
        <w:t>所示：</w:t>
      </w:r>
    </w:p>
    <w:p w14:paraId="48D68333">
      <w:pPr>
        <w:pStyle w:val="134"/>
        <w:rPr>
          <w:rFonts w:hint="default"/>
        </w:rPr>
      </w:pPr>
      <w:bookmarkStart w:id="451" w:name="_Toc217490561"/>
      <w:r>
        <w:t>6.2.3出库信息管理模块</w:t>
      </w:r>
      <w:bookmarkEnd w:id="451"/>
    </w:p>
    <w:p w14:paraId="1B0F8FE5">
      <w:pPr>
        <w:pStyle w:val="134"/>
        <w:rPr>
          <w:rFonts w:hint="default"/>
        </w:rPr>
      </w:pPr>
      <w:r>
        <w:t>功能说明：</w:t>
      </w:r>
    </w:p>
    <w:p w14:paraId="18BA705F">
      <w:pPr>
        <w:pStyle w:val="134"/>
        <w:rPr>
          <w:rFonts w:hint="default"/>
        </w:rPr>
      </w:pPr>
      <w:r>
        <w:t>本模块用于记录和管理货物的出库信息，包括出库编号、货物名称、货物类型、出库数量、单价、总金额、客户信息、出库类型、出库位置及出库日期等。管理员可通过此模块跟踪货物出库情况，确保库存数据的准确性和可追溯性。</w:t>
      </w:r>
    </w:p>
    <w:p w14:paraId="0E62E654">
      <w:pPr>
        <w:pStyle w:val="134"/>
        <w:rPr>
          <w:rFonts w:hint="default"/>
        </w:rPr>
      </w:pPr>
      <w:r>
        <w:t>使用说明：</w:t>
      </w:r>
    </w:p>
    <w:p w14:paraId="2600A8C9">
      <w:pPr>
        <w:pStyle w:val="134"/>
        <w:rPr>
          <w:rFonts w:hint="default"/>
        </w:rPr>
      </w:pPr>
      <w:r>
        <w:t>（1）登录系统后，在左侧菜单栏点击“出库信息管理”，进入出库记录列表页面；</w:t>
      </w:r>
    </w:p>
    <w:p w14:paraId="4E9BE057">
      <w:pPr>
        <w:pStyle w:val="134"/>
        <w:rPr>
          <w:rFonts w:hint="default"/>
        </w:rPr>
      </w:pPr>
      <w:r>
        <w:t>（2）页面以表格形式展示所有出库记录，包括“出库编号”、“货物名称”、“出库数量”、“客户”、“出库日期”等关键信息；</w:t>
      </w:r>
    </w:p>
    <w:p w14:paraId="4F2BA147">
      <w:pPr>
        <w:pStyle w:val="134"/>
        <w:rPr>
          <w:rFonts w:hint="default"/>
        </w:rPr>
      </w:pPr>
      <w:r>
        <w:t>（3）支持通过“出库编号”或“货物名称”进行快速查询；</w:t>
      </w:r>
    </w:p>
    <w:p w14:paraId="178F2CEF">
      <w:pPr>
        <w:pStyle w:val="134"/>
        <w:rPr>
          <w:rFonts w:hint="default"/>
        </w:rPr>
      </w:pPr>
      <w:r>
        <w:t>（4）点击“新增出库”按钮，可进入出库信息填写页面，选择货物、填写出库数量、选择客户及出库位置等信息；</w:t>
      </w:r>
    </w:p>
    <w:p w14:paraId="7C54341B">
      <w:pPr>
        <w:pStyle w:val="134"/>
        <w:rPr>
          <w:rFonts w:hint="default"/>
        </w:rPr>
      </w:pPr>
      <w:r>
        <w:t>（5）在每条记录的“操作”列中，点击“编辑”可修改该出库信息，点击“修改”可更新出库状态；</w:t>
      </w:r>
    </w:p>
    <w:p w14:paraId="2972550F">
      <w:pPr>
        <w:pStyle w:val="134"/>
        <w:rPr>
          <w:rFonts w:hint="default"/>
        </w:rPr>
      </w:pPr>
      <w:r>
        <w:t>（6）出库记录提交后，系统自动更新库存数量，并生成出库记录。</w:t>
      </w:r>
    </w:p>
    <w:p w14:paraId="7928BC6B">
      <w:pPr>
        <w:pStyle w:val="134"/>
        <w:rPr>
          <w:rFonts w:hint="default"/>
        </w:rPr>
      </w:pPr>
      <w:r>
        <w:drawing>
          <wp:anchor distT="0" distB="0" distL="114300" distR="114300" simplePos="0" relativeHeight="251685888" behindDoc="1" locked="0" layoutInCell="1" allowOverlap="1">
            <wp:simplePos x="0" y="0"/>
            <wp:positionH relativeFrom="margin">
              <wp:align>center</wp:align>
            </wp:positionH>
            <wp:positionV relativeFrom="paragraph">
              <wp:posOffset>367665</wp:posOffset>
            </wp:positionV>
            <wp:extent cx="5751830" cy="3172460"/>
            <wp:effectExtent l="0" t="0" r="1270" b="8890"/>
            <wp:wrapTight wrapText="bothSides">
              <wp:wrapPolygon>
                <wp:start x="0" y="0"/>
                <wp:lineTo x="0" y="21531"/>
                <wp:lineTo x="21557" y="21531"/>
                <wp:lineTo x="21557" y="0"/>
                <wp:lineTo x="0" y="0"/>
              </wp:wrapPolygon>
            </wp:wrapTight>
            <wp:docPr id="326104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04179" name="图片 1"/>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751830" cy="3172460"/>
                    </a:xfrm>
                    <a:prstGeom prst="rect">
                      <a:avLst/>
                    </a:prstGeom>
                  </pic:spPr>
                </pic:pic>
              </a:graphicData>
            </a:graphic>
          </wp:anchor>
        </w:drawing>
      </w:r>
      <w:r>
        <mc:AlternateContent>
          <mc:Choice Requires="wps">
            <w:drawing>
              <wp:anchor distT="0" distB="0" distL="114300" distR="114300" simplePos="0" relativeHeight="251686912" behindDoc="1" locked="0" layoutInCell="1" allowOverlap="1">
                <wp:simplePos x="0" y="0"/>
                <wp:positionH relativeFrom="margin">
                  <wp:align>center</wp:align>
                </wp:positionH>
                <wp:positionV relativeFrom="paragraph">
                  <wp:posOffset>3579495</wp:posOffset>
                </wp:positionV>
                <wp:extent cx="5751830" cy="635"/>
                <wp:effectExtent l="0" t="0" r="1270" b="0"/>
                <wp:wrapTight wrapText="bothSides">
                  <wp:wrapPolygon>
                    <wp:start x="0" y="0"/>
                    <wp:lineTo x="0" y="20769"/>
                    <wp:lineTo x="21557" y="20769"/>
                    <wp:lineTo x="21557" y="0"/>
                    <wp:lineTo x="0" y="0"/>
                  </wp:wrapPolygon>
                </wp:wrapTight>
                <wp:docPr id="1875475649" name="文本框 1"/>
                <wp:cNvGraphicFramePr/>
                <a:graphic xmlns:a="http://schemas.openxmlformats.org/drawingml/2006/main">
                  <a:graphicData uri="http://schemas.microsoft.com/office/word/2010/wordprocessingShape">
                    <wps:wsp>
                      <wps:cNvSpPr txBox="1"/>
                      <wps:spPr>
                        <a:xfrm>
                          <a:off x="0" y="0"/>
                          <a:ext cx="5751830" cy="635"/>
                        </a:xfrm>
                        <a:prstGeom prst="rect">
                          <a:avLst/>
                        </a:prstGeom>
                        <a:solidFill>
                          <a:prstClr val="white"/>
                        </a:solidFill>
                        <a:ln>
                          <a:noFill/>
                        </a:ln>
                      </wps:spPr>
                      <wps:txbx>
                        <w:txbxContent>
                          <w:p w14:paraId="2A1BA289">
                            <w:pPr>
                              <w:pStyle w:val="13"/>
                              <w:rPr>
                                <w:rFonts w:cs="Times New Roman" w:asciiTheme="minorEastAsia" w:hAnsiTheme="minorEastAsia" w:eastAsiaTheme="minorEastAsia"/>
                                <w:szCs w:val="21"/>
                              </w:rPr>
                            </w:pPr>
                            <w:bookmarkStart w:id="1889" w:name="_Ref217924070"/>
                            <w:r>
                              <w:rPr>
                                <w:rFonts w:hint="eastAsia" w:asciiTheme="minorEastAsia" w:hAnsiTheme="minorEastAsia" w:eastAsiaTheme="minorEastAsia"/>
                                <w:szCs w:val="21"/>
                              </w:rPr>
                              <w:t>图</w:t>
                            </w:r>
                            <w:bookmarkEnd w:id="1889"/>
                            <w:r>
                              <w:rPr>
                                <w:rFonts w:hint="eastAsia" w:asciiTheme="minorEastAsia" w:hAnsiTheme="minorEastAsia" w:eastAsiaTheme="minorEastAsia"/>
                                <w:szCs w:val="21"/>
                                <w:lang w:val="en-US" w:eastAsia="zh-CN"/>
                              </w:rPr>
                              <w:t xml:space="preserve">6-3 </w:t>
                            </w:r>
                            <w:r>
                              <w:rPr>
                                <w:rFonts w:hint="eastAsia" w:asciiTheme="minorEastAsia" w:hAnsiTheme="minorEastAsia" w:eastAsiaTheme="minorEastAsia"/>
                                <w:szCs w:val="21"/>
                              </w:rPr>
                              <w:t>出库信息管理页面</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281.85pt;height:0.05pt;width:452.9pt;mso-position-horizontal:center;mso-position-horizontal-relative:margin;mso-wrap-distance-left:9pt;mso-wrap-distance-right:9pt;z-index:-251629568;mso-width-relative:page;mso-height-relative:page;" fillcolor="#FFFFFF" filled="t" stroked="f" coordsize="21600,21600" wrapcoords="0 0 0 20769 21557 20769 21557 0 0 0" o:gfxdata="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xaBrNgAAAAIAQAADwAAAAAAAAABACAAAAAi&#10;AAAAZHJzL2Rvd25yZXYueG1sUEsBAhQAFAAAAAgAh07iQF4IP2BDAgAAewQAAA4AAAAAAAAAAQAg&#10;AAAAJwEAAGRycy9lMm9Eb2MueG1sUEsFBgAAAAAGAAYAWQEAANwFAAAAAA==&#10;">
                <v:fill on="t" focussize="0,0"/>
                <v:stroke on="f"/>
                <v:imagedata o:title=""/>
                <o:lock v:ext="edit" aspectratio="f"/>
                <v:textbox inset="0mm,0mm,0mm,0mm" style="mso-fit-shape-to-text:t;">
                  <w:txbxContent>
                    <w:p w14:paraId="2A1BA289">
                      <w:pPr>
                        <w:pStyle w:val="13"/>
                        <w:rPr>
                          <w:rFonts w:cs="Times New Roman" w:asciiTheme="minorEastAsia" w:hAnsiTheme="minorEastAsia" w:eastAsiaTheme="minorEastAsia"/>
                          <w:szCs w:val="21"/>
                        </w:rPr>
                      </w:pPr>
                      <w:bookmarkStart w:id="1889" w:name="_Ref217924070"/>
                      <w:r>
                        <w:rPr>
                          <w:rFonts w:hint="eastAsia" w:asciiTheme="minorEastAsia" w:hAnsiTheme="minorEastAsia" w:eastAsiaTheme="minorEastAsia"/>
                          <w:szCs w:val="21"/>
                        </w:rPr>
                        <w:t>图</w:t>
                      </w:r>
                      <w:bookmarkEnd w:id="1889"/>
                      <w:r>
                        <w:rPr>
                          <w:rFonts w:hint="eastAsia" w:asciiTheme="minorEastAsia" w:hAnsiTheme="minorEastAsia" w:eastAsiaTheme="minorEastAsia"/>
                          <w:szCs w:val="21"/>
                          <w:lang w:val="en-US" w:eastAsia="zh-CN"/>
                        </w:rPr>
                        <w:t xml:space="preserve">6-3 </w:t>
                      </w:r>
                      <w:r>
                        <w:rPr>
                          <w:rFonts w:hint="eastAsia" w:asciiTheme="minorEastAsia" w:hAnsiTheme="minorEastAsia" w:eastAsiaTheme="minorEastAsia"/>
                          <w:szCs w:val="21"/>
                        </w:rPr>
                        <w:t>出库信息管理页面</w:t>
                      </w:r>
                    </w:p>
                  </w:txbxContent>
                </v:textbox>
                <w10:wrap type="tight"/>
              </v:shape>
            </w:pict>
          </mc:Fallback>
        </mc:AlternateContent>
      </w:r>
      <w:r>
        <w:t>出库页面信息管理如下</w:t>
      </w:r>
      <w:r>
        <w:fldChar w:fldCharType="begin"/>
      </w:r>
      <w:r>
        <w:instrText xml:space="preserve"> REF _Ref217924070 \h </w:instrText>
      </w:r>
      <w:r>
        <w:fldChar w:fldCharType="separate"/>
      </w:r>
      <w:r>
        <w:t>图</w:t>
      </w:r>
      <w:r>
        <w:rPr>
          <w:rFonts w:hint="eastAsia"/>
          <w:lang w:val="en-US" w:eastAsia="zh-CN"/>
        </w:rPr>
        <w:t>6</w:t>
      </w:r>
      <w:r>
        <w:fldChar w:fldCharType="end"/>
      </w:r>
      <w:r>
        <w:rPr>
          <w:rFonts w:hint="eastAsia"/>
          <w:lang w:val="en-US" w:eastAsia="zh-CN"/>
        </w:rPr>
        <w:t>-3</w:t>
      </w:r>
      <w:r>
        <w:t>所示：</w:t>
      </w:r>
      <w:bookmarkStart w:id="452" w:name="_Toc217490562"/>
    </w:p>
    <w:p w14:paraId="3124DE67">
      <w:pPr>
        <w:pStyle w:val="134"/>
        <w:rPr>
          <w:rFonts w:hint="default"/>
        </w:rPr>
      </w:pPr>
      <w:r>
        <w:t>6.2.4供应商与客户管理模块</w:t>
      </w:r>
      <w:bookmarkEnd w:id="452"/>
    </w:p>
    <w:p w14:paraId="76D82C62">
      <w:pPr>
        <w:pStyle w:val="134"/>
        <w:rPr>
          <w:rFonts w:hint="default"/>
        </w:rPr>
      </w:pPr>
      <w:r>
        <w:t>功能说明：</w:t>
      </w:r>
    </w:p>
    <w:p w14:paraId="49E7790F">
      <w:pPr>
        <w:pStyle w:val="134"/>
        <w:rPr>
          <w:rFonts w:hint="default"/>
        </w:rPr>
      </w:pPr>
      <w:r>
        <w:t>管理员可通过此模块维护系统中所有供应商和客户的基本信息，包括名称、联系人、联系方式、地址等。该模块为入库和出库业务提供基础数据支持，确保在操作过程中能快速选择对应的供应商或客户。</w:t>
      </w:r>
    </w:p>
    <w:p w14:paraId="0A172E7C">
      <w:pPr>
        <w:pStyle w:val="134"/>
        <w:rPr>
          <w:rFonts w:hint="default"/>
        </w:rPr>
      </w:pPr>
      <w:r>
        <w:t>使用说明：</w:t>
      </w:r>
    </w:p>
    <w:p w14:paraId="49719983">
      <w:pPr>
        <w:pStyle w:val="134"/>
        <w:rPr>
          <w:rFonts w:hint="default"/>
        </w:rPr>
      </w:pPr>
      <w:r>
        <w:t>（1）系统左侧菜单栏中选择“供应商信息”或“客户信息”，进入对应管理页面；</w:t>
      </w:r>
    </w:p>
    <w:p w14:paraId="1CD5F71A">
      <w:pPr>
        <w:pStyle w:val="134"/>
        <w:rPr>
          <w:rFonts w:hint="default"/>
        </w:rPr>
      </w:pPr>
      <w:r>
        <w:t>（2）页面以列表形式展示所有供应商/客户信息，支持按名称或联系人进行搜索；</w:t>
      </w:r>
    </w:p>
    <w:p w14:paraId="65F1E9F2">
      <w:pPr>
        <w:pStyle w:val="134"/>
        <w:rPr>
          <w:rFonts w:hint="default"/>
        </w:rPr>
      </w:pPr>
      <w:r>
        <w:t>（3）点击“新增”按钮，可添加新的供应商或客户信息，填写必填字段后保存；</w:t>
      </w:r>
    </w:p>
    <w:p w14:paraId="01CD7EA1">
      <w:pPr>
        <w:pStyle w:val="134"/>
        <w:rPr>
          <w:rFonts w:hint="default"/>
        </w:rPr>
      </w:pPr>
      <w:r>
        <w:t>（4）在每条记录的“操作”列中，点击“编辑”可修改信息，点击“删除”可移除该记录；</w:t>
      </w:r>
    </w:p>
    <w:p w14:paraId="219731E3">
      <w:pPr>
        <w:pStyle w:val="134"/>
        <w:rPr>
          <w:rFonts w:hint="default"/>
        </w:rPr>
      </w:pPr>
      <w:r>
        <w:t>（5）在入库或出库操作时，可直接从下拉列表中选择已维护的供应商或客户，提升操作效率。</w:t>
      </w:r>
    </w:p>
    <w:p w14:paraId="292744C3">
      <w:pPr>
        <w:pStyle w:val="134"/>
        <w:rPr>
          <w:rFonts w:hint="default"/>
        </w:rPr>
      </w:pPr>
      <w:r>
        <w:drawing>
          <wp:anchor distT="0" distB="0" distL="114300" distR="114300" simplePos="0" relativeHeight="251687936" behindDoc="1" locked="0" layoutInCell="1" allowOverlap="1">
            <wp:simplePos x="0" y="0"/>
            <wp:positionH relativeFrom="margin">
              <wp:align>right</wp:align>
            </wp:positionH>
            <wp:positionV relativeFrom="paragraph">
              <wp:posOffset>339725</wp:posOffset>
            </wp:positionV>
            <wp:extent cx="5274310" cy="2781300"/>
            <wp:effectExtent l="0" t="0" r="2540" b="0"/>
            <wp:wrapTight wrapText="bothSides">
              <wp:wrapPolygon>
                <wp:start x="0" y="0"/>
                <wp:lineTo x="0" y="21501"/>
                <wp:lineTo x="21532" y="21501"/>
                <wp:lineTo x="21532" y="0"/>
                <wp:lineTo x="0" y="0"/>
              </wp:wrapPolygon>
            </wp:wrapTight>
            <wp:docPr id="473552610" name="图片 7"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52610" name="图片 7" descr="图形用户界面, 应用程序&#10;&#10;AI 生成的内容可能不正确。"/>
                    <pic:cNvPicPr>
                      <a:picLocks noChangeAspect="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274310" cy="2781300"/>
                    </a:xfrm>
                    <a:prstGeom prst="rect">
                      <a:avLst/>
                    </a:prstGeom>
                  </pic:spPr>
                </pic:pic>
              </a:graphicData>
            </a:graphic>
          </wp:anchor>
        </w:drawing>
      </w:r>
      <w:r>
        <mc:AlternateContent>
          <mc:Choice Requires="wps">
            <w:drawing>
              <wp:anchor distT="0" distB="0" distL="114300" distR="114300" simplePos="0" relativeHeight="251689984" behindDoc="1" locked="0" layoutInCell="1" allowOverlap="1">
                <wp:simplePos x="0" y="0"/>
                <wp:positionH relativeFrom="margin">
                  <wp:align>right</wp:align>
                </wp:positionH>
                <wp:positionV relativeFrom="paragraph">
                  <wp:posOffset>3135630</wp:posOffset>
                </wp:positionV>
                <wp:extent cx="5274310" cy="635"/>
                <wp:effectExtent l="0" t="0" r="2540" b="0"/>
                <wp:wrapTight wrapText="bothSides">
                  <wp:wrapPolygon>
                    <wp:start x="0" y="0"/>
                    <wp:lineTo x="0" y="20769"/>
                    <wp:lineTo x="21532" y="20769"/>
                    <wp:lineTo x="21532" y="0"/>
                    <wp:lineTo x="0" y="0"/>
                  </wp:wrapPolygon>
                </wp:wrapTight>
                <wp:docPr id="701299266" name="文本框 1"/>
                <wp:cNvGraphicFramePr/>
                <a:graphic xmlns:a="http://schemas.openxmlformats.org/drawingml/2006/main">
                  <a:graphicData uri="http://schemas.microsoft.com/office/word/2010/wordprocessingShape">
                    <wps:wsp>
                      <wps:cNvSpPr txBox="1"/>
                      <wps:spPr>
                        <a:xfrm>
                          <a:off x="0" y="0"/>
                          <a:ext cx="5274310" cy="635"/>
                        </a:xfrm>
                        <a:prstGeom prst="rect">
                          <a:avLst/>
                        </a:prstGeom>
                        <a:solidFill>
                          <a:prstClr val="white"/>
                        </a:solidFill>
                        <a:ln>
                          <a:noFill/>
                        </a:ln>
                      </wps:spPr>
                      <wps:txbx>
                        <w:txbxContent>
                          <w:p w14:paraId="238CB3DF">
                            <w:pPr>
                              <w:pStyle w:val="13"/>
                              <w:rPr>
                                <w:rFonts w:asciiTheme="minorEastAsia" w:hAnsiTheme="minorEastAsia" w:eastAsiaTheme="minorEastAsia"/>
                                <w:b/>
                                <w:bCs/>
                                <w:szCs w:val="21"/>
                              </w:rPr>
                            </w:pPr>
                            <w:bookmarkStart w:id="1890" w:name="_Ref217935197"/>
                            <w:r>
                              <w:rPr>
                                <w:rFonts w:hint="eastAsia" w:asciiTheme="minorEastAsia" w:hAnsiTheme="minorEastAsia" w:eastAsiaTheme="minorEastAsia"/>
                                <w:szCs w:val="21"/>
                              </w:rPr>
                              <w:t>图</w:t>
                            </w:r>
                            <w:bookmarkEnd w:id="1890"/>
                            <w:r>
                              <w:rPr>
                                <w:rFonts w:hint="eastAsia" w:asciiTheme="minorEastAsia" w:hAnsiTheme="minorEastAsia" w:eastAsiaTheme="minorEastAsia"/>
                                <w:szCs w:val="21"/>
                                <w:lang w:val="en-US" w:eastAsia="zh-CN"/>
                              </w:rPr>
                              <w:t xml:space="preserve">6-4 </w:t>
                            </w:r>
                            <w:r>
                              <w:rPr>
                                <w:rFonts w:hint="eastAsia" w:asciiTheme="minorEastAsia" w:hAnsiTheme="minorEastAsia" w:eastAsiaTheme="minorEastAsia"/>
                                <w:szCs w:val="21"/>
                              </w:rPr>
                              <w:t>客户信息管理页面</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246.9pt;height:0.05pt;width:415.3pt;mso-position-horizontal:right;mso-position-horizontal-relative:margin;mso-wrap-distance-left:9pt;mso-wrap-distance-right:9pt;z-index:-251626496;mso-width-relative:page;mso-height-relative:page;" fillcolor="#FFFFFF" filled="t" stroked="f" coordsize="21600,21600" wrapcoords="0 0 0 20769 21532 20769 21532 0 0 0" o:gfxdata="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k2Kc62AAAAAgBAAAPAAAAAAAAAAEAIAAAACIA&#10;AABkcnMvZG93bnJldi54bWxQSwECFAAUAAAACACHTuJAIWyDnUICAAB6BAAADgAAAAAAAAABACAA&#10;AAAnAQAAZHJzL2Uyb0RvYy54bWxQSwUGAAAAAAYABgBZAQAA2wUAAAAA&#10;">
                <v:fill on="t" focussize="0,0"/>
                <v:stroke on="f"/>
                <v:imagedata o:title=""/>
                <o:lock v:ext="edit" aspectratio="f"/>
                <v:textbox inset="0mm,0mm,0mm,0mm" style="mso-fit-shape-to-text:t;">
                  <w:txbxContent>
                    <w:p w14:paraId="238CB3DF">
                      <w:pPr>
                        <w:pStyle w:val="13"/>
                        <w:rPr>
                          <w:rFonts w:asciiTheme="minorEastAsia" w:hAnsiTheme="minorEastAsia" w:eastAsiaTheme="minorEastAsia"/>
                          <w:b/>
                          <w:bCs/>
                          <w:szCs w:val="21"/>
                        </w:rPr>
                      </w:pPr>
                      <w:bookmarkStart w:id="1890" w:name="_Ref217935197"/>
                      <w:r>
                        <w:rPr>
                          <w:rFonts w:hint="eastAsia" w:asciiTheme="minorEastAsia" w:hAnsiTheme="minorEastAsia" w:eastAsiaTheme="minorEastAsia"/>
                          <w:szCs w:val="21"/>
                        </w:rPr>
                        <w:t>图</w:t>
                      </w:r>
                      <w:bookmarkEnd w:id="1890"/>
                      <w:r>
                        <w:rPr>
                          <w:rFonts w:hint="eastAsia" w:asciiTheme="minorEastAsia" w:hAnsiTheme="minorEastAsia" w:eastAsiaTheme="minorEastAsia"/>
                          <w:szCs w:val="21"/>
                          <w:lang w:val="en-US" w:eastAsia="zh-CN"/>
                        </w:rPr>
                        <w:t xml:space="preserve">6-4 </w:t>
                      </w:r>
                      <w:r>
                        <w:rPr>
                          <w:rFonts w:hint="eastAsia" w:asciiTheme="minorEastAsia" w:hAnsiTheme="minorEastAsia" w:eastAsiaTheme="minorEastAsia"/>
                          <w:szCs w:val="21"/>
                        </w:rPr>
                        <w:t>客户信息管理页面</w:t>
                      </w:r>
                    </w:p>
                  </w:txbxContent>
                </v:textbox>
                <w10:wrap type="tight"/>
              </v:shape>
            </w:pict>
          </mc:Fallback>
        </mc:AlternateContent>
      </w:r>
      <w:r>
        <w:t>界面示意，如</w:t>
      </w:r>
      <w:r>
        <w:fldChar w:fldCharType="begin"/>
      </w:r>
      <w:r>
        <w:instrText xml:space="preserve"> REF _Ref217935197 \h </w:instrText>
      </w:r>
      <w:r>
        <w:fldChar w:fldCharType="separate"/>
      </w:r>
      <w:r>
        <w:t>图</w:t>
      </w:r>
      <w:r>
        <w:rPr>
          <w:rFonts w:hint="eastAsia"/>
          <w:lang w:val="en-US" w:eastAsia="zh-CN"/>
        </w:rPr>
        <w:t>6</w:t>
      </w:r>
      <w:r>
        <w:fldChar w:fldCharType="end"/>
      </w:r>
      <w:r>
        <w:rPr>
          <w:rFonts w:hint="eastAsia"/>
          <w:lang w:val="en-US" w:eastAsia="zh-CN"/>
        </w:rPr>
        <w:t>-4</w:t>
      </w:r>
      <w:r>
        <w:t>、</w:t>
      </w:r>
      <w:r>
        <w:fldChar w:fldCharType="begin"/>
      </w:r>
      <w:r>
        <w:instrText xml:space="preserve"> REF _Ref217935201 \h </w:instrText>
      </w:r>
      <w:r>
        <w:fldChar w:fldCharType="separate"/>
      </w:r>
      <w:r>
        <w:t>图</w:t>
      </w:r>
      <w:r>
        <w:rPr>
          <w:rFonts w:hint="eastAsia"/>
          <w:lang w:val="en-US" w:eastAsia="zh-CN"/>
        </w:rPr>
        <w:t>6</w:t>
      </w:r>
      <w:r>
        <w:fldChar w:fldCharType="end"/>
      </w:r>
      <w:r>
        <w:rPr>
          <w:rFonts w:hint="eastAsia"/>
          <w:lang w:val="en-US" w:eastAsia="zh-CN"/>
        </w:rPr>
        <w:t>-5</w:t>
      </w:r>
      <w:r>
        <w:t>所示：</w:t>
      </w:r>
      <w:bookmarkStart w:id="453" w:name="_Toc217490563"/>
    </w:p>
    <w:p w14:paraId="469E7693">
      <w:pPr>
        <w:spacing w:line="440" w:lineRule="exact"/>
        <w:jc w:val="left"/>
        <w:rPr>
          <w:rFonts w:ascii="宋体" w:hAnsi="宋体" w:cs="宋体"/>
          <w:b/>
          <w:bCs/>
          <w:sz w:val="28"/>
          <w:szCs w:val="28"/>
        </w:rPr>
      </w:pPr>
      <w:r>
        <w:rPr>
          <w:rFonts w:ascii="宋体" w:hAnsi="宋体" w:cs="宋体"/>
          <w:b/>
          <w:bCs/>
          <w:sz w:val="28"/>
          <w:szCs w:val="28"/>
        </w:rPr>
        <w:drawing>
          <wp:anchor distT="0" distB="0" distL="114300" distR="114300" simplePos="0" relativeHeight="251688960" behindDoc="1" locked="0" layoutInCell="1" allowOverlap="1">
            <wp:simplePos x="0" y="0"/>
            <wp:positionH relativeFrom="margin">
              <wp:posOffset>2540</wp:posOffset>
            </wp:positionH>
            <wp:positionV relativeFrom="paragraph">
              <wp:posOffset>27305</wp:posOffset>
            </wp:positionV>
            <wp:extent cx="5274310" cy="2750820"/>
            <wp:effectExtent l="0" t="0" r="8890" b="5080"/>
            <wp:wrapTight wrapText="bothSides">
              <wp:wrapPolygon>
                <wp:start x="0" y="0"/>
                <wp:lineTo x="0" y="21540"/>
                <wp:lineTo x="21532" y="21540"/>
                <wp:lineTo x="21532" y="0"/>
                <wp:lineTo x="0" y="0"/>
              </wp:wrapPolygon>
            </wp:wrapTight>
            <wp:docPr id="2114428558" name="图片 8" descr="电脑软件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428558" name="图片 8" descr="电脑软件截图&#10;&#10;AI 生成的内容可能不正确。"/>
                    <pic:cNvPicPr>
                      <a:picLocks noChangeAspect="1"/>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274310" cy="2750820"/>
                    </a:xfrm>
                    <a:prstGeom prst="rect">
                      <a:avLst/>
                    </a:prstGeom>
                  </pic:spPr>
                </pic:pic>
              </a:graphicData>
            </a:graphic>
          </wp:anchor>
        </w:drawing>
      </w:r>
      <w:r>
        <w:rPr>
          <w:sz w:val="28"/>
          <w:szCs w:val="28"/>
        </w:rPr>
        <mc:AlternateContent>
          <mc:Choice Requires="wps">
            <w:drawing>
              <wp:anchor distT="0" distB="0" distL="114300" distR="114300" simplePos="0" relativeHeight="251691008" behindDoc="1" locked="0" layoutInCell="1" allowOverlap="1">
                <wp:simplePos x="0" y="0"/>
                <wp:positionH relativeFrom="margin">
                  <wp:posOffset>33655</wp:posOffset>
                </wp:positionH>
                <wp:positionV relativeFrom="paragraph">
                  <wp:posOffset>2865120</wp:posOffset>
                </wp:positionV>
                <wp:extent cx="5274310" cy="635"/>
                <wp:effectExtent l="0" t="0" r="0" b="0"/>
                <wp:wrapTight wrapText="bothSides">
                  <wp:wrapPolygon>
                    <wp:start x="0" y="0"/>
                    <wp:lineTo x="0" y="20769"/>
                    <wp:lineTo x="21532" y="20769"/>
                    <wp:lineTo x="21532" y="0"/>
                    <wp:lineTo x="0" y="0"/>
                  </wp:wrapPolygon>
                </wp:wrapTight>
                <wp:docPr id="1529984319" name="文本框 1"/>
                <wp:cNvGraphicFramePr/>
                <a:graphic xmlns:a="http://schemas.openxmlformats.org/drawingml/2006/main">
                  <a:graphicData uri="http://schemas.microsoft.com/office/word/2010/wordprocessingShape">
                    <wps:wsp>
                      <wps:cNvSpPr txBox="1"/>
                      <wps:spPr>
                        <a:xfrm>
                          <a:off x="0" y="0"/>
                          <a:ext cx="5274310" cy="635"/>
                        </a:xfrm>
                        <a:prstGeom prst="rect">
                          <a:avLst/>
                        </a:prstGeom>
                        <a:solidFill>
                          <a:prstClr val="white"/>
                        </a:solidFill>
                        <a:ln>
                          <a:noFill/>
                        </a:ln>
                      </wps:spPr>
                      <wps:txbx>
                        <w:txbxContent>
                          <w:p w14:paraId="1D18D86E">
                            <w:pPr>
                              <w:pStyle w:val="13"/>
                              <w:rPr>
                                <w:rFonts w:asciiTheme="minorEastAsia" w:hAnsiTheme="minorEastAsia" w:eastAsiaTheme="minorEastAsia"/>
                                <w:b/>
                                <w:bCs/>
                                <w:szCs w:val="21"/>
                              </w:rPr>
                            </w:pPr>
                            <w:bookmarkStart w:id="1891" w:name="_Ref217935201"/>
                            <w:r>
                              <w:rPr>
                                <w:rFonts w:hint="eastAsia" w:asciiTheme="minorEastAsia" w:hAnsiTheme="minorEastAsia" w:eastAsiaTheme="minorEastAsia"/>
                                <w:szCs w:val="21"/>
                              </w:rPr>
                              <w:t>图</w:t>
                            </w:r>
                            <w:bookmarkEnd w:id="1891"/>
                            <w:r>
                              <w:rPr>
                                <w:rFonts w:hint="eastAsia" w:asciiTheme="minorEastAsia" w:hAnsiTheme="minorEastAsia" w:eastAsiaTheme="minorEastAsia"/>
                                <w:szCs w:val="21"/>
                                <w:lang w:val="en-US" w:eastAsia="zh-CN"/>
                              </w:rPr>
                              <w:t xml:space="preserve">6-5 </w:t>
                            </w:r>
                            <w:r>
                              <w:rPr>
                                <w:rFonts w:hint="eastAsia" w:asciiTheme="minorEastAsia" w:hAnsiTheme="minorEastAsia" w:eastAsiaTheme="minorEastAsia"/>
                                <w:szCs w:val="21"/>
                              </w:rPr>
                              <w:t>供应商管理页面</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left:2.65pt;margin-top:225.6pt;height:0.05pt;width:415.3pt;mso-position-horizontal-relative:margin;mso-wrap-distance-left:9pt;mso-wrap-distance-right:9pt;z-index:-251625472;mso-width-relative:page;mso-height-relative:page;" fillcolor="#FFFFFF" filled="t" stroked="f" coordsize="21600,21600" wrapcoords="0 0 0 20769 21532 20769 21532 0 0 0" o:gfxdata="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F5A45baAAAACQEAAA8AAAAAAAAAAQAgAAAA&#10;IgAAAGRycy9kb3ducmV2LnhtbFBLAQIUABQAAAAIAIdO4kA3ACn/QgIAAHsEAAAOAAAAAAAAAAEA&#10;IAAAACkBAABkcnMvZTJvRG9jLnhtbFBLBQYAAAAABgAGAFkBAADdBQAAAAA=&#10;">
                <v:fill on="t" focussize="0,0"/>
                <v:stroke on="f"/>
                <v:imagedata o:title=""/>
                <o:lock v:ext="edit" aspectratio="f"/>
                <v:textbox inset="0mm,0mm,0mm,0mm" style="mso-fit-shape-to-text:t;">
                  <w:txbxContent>
                    <w:p w14:paraId="1D18D86E">
                      <w:pPr>
                        <w:pStyle w:val="13"/>
                        <w:rPr>
                          <w:rFonts w:asciiTheme="minorEastAsia" w:hAnsiTheme="minorEastAsia" w:eastAsiaTheme="minorEastAsia"/>
                          <w:b/>
                          <w:bCs/>
                          <w:szCs w:val="21"/>
                        </w:rPr>
                      </w:pPr>
                      <w:bookmarkStart w:id="1891" w:name="_Ref217935201"/>
                      <w:r>
                        <w:rPr>
                          <w:rFonts w:hint="eastAsia" w:asciiTheme="minorEastAsia" w:hAnsiTheme="minorEastAsia" w:eastAsiaTheme="minorEastAsia"/>
                          <w:szCs w:val="21"/>
                        </w:rPr>
                        <w:t>图</w:t>
                      </w:r>
                      <w:bookmarkEnd w:id="1891"/>
                      <w:r>
                        <w:rPr>
                          <w:rFonts w:hint="eastAsia" w:asciiTheme="minorEastAsia" w:hAnsiTheme="minorEastAsia" w:eastAsiaTheme="minorEastAsia"/>
                          <w:szCs w:val="21"/>
                          <w:lang w:val="en-US" w:eastAsia="zh-CN"/>
                        </w:rPr>
                        <w:t xml:space="preserve">6-5 </w:t>
                      </w:r>
                      <w:r>
                        <w:rPr>
                          <w:rFonts w:hint="eastAsia" w:asciiTheme="minorEastAsia" w:hAnsiTheme="minorEastAsia" w:eastAsiaTheme="minorEastAsia"/>
                          <w:szCs w:val="21"/>
                        </w:rPr>
                        <w:t>供应商管理页面</w:t>
                      </w:r>
                    </w:p>
                  </w:txbxContent>
                </v:textbox>
                <w10:wrap type="tight"/>
              </v:shape>
            </w:pict>
          </mc:Fallback>
        </mc:AlternateContent>
      </w:r>
      <w:r>
        <w:rPr>
          <w:rFonts w:hint="eastAsia" w:ascii="宋体" w:hAnsi="宋体" w:cs="宋体"/>
          <w:b/>
          <w:bCs/>
          <w:sz w:val="28"/>
          <w:szCs w:val="28"/>
          <w:lang w:val="en-US" w:eastAsia="zh-CN"/>
        </w:rPr>
        <w:t>7</w:t>
      </w:r>
      <w:r>
        <w:rPr>
          <w:rFonts w:hint="eastAsia" w:ascii="宋体" w:hAnsi="宋体" w:cs="宋体"/>
          <w:b/>
          <w:bCs/>
          <w:sz w:val="28"/>
          <w:szCs w:val="28"/>
        </w:rPr>
        <w:t>总结</w:t>
      </w:r>
      <w:bookmarkEnd w:id="453"/>
    </w:p>
    <w:p w14:paraId="3B0AE4B9">
      <w:pPr>
        <w:pStyle w:val="134"/>
        <w:rPr>
          <w:rFonts w:hint="default"/>
        </w:rPr>
      </w:pPr>
      <w:r>
        <w:t>本设计致力于构建一个基于SpringBoot与Vue.js的服装库存管理系统，旨在解决服装企业在库存管理过程中存在的款式、颜色、尺码等多维度信息不透明、季节性商品流转效率低下、库存数据不准确等问题。通过将现代技术应用于服装行业的仓储管理领域，实现服装库存业务的数字化、标准化管理。</w:t>
      </w:r>
    </w:p>
    <w:p w14:paraId="55EDDEB1">
      <w:pPr>
        <w:pStyle w:val="134"/>
        <w:rPr>
          <w:rFonts w:hint="default"/>
        </w:rPr>
      </w:pPr>
      <w:r>
        <w:t>通过深入的服装行业调研与需求分析，我们发现当前多数中小型服装企业的库存管理仍依赖于手工记录或简单的Excel表格，存在多属性商品信息维护困难、季节性商品流转不及时、库存积压与缺货并存、门店调拨效率低等问题。而现有的成熟仓储管理系统通常功能复杂、价格昂贵，且未针对服装行业的多属性管理进行优化，不适用于中小服装企业。因此，本项目着力开发一个针对服装行业特点、功能实用、操作简便、成本合理的轻量化库存管理系统。</w:t>
      </w:r>
    </w:p>
    <w:p w14:paraId="0C3A578C">
      <w:pPr>
        <w:pStyle w:val="134"/>
        <w:rPr>
          <w:rFonts w:hint="default"/>
        </w:rPr>
        <w:sectPr>
          <w:headerReference r:id="rId1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t>在本项目开发的服装库存管理系统中，前端采用Vue.js技术栈构建响应式用户界面，后端基于Spring Boot框架并结合Mybatis实现业务逻辑与数据持久化，选用MySQL作为数据库存储方案，确保系统稳定高效运行。通过对服装企业用户需求的全面深入分析，明确了管理员、仓库员、采购员、销售员等多个角色的功能需求，涵盖了用户登录认证、服装多属性信息管理（款号、颜色、尺码、材质等）、季节性商品管理、门店调拨管理、供应商与客户协同等多个核心功能模块。数据库设计精心规划了用户信息表、服装货物信息表（支持多属性字段）、入库记录表、出库记录表、调拨记录表、供应商表等关键数据表结构。系统的设计与实现成功完成了从用户身份认证、服装款式信息展示与管理、多维度库存查询、季节性商品流转到销售数据分析等一系列核心服务流程。测试结果表明，在功能层面，各组件基本达到了预设目标要求。综合以上各方面情况来看，该系统已经初步具备了在服装行业实际应用的价值以及可操作性，然而为了能够进一步提升服装企业用户的使用体验感受，还需要依据现有的一些问题做出与之相对应的改进举措。</w:t>
      </w:r>
    </w:p>
    <w:p w14:paraId="12204F5E">
      <w:pPr>
        <w:spacing w:line="440" w:lineRule="exact"/>
        <w:jc w:val="center"/>
        <w:outlineLvl w:val="9"/>
        <w:rPr>
          <w:rFonts w:cs="宋体" w:asciiTheme="majorEastAsia" w:hAnsiTheme="majorEastAsia" w:eastAsiaTheme="majorEastAsia"/>
          <w:b/>
          <w:bCs/>
          <w:sz w:val="28"/>
          <w:szCs w:val="28"/>
        </w:rPr>
      </w:pPr>
      <w:bookmarkStart w:id="454" w:name="_Toc19289"/>
      <w:bookmarkStart w:id="455" w:name="_Toc217490564"/>
      <w:r>
        <w:rPr>
          <w:rFonts w:hint="eastAsia" w:cs="宋体" w:asciiTheme="majorEastAsia" w:hAnsiTheme="majorEastAsia" w:eastAsiaTheme="majorEastAsia"/>
          <w:b/>
          <w:bCs/>
          <w:sz w:val="28"/>
          <w:szCs w:val="28"/>
        </w:rPr>
        <w:t>参考文献</w:t>
      </w:r>
      <w:bookmarkEnd w:id="454"/>
      <w:bookmarkEnd w:id="455"/>
    </w:p>
    <w:p w14:paraId="2CC2F001">
      <w:pPr>
        <w:tabs>
          <w:tab w:val="left" w:pos="967"/>
        </w:tabs>
        <w:spacing w:line="400" w:lineRule="exact"/>
        <w:ind w:left="420" w:hanging="420" w:hangingChars="200"/>
        <w:jc w:val="left"/>
        <w:outlineLvl w:val="9"/>
        <w:rPr>
          <w:rFonts w:cs="宋体" w:asciiTheme="minorEastAsia" w:hAnsiTheme="minorEastAsia"/>
          <w:szCs w:val="21"/>
        </w:rPr>
      </w:pPr>
      <w:r>
        <w:rPr>
          <w:rFonts w:hint="eastAsia" w:cs="宋体" w:asciiTheme="minorEastAsia" w:hAnsiTheme="minorEastAsia"/>
          <w:szCs w:val="21"/>
        </w:rPr>
        <w:t>[1] 王珊，萨师煊. 数据库系统概论（第5版）[M]. 北京：高等教育出版社，2022.</w:t>
      </w:r>
    </w:p>
    <w:p w14:paraId="23286C79">
      <w:pPr>
        <w:tabs>
          <w:tab w:val="left" w:pos="967"/>
        </w:tabs>
        <w:spacing w:line="400" w:lineRule="exact"/>
        <w:ind w:left="420" w:hanging="420" w:hangingChars="200"/>
        <w:jc w:val="left"/>
        <w:outlineLvl w:val="9"/>
        <w:rPr>
          <w:rFonts w:cs="宋体" w:asciiTheme="minorEastAsia" w:hAnsiTheme="minorEastAsia"/>
          <w:szCs w:val="21"/>
        </w:rPr>
      </w:pPr>
      <w:r>
        <w:rPr>
          <w:rFonts w:hint="eastAsia" w:cs="宋体" w:asciiTheme="minorEastAsia" w:hAnsiTheme="minorEastAsia"/>
          <w:szCs w:val="21"/>
        </w:rPr>
        <w:t>[2] 倪超. Spring Cloud微服务架构实战（第3版）[M]. 北京：电子工业出版社，2023.</w:t>
      </w:r>
    </w:p>
    <w:p w14:paraId="7C88575B">
      <w:pPr>
        <w:tabs>
          <w:tab w:val="left" w:pos="967"/>
        </w:tabs>
        <w:spacing w:line="400" w:lineRule="exact"/>
        <w:ind w:left="420" w:hanging="420" w:hangingChars="200"/>
        <w:jc w:val="left"/>
        <w:outlineLvl w:val="9"/>
        <w:rPr>
          <w:rFonts w:cs="宋体" w:asciiTheme="minorEastAsia" w:hAnsiTheme="minorEastAsia"/>
          <w:szCs w:val="21"/>
        </w:rPr>
      </w:pPr>
      <w:r>
        <w:rPr>
          <w:rFonts w:hint="eastAsia" w:cs="宋体" w:asciiTheme="minorEastAsia" w:hAnsiTheme="minorEastAsia"/>
          <w:szCs w:val="21"/>
        </w:rPr>
        <w:t>[3] 梁宵. Vue.js 3.X从入门到实践[M]. 北京：清华大学出版社，2024.</w:t>
      </w:r>
    </w:p>
    <w:p w14:paraId="31AFB245">
      <w:pPr>
        <w:tabs>
          <w:tab w:val="left" w:pos="967"/>
        </w:tabs>
        <w:spacing w:line="400" w:lineRule="exact"/>
        <w:ind w:left="420" w:hanging="420" w:hangingChars="200"/>
        <w:jc w:val="left"/>
        <w:outlineLvl w:val="9"/>
        <w:rPr>
          <w:rFonts w:cs="宋体" w:asciiTheme="minorEastAsia" w:hAnsiTheme="minorEastAsia"/>
          <w:szCs w:val="21"/>
        </w:rPr>
      </w:pPr>
      <w:r>
        <w:rPr>
          <w:rFonts w:hint="eastAsia" w:cs="宋体" w:asciiTheme="minorEastAsia" w:hAnsiTheme="minorEastAsia"/>
          <w:szCs w:val="21"/>
        </w:rPr>
        <w:t>[4] 王松，李伟. 基于SpringBoot的Web应用开发实战[M]. 北京：人民邮电出版社，2022.</w:t>
      </w:r>
    </w:p>
    <w:p w14:paraId="1D3168BA">
      <w:pPr>
        <w:tabs>
          <w:tab w:val="left" w:pos="967"/>
        </w:tabs>
        <w:spacing w:line="400" w:lineRule="exact"/>
        <w:ind w:left="420" w:hanging="420" w:hangingChars="200"/>
        <w:jc w:val="left"/>
        <w:outlineLvl w:val="9"/>
        <w:rPr>
          <w:rFonts w:cs="宋体" w:asciiTheme="minorEastAsia" w:hAnsiTheme="minorEastAsia"/>
          <w:szCs w:val="21"/>
        </w:rPr>
      </w:pPr>
      <w:r>
        <w:rPr>
          <w:rFonts w:hint="eastAsia" w:cs="宋体" w:asciiTheme="minorEastAsia" w:hAnsiTheme="minorEastAsia"/>
          <w:szCs w:val="21"/>
        </w:rPr>
        <w:t>[5] 刘京华，王建民. 现代软件工程：原理与实践（第3版）[M]. 北京：机械工业出版社，2022.</w:t>
      </w:r>
    </w:p>
    <w:p w14:paraId="3ED52C85">
      <w:pPr>
        <w:tabs>
          <w:tab w:val="left" w:pos="967"/>
        </w:tabs>
        <w:spacing w:line="400" w:lineRule="exact"/>
        <w:ind w:left="420" w:hanging="420" w:hangingChars="200"/>
        <w:jc w:val="left"/>
        <w:rPr>
          <w:rFonts w:cs="宋体" w:asciiTheme="minorEastAsia" w:hAnsiTheme="minorEastAsia"/>
          <w:szCs w:val="21"/>
        </w:rPr>
      </w:pPr>
      <w:r>
        <w:rPr>
          <w:rFonts w:hint="eastAsia" w:cs="宋体" w:asciiTheme="minorEastAsia" w:hAnsiTheme="minorEastAsia"/>
          <w:szCs w:val="21"/>
        </w:rPr>
        <w:t xml:space="preserve">[6] 张海藩，牟永敏. 软件工程导论（第7版）[M]. 北京：清华大学出版社，2023.  </w:t>
      </w:r>
    </w:p>
    <w:p w14:paraId="6A838C95">
      <w:pPr>
        <w:tabs>
          <w:tab w:val="left" w:pos="967"/>
        </w:tabs>
        <w:spacing w:line="400" w:lineRule="exact"/>
        <w:ind w:left="420" w:hanging="420" w:hangingChars="200"/>
        <w:jc w:val="left"/>
        <w:rPr>
          <w:rFonts w:cs="宋体" w:asciiTheme="minorEastAsia" w:hAnsiTheme="minorEastAsia"/>
          <w:szCs w:val="21"/>
        </w:rPr>
      </w:pPr>
      <w:r>
        <w:rPr>
          <w:rFonts w:hint="eastAsia" w:cs="宋体" w:asciiTheme="minorEastAsia" w:hAnsiTheme="minorEastAsia"/>
          <w:szCs w:val="21"/>
        </w:rPr>
        <w:t>[7] 李明，陈涛. 仓储管理系统设计与实现[J]. 计算机工程与应用，2022，58(10): 267274.</w:t>
      </w:r>
    </w:p>
    <w:p w14:paraId="426677A7">
      <w:pPr>
        <w:tabs>
          <w:tab w:val="left" w:pos="967"/>
        </w:tabs>
        <w:spacing w:line="400" w:lineRule="exact"/>
        <w:ind w:left="420" w:hanging="420" w:hangingChars="200"/>
        <w:jc w:val="left"/>
        <w:rPr>
          <w:rFonts w:cs="宋体" w:asciiTheme="minorEastAsia" w:hAnsiTheme="minorEastAsia"/>
          <w:szCs w:val="21"/>
        </w:rPr>
      </w:pPr>
      <w:r>
        <w:rPr>
          <w:rFonts w:hint="eastAsia" w:cs="宋体" w:asciiTheme="minorEastAsia" w:hAnsiTheme="minorEastAsia"/>
          <w:szCs w:val="21"/>
        </w:rPr>
        <w:t>[8] 赵凯，刘洋. 基于前后端分离的Web应用架构研究[J]. 计算机工程，2023，49(5): 135143.</w:t>
      </w:r>
    </w:p>
    <w:p w14:paraId="68F7B93C">
      <w:pPr>
        <w:tabs>
          <w:tab w:val="left" w:pos="967"/>
        </w:tabs>
        <w:spacing w:line="400" w:lineRule="exact"/>
        <w:ind w:left="420" w:hanging="420" w:hangingChars="200"/>
        <w:jc w:val="left"/>
        <w:rPr>
          <w:rFonts w:cs="宋体" w:asciiTheme="minorEastAsia" w:hAnsiTheme="minorEastAsia"/>
          <w:szCs w:val="21"/>
        </w:rPr>
      </w:pPr>
      <w:r>
        <w:rPr>
          <w:rFonts w:hint="eastAsia" w:cs="宋体" w:asciiTheme="minorEastAsia" w:hAnsiTheme="minorEastAsia"/>
          <w:szCs w:val="21"/>
        </w:rPr>
        <w:t>[9] 国家标准化管理委员会. GB/T 202692022 信息安全技术 数据库管理系统安全技术要求[S]. 北京：中国标准出版社，2022.</w:t>
      </w:r>
    </w:p>
    <w:p w14:paraId="0A72390B">
      <w:pPr>
        <w:tabs>
          <w:tab w:val="left" w:pos="967"/>
        </w:tabs>
        <w:spacing w:line="400" w:lineRule="exact"/>
        <w:ind w:left="420" w:hanging="420" w:hangingChars="200"/>
        <w:jc w:val="left"/>
        <w:rPr>
          <w:rFonts w:cs="宋体" w:asciiTheme="minorEastAsia" w:hAnsiTheme="minorEastAsia"/>
          <w:szCs w:val="21"/>
        </w:rPr>
      </w:pPr>
      <w:r>
        <w:rPr>
          <w:rFonts w:hint="eastAsia" w:cs="宋体" w:asciiTheme="minorEastAsia" w:hAnsiTheme="minorEastAsia"/>
          <w:szCs w:val="21"/>
        </w:rPr>
        <w:t>[10] 周志华. 机器学习[M]. 北京：清华大学出版社，2022.</w:t>
      </w:r>
    </w:p>
    <w:p w14:paraId="0DC79401"/>
    <w:p w14:paraId="63091F03">
      <w:pPr>
        <w:outlineLvl w:val="9"/>
      </w:pPr>
    </w:p>
    <w:p w14:paraId="35BFDD38">
      <w:pPr>
        <w:outlineLvl w:val="9"/>
      </w:pPr>
    </w:p>
    <w:p w14:paraId="0A11CF41">
      <w:pPr>
        <w:outlineLvl w:val="9"/>
      </w:pPr>
    </w:p>
    <w:p w14:paraId="172F7F5B">
      <w:pPr>
        <w:outlineLvl w:val="9"/>
      </w:pPr>
    </w:p>
    <w:p w14:paraId="66C352BB">
      <w:pPr>
        <w:outlineLvl w:val="9"/>
      </w:pPr>
    </w:p>
    <w:p w14:paraId="79EC676E">
      <w:pPr>
        <w:outlineLvl w:val="9"/>
      </w:pPr>
    </w:p>
    <w:p w14:paraId="6FCADDF6">
      <w:pPr>
        <w:outlineLvl w:val="9"/>
      </w:pPr>
    </w:p>
    <w:p w14:paraId="225DA2E5">
      <w:pPr>
        <w:outlineLvl w:val="9"/>
      </w:pPr>
    </w:p>
    <w:p w14:paraId="05580D0A">
      <w:pPr>
        <w:outlineLvl w:val="9"/>
      </w:pPr>
    </w:p>
    <w:p w14:paraId="2BA7D3B7">
      <w:pPr>
        <w:outlineLvl w:val="9"/>
      </w:pPr>
    </w:p>
    <w:p w14:paraId="06BBC5AB">
      <w:pPr>
        <w:outlineLvl w:val="9"/>
      </w:pPr>
    </w:p>
    <w:p w14:paraId="6C4F2B7F">
      <w:pPr>
        <w:outlineLvl w:val="9"/>
      </w:pPr>
    </w:p>
    <w:p w14:paraId="5EB96A34">
      <w:pPr>
        <w:outlineLvl w:val="9"/>
      </w:pPr>
    </w:p>
    <w:p w14:paraId="5F8D308C">
      <w:pPr>
        <w:outlineLvl w:val="9"/>
      </w:pPr>
    </w:p>
    <w:p w14:paraId="23CCBD59">
      <w:pPr>
        <w:outlineLvl w:val="9"/>
      </w:pPr>
    </w:p>
    <w:p w14:paraId="1AAC5A3B">
      <w:pPr>
        <w:outlineLvl w:val="9"/>
      </w:pPr>
    </w:p>
    <w:p w14:paraId="3D42A479">
      <w:pPr>
        <w:outlineLvl w:val="9"/>
      </w:pPr>
    </w:p>
    <w:p w14:paraId="799B2854">
      <w:pPr>
        <w:outlineLvl w:val="9"/>
      </w:pPr>
    </w:p>
    <w:p w14:paraId="14502BC4">
      <w:pPr>
        <w:tabs>
          <w:tab w:val="left" w:pos="1584"/>
        </w:tabs>
        <w:outlineLvl w:val="9"/>
      </w:pPr>
    </w:p>
    <w:p w14:paraId="66E369FD"/>
    <w:p w14:paraId="4BBFD80D">
      <w:pPr>
        <w:tabs>
          <w:tab w:val="left" w:pos="1584"/>
        </w:tabs>
        <w:outlineLvl w:val="9"/>
      </w:pPr>
    </w:p>
    <w:p w14:paraId="41DDECD1">
      <w:pPr>
        <w:outlineLvl w:val="9"/>
      </w:pPr>
    </w:p>
    <w:p w14:paraId="1C5D2C7E">
      <w:pPr>
        <w:outlineLvl w:val="9"/>
        <w:rPr>
          <w:rFonts w:hint="eastAsia"/>
        </w:rPr>
      </w:pPr>
    </w:p>
    <w:p w14:paraId="750CE5CA">
      <w:pPr>
        <w:outlineLvl w:val="9"/>
        <w:rPr>
          <w:rFonts w:hint="eastAsia" w:ascii="黑体" w:hAnsi="黑体" w:eastAsia="黑体" w:cs="黑体"/>
          <w:kern w:val="0"/>
          <w:sz w:val="24"/>
        </w:rPr>
      </w:pPr>
    </w:p>
    <w:p w14:paraId="46C2EF2C">
      <w:pPr>
        <w:rPr>
          <w:rFonts w:hint="eastAsia"/>
          <w:lang w:val="en-US" w:eastAsia="zh-CN"/>
        </w:rPr>
      </w:pPr>
      <w:bookmarkStart w:id="456" w:name="_Toc28364"/>
      <w:r>
        <w:rPr>
          <w:rFonts w:hint="eastAsia"/>
          <w:lang w:val="en-US" w:eastAsia="zh-CN"/>
        </w:rPr>
        <w:br w:type="page"/>
      </w:r>
    </w:p>
    <w:p w14:paraId="16CF1BC4">
      <w:pPr>
        <w:pStyle w:val="3"/>
        <w:bidi w:val="0"/>
        <w:rPr>
          <w:rFonts w:hint="eastAsia"/>
        </w:rPr>
      </w:pPr>
      <w:bookmarkStart w:id="457" w:name="_Toc23056"/>
      <w:r>
        <w:rPr>
          <w:rFonts w:hint="eastAsia"/>
          <w:lang w:val="en-US" w:eastAsia="zh-CN"/>
        </w:rPr>
        <w:t>7.</w:t>
      </w:r>
      <w:r>
        <w:rPr>
          <w:rFonts w:hint="eastAsia"/>
        </w:rPr>
        <w:t>基于SpringBoot+Vue赣绣传承管理系统的设计与实现</w:t>
      </w:r>
      <w:bookmarkEnd w:id="456"/>
      <w:bookmarkEnd w:id="457"/>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4AB0B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3918FBA">
            <w:pPr>
              <w:rPr>
                <w:rFonts w:ascii="黑体" w:hAnsi="黑体" w:eastAsia="黑体" w:cs="黑体"/>
                <w:sz w:val="24"/>
              </w:rPr>
            </w:pPr>
            <w:r>
              <w:rPr>
                <w:rFonts w:hint="eastAsia" w:ascii="黑体" w:hAnsi="黑体" w:eastAsia="黑体" w:cs="黑体"/>
                <w:kern w:val="0"/>
                <w:sz w:val="24"/>
              </w:rPr>
              <w:t>项目主题：基于SpringBoot+Vue赣绣传承管理系统的设计与实现</w:t>
            </w:r>
          </w:p>
        </w:tc>
      </w:tr>
      <w:tr w14:paraId="730599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A6099DC">
            <w:pPr>
              <w:rPr>
                <w:rFonts w:ascii="黑体" w:hAnsi="黑体" w:eastAsia="黑体" w:cs="黑体"/>
                <w:sz w:val="24"/>
              </w:rPr>
            </w:pPr>
            <w:r>
              <w:rPr>
                <w:rFonts w:hint="eastAsia" w:ascii="黑体" w:hAnsi="黑体" w:eastAsia="黑体" w:cs="黑体"/>
                <w:kern w:val="0"/>
                <w:sz w:val="24"/>
              </w:rPr>
              <w:t>班级：23软件工程本科</w:t>
            </w:r>
            <w:r>
              <w:rPr>
                <w:rFonts w:ascii="黑体" w:hAnsi="黑体" w:eastAsia="黑体" w:cs="黑体"/>
                <w:kern w:val="0"/>
                <w:sz w:val="24"/>
              </w:rPr>
              <w:t>4</w:t>
            </w:r>
            <w:r>
              <w:rPr>
                <w:rFonts w:hint="eastAsia" w:ascii="黑体" w:hAnsi="黑体" w:eastAsia="黑体" w:cs="黑体"/>
                <w:kern w:val="0"/>
                <w:sz w:val="24"/>
              </w:rPr>
              <w:t>班</w:t>
            </w:r>
          </w:p>
        </w:tc>
      </w:tr>
      <w:tr w14:paraId="7C5D81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B8FD7B3">
            <w:pPr>
              <w:rPr>
                <w:rFonts w:ascii="黑体" w:hAnsi="黑体" w:eastAsia="黑体" w:cs="黑体"/>
                <w:sz w:val="24"/>
              </w:rPr>
            </w:pPr>
            <w:r>
              <w:rPr>
                <w:rFonts w:hint="eastAsia" w:ascii="黑体" w:hAnsi="黑体" w:eastAsia="黑体" w:cs="黑体"/>
                <w:kern w:val="0"/>
                <w:sz w:val="24"/>
              </w:rPr>
              <w:t>学生姓名：丁凡锋 张梓豪 许书玮 程德森         指导教师：夏贤铃 黄卓</w:t>
            </w:r>
          </w:p>
        </w:tc>
      </w:tr>
    </w:tbl>
    <w:p w14:paraId="4656FCB2">
      <w:pPr>
        <w:pageBreakBefore w:val="0"/>
        <w:jc w:val="left"/>
        <w:outlineLvl w:val="9"/>
        <w:rPr>
          <w:sz w:val="28"/>
          <w:szCs w:val="28"/>
        </w:rPr>
      </w:pPr>
      <w:bookmarkStart w:id="458" w:name="_Toc10600"/>
      <w:bookmarkStart w:id="459" w:name="_Toc25005"/>
      <w:bookmarkStart w:id="460" w:name="_Toc25003"/>
      <w:r>
        <w:rPr>
          <w:rFonts w:hint="eastAsia" w:cs="Times New Roman"/>
          <w:sz w:val="28"/>
          <w:szCs w:val="28"/>
        </w:rPr>
        <w:t>1 项目概述</w:t>
      </w:r>
      <w:bookmarkEnd w:id="458"/>
      <w:bookmarkEnd w:id="459"/>
      <w:bookmarkEnd w:id="460"/>
    </w:p>
    <w:p w14:paraId="28836C10">
      <w:pPr>
        <w:numPr>
          <w:ilvl w:val="1"/>
          <w:numId w:val="5"/>
        </w:numPr>
        <w:spacing w:line="440" w:lineRule="exact"/>
        <w:ind w:firstLine="480" w:firstLineChars="200"/>
        <w:outlineLvl w:val="9"/>
        <w:rPr>
          <w:rFonts w:ascii="宋体" w:hAnsi="宋体" w:cs="宋体"/>
          <w:sz w:val="24"/>
        </w:rPr>
      </w:pPr>
      <w:bookmarkStart w:id="461" w:name="_Toc5135"/>
      <w:bookmarkStart w:id="462" w:name="_Toc9774"/>
      <w:bookmarkStart w:id="463" w:name="_Toc4571"/>
      <w:bookmarkStart w:id="464" w:name="_Toc5462"/>
      <w:r>
        <w:rPr>
          <w:rFonts w:hint="eastAsia" w:ascii="宋体" w:hAnsi="宋体" w:eastAsia="宋体" w:cs="宋体"/>
          <w:sz w:val="24"/>
        </w:rPr>
        <w:t>项目介绍</w:t>
      </w:r>
      <w:bookmarkEnd w:id="461"/>
      <w:bookmarkEnd w:id="462"/>
      <w:bookmarkEnd w:id="463"/>
      <w:bookmarkEnd w:id="464"/>
    </w:p>
    <w:p w14:paraId="7995D92A">
      <w:pPr>
        <w:spacing w:line="440" w:lineRule="exact"/>
        <w:ind w:firstLine="480" w:firstLineChars="200"/>
        <w:outlineLvl w:val="9"/>
        <w:rPr>
          <w:rFonts w:ascii="宋体" w:hAnsi="宋体" w:cs="宋体"/>
          <w:sz w:val="24"/>
        </w:rPr>
      </w:pPr>
      <w:r>
        <w:rPr>
          <w:rFonts w:hint="eastAsia" w:ascii="宋体" w:hAnsi="宋体" w:eastAsia="宋体" w:cs="宋体"/>
          <w:sz w:val="24"/>
        </w:rPr>
        <w:t>赣绣作为江西非物质文化遗产的瑰宝，承载着赣鄱大地千年的文化记忆与手工技艺智慧，以其精细的针法、典雅的配色和浓郁的地域特色，在传统刺绣艺术中独树一帜。然而，当前赣绣面临传承人老龄化、技艺传播渠道狭窄、年轻群体认知不足、文创转化滞后等现实困境，亟需借助数字化手段破解传承难题。</w:t>
      </w:r>
    </w:p>
    <w:p w14:paraId="1479530C">
      <w:pPr>
        <w:spacing w:line="440" w:lineRule="exact"/>
        <w:ind w:firstLine="480" w:firstLineChars="200"/>
        <w:outlineLvl w:val="9"/>
        <w:rPr>
          <w:rFonts w:ascii="宋体" w:hAnsi="宋体" w:cs="宋体"/>
          <w:sz w:val="24"/>
        </w:rPr>
      </w:pPr>
      <w:r>
        <w:rPr>
          <w:rFonts w:hint="eastAsia" w:ascii="宋体" w:hAnsi="宋体" w:eastAsia="宋体" w:cs="宋体"/>
          <w:sz w:val="24"/>
        </w:rPr>
        <w:t>本项目以赣绣保护与创新传承为核心，构建集信息展示、在线学习、互动交流、文创销售和智能服务于一体的数字化平台。平台采用 Vue3+Spring Boot 前后端分离架构，整合 MySQL 数据库与 Spring</w:t>
      </w:r>
      <w:r>
        <w:rPr>
          <w:rFonts w:hint="eastAsia" w:ascii="宋体" w:hAnsi="宋体" w:cs="宋体"/>
          <w:sz w:val="24"/>
        </w:rPr>
        <w:t xml:space="preserve"> Boot</w:t>
      </w:r>
      <w:r>
        <w:rPr>
          <w:rFonts w:hint="eastAsia" w:ascii="宋体" w:hAnsi="宋体" w:eastAsia="宋体" w:cs="宋体"/>
          <w:sz w:val="24"/>
        </w:rPr>
        <w:t xml:space="preserve"> 框架，打造七大核心功能模块，全方位赋能赣绣传承。</w:t>
      </w:r>
    </w:p>
    <w:p w14:paraId="77894623">
      <w:pPr>
        <w:spacing w:line="440" w:lineRule="exact"/>
        <w:ind w:firstLine="480" w:firstLineChars="200"/>
        <w:rPr>
          <w:rFonts w:ascii="宋体" w:hAnsi="宋体" w:cs="宋体"/>
          <w:sz w:val="24"/>
        </w:rPr>
      </w:pPr>
      <w:r>
        <w:rPr>
          <w:rFonts w:hint="eastAsia" w:ascii="宋体" w:hAnsi="宋体" w:eastAsia="宋体" w:cs="宋体"/>
          <w:sz w:val="24"/>
        </w:rPr>
        <w:t>用户可通过平台浏览赣绣历史渊源、经典纹样、代表作品等详细信息，查询赣绣传承人的技艺履历与代表力作，直观感受赣绣艺术的独特魅力。在线课程模块提供从入门到高级的分层教学内容，以图文、视频等形式拆解针法技巧，降低学习门槛。活动管理模块整合线下展演、培训工坊等资源，支持在线报名与互动交流，增强用户参与感。</w:t>
      </w:r>
    </w:p>
    <w:p w14:paraId="3BF83DD5">
      <w:pPr>
        <w:spacing w:line="440" w:lineRule="exact"/>
        <w:ind w:firstLine="480" w:firstLineChars="200"/>
        <w:rPr>
          <w:rFonts w:ascii="宋体" w:hAnsi="宋体" w:cs="宋体"/>
          <w:sz w:val="24"/>
        </w:rPr>
      </w:pPr>
      <w:r>
        <w:rPr>
          <w:rFonts w:hint="eastAsia" w:ascii="宋体" w:hAnsi="宋体" w:eastAsia="宋体" w:cs="宋体"/>
          <w:sz w:val="24"/>
        </w:rPr>
        <w:t>商城模块为赣绣文创产品提供专属销售渠道，涵盖装饰摆件、服饰配件等多元化产品，助力传承人实现技艺变现。AI 智能客服基于赣绣知识库，实时解答用户关于技艺细节、历史背景等疑问。平台通过 JWT 认证与 BCrypt 加密保障数据安全，支持多终端访问，让赣绣文化突破时空限制。</w:t>
      </w:r>
    </w:p>
    <w:p w14:paraId="615B6B6A">
      <w:pPr>
        <w:spacing w:line="440" w:lineRule="exact"/>
        <w:ind w:firstLine="480" w:firstLineChars="200"/>
        <w:rPr>
          <w:rFonts w:ascii="宋体" w:hAnsi="宋体" w:cs="宋体"/>
          <w:sz w:val="24"/>
        </w:rPr>
      </w:pPr>
      <w:r>
        <w:rPr>
          <w:rFonts w:hint="eastAsia" w:ascii="宋体" w:hAnsi="宋体" w:eastAsia="宋体" w:cs="宋体"/>
          <w:sz w:val="24"/>
        </w:rPr>
        <w:t>项目通过数字化手段整合赣绣资源，既实现了传统技艺的系统性保护，又拓展了传播与变现路径，为赣绣注入现代活力，推动这一非遗瑰宝在新时代持续传承与发展。</w:t>
      </w:r>
    </w:p>
    <w:p w14:paraId="640998C5">
      <w:pPr>
        <w:numPr>
          <w:ilvl w:val="1"/>
          <w:numId w:val="5"/>
        </w:numPr>
        <w:spacing w:line="440" w:lineRule="exact"/>
        <w:ind w:firstLine="480" w:firstLineChars="200"/>
        <w:outlineLvl w:val="9"/>
        <w:rPr>
          <w:rFonts w:ascii="宋体" w:hAnsi="宋体" w:cs="宋体"/>
          <w:sz w:val="24"/>
        </w:rPr>
      </w:pPr>
      <w:bookmarkStart w:id="465" w:name="_Toc22163"/>
      <w:bookmarkStart w:id="466" w:name="_Toc27571"/>
      <w:bookmarkStart w:id="467" w:name="_Toc18487"/>
      <w:bookmarkStart w:id="468" w:name="_Toc10672"/>
      <w:r>
        <w:rPr>
          <w:rFonts w:hint="eastAsia" w:ascii="宋体" w:hAnsi="宋体" w:eastAsia="宋体" w:cs="宋体"/>
          <w:sz w:val="24"/>
        </w:rPr>
        <w:t>项目开发环境</w:t>
      </w:r>
      <w:bookmarkEnd w:id="465"/>
      <w:bookmarkEnd w:id="466"/>
      <w:bookmarkEnd w:id="467"/>
      <w:bookmarkEnd w:id="468"/>
    </w:p>
    <w:p w14:paraId="6F3CA892">
      <w:pPr>
        <w:spacing w:line="440" w:lineRule="exact"/>
        <w:ind w:firstLine="480" w:firstLineChars="200"/>
        <w:outlineLvl w:val="9"/>
        <w:rPr>
          <w:rFonts w:ascii="宋体" w:hAnsi="宋体" w:cs="宋体"/>
          <w:sz w:val="24"/>
        </w:rPr>
      </w:pPr>
      <w:r>
        <w:rPr>
          <w:rFonts w:hint="eastAsia" w:ascii="宋体" w:hAnsi="宋体" w:cs="宋体"/>
          <w:sz w:val="24"/>
        </w:rPr>
        <w:t>1.2.1</w:t>
      </w:r>
      <w:r>
        <w:rPr>
          <w:rFonts w:hint="eastAsia" w:ascii="宋体" w:hAnsi="宋体" w:eastAsia="宋体" w:cs="宋体"/>
          <w:sz w:val="24"/>
        </w:rPr>
        <w:t>硬件环境</w:t>
      </w:r>
    </w:p>
    <w:p w14:paraId="125E7583">
      <w:pPr>
        <w:spacing w:line="440" w:lineRule="exact"/>
        <w:ind w:firstLine="480" w:firstLineChars="200"/>
        <w:outlineLvl w:val="9"/>
        <w:rPr>
          <w:rFonts w:ascii="宋体" w:hAnsi="宋体" w:cs="宋体"/>
          <w:sz w:val="24"/>
        </w:rPr>
      </w:pPr>
      <w:r>
        <w:rPr>
          <w:rFonts w:hint="eastAsia" w:ascii="宋体" w:hAnsi="宋体" w:eastAsia="宋体" w:cs="宋体"/>
          <w:sz w:val="24"/>
        </w:rPr>
        <w:t>开发设备需配备Intel Core i7及以上处理器、16GB及以上内存和500GB 及以上存储空间，以满足系统开发过程中的资源需求；服务器部署支持云服务器模式，推荐2核</w:t>
      </w:r>
      <w:r>
        <w:rPr>
          <w:rFonts w:hint="eastAsia" w:ascii="宋体" w:hAnsi="宋体" w:cs="宋体"/>
          <w:sz w:val="24"/>
        </w:rPr>
        <w:t>2</w:t>
      </w:r>
      <w:r>
        <w:rPr>
          <w:rFonts w:hint="eastAsia" w:ascii="宋体" w:hAnsi="宋体" w:eastAsia="宋体" w:cs="宋体"/>
          <w:sz w:val="24"/>
        </w:rPr>
        <w:t>GB及以上配置，确保能够稳定支撑500并发用户的访问需求，保障系统运行的流畅性。</w:t>
      </w:r>
    </w:p>
    <w:p w14:paraId="1C52D60E">
      <w:pPr>
        <w:spacing w:line="440" w:lineRule="exact"/>
        <w:ind w:firstLine="480" w:firstLineChars="200"/>
        <w:outlineLvl w:val="9"/>
        <w:rPr>
          <w:rFonts w:ascii="宋体" w:hAnsi="宋体" w:cs="宋体"/>
          <w:sz w:val="24"/>
        </w:rPr>
      </w:pPr>
      <w:r>
        <w:rPr>
          <w:rFonts w:hint="eastAsia" w:ascii="宋体" w:hAnsi="宋体" w:cs="宋体"/>
          <w:sz w:val="24"/>
        </w:rPr>
        <w:t>1.2.2</w:t>
      </w:r>
      <w:r>
        <w:rPr>
          <w:rFonts w:hint="eastAsia" w:ascii="宋体" w:hAnsi="宋体" w:eastAsia="宋体" w:cs="宋体"/>
          <w:sz w:val="24"/>
        </w:rPr>
        <w:t>软件环境</w:t>
      </w:r>
    </w:p>
    <w:p w14:paraId="612DE039">
      <w:pPr>
        <w:spacing w:line="440" w:lineRule="exact"/>
        <w:ind w:firstLine="480" w:firstLineChars="200"/>
        <w:rPr>
          <w:rFonts w:ascii="宋体" w:hAnsi="宋体" w:cs="宋体"/>
          <w:sz w:val="24"/>
        </w:rPr>
      </w:pPr>
      <w:r>
        <w:rPr>
          <w:rFonts w:hint="eastAsia" w:ascii="宋体" w:hAnsi="宋体" w:cs="宋体"/>
          <w:sz w:val="24"/>
        </w:rPr>
        <w:t>（1）</w:t>
      </w:r>
      <w:r>
        <w:rPr>
          <w:rFonts w:hint="eastAsia" w:ascii="宋体" w:hAnsi="宋体" w:eastAsia="宋体" w:cs="宋体"/>
          <w:sz w:val="24"/>
        </w:rPr>
        <w:t>操作系统</w:t>
      </w:r>
    </w:p>
    <w:p w14:paraId="10B2C5BE">
      <w:pPr>
        <w:spacing w:line="440" w:lineRule="exact"/>
        <w:ind w:firstLine="480" w:firstLineChars="200"/>
        <w:rPr>
          <w:rFonts w:ascii="宋体" w:hAnsi="宋体" w:cs="宋体"/>
          <w:sz w:val="24"/>
        </w:rPr>
      </w:pPr>
      <w:r>
        <w:rPr>
          <w:rFonts w:hint="eastAsia" w:ascii="宋体" w:hAnsi="宋体" w:eastAsia="宋体" w:cs="宋体"/>
          <w:sz w:val="24"/>
        </w:rPr>
        <w:t>开发端采用 Windows 11 操作系统，为开发工作提供稳定兼容的运行环境；部署端兼容 CentOS、Ubuntu等Linux主流发行版，适配不同的服务器部署场景，提升系统的灵活性和适用性。</w:t>
      </w:r>
    </w:p>
    <w:p w14:paraId="7A622869">
      <w:pPr>
        <w:spacing w:line="440" w:lineRule="exact"/>
        <w:ind w:firstLine="480" w:firstLineChars="200"/>
        <w:rPr>
          <w:rFonts w:ascii="宋体" w:hAnsi="宋体" w:cs="宋体"/>
          <w:sz w:val="24"/>
        </w:rPr>
      </w:pPr>
      <w:r>
        <w:rPr>
          <w:rFonts w:hint="eastAsia" w:ascii="宋体" w:hAnsi="宋体" w:eastAsia="宋体" w:cs="宋体"/>
          <w:sz w:val="24"/>
        </w:rPr>
        <w:t>（</w:t>
      </w:r>
      <w:r>
        <w:rPr>
          <w:rFonts w:hint="eastAsia" w:ascii="宋体" w:hAnsi="宋体" w:cs="宋体"/>
          <w:sz w:val="24"/>
        </w:rPr>
        <w:t>2）</w:t>
      </w:r>
      <w:r>
        <w:rPr>
          <w:rFonts w:hint="eastAsia" w:ascii="宋体" w:hAnsi="宋体" w:eastAsia="宋体" w:cs="宋体"/>
          <w:sz w:val="24"/>
        </w:rPr>
        <w:t>开发框架与技术栈</w:t>
      </w:r>
    </w:p>
    <w:p w14:paraId="5414D17A">
      <w:pPr>
        <w:spacing w:line="440" w:lineRule="exact"/>
        <w:ind w:firstLine="480" w:firstLineChars="200"/>
        <w:rPr>
          <w:rFonts w:ascii="宋体" w:hAnsi="宋体" w:cs="宋体"/>
          <w:sz w:val="24"/>
        </w:rPr>
      </w:pPr>
      <w:r>
        <w:rPr>
          <w:rFonts w:hint="eastAsia" w:ascii="宋体" w:hAnsi="宋体" w:eastAsia="宋体" w:cs="宋体"/>
          <w:sz w:val="24"/>
        </w:rPr>
        <w:t>前端以Vue3为核心框架，搭配Ant Design Vue、Element Plus UI组件库构建界面，通过Pinia进行状态管理、Vue Router实现路由控制，借助Axios 处理网络请求，使用 Vite作为构建工具，同时集成UUID用于生成唯一标识、EventSource支持SSE流式响应，形成完善的前端技术体系；后端基于Spring Boot核心框架，结合MyBatis-Plus持久层框架简化数据访问，通过Spring Security保障系统安全，集成 Spring AI框架实现AI功能，采用JWT令牌进行身份认证、BCrypt算法进行密码加密，构建高效安全的后端服务架构。</w:t>
      </w:r>
    </w:p>
    <w:p w14:paraId="6A338080">
      <w:pPr>
        <w:spacing w:line="440" w:lineRule="exact"/>
        <w:ind w:firstLine="480" w:firstLineChars="200"/>
        <w:rPr>
          <w:rFonts w:ascii="宋体" w:hAnsi="宋体" w:cs="宋体"/>
          <w:sz w:val="24"/>
        </w:rPr>
      </w:pPr>
      <w:r>
        <w:rPr>
          <w:rFonts w:hint="eastAsia" w:ascii="宋体" w:hAnsi="宋体" w:eastAsia="宋体" w:cs="宋体"/>
          <w:sz w:val="24"/>
        </w:rPr>
        <w:t>（</w:t>
      </w:r>
      <w:r>
        <w:rPr>
          <w:rFonts w:hint="eastAsia" w:ascii="宋体" w:hAnsi="宋体" w:cs="宋体"/>
          <w:sz w:val="24"/>
        </w:rPr>
        <w:t>3</w:t>
      </w:r>
      <w:r>
        <w:rPr>
          <w:rFonts w:hint="eastAsia" w:ascii="宋体" w:hAnsi="宋体" w:eastAsia="宋体" w:cs="宋体"/>
          <w:sz w:val="24"/>
        </w:rPr>
        <w:t>）数据库</w:t>
      </w:r>
    </w:p>
    <w:p w14:paraId="6FC73029">
      <w:pPr>
        <w:spacing w:line="440" w:lineRule="exact"/>
        <w:ind w:firstLine="480" w:firstLineChars="200"/>
        <w:rPr>
          <w:rFonts w:ascii="宋体" w:hAnsi="宋体" w:cs="宋体"/>
          <w:sz w:val="24"/>
        </w:rPr>
      </w:pPr>
      <w:r>
        <w:rPr>
          <w:rFonts w:hint="eastAsia" w:ascii="宋体" w:hAnsi="宋体" w:eastAsia="宋体" w:cs="宋体"/>
          <w:sz w:val="24"/>
        </w:rPr>
        <w:t>采用MySQL 8.0作为数据库，其支持事务处理、外键约束和索引优化等核心功能，能够满足系统各类数据的存储、查询及数据完整性保障需求，为系统稳定运行提供数据支撑。</w:t>
      </w:r>
    </w:p>
    <w:p w14:paraId="6D6907C9">
      <w:pPr>
        <w:spacing w:line="440" w:lineRule="exact"/>
        <w:ind w:firstLine="480" w:firstLineChars="200"/>
        <w:rPr>
          <w:rFonts w:ascii="宋体" w:hAnsi="宋体" w:cs="宋体"/>
          <w:sz w:val="24"/>
        </w:rPr>
      </w:pPr>
      <w:r>
        <w:rPr>
          <w:rFonts w:hint="eastAsia" w:ascii="宋体" w:hAnsi="宋体" w:eastAsia="宋体" w:cs="宋体"/>
          <w:sz w:val="24"/>
        </w:rPr>
        <w:t>（</w:t>
      </w:r>
      <w:r>
        <w:rPr>
          <w:rFonts w:hint="eastAsia" w:ascii="宋体" w:hAnsi="宋体" w:cs="宋体"/>
          <w:sz w:val="24"/>
        </w:rPr>
        <w:t>4</w:t>
      </w:r>
      <w:r>
        <w:rPr>
          <w:rFonts w:hint="eastAsia" w:ascii="宋体" w:hAnsi="宋体" w:eastAsia="宋体" w:cs="宋体"/>
          <w:sz w:val="24"/>
        </w:rPr>
        <w:t>）开发与测试工具</w:t>
      </w:r>
    </w:p>
    <w:p w14:paraId="2A156258">
      <w:pPr>
        <w:spacing w:line="440" w:lineRule="exact"/>
        <w:ind w:firstLine="480" w:firstLineChars="200"/>
        <w:rPr>
          <w:rFonts w:ascii="宋体" w:hAnsi="宋体" w:cs="宋体"/>
          <w:sz w:val="24"/>
        </w:rPr>
      </w:pPr>
      <w:r>
        <w:rPr>
          <w:rFonts w:hint="eastAsia" w:ascii="宋体" w:hAnsi="宋体" w:eastAsia="宋体" w:cs="宋体"/>
          <w:sz w:val="24"/>
        </w:rPr>
        <w:t>开发工具方面，后端使用IntelliJ IDEA，前端采用 Visual Studio Code，适配不同技术栈的开发需求；接口测试依赖</w:t>
      </w:r>
      <w:r>
        <w:rPr>
          <w:rFonts w:hint="eastAsia" w:ascii="宋体" w:hAnsi="宋体" w:cs="宋体"/>
          <w:sz w:val="24"/>
        </w:rPr>
        <w:t>Airpost</w:t>
      </w:r>
      <w:r>
        <w:rPr>
          <w:rFonts w:hint="eastAsia" w:ascii="宋体" w:hAnsi="宋体" w:eastAsia="宋体" w:cs="宋体"/>
          <w:sz w:val="24"/>
        </w:rPr>
        <w:t>工具，性能测试借助Apache JMeter，确保系统功能和性能符合设计要求；版本控制默认配套使用Git工具，方便团队协作开发过程中的代码管理和版本控制。</w:t>
      </w:r>
    </w:p>
    <w:p w14:paraId="283AF459">
      <w:pPr>
        <w:numPr>
          <w:ilvl w:val="1"/>
          <w:numId w:val="5"/>
        </w:numPr>
        <w:spacing w:line="440" w:lineRule="exact"/>
        <w:ind w:firstLine="480" w:firstLineChars="200"/>
        <w:outlineLvl w:val="9"/>
        <w:rPr>
          <w:rFonts w:ascii="宋体" w:hAnsi="宋体" w:cs="宋体"/>
          <w:sz w:val="24"/>
        </w:rPr>
      </w:pPr>
      <w:bookmarkStart w:id="469" w:name="_Toc9110"/>
      <w:bookmarkStart w:id="470" w:name="_Toc24938"/>
      <w:bookmarkStart w:id="471" w:name="_Toc18202"/>
      <w:bookmarkStart w:id="472" w:name="_Toc8706"/>
      <w:r>
        <w:rPr>
          <w:rFonts w:hint="eastAsia" w:ascii="宋体" w:hAnsi="宋体" w:eastAsia="宋体" w:cs="宋体"/>
          <w:sz w:val="24"/>
        </w:rPr>
        <w:t>小组人员及分工</w:t>
      </w:r>
      <w:bookmarkEnd w:id="469"/>
      <w:bookmarkEnd w:id="470"/>
      <w:bookmarkEnd w:id="471"/>
      <w:bookmarkEnd w:id="472"/>
    </w:p>
    <w:p w14:paraId="0DD2E03B">
      <w:pPr>
        <w:spacing w:line="440" w:lineRule="exact"/>
        <w:ind w:firstLine="480" w:firstLineChars="200"/>
        <w:outlineLvl w:val="9"/>
        <w:rPr>
          <w:rFonts w:hint="default" w:eastAsia="宋体"/>
          <w:lang w:val="en-US" w:eastAsia="zh-CN"/>
        </w:rPr>
      </w:pPr>
      <w:r>
        <w:rPr>
          <w:rFonts w:hint="eastAsia" w:ascii="宋体" w:hAnsi="宋体" w:eastAsia="宋体" w:cs="宋体"/>
          <w:sz w:val="24"/>
          <w:lang w:val="en-US" w:eastAsia="zh-CN"/>
        </w:rPr>
        <w:t>本项目小组成员为23软件工程本科4班的4名同学，根据大家擅长进行了项目任务分工，具体如表1-1所示。</w:t>
      </w:r>
    </w:p>
    <w:p w14:paraId="486C8496">
      <w:pPr>
        <w:keepNext w:val="0"/>
        <w:keepLines w:val="0"/>
        <w:pageBreakBefore w:val="0"/>
        <w:widowControl w:val="0"/>
        <w:kinsoku/>
        <w:wordWrap/>
        <w:overflowPunct/>
        <w:topLinePunct w:val="0"/>
        <w:autoSpaceDE/>
        <w:autoSpaceDN/>
        <w:bidi w:val="0"/>
        <w:adjustRightInd/>
        <w:snapToGrid/>
        <w:spacing w:line="440" w:lineRule="exact"/>
        <w:ind w:left="0" w:leftChars="0"/>
        <w:jc w:val="center"/>
        <w:textAlignment w:val="auto"/>
        <w:outlineLvl w:val="9"/>
        <w:rPr>
          <w:rFonts w:ascii="宋体" w:hAnsi="宋体" w:cs="宋体"/>
          <w:sz w:val="21"/>
          <w:szCs w:val="21"/>
        </w:rPr>
      </w:pPr>
      <w:bookmarkStart w:id="473" w:name="_Toc16"/>
      <w:bookmarkStart w:id="474" w:name="_Toc3736"/>
      <w:r>
        <w:rPr>
          <w:rFonts w:hint="eastAsia" w:ascii="宋体" w:hAnsi="宋体" w:cs="宋体"/>
          <w:sz w:val="21"/>
          <w:szCs w:val="21"/>
        </w:rPr>
        <w:t>表1-1 小组分工表</w:t>
      </w:r>
      <w:bookmarkEnd w:id="473"/>
      <w:bookmarkEnd w:id="474"/>
    </w:p>
    <w:tbl>
      <w:tblPr>
        <w:tblStyle w:val="35"/>
        <w:tblW w:w="4946" w:type="pct"/>
        <w:tblInd w:w="249" w:type="dxa"/>
        <w:tblLayout w:type="autofit"/>
        <w:tblCellMar>
          <w:top w:w="0" w:type="dxa"/>
          <w:left w:w="108" w:type="dxa"/>
          <w:bottom w:w="0" w:type="dxa"/>
          <w:right w:w="108" w:type="dxa"/>
        </w:tblCellMar>
      </w:tblPr>
      <w:tblGrid>
        <w:gridCol w:w="1468"/>
        <w:gridCol w:w="2276"/>
        <w:gridCol w:w="4908"/>
      </w:tblGrid>
      <w:tr w14:paraId="732EAC51">
        <w:tblPrEx>
          <w:tblCellMar>
            <w:top w:w="0" w:type="dxa"/>
            <w:left w:w="108" w:type="dxa"/>
            <w:bottom w:w="0" w:type="dxa"/>
            <w:right w:w="108" w:type="dxa"/>
          </w:tblCellMar>
        </w:tblPrEx>
        <w:trPr>
          <w:trHeight w:val="90" w:hRule="atLeast"/>
        </w:trPr>
        <w:tc>
          <w:tcPr>
            <w:tcW w:w="848" w:type="pct"/>
            <w:vAlign w:val="center"/>
          </w:tcPr>
          <w:p w14:paraId="4C32C31E">
            <w:pPr>
              <w:pStyle w:val="74"/>
              <w:spacing w:line="440" w:lineRule="exact"/>
              <w:ind w:firstLine="0" w:firstLineChars="0"/>
              <w:jc w:val="center"/>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小组成员</w:t>
            </w:r>
          </w:p>
        </w:tc>
        <w:tc>
          <w:tcPr>
            <w:tcW w:w="1315" w:type="pct"/>
            <w:vAlign w:val="center"/>
          </w:tcPr>
          <w:p w14:paraId="3B87AE22">
            <w:pPr>
              <w:pStyle w:val="74"/>
              <w:spacing w:line="440" w:lineRule="exact"/>
              <w:ind w:firstLine="0" w:firstLineChars="0"/>
              <w:jc w:val="center"/>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人员角色</w:t>
            </w:r>
          </w:p>
        </w:tc>
        <w:tc>
          <w:tcPr>
            <w:tcW w:w="2835" w:type="pct"/>
            <w:vAlign w:val="center"/>
          </w:tcPr>
          <w:p w14:paraId="54442390">
            <w:pPr>
              <w:pStyle w:val="74"/>
              <w:spacing w:line="440" w:lineRule="exact"/>
              <w:ind w:firstLine="0" w:firstLineChars="0"/>
              <w:jc w:val="center"/>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核心分工</w:t>
            </w:r>
          </w:p>
        </w:tc>
      </w:tr>
      <w:tr w14:paraId="19ED460E">
        <w:tblPrEx>
          <w:tblCellMar>
            <w:top w:w="0" w:type="dxa"/>
            <w:left w:w="108" w:type="dxa"/>
            <w:bottom w:w="0" w:type="dxa"/>
            <w:right w:w="108" w:type="dxa"/>
          </w:tblCellMar>
        </w:tblPrEx>
        <w:trPr>
          <w:trHeight w:val="23" w:hRule="atLeast"/>
        </w:trPr>
        <w:tc>
          <w:tcPr>
            <w:tcW w:w="848" w:type="pct"/>
            <w:vAlign w:val="center"/>
          </w:tcPr>
          <w:p w14:paraId="432F505E">
            <w:pPr>
              <w:pStyle w:val="74"/>
              <w:spacing w:line="440" w:lineRule="exact"/>
              <w:ind w:firstLine="0" w:firstLineChars="0"/>
              <w:jc w:val="center"/>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丁凡锋</w:t>
            </w:r>
          </w:p>
        </w:tc>
        <w:tc>
          <w:tcPr>
            <w:tcW w:w="1315" w:type="pct"/>
            <w:vAlign w:val="center"/>
          </w:tcPr>
          <w:p w14:paraId="34CAF829">
            <w:pPr>
              <w:pStyle w:val="74"/>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前端开发工程师</w:t>
            </w:r>
          </w:p>
        </w:tc>
        <w:tc>
          <w:tcPr>
            <w:tcW w:w="2835" w:type="pct"/>
          </w:tcPr>
          <w:p w14:paraId="7A5C41EB">
            <w:pPr>
              <w:pStyle w:val="74"/>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outlineLvl w:val="9"/>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负责前端界面搭建与交互实现，基于 Vue3 框架开发页面组件、路由配置、状态管理，对接后端 API 接口，优化前端性能与用户体验，适配多浏览器兼容，监督整体项目任务</w:t>
            </w:r>
          </w:p>
        </w:tc>
      </w:tr>
    </w:tbl>
    <w:p w14:paraId="61A0EC6C">
      <w:pPr>
        <w:keepNext w:val="0"/>
        <w:keepLines w:val="0"/>
        <w:pageBreakBefore w:val="0"/>
        <w:widowControl w:val="0"/>
        <w:kinsoku/>
        <w:wordWrap/>
        <w:overflowPunct/>
        <w:topLinePunct w:val="0"/>
        <w:autoSpaceDE/>
        <w:autoSpaceDN/>
        <w:bidi w:val="0"/>
        <w:adjustRightInd/>
        <w:snapToGrid/>
        <w:spacing w:line="440" w:lineRule="exact"/>
        <w:ind w:left="0" w:leftChars="0"/>
        <w:jc w:val="center"/>
        <w:textAlignment w:val="auto"/>
        <w:outlineLvl w:val="9"/>
        <w:rPr>
          <w:rFonts w:hint="eastAsia" w:ascii="宋体" w:hAnsi="宋体" w:cs="宋体"/>
          <w:sz w:val="21"/>
          <w:szCs w:val="21"/>
          <w:lang w:eastAsia="zh-CN"/>
        </w:rPr>
      </w:pPr>
      <w:bookmarkStart w:id="475" w:name="_Toc10020"/>
      <w:r>
        <w:rPr>
          <w:rFonts w:hint="eastAsia" w:ascii="宋体" w:hAnsi="宋体" w:cs="宋体"/>
          <w:sz w:val="21"/>
          <w:szCs w:val="21"/>
        </w:rPr>
        <w:t xml:space="preserve">表1-1 </w:t>
      </w:r>
      <w:r>
        <w:rPr>
          <w:rFonts w:hint="eastAsia" w:ascii="宋体" w:hAnsi="宋体" w:cs="宋体"/>
          <w:sz w:val="21"/>
          <w:szCs w:val="21"/>
          <w:lang w:eastAsia="zh-CN"/>
        </w:rPr>
        <w:t>（</w:t>
      </w:r>
      <w:r>
        <w:rPr>
          <w:rFonts w:hint="eastAsia" w:ascii="宋体" w:hAnsi="宋体" w:cs="宋体"/>
          <w:sz w:val="21"/>
          <w:szCs w:val="21"/>
          <w:lang w:val="en-US" w:eastAsia="zh-CN"/>
        </w:rPr>
        <w:t>续</w:t>
      </w:r>
      <w:r>
        <w:rPr>
          <w:rFonts w:hint="eastAsia" w:ascii="宋体" w:hAnsi="宋体" w:cs="宋体"/>
          <w:sz w:val="21"/>
          <w:szCs w:val="21"/>
          <w:lang w:eastAsia="zh-CN"/>
        </w:rPr>
        <w:t>）</w:t>
      </w:r>
      <w:bookmarkEnd w:id="475"/>
    </w:p>
    <w:tbl>
      <w:tblPr>
        <w:tblStyle w:val="35"/>
        <w:tblW w:w="4946" w:type="pct"/>
        <w:tblInd w:w="249" w:type="dxa"/>
        <w:tblLayout w:type="autofit"/>
        <w:tblCellMar>
          <w:top w:w="0" w:type="dxa"/>
          <w:left w:w="108" w:type="dxa"/>
          <w:bottom w:w="0" w:type="dxa"/>
          <w:right w:w="108" w:type="dxa"/>
        </w:tblCellMar>
      </w:tblPr>
      <w:tblGrid>
        <w:gridCol w:w="1468"/>
        <w:gridCol w:w="2276"/>
        <w:gridCol w:w="4908"/>
      </w:tblGrid>
      <w:tr w14:paraId="0674EDC8">
        <w:trPr>
          <w:trHeight w:val="1077" w:hRule="atLeast"/>
        </w:trPr>
        <w:tc>
          <w:tcPr>
            <w:tcW w:w="848" w:type="pct"/>
            <w:vAlign w:val="center"/>
          </w:tcPr>
          <w:p w14:paraId="7D1F5F83">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许书玮</w:t>
            </w:r>
          </w:p>
        </w:tc>
        <w:tc>
          <w:tcPr>
            <w:tcW w:w="1315" w:type="pct"/>
            <w:vAlign w:val="center"/>
          </w:tcPr>
          <w:p w14:paraId="4F82D02B">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后端开发工程师</w:t>
            </w:r>
          </w:p>
        </w:tc>
        <w:tc>
          <w:tcPr>
            <w:tcW w:w="2835" w:type="pct"/>
          </w:tcPr>
          <w:p w14:paraId="7DD15A7C">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负责后端架构搭建与业务逻辑实现，基于 Spring Boot 框架开发 RESTful API，设计数据访问层与服务层，实现七大核心模块功能</w:t>
            </w:r>
          </w:p>
        </w:tc>
      </w:tr>
      <w:tr w14:paraId="31F2F9D2">
        <w:tblPrEx>
          <w:tblCellMar>
            <w:top w:w="0" w:type="dxa"/>
            <w:left w:w="108" w:type="dxa"/>
            <w:bottom w:w="0" w:type="dxa"/>
            <w:right w:w="108" w:type="dxa"/>
          </w:tblCellMar>
        </w:tblPrEx>
        <w:trPr>
          <w:trHeight w:val="1077" w:hRule="atLeast"/>
        </w:trPr>
        <w:tc>
          <w:tcPr>
            <w:tcW w:w="848" w:type="pct"/>
            <w:vAlign w:val="center"/>
          </w:tcPr>
          <w:p w14:paraId="64AA1465">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张梓豪</w:t>
            </w:r>
          </w:p>
        </w:tc>
        <w:tc>
          <w:tcPr>
            <w:tcW w:w="1315" w:type="pct"/>
            <w:vAlign w:val="center"/>
          </w:tcPr>
          <w:p w14:paraId="3683D0AD">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全栈开发工程师</w:t>
            </w:r>
          </w:p>
        </w:tc>
        <w:tc>
          <w:tcPr>
            <w:tcW w:w="2835" w:type="pct"/>
          </w:tcPr>
          <w:p w14:paraId="0A9CE6B8">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统筹前后端协同开发，负责数据库设计（表结构、索引、关联关系），处理跨模块业务逻辑，参与系统测试与问题修复，协调开发进度与需求对接</w:t>
            </w:r>
          </w:p>
        </w:tc>
      </w:tr>
      <w:tr w14:paraId="4868F772">
        <w:tblPrEx>
          <w:tblCellMar>
            <w:top w:w="0" w:type="dxa"/>
            <w:left w:w="108" w:type="dxa"/>
            <w:bottom w:w="0" w:type="dxa"/>
            <w:right w:w="108" w:type="dxa"/>
          </w:tblCellMar>
        </w:tblPrEx>
        <w:trPr>
          <w:trHeight w:val="1077" w:hRule="atLeast"/>
        </w:trPr>
        <w:tc>
          <w:tcPr>
            <w:tcW w:w="848" w:type="pct"/>
            <w:vAlign w:val="center"/>
          </w:tcPr>
          <w:p w14:paraId="3A21788C">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程德森</w:t>
            </w:r>
          </w:p>
        </w:tc>
        <w:tc>
          <w:tcPr>
            <w:tcW w:w="1315" w:type="pct"/>
            <w:vAlign w:val="center"/>
          </w:tcPr>
          <w:p w14:paraId="24B0539B">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测试与文档工程师</w:t>
            </w:r>
          </w:p>
        </w:tc>
        <w:tc>
          <w:tcPr>
            <w:tcW w:w="2835" w:type="pct"/>
          </w:tcPr>
          <w:p w14:paraId="59339A6E">
            <w:pPr>
              <w:pStyle w:val="74"/>
              <w:spacing w:line="440" w:lineRule="exact"/>
              <w:ind w:firstLine="0" w:firstLineChars="0"/>
              <w:jc w:val="center"/>
              <w:rPr>
                <w:rFonts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设计功能、性能、安全性及易用性测试用例，执行测试流程并记录反馈问题，编写项目技术文档、用户手册与测试报告，整理需求分析与系统设计资料</w:t>
            </w:r>
          </w:p>
        </w:tc>
      </w:tr>
    </w:tbl>
    <w:p w14:paraId="1FF6E827">
      <w:pPr>
        <w:spacing w:line="440" w:lineRule="exact"/>
        <w:outlineLvl w:val="9"/>
        <w:rPr>
          <w:b/>
          <w:bCs/>
          <w:kern w:val="44"/>
          <w:sz w:val="28"/>
          <w:szCs w:val="28"/>
        </w:rPr>
      </w:pPr>
      <w:bookmarkStart w:id="476" w:name="_Toc26128"/>
      <w:bookmarkStart w:id="477" w:name="_Toc15888"/>
      <w:bookmarkStart w:id="478" w:name="_Toc26051"/>
      <w:bookmarkStart w:id="479" w:name="_Toc942"/>
      <w:r>
        <w:rPr>
          <w:rFonts w:hint="eastAsia" w:ascii="Calibri" w:hAnsi="Calibri" w:eastAsia="宋体" w:cs="Times New Roman"/>
          <w:b/>
          <w:bCs/>
          <w:kern w:val="44"/>
          <w:sz w:val="28"/>
          <w:szCs w:val="28"/>
        </w:rPr>
        <w:t>2 需求分析</w:t>
      </w:r>
      <w:bookmarkEnd w:id="476"/>
      <w:bookmarkEnd w:id="477"/>
      <w:bookmarkEnd w:id="478"/>
      <w:bookmarkEnd w:id="479"/>
    </w:p>
    <w:p w14:paraId="12809B22">
      <w:pPr>
        <w:spacing w:line="440" w:lineRule="exact"/>
        <w:ind w:firstLine="480" w:firstLineChars="200"/>
        <w:outlineLvl w:val="9"/>
        <w:rPr>
          <w:rFonts w:ascii="宋体" w:hAnsi="宋体" w:cs="宋体"/>
          <w:sz w:val="24"/>
        </w:rPr>
      </w:pPr>
      <w:bookmarkStart w:id="480" w:name="_Toc22146"/>
      <w:bookmarkStart w:id="481" w:name="_Toc26511"/>
      <w:bookmarkStart w:id="482" w:name="_Toc32086"/>
      <w:bookmarkStart w:id="483" w:name="_Toc28943"/>
      <w:r>
        <w:rPr>
          <w:rFonts w:hint="eastAsia" w:ascii="宋体" w:hAnsi="宋体" w:eastAsia="宋体" w:cs="宋体"/>
          <w:sz w:val="24"/>
        </w:rPr>
        <w:t>2.1 系统需求分析</w:t>
      </w:r>
      <w:bookmarkEnd w:id="480"/>
      <w:bookmarkEnd w:id="481"/>
      <w:bookmarkEnd w:id="482"/>
      <w:bookmarkEnd w:id="483"/>
    </w:p>
    <w:p w14:paraId="439313F4">
      <w:pPr>
        <w:spacing w:line="440" w:lineRule="exact"/>
        <w:ind w:firstLine="480" w:firstLineChars="200"/>
        <w:outlineLvl w:val="9"/>
        <w:rPr>
          <w:rFonts w:ascii="宋体" w:hAnsi="宋体" w:cs="宋体"/>
          <w:sz w:val="24"/>
        </w:rPr>
      </w:pPr>
      <w:r>
        <w:rPr>
          <w:rFonts w:hint="eastAsia" w:ascii="宋体" w:hAnsi="宋体" w:cs="宋体"/>
          <w:sz w:val="24"/>
        </w:rPr>
        <w:t>2.1.1</w:t>
      </w:r>
      <w:r>
        <w:rPr>
          <w:rFonts w:hint="eastAsia" w:ascii="宋体" w:hAnsi="宋体" w:eastAsia="宋体" w:cs="宋体"/>
          <w:sz w:val="24"/>
        </w:rPr>
        <w:t>普通用户需求</w:t>
      </w:r>
      <w:r>
        <w:rPr>
          <w:rFonts w:hint="eastAsia" w:ascii="宋体" w:hAnsi="宋体" w:cs="宋体"/>
          <w:sz w:val="24"/>
        </w:rPr>
        <w:t>分析</w:t>
      </w:r>
    </w:p>
    <w:p w14:paraId="52F6E541">
      <w:pPr>
        <w:spacing w:line="440" w:lineRule="exact"/>
        <w:ind w:firstLine="480" w:firstLineChars="200"/>
        <w:outlineLvl w:val="9"/>
        <w:rPr>
          <w:rFonts w:ascii="宋体" w:hAnsi="宋体" w:cs="宋体"/>
          <w:sz w:val="24"/>
        </w:rPr>
      </w:pPr>
      <w:r>
        <w:rPr>
          <w:rFonts w:hint="eastAsia" w:ascii="宋体" w:hAnsi="宋体" w:eastAsia="宋体" w:cs="宋体"/>
          <w:sz w:val="24"/>
        </w:rPr>
        <w:t>注册与登录功能为用户提供便捷且安全的账户开通与访问渠道，支持用户通过用户名、邮箱完成注册流程，注册时系统会对用户密码进行加密存储，有效保障账户信息安全；登录环节中，用户可灵活选择用户名或邮箱进行身份验证，验证通过后将获取 JWT 令牌用于后续身份认证，全方位守护账户访问安全，让用户放心使用系统各项功能。</w:t>
      </w:r>
    </w:p>
    <w:p w14:paraId="7FF5EA4B">
      <w:pPr>
        <w:spacing w:line="440" w:lineRule="exact"/>
        <w:ind w:firstLine="480" w:firstLineChars="200"/>
        <w:outlineLvl w:val="9"/>
        <w:rPr>
          <w:rFonts w:ascii="宋体" w:hAnsi="宋体" w:cs="宋体"/>
          <w:sz w:val="24"/>
        </w:rPr>
      </w:pPr>
      <w:r>
        <w:rPr>
          <w:rFonts w:hint="eastAsia" w:ascii="宋体" w:hAnsi="宋体" w:eastAsia="宋体" w:cs="宋体"/>
          <w:sz w:val="24"/>
        </w:rPr>
        <w:t>赣绣信息浏览功能满足用户对赣绣文化的探索需求，用户可按照传统纹样绣、实用绣品等类别，或根据地区筛选感兴趣的赣绣项目，深入查看项目的历史渊源、制作工艺、代表作品等详细信息；同时，还能浏览传承人相关信息，包括传承人的个人简介、技艺称号、代表作品以及背后的传承故事，全方位了解赣绣文化的传承脉络与独特魅力。</w:t>
      </w:r>
    </w:p>
    <w:p w14:paraId="1834B8B6">
      <w:pPr>
        <w:spacing w:line="440" w:lineRule="exact"/>
        <w:ind w:firstLine="480" w:firstLineChars="200"/>
        <w:rPr>
          <w:rFonts w:ascii="宋体" w:hAnsi="宋体" w:cs="宋体"/>
          <w:sz w:val="24"/>
        </w:rPr>
      </w:pPr>
      <w:r>
        <w:rPr>
          <w:rFonts w:hint="eastAsia" w:ascii="宋体" w:hAnsi="宋体" w:eastAsia="宋体" w:cs="宋体"/>
          <w:sz w:val="24"/>
        </w:rPr>
        <w:t>在线学习功能为用户搭建了系统化的赣绣技艺学习平台，提供从入门到高级的分层赣绣课程，用户可自由浏览课程详情与章节列表，课程内容支持图文、视频等多种形式，满足不同用户的学习习惯；系统会自动记录用户的学习进度，方便用户随时接续学习，助力用户逐步提升赣绣技艺水平。</w:t>
      </w:r>
    </w:p>
    <w:p w14:paraId="1A08EABC">
      <w:pPr>
        <w:spacing w:line="440" w:lineRule="exact"/>
        <w:ind w:firstLine="480" w:firstLineChars="200"/>
        <w:rPr>
          <w:rFonts w:ascii="宋体" w:hAnsi="宋体" w:cs="宋体"/>
          <w:sz w:val="24"/>
        </w:rPr>
      </w:pPr>
      <w:r>
        <w:rPr>
          <w:rFonts w:hint="eastAsia" w:ascii="宋体" w:hAnsi="宋体" w:eastAsia="宋体" w:cs="宋体"/>
          <w:sz w:val="24"/>
        </w:rPr>
        <w:t>活动参与功能为用户提供了参与赣绣相关活动的便捷途径，用户可查看赣绣展演、培训、比赛等各类活动信息，在线提交报名申请后，能够实时跟踪报名审核状态，及时了解报名结果；活动结束后，系统支持签到记录功能，便于用户留存参与凭证，同时也方便活动组织方进行参与人员统计。</w:t>
      </w:r>
    </w:p>
    <w:p w14:paraId="7D364C2B">
      <w:pPr>
        <w:spacing w:line="440" w:lineRule="exact"/>
        <w:ind w:firstLine="480" w:firstLineChars="200"/>
        <w:rPr>
          <w:rFonts w:ascii="宋体" w:hAnsi="宋体" w:cs="宋体"/>
          <w:sz w:val="24"/>
        </w:rPr>
      </w:pPr>
      <w:r>
        <w:rPr>
          <w:rFonts w:hint="eastAsia" w:ascii="宋体" w:hAnsi="宋体" w:eastAsia="宋体" w:cs="宋体"/>
          <w:sz w:val="24"/>
        </w:rPr>
        <w:t>文创购买功能打造了一站式赣绣文创产品购物体验，用户可浏览装饰摆件、服饰配件等各类赣绣文创产品，详细查看商品的详情介绍、价格及库存情况；支持将心仪商品加入购物车，完成下单支付操作，同时可管理个人收货地址，实时跟踪订单状态，全程保障购物流程顺畅便捷，让用户轻松购入心仪的赣绣文创产品。</w:t>
      </w:r>
    </w:p>
    <w:p w14:paraId="4A677D85">
      <w:pPr>
        <w:spacing w:line="440" w:lineRule="exact"/>
        <w:ind w:firstLine="480" w:firstLineChars="200"/>
        <w:rPr>
          <w:rFonts w:ascii="宋体" w:hAnsi="宋体" w:cs="宋体"/>
          <w:sz w:val="24"/>
        </w:rPr>
      </w:pPr>
      <w:r>
        <w:rPr>
          <w:rFonts w:hint="eastAsia" w:ascii="宋体" w:hAnsi="宋体" w:eastAsia="宋体" w:cs="宋体"/>
          <w:sz w:val="24"/>
        </w:rPr>
        <w:t>智能咨询功能为用户提供了高效的赣绣相关问题解答渠道，用户可通过 AI 智能客服咨询赣绣技艺细节、历史背景等各类疑问，系统会快速给出精准解答；同时支持查看对话历史记录，方便用户回顾之前的咨询内容，持续获取所需信息，提升用户对赣绣文化的了解效率。</w:t>
      </w:r>
    </w:p>
    <w:p w14:paraId="26B6CB83">
      <w:pPr>
        <w:spacing w:line="440" w:lineRule="exact"/>
        <w:ind w:firstLine="480" w:firstLineChars="200"/>
        <w:rPr>
          <w:rFonts w:ascii="宋体" w:hAnsi="宋体" w:cs="宋体"/>
          <w:sz w:val="24"/>
        </w:rPr>
      </w:pPr>
      <w:r>
        <w:rPr>
          <w:rFonts w:hint="eastAsia" w:ascii="宋体" w:hAnsi="宋体" w:cs="宋体"/>
          <w:sz w:val="24"/>
        </w:rPr>
        <w:t>2.1.2</w:t>
      </w:r>
      <w:r>
        <w:rPr>
          <w:rFonts w:hint="eastAsia" w:ascii="宋体" w:hAnsi="宋体" w:eastAsia="宋体" w:cs="宋体"/>
          <w:sz w:val="24"/>
        </w:rPr>
        <w:t>管理员需求</w:t>
      </w:r>
      <w:r>
        <w:rPr>
          <w:rFonts w:hint="eastAsia" w:ascii="宋体" w:hAnsi="宋体" w:cs="宋体"/>
          <w:sz w:val="24"/>
        </w:rPr>
        <w:t>分析</w:t>
      </w:r>
    </w:p>
    <w:p w14:paraId="69E4B437">
      <w:pPr>
        <w:spacing w:line="440" w:lineRule="exact"/>
        <w:ind w:firstLine="480" w:firstLineChars="200"/>
        <w:rPr>
          <w:rFonts w:ascii="宋体" w:hAnsi="宋体" w:cs="宋体"/>
          <w:sz w:val="24"/>
        </w:rPr>
      </w:pPr>
      <w:r>
        <w:rPr>
          <w:rFonts w:hint="eastAsia" w:ascii="宋体" w:hAnsi="宋体" w:eastAsia="宋体" w:cs="宋体"/>
          <w:sz w:val="24"/>
        </w:rPr>
        <w:t>用户管理功能赋予管理员全面的用户账户管控权限，管理员可查看系统内所有用户的详细信息，根据实际需求对用户账户进行启用或禁用操作，也能为用户重置密码，保障用户账户安全与使用体验；同时负责维护用户权限，按照系统设定的角色与权限体系，合理分配用户权限，确保系统操作的规范性与安全性。</w:t>
      </w:r>
    </w:p>
    <w:p w14:paraId="7CF7CC70">
      <w:pPr>
        <w:spacing w:line="440" w:lineRule="exact"/>
        <w:ind w:firstLine="480" w:firstLineChars="200"/>
        <w:rPr>
          <w:rFonts w:ascii="宋体" w:hAnsi="宋体" w:cs="宋体"/>
          <w:sz w:val="24"/>
        </w:rPr>
      </w:pPr>
      <w:r>
        <w:rPr>
          <w:rFonts w:hint="eastAsia" w:ascii="宋体" w:hAnsi="宋体" w:eastAsia="宋体" w:cs="宋体"/>
          <w:sz w:val="24"/>
        </w:rPr>
        <w:t>赣绣项目管理功能是管理员维护系统核心内容的关键模块，管理员可添加新的赣绣项目信息，对现有项目信息进行编辑更新，上传项目相关的图片与视频资源，还能根据项目情况设置发布状态，确保展示给用户的赣绣项目信息准确、及时，具有时效性，为用户提供优质的信息浏览体验。</w:t>
      </w:r>
    </w:p>
    <w:p w14:paraId="65DCE1B5">
      <w:pPr>
        <w:spacing w:line="440" w:lineRule="exact"/>
        <w:ind w:firstLine="480" w:firstLineChars="200"/>
        <w:rPr>
          <w:rFonts w:ascii="宋体" w:hAnsi="宋体" w:cs="宋体"/>
          <w:sz w:val="24"/>
        </w:rPr>
      </w:pPr>
      <w:r>
        <w:rPr>
          <w:rFonts w:hint="eastAsia" w:ascii="宋体" w:hAnsi="宋体" w:eastAsia="宋体" w:cs="宋体"/>
          <w:sz w:val="24"/>
        </w:rPr>
        <w:t>传承人管理功能支持管理员全面维护传承人信息库，可录入新的传承人信息，将传承人与其擅长的赣绣项目进行关联，清晰呈现传承脉络；同时能够编辑传承人的简介与作品信息，及时补充更新相关内容，保障传承人信息的完整性与准确性，助力传承人的推广与赣绣文化的传播。</w:t>
      </w:r>
    </w:p>
    <w:p w14:paraId="4CE7CB7C">
      <w:pPr>
        <w:spacing w:line="440" w:lineRule="exact"/>
        <w:ind w:firstLine="480" w:firstLineChars="200"/>
        <w:rPr>
          <w:rFonts w:ascii="宋体" w:hAnsi="宋体" w:cs="宋体"/>
          <w:sz w:val="24"/>
        </w:rPr>
      </w:pPr>
      <w:r>
        <w:rPr>
          <w:rFonts w:hint="eastAsia" w:ascii="宋体" w:hAnsi="宋体" w:eastAsia="宋体" w:cs="宋体"/>
          <w:sz w:val="24"/>
        </w:rPr>
        <w:t>课程管理功能为管理员提供了课程维护与优化的全套工具，管理员可创建新课程，编辑已有课程的相关信息，添加和管理课程章节，合理设置课程的难度等级与发布状态；通过持续优化教学内容结构，确保课程质量，为用户提供科学、系统的赣绣学习资源。</w:t>
      </w:r>
    </w:p>
    <w:p w14:paraId="751E0D3B">
      <w:pPr>
        <w:spacing w:line="440" w:lineRule="exact"/>
        <w:ind w:firstLine="480" w:firstLineChars="200"/>
        <w:rPr>
          <w:rFonts w:ascii="宋体" w:hAnsi="宋体" w:cs="宋体"/>
          <w:sz w:val="24"/>
        </w:rPr>
      </w:pPr>
      <w:r>
        <w:rPr>
          <w:rFonts w:hint="eastAsia" w:ascii="宋体" w:hAnsi="宋体" w:eastAsia="宋体" w:cs="宋体"/>
          <w:sz w:val="24"/>
        </w:rPr>
        <w:t>活动管理功能赋予管理员统筹赣绣活动的全面权限，管理员可发布各类赣绣活动，详细编辑活动信息，包括活动主题、时间、地点、参与要求等；对用户的报名申请进行审核，管理活动签到数据，准确统计活动参与情况，为活动的顺利开展与后续总结提供有力支持。</w:t>
      </w:r>
    </w:p>
    <w:p w14:paraId="4466F362">
      <w:pPr>
        <w:spacing w:line="440" w:lineRule="exact"/>
        <w:ind w:firstLine="480" w:firstLineChars="200"/>
        <w:rPr>
          <w:rFonts w:ascii="宋体" w:hAnsi="宋体" w:cs="宋体"/>
          <w:sz w:val="24"/>
        </w:rPr>
      </w:pPr>
      <w:r>
        <w:rPr>
          <w:rFonts w:hint="eastAsia" w:ascii="宋体" w:hAnsi="宋体" w:eastAsia="宋体" w:cs="宋体"/>
          <w:sz w:val="24"/>
        </w:rPr>
        <w:t>商城管理功能让管理员能够全面管控赣绣文创产品销售流程，可添加新商品，编辑商品的信息、价格等内容，对商品进行分类管理，确保商品展示有序；同时负责处理用户订单，及时跟进订单状态，解决订单处理过程中的各类问题，保障赣绣文创产品销售流程顺畅，提升用户购物体验与平台运营效率。</w:t>
      </w:r>
    </w:p>
    <w:p w14:paraId="319EE5E2">
      <w:pPr>
        <w:spacing w:line="440" w:lineRule="exact"/>
        <w:ind w:firstLine="480" w:firstLineChars="200"/>
        <w:rPr>
          <w:rFonts w:ascii="宋体" w:hAnsi="宋体" w:cs="宋体"/>
          <w:sz w:val="24"/>
        </w:rPr>
      </w:pPr>
      <w:r>
        <w:rPr>
          <w:rFonts w:hint="eastAsia" w:ascii="宋体" w:hAnsi="宋体" w:eastAsia="宋体" w:cs="宋体"/>
          <w:sz w:val="24"/>
        </w:rPr>
        <w:t>系统维护功能是保障系统稳定运行的重要支撑，管理员可上传和管理系统所需的图片、视频等文件资源，确保系统内容丰富且正常展示；能够配置 AI 智能客服的提示词，定义客服的回答风格，提升智能咨询服务质量；还可设置系统基本参数与菜单权限，优化系统功能布局，保障系统安全、高效运行。</w:t>
      </w:r>
    </w:p>
    <w:p w14:paraId="4083E5A5">
      <w:pPr>
        <w:spacing w:line="440" w:lineRule="exact"/>
        <w:ind w:firstLine="480" w:firstLineChars="200"/>
        <w:outlineLvl w:val="9"/>
        <w:rPr>
          <w:rFonts w:ascii="宋体" w:hAnsi="宋体" w:cs="宋体"/>
          <w:sz w:val="24"/>
        </w:rPr>
      </w:pPr>
      <w:bookmarkStart w:id="484" w:name="_Toc20573"/>
      <w:bookmarkStart w:id="485" w:name="_Toc10299"/>
      <w:bookmarkStart w:id="486" w:name="_Toc22853"/>
      <w:bookmarkStart w:id="487" w:name="_Toc26085"/>
      <w:r>
        <w:rPr>
          <w:rFonts w:hint="eastAsia" w:ascii="宋体" w:hAnsi="宋体" w:eastAsia="宋体" w:cs="宋体"/>
          <w:sz w:val="24"/>
        </w:rPr>
        <w:t>2.2 可行性分析</w:t>
      </w:r>
      <w:bookmarkEnd w:id="484"/>
      <w:bookmarkEnd w:id="485"/>
      <w:bookmarkEnd w:id="486"/>
      <w:bookmarkEnd w:id="487"/>
    </w:p>
    <w:p w14:paraId="12BE0E6C">
      <w:pPr>
        <w:spacing w:line="440" w:lineRule="exact"/>
        <w:ind w:firstLine="480" w:firstLineChars="200"/>
        <w:outlineLvl w:val="9"/>
        <w:rPr>
          <w:rFonts w:ascii="宋体" w:hAnsi="宋体" w:cs="宋体"/>
          <w:sz w:val="24"/>
        </w:rPr>
      </w:pPr>
      <w:r>
        <w:rPr>
          <w:rFonts w:hint="eastAsia" w:ascii="宋体" w:hAnsi="宋体" w:eastAsia="宋体" w:cs="宋体"/>
          <w:sz w:val="24"/>
        </w:rPr>
        <w:t>2.2.1 技术可行性</w:t>
      </w:r>
    </w:p>
    <w:p w14:paraId="31C7FDDE">
      <w:pPr>
        <w:spacing w:line="440" w:lineRule="exact"/>
        <w:ind w:firstLine="480" w:firstLineChars="200"/>
        <w:outlineLvl w:val="9"/>
        <w:rPr>
          <w:rFonts w:ascii="宋体" w:hAnsi="宋体" w:cs="宋体"/>
          <w:sz w:val="24"/>
        </w:rPr>
      </w:pPr>
      <w:r>
        <w:rPr>
          <w:rFonts w:hint="eastAsia" w:ascii="宋体" w:hAnsi="宋体" w:eastAsia="宋体" w:cs="宋体"/>
          <w:sz w:val="24"/>
        </w:rPr>
        <w:t>系统采用的技术栈成熟可靠，完全满足赣绣数字化传承平台的开发需求。前端基于 Vue3 框架与Ant Design Vue组件库，支持组件化开发与响应式布局，能高效构建友好的用户界面；Vue3的 Composition API便于大型应用的代码组织，Vite 构建工具提升开发与打包效率。后端采用 Spring Boot 框架，简化配置与部署流程，结合 MyBatis-Plus 持久层框架，减少重复代码，提升数据访问效率。数据库选用 MySQL 8.0，支持高并发查询与事务处理，能稳定存储赣绣项目、传承人、用户等核心数据。AI 智能客服基于 Spring AI 框架集成大语言模型，支持流式响应与上下文对话，技术实现难度可控。整套技术栈社区支持完善，开发团队具备相应技术能力，无技术瓶颈。</w:t>
      </w:r>
    </w:p>
    <w:p w14:paraId="3E77B9DC">
      <w:pPr>
        <w:spacing w:line="440" w:lineRule="exact"/>
        <w:ind w:firstLine="480" w:firstLineChars="200"/>
        <w:rPr>
          <w:rFonts w:ascii="宋体" w:hAnsi="宋体" w:cs="宋体"/>
          <w:sz w:val="24"/>
        </w:rPr>
      </w:pPr>
      <w:r>
        <w:rPr>
          <w:rFonts w:hint="eastAsia" w:ascii="宋体" w:hAnsi="宋体" w:eastAsia="宋体" w:cs="宋体"/>
          <w:sz w:val="24"/>
        </w:rPr>
        <w:t>2.2.2 经济可行性</w:t>
      </w:r>
    </w:p>
    <w:p w14:paraId="06B6455D">
      <w:pPr>
        <w:spacing w:line="440" w:lineRule="exact"/>
        <w:ind w:firstLine="480" w:firstLineChars="200"/>
        <w:rPr>
          <w:rFonts w:ascii="宋体" w:hAnsi="宋体" w:cs="宋体"/>
          <w:sz w:val="24"/>
        </w:rPr>
      </w:pPr>
      <w:r>
        <w:rPr>
          <w:rFonts w:hint="eastAsia" w:ascii="宋体" w:hAnsi="宋体" w:eastAsia="宋体" w:cs="宋体"/>
          <w:sz w:val="24"/>
        </w:rPr>
        <w:t>系统开发与运营成本可控，具备良好的投入产出比。开发阶段采用开源免费技术（Vue3、Spring Boot、MySQL 等），无需支付软件许可费用；开发工具提供免费版本，降低初期投入。部署采用云服务器按需付费模式，初期可选用低配置服务器，随用户量增长逐步升级，避免大额硬件投入；阿里云、腾讯云等服务商提供完善的技术支持，运维成本可控。人力成本方面，所用技术为市场主流，易招聘到熟练开发人员，前后端分离架构支持并行开发，缩短开发周期。收益方面，通过文创产品销售佣金、付费课程、广告投放等方式实现盈利，随着用户规模扩大，商业价值持续提升，经济可行性良好。</w:t>
      </w:r>
    </w:p>
    <w:p w14:paraId="1C6E0189">
      <w:pPr>
        <w:spacing w:line="440" w:lineRule="exact"/>
        <w:ind w:firstLine="480" w:firstLineChars="200"/>
        <w:rPr>
          <w:rFonts w:ascii="宋体" w:hAnsi="宋体" w:cs="宋体"/>
          <w:sz w:val="24"/>
        </w:rPr>
      </w:pPr>
      <w:r>
        <w:rPr>
          <w:rFonts w:hint="eastAsia" w:ascii="宋体" w:hAnsi="宋体" w:eastAsia="宋体" w:cs="宋体"/>
          <w:sz w:val="24"/>
        </w:rPr>
        <w:t>2.2.3 操作可行性</w:t>
      </w:r>
    </w:p>
    <w:p w14:paraId="5C960EF0">
      <w:pPr>
        <w:spacing w:line="440" w:lineRule="exact"/>
        <w:ind w:firstLine="480" w:firstLineChars="200"/>
        <w:rPr>
          <w:rFonts w:ascii="宋体" w:hAnsi="宋体" w:cs="宋体"/>
          <w:sz w:val="24"/>
        </w:rPr>
      </w:pPr>
      <w:r>
        <w:rPr>
          <w:rFonts w:hint="eastAsia" w:ascii="宋体" w:hAnsi="宋体" w:eastAsia="宋体" w:cs="宋体"/>
          <w:sz w:val="24"/>
        </w:rPr>
        <w:t>系统采用 B/S 架构，用户无需安装客户端，通过 Chrome、Firefox 等主流浏览器即可访问，适配不同设备，降低使用门槛，尤其适合中老年用户群体。界面设计简洁美观，操作逻辑清晰，左侧边栏导航符合用户习惯，功能按钮与提示直观易懂；提供搜索、筛选功能，帮助用户快速定位目标内容。复杂操作配备指引文档，错误提示明确，表单提交前进行前端验证，减少无效操作。管理员后台操作简单，经过短期培训即可熟练掌握，不同用户群体均能便捷使用系统，操作可行性强。</w:t>
      </w:r>
    </w:p>
    <w:p w14:paraId="5B7B62D9">
      <w:pPr>
        <w:spacing w:line="440" w:lineRule="exact"/>
        <w:ind w:firstLine="480" w:firstLineChars="200"/>
        <w:outlineLvl w:val="9"/>
        <w:rPr>
          <w:rFonts w:ascii="宋体" w:hAnsi="宋体" w:cs="宋体"/>
          <w:sz w:val="24"/>
        </w:rPr>
      </w:pPr>
      <w:bookmarkStart w:id="488" w:name="_Toc10154"/>
      <w:bookmarkStart w:id="489" w:name="_Toc19436"/>
      <w:bookmarkStart w:id="490" w:name="_Toc27045"/>
      <w:bookmarkStart w:id="491" w:name="_Toc10099"/>
      <w:r>
        <w:rPr>
          <w:rFonts w:hint="eastAsia" w:ascii="宋体" w:hAnsi="宋体" w:eastAsia="宋体" w:cs="宋体"/>
          <w:sz w:val="24"/>
        </w:rPr>
        <w:t>2.3 需求优先级划分</w:t>
      </w:r>
      <w:bookmarkEnd w:id="488"/>
      <w:bookmarkEnd w:id="489"/>
      <w:bookmarkEnd w:id="490"/>
      <w:bookmarkEnd w:id="491"/>
    </w:p>
    <w:p w14:paraId="02D801A0">
      <w:pPr>
        <w:spacing w:line="440" w:lineRule="exact"/>
        <w:ind w:firstLine="480" w:firstLineChars="200"/>
        <w:outlineLvl w:val="9"/>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1</w:t>
      </w:r>
      <w:r>
        <w:rPr>
          <w:rFonts w:hint="eastAsia" w:ascii="宋体" w:hAnsi="宋体" w:eastAsia="宋体" w:cs="宋体"/>
          <w:sz w:val="24"/>
          <w:lang w:eastAsia="zh-CN"/>
        </w:rPr>
        <w:t>）</w:t>
      </w:r>
      <w:r>
        <w:rPr>
          <w:rFonts w:hint="eastAsia" w:ascii="宋体" w:hAnsi="宋体" w:eastAsia="宋体" w:cs="宋体"/>
          <w:sz w:val="24"/>
        </w:rPr>
        <w:t>高优先级：用户注册登录、赣绣项目与传承人信息展示、课程浏览与学习、活动报名、商品购买、基础管理功能（用户、项目、商品管理），此类需求是系统核心价值载体，保障基本使用流程。</w:t>
      </w:r>
    </w:p>
    <w:p w14:paraId="18643026">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2</w:t>
      </w:r>
      <w:r>
        <w:rPr>
          <w:rFonts w:hint="eastAsia" w:ascii="宋体" w:hAnsi="宋体" w:eastAsia="宋体" w:cs="宋体"/>
          <w:sz w:val="24"/>
          <w:lang w:eastAsia="zh-CN"/>
        </w:rPr>
        <w:t>）</w:t>
      </w:r>
      <w:r>
        <w:rPr>
          <w:rFonts w:hint="eastAsia" w:ascii="宋体" w:hAnsi="宋体" w:eastAsia="宋体" w:cs="宋体"/>
          <w:sz w:val="24"/>
        </w:rPr>
        <w:t>中优先级：AI 智能客服、课程章节管理、活动审核、订单处理、传承人项目关联，此类需求提升系统实用性与用户体验，是核心功能的重要补充。</w:t>
      </w:r>
    </w:p>
    <w:p w14:paraId="37FA7323">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3</w:t>
      </w:r>
      <w:r>
        <w:rPr>
          <w:rFonts w:hint="eastAsia" w:ascii="宋体" w:hAnsi="宋体" w:eastAsia="宋体" w:cs="宋体"/>
          <w:sz w:val="24"/>
          <w:lang w:eastAsia="zh-CN"/>
        </w:rPr>
        <w:t>）</w:t>
      </w:r>
      <w:r>
        <w:rPr>
          <w:rFonts w:hint="eastAsia" w:ascii="宋体" w:hAnsi="宋体" w:eastAsia="宋体" w:cs="宋体"/>
          <w:sz w:val="24"/>
        </w:rPr>
        <w:t>低优先级：个性化推荐（基于用户行为推荐课程、商品）、用户社区互动（作品分享、经验交流）、数据统计分析（用户关注度、销售趋势），此类需求可在系统稳定运行后逐步迭代实现。</w:t>
      </w:r>
    </w:p>
    <w:p w14:paraId="3A28A581">
      <w:pPr>
        <w:spacing w:line="440" w:lineRule="exact"/>
        <w:outlineLvl w:val="9"/>
        <w:rPr>
          <w:b/>
          <w:bCs/>
          <w:sz w:val="28"/>
          <w:szCs w:val="28"/>
        </w:rPr>
      </w:pPr>
      <w:bookmarkStart w:id="492" w:name="_Toc20520"/>
      <w:bookmarkStart w:id="493" w:name="_Toc8426"/>
      <w:bookmarkStart w:id="494" w:name="_Toc26587"/>
      <w:bookmarkStart w:id="495" w:name="_Toc1101"/>
      <w:r>
        <w:rPr>
          <w:rFonts w:hint="eastAsia" w:cs="Times New Roman"/>
          <w:b/>
          <w:bCs/>
          <w:sz w:val="28"/>
          <w:szCs w:val="28"/>
        </w:rPr>
        <w:t>3系统设计</w:t>
      </w:r>
      <w:bookmarkEnd w:id="492"/>
      <w:bookmarkEnd w:id="493"/>
      <w:bookmarkEnd w:id="494"/>
      <w:bookmarkEnd w:id="495"/>
    </w:p>
    <w:p w14:paraId="55F962D4">
      <w:pPr>
        <w:spacing w:line="440" w:lineRule="exact"/>
        <w:ind w:firstLine="480" w:firstLineChars="200"/>
        <w:outlineLvl w:val="9"/>
        <w:rPr>
          <w:rFonts w:ascii="宋体" w:hAnsi="宋体" w:cs="宋体"/>
          <w:sz w:val="24"/>
        </w:rPr>
      </w:pPr>
      <w:r>
        <w:rPr>
          <w:rFonts w:hint="eastAsia" w:ascii="宋体" w:hAnsi="宋体" w:eastAsia="宋体" w:cs="宋体"/>
          <w:sz w:val="24"/>
        </w:rPr>
        <w:t>本章主要介绍</w:t>
      </w:r>
      <w:r>
        <w:rPr>
          <w:rFonts w:hint="eastAsia" w:ascii="宋体" w:hAnsi="宋体" w:cs="宋体"/>
          <w:sz w:val="24"/>
        </w:rPr>
        <w:t>赣绣</w:t>
      </w:r>
      <w:r>
        <w:rPr>
          <w:rFonts w:hint="eastAsia" w:ascii="宋体" w:hAnsi="宋体" w:eastAsia="宋体" w:cs="宋体"/>
          <w:sz w:val="24"/>
        </w:rPr>
        <w:t>传承平台的系统设计,包括系统架构设计、功能模块设计和数据库设计三个部分。</w:t>
      </w:r>
    </w:p>
    <w:p w14:paraId="24869081">
      <w:pPr>
        <w:spacing w:line="440" w:lineRule="exact"/>
        <w:ind w:firstLine="480" w:firstLineChars="200"/>
        <w:outlineLvl w:val="9"/>
        <w:rPr>
          <w:rFonts w:hint="eastAsia" w:ascii="宋体" w:hAnsi="宋体" w:eastAsia="宋体" w:cs="宋体"/>
          <w:sz w:val="24"/>
        </w:rPr>
      </w:pPr>
      <w:bookmarkStart w:id="496" w:name="_Toc21689"/>
      <w:bookmarkStart w:id="497" w:name="_Toc10925"/>
      <w:bookmarkStart w:id="498" w:name="_Toc17439"/>
      <w:bookmarkStart w:id="499" w:name="_Toc22256"/>
      <w:r>
        <w:rPr>
          <w:rFonts w:hint="eastAsia" w:ascii="宋体" w:hAnsi="宋体" w:eastAsia="宋体" w:cs="宋体"/>
          <w:sz w:val="24"/>
        </w:rPr>
        <w:t>3.1 系统架构设计</w:t>
      </w:r>
      <w:bookmarkEnd w:id="496"/>
      <w:bookmarkEnd w:id="497"/>
      <w:bookmarkEnd w:id="498"/>
      <w:bookmarkEnd w:id="499"/>
    </w:p>
    <w:p w14:paraId="4C1E7196">
      <w:pPr>
        <w:spacing w:line="440" w:lineRule="exact"/>
        <w:ind w:firstLine="480" w:firstLineChars="200"/>
        <w:outlineLvl w:val="9"/>
        <w:rPr>
          <w:rFonts w:ascii="宋体" w:hAnsi="宋体" w:cs="宋体"/>
          <w:sz w:val="24"/>
        </w:rPr>
      </w:pPr>
      <w:bookmarkStart w:id="500" w:name="_Toc1310"/>
      <w:r>
        <w:rPr>
          <w:rFonts w:hint="eastAsia" w:ascii="宋体" w:hAnsi="宋体" w:eastAsia="宋体" w:cs="宋体"/>
          <w:sz w:val="24"/>
        </w:rPr>
        <w:t>系统的核心业务模块包括用户管理模块、赣绣作品管理模块、赣绣传承人管理模块、赣绣课程管理模块、赣绣活动管理模块、商城管理模块和 AI 智能客服模块七大核心模块。</w:t>
      </w:r>
    </w:p>
    <w:p w14:paraId="243BC73D">
      <w:pPr>
        <w:spacing w:line="440" w:lineRule="exact"/>
        <w:ind w:firstLine="480" w:firstLineChars="200"/>
        <w:outlineLvl w:val="9"/>
        <w:rPr>
          <w:rFonts w:hint="eastAsia" w:ascii="宋体" w:hAnsi="宋体" w:eastAsia="宋体" w:cs="宋体"/>
          <w:sz w:val="24"/>
        </w:rPr>
      </w:pPr>
      <w:bookmarkStart w:id="501" w:name="_Toc1117"/>
      <w:bookmarkStart w:id="502" w:name="_Toc13543"/>
      <w:bookmarkStart w:id="503" w:name="_Toc13734"/>
      <w:r>
        <w:rPr>
          <w:rFonts w:hint="eastAsia" w:ascii="宋体" w:hAnsi="宋体" w:eastAsia="宋体" w:cs="宋体"/>
          <w:sz w:val="24"/>
        </w:rPr>
        <w:t>3.2 系统功能模块设计</w:t>
      </w:r>
      <w:bookmarkEnd w:id="500"/>
      <w:bookmarkEnd w:id="501"/>
      <w:bookmarkEnd w:id="502"/>
      <w:bookmarkEnd w:id="503"/>
    </w:p>
    <w:p w14:paraId="70ED334C">
      <w:pPr>
        <w:spacing w:line="440" w:lineRule="exact"/>
        <w:ind w:firstLine="420" w:firstLineChars="200"/>
        <w:outlineLvl w:val="9"/>
        <w:rPr>
          <w:rFonts w:ascii="宋体" w:hAnsi="宋体" w:cs="宋体"/>
          <w:sz w:val="24"/>
        </w:rPr>
      </w:pPr>
      <w:r>
        <w:rPr>
          <w:rFonts w:hint="eastAsia"/>
        </w:rPr>
        <w:drawing>
          <wp:anchor distT="0" distB="0" distL="114300" distR="114300" simplePos="0" relativeHeight="251705344" behindDoc="0" locked="0" layoutInCell="1" allowOverlap="1">
            <wp:simplePos x="0" y="0"/>
            <wp:positionH relativeFrom="column">
              <wp:posOffset>202565</wp:posOffset>
            </wp:positionH>
            <wp:positionV relativeFrom="paragraph">
              <wp:posOffset>664210</wp:posOffset>
            </wp:positionV>
            <wp:extent cx="4942205" cy="2025015"/>
            <wp:effectExtent l="0" t="0" r="10795" b="6985"/>
            <wp:wrapTopAndBottom/>
            <wp:docPr id="117" name="图片 117" descr="图片文字修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图片文字修改"/>
                    <pic:cNvPicPr>
                      <a:picLocks noChangeAspect="1"/>
                    </pic:cNvPicPr>
                  </pic:nvPicPr>
                  <pic:blipFill>
                    <a:blip r:embed="rId183"/>
                    <a:stretch>
                      <a:fillRect/>
                    </a:stretch>
                  </pic:blipFill>
                  <pic:spPr>
                    <a:xfrm>
                      <a:off x="0" y="0"/>
                      <a:ext cx="4942205" cy="2025015"/>
                    </a:xfrm>
                    <a:prstGeom prst="rect">
                      <a:avLst/>
                    </a:prstGeom>
                  </pic:spPr>
                </pic:pic>
              </a:graphicData>
            </a:graphic>
          </wp:anchor>
        </w:drawing>
      </w:r>
      <w:r>
        <w:rPr>
          <w:rFonts w:ascii="宋体" w:hAnsi="宋体" w:eastAsia="宋体" w:cs="宋体"/>
          <w:sz w:val="24"/>
        </w:rPr>
        <w:t>本系统包含用户管理、</w:t>
      </w:r>
      <w:r>
        <w:rPr>
          <w:rFonts w:hint="eastAsia" w:ascii="宋体" w:hAnsi="宋体" w:eastAsia="宋体" w:cs="宋体"/>
          <w:sz w:val="24"/>
        </w:rPr>
        <w:t>赣绣</w:t>
      </w:r>
      <w:r>
        <w:rPr>
          <w:rFonts w:ascii="宋体" w:hAnsi="宋体" w:eastAsia="宋体" w:cs="宋体"/>
          <w:sz w:val="24"/>
        </w:rPr>
        <w:t>项目管理、传承人管理、课程管理、活动管理、商城管理和AI智能客服七大功能模块。</w:t>
      </w:r>
    </w:p>
    <w:p w14:paraId="1AFC9FF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sz w:val="21"/>
          <w:szCs w:val="21"/>
        </w:rPr>
      </w:pPr>
      <w:r>
        <w:rPr>
          <w:rFonts w:hint="eastAsia" w:ascii="宋体" w:hAnsi="宋体" w:cs="宋体"/>
          <w:sz w:val="21"/>
          <w:szCs w:val="21"/>
        </w:rPr>
        <w:t>图3-1 系统功能框架图</w:t>
      </w:r>
    </w:p>
    <w:p w14:paraId="59562BEF">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.2.1 用户管理模块</w:t>
      </w:r>
    </w:p>
    <w:p w14:paraId="55706771">
      <w:pPr>
        <w:spacing w:line="440" w:lineRule="exact"/>
        <w:ind w:firstLine="480" w:firstLineChars="200"/>
        <w:rPr>
          <w:rFonts w:ascii="宋体" w:hAnsi="宋体" w:cs="宋体"/>
          <w:sz w:val="24"/>
        </w:rPr>
      </w:pPr>
      <w:r>
        <w:rPr>
          <w:rFonts w:ascii="宋体" w:hAnsi="宋体" w:eastAsia="宋体" w:cs="宋体"/>
          <w:sz w:val="24"/>
        </w:rPr>
        <w:t>用户管理模块是系统的基础模块,负责处理用户注册、登录、权限管理等核心功能。该模块支持两种主要角色,分别是普通用户和管理员,不同角色拥有不同的功能权限和访问范围。普通用户可以通过注册功能创建账户,注册时需要提供用户名、密码和邮箱等基本信息。系统对用户密码采用BCrypt加密算法进行加密存储,保障了账户安全。用户登录时,系统验证用户名和密码的正确性,验证通过后生成JWT令牌返回给客户端,客户端在后续请求中携带该令牌进行身份认证。管理员拥有更高的权限,可以对系统中的所有用户进行管理,包括查看用户列表、启用或禁用用户账户、重置用户密码等操作。</w:t>
      </w:r>
    </w:p>
    <w:p w14:paraId="4C83CD6E">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 xml:space="preserve">.2.2 </w:t>
      </w:r>
      <w:r>
        <w:rPr>
          <w:rFonts w:hint="eastAsia" w:ascii="宋体" w:hAnsi="宋体" w:eastAsia="宋体" w:cs="宋体"/>
          <w:sz w:val="24"/>
        </w:rPr>
        <w:t>赣绣</w:t>
      </w:r>
      <w:r>
        <w:rPr>
          <w:rFonts w:ascii="宋体" w:hAnsi="宋体" w:eastAsia="宋体" w:cs="宋体"/>
          <w:sz w:val="24"/>
        </w:rPr>
        <w:t>项目管理模块</w:t>
      </w:r>
    </w:p>
    <w:p w14:paraId="5D9E91CD">
      <w:pPr>
        <w:spacing w:line="440" w:lineRule="exact"/>
        <w:ind w:firstLine="480" w:firstLineChars="200"/>
        <w:rPr>
          <w:rFonts w:ascii="宋体" w:hAnsi="宋体" w:cs="宋体"/>
          <w:sz w:val="24"/>
        </w:rPr>
      </w:pPr>
      <w:r>
        <w:rPr>
          <w:rFonts w:hint="eastAsia" w:ascii="宋体" w:hAnsi="宋体" w:eastAsia="宋体" w:cs="宋体"/>
          <w:sz w:val="24"/>
        </w:rPr>
        <w:t>赣绣作品管理模块是系统的核心模块之一，负责赣绣作品信息的展示和管理。普通用户可以通过该模块浏览赣绣作品列表，系统支持按类别、地区等条件进行筛选和检索。用户点击作品卡片可以查看作品的详细信息，包括作品的历史渊源、艺术特色、制作工艺、代表作品等内容。管理员可以对赣绣作品进行全面管理，包括添加新作品、编辑现有作品信息、上传作品图片和视频、设置作品的发布状态等。</w:t>
      </w:r>
    </w:p>
    <w:p w14:paraId="365EB001">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.2.3 传承人管理模块</w:t>
      </w:r>
    </w:p>
    <w:p w14:paraId="0E445C45">
      <w:pPr>
        <w:spacing w:line="440" w:lineRule="exact"/>
        <w:ind w:firstLine="480" w:firstLineChars="200"/>
        <w:rPr>
          <w:rFonts w:ascii="宋体" w:hAnsi="宋体" w:cs="宋体"/>
          <w:sz w:val="24"/>
        </w:rPr>
      </w:pPr>
      <w:r>
        <w:rPr>
          <w:rFonts w:ascii="宋体" w:hAnsi="宋体" w:eastAsia="宋体" w:cs="宋体"/>
          <w:sz w:val="24"/>
        </w:rPr>
        <w:t>传承人管理模块用于展示和管理非遗传承人的信息,让用户了解传承人的技艺水平和传承故事。普通用户可以浏览传承人列表,查看传承人的个人简介、技艺称号、所在地区、代表作品等信息。管理员可以录入新的传承人信息,包括姓名、称号、地区、简介等基本信息,并上传传承人照片。管理员可以为传承人关联其擅长的</w:t>
      </w:r>
      <w:r>
        <w:rPr>
          <w:rFonts w:hint="eastAsia" w:ascii="宋体" w:hAnsi="宋体" w:eastAsia="宋体" w:cs="宋体"/>
          <w:sz w:val="24"/>
        </w:rPr>
        <w:t>赣绣纹样</w:t>
      </w:r>
      <w:r>
        <w:rPr>
          <w:rFonts w:ascii="宋体" w:hAnsi="宋体" w:eastAsia="宋体" w:cs="宋体"/>
          <w:sz w:val="24"/>
        </w:rPr>
        <w:t>项目,建立传承人与项目之间的多对多关系。</w:t>
      </w:r>
    </w:p>
    <w:p w14:paraId="0F2F0AF2">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.2.4 课程管理模块</w:t>
      </w:r>
    </w:p>
    <w:p w14:paraId="32CEB29E">
      <w:pPr>
        <w:spacing w:line="440" w:lineRule="exact"/>
        <w:ind w:firstLine="480" w:firstLineChars="200"/>
        <w:rPr>
          <w:rFonts w:ascii="宋体" w:hAnsi="宋体" w:cs="宋体"/>
          <w:sz w:val="24"/>
        </w:rPr>
      </w:pPr>
      <w:r>
        <w:rPr>
          <w:rFonts w:ascii="宋体" w:hAnsi="宋体" w:eastAsia="宋体" w:cs="宋体"/>
          <w:sz w:val="24"/>
        </w:rPr>
        <w:t>课程管理模块为用户提供在线学习</w:t>
      </w:r>
      <w:r>
        <w:rPr>
          <w:rFonts w:hint="eastAsia" w:ascii="宋体" w:hAnsi="宋体" w:eastAsia="宋体" w:cs="宋体"/>
          <w:sz w:val="24"/>
        </w:rPr>
        <w:t>赣绣</w:t>
      </w:r>
      <w:r>
        <w:rPr>
          <w:rFonts w:ascii="宋体" w:hAnsi="宋体" w:eastAsia="宋体" w:cs="宋体"/>
          <w:sz w:val="24"/>
        </w:rPr>
        <w:t>技艺的平台,支持课程的发布、浏览和学习功能。普通用户可以浏览课程列表,系统按照课程的难度等级进行分类,包括入门级、中级和高级课程。用户点击课程可以查看课程的详细介绍,进入课程学习页面后,用户可以查看课程的章节列表,按顺序学习各个章节的内容。管理员可以创建新课程,填写课程的基本信息,为课程添加章节,调整章节的顺序。</w:t>
      </w:r>
    </w:p>
    <w:p w14:paraId="2179E017">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.2.5 活动管理模块</w:t>
      </w:r>
    </w:p>
    <w:p w14:paraId="06A9F7EF">
      <w:pPr>
        <w:spacing w:line="440" w:lineRule="exact"/>
        <w:ind w:firstLine="480" w:firstLineChars="200"/>
        <w:rPr>
          <w:rFonts w:ascii="宋体" w:hAnsi="宋体" w:cs="宋体"/>
          <w:sz w:val="24"/>
        </w:rPr>
      </w:pPr>
      <w:r>
        <w:rPr>
          <w:rFonts w:ascii="宋体" w:hAnsi="宋体" w:eastAsia="宋体" w:cs="宋体"/>
          <w:sz w:val="24"/>
        </w:rPr>
        <w:t>活动管理模块用于发布和管理各类非遗活动,包括展演、展览、培训、比赛等多种活动类型。普通用户可以浏览正在报名或进行中的活动列表,查看活动的标题、类型、时间、地点等基本信息。对于感兴趣的活动,用户可以提交报名申请。管理员可以发布新活动,填写活动的基本信息,查看活动的报名列表,对用户的报名申请进行审核。</w:t>
      </w:r>
    </w:p>
    <w:p w14:paraId="568A4458">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.2.6 商城管理模块</w:t>
      </w:r>
    </w:p>
    <w:p w14:paraId="103C0CC2">
      <w:pPr>
        <w:spacing w:line="440" w:lineRule="exact"/>
        <w:ind w:firstLine="480" w:firstLineChars="200"/>
        <w:rPr>
          <w:rFonts w:ascii="宋体" w:hAnsi="宋体" w:cs="宋体"/>
          <w:sz w:val="24"/>
        </w:rPr>
      </w:pPr>
      <w:r>
        <w:rPr>
          <w:rFonts w:ascii="宋体" w:hAnsi="宋体" w:eastAsia="宋体" w:cs="宋体"/>
          <w:sz w:val="24"/>
        </w:rPr>
        <w:t>商城管理模块为非遗文创产品的销售提供电子商务平台,支持商品展示、购物车、订单管理等完整的购物流程。普通用户可以浏览商品列表,查看商品的详细信息,将商品加入购物车,提交订单。管理员可以管理商品分类,添加新商品,编辑现有商品的信息,查看所有订单,处理用户的订单。</w:t>
      </w:r>
    </w:p>
    <w:p w14:paraId="683ED8F4">
      <w:pPr>
        <w:spacing w:line="440" w:lineRule="exact"/>
        <w:ind w:firstLine="480" w:firstLineChars="200"/>
        <w:outlineLvl w:val="9"/>
        <w:rPr>
          <w:rFonts w:ascii="宋体" w:hAnsi="宋体" w:cs="宋体"/>
          <w:sz w:val="24"/>
        </w:rPr>
      </w:pPr>
      <w:bookmarkStart w:id="504" w:name="_Toc17939"/>
      <w:bookmarkStart w:id="505" w:name="_Toc8115"/>
      <w:bookmarkStart w:id="506" w:name="_Toc19469"/>
      <w:bookmarkStart w:id="507" w:name="_Toc7181"/>
      <w:bookmarkStart w:id="508" w:name="_Toc10960"/>
      <w:r>
        <w:rPr>
          <w:rFonts w:hint="eastAsia" w:ascii="宋体" w:hAnsi="宋体" w:eastAsia="宋体" w:cs="宋体"/>
          <w:sz w:val="24"/>
        </w:rPr>
        <w:t>3</w:t>
      </w:r>
      <w:r>
        <w:rPr>
          <w:rFonts w:ascii="宋体" w:hAnsi="宋体" w:eastAsia="宋体" w:cs="宋体"/>
          <w:sz w:val="24"/>
        </w:rPr>
        <w:t>.3 数据库设计</w:t>
      </w:r>
      <w:bookmarkEnd w:id="504"/>
      <w:bookmarkEnd w:id="505"/>
      <w:bookmarkEnd w:id="506"/>
      <w:bookmarkEnd w:id="507"/>
      <w:bookmarkEnd w:id="508"/>
    </w:p>
    <w:p w14:paraId="7D45A4DA">
      <w:pPr>
        <w:spacing w:line="440" w:lineRule="exact"/>
        <w:ind w:firstLine="480" w:firstLineChars="200"/>
        <w:outlineLvl w:val="9"/>
        <w:rPr>
          <w:rFonts w:ascii="宋体" w:hAnsi="宋体" w:cs="宋体"/>
          <w:sz w:val="24"/>
        </w:rPr>
      </w:pPr>
      <w:r>
        <w:rPr>
          <w:rFonts w:hint="eastAsia" w:ascii="宋体" w:hAnsi="宋体" w:eastAsia="宋体" w:cs="宋体"/>
          <w:sz w:val="24"/>
        </w:rPr>
        <w:t>3</w:t>
      </w:r>
      <w:r>
        <w:rPr>
          <w:rFonts w:ascii="宋体" w:hAnsi="宋体" w:eastAsia="宋体" w:cs="宋体"/>
          <w:sz w:val="24"/>
        </w:rPr>
        <w:t>.3.1 数据库概念设计</w:t>
      </w:r>
    </w:p>
    <w:p w14:paraId="447CA87C">
      <w:pPr>
        <w:spacing w:line="440" w:lineRule="exact"/>
        <w:ind w:firstLine="480" w:firstLineChars="200"/>
        <w:outlineLvl w:val="9"/>
        <w:rPr>
          <w:rFonts w:hint="default" w:ascii="宋体" w:hAnsi="宋体" w:eastAsia="宋体" w:cs="宋体"/>
          <w:sz w:val="21"/>
          <w:szCs w:val="21"/>
          <w:lang w:val="en-US" w:eastAsia="zh-CN"/>
        </w:rPr>
      </w:pPr>
      <w:r>
        <w:rPr>
          <w:rFonts w:ascii="宋体" w:hAnsi="宋体" w:eastAsia="宋体" w:cs="宋体"/>
          <w:sz w:val="24"/>
        </w:rPr>
        <w:t>系统使用MySQL关系型数据库作为数据存储解决方案,遵循了规范化原则,主要围绕用户、</w:t>
      </w:r>
      <w:r>
        <w:rPr>
          <w:rFonts w:hint="eastAsia" w:ascii="宋体" w:hAnsi="宋体" w:eastAsia="宋体" w:cs="宋体"/>
          <w:sz w:val="24"/>
        </w:rPr>
        <w:t>赣绣</w:t>
      </w:r>
      <w:r>
        <w:rPr>
          <w:rFonts w:ascii="宋体" w:hAnsi="宋体" w:eastAsia="宋体" w:cs="宋体"/>
          <w:sz w:val="24"/>
        </w:rPr>
        <w:t>项目、传承人、课程、活动、商城和AI客服七大核心模块展开设计[2]。每个模块都通过主键和外键关系确保数据的完整性和一致性。数据库设计遵循数据库设计的三种范式,避免数据冗余,为常用查询字段建立索引,合理使用主键和外键约束,保证数据的完整性</w:t>
      </w:r>
      <w:r>
        <w:rPr>
          <w:rFonts w:hint="eastAsia" w:ascii="宋体" w:hAnsi="宋体" w:eastAsia="宋体" w:cs="宋体"/>
          <w:sz w:val="24"/>
          <w:lang w:eastAsia="zh-CN"/>
        </w:rPr>
        <w:t>，</w:t>
      </w:r>
      <w:r>
        <w:rPr>
          <w:rFonts w:hint="eastAsia" w:ascii="宋体" w:hAnsi="宋体" w:eastAsia="宋体" w:cs="宋体"/>
          <w:sz w:val="24"/>
          <w:lang w:val="en-US" w:eastAsia="zh-CN"/>
        </w:rPr>
        <w:t>系统</w:t>
      </w:r>
      <w:r>
        <w:rPr>
          <w:rFonts w:ascii="宋体" w:hAnsi="宋体" w:eastAsia="宋体" w:cs="宋体"/>
          <w:sz w:val="24"/>
        </w:rPr>
        <w:t>ER图</w:t>
      </w:r>
      <w:r>
        <w:rPr>
          <w:rFonts w:hint="eastAsia" w:ascii="宋体" w:hAnsi="宋体" w:eastAsia="宋体" w:cs="宋体"/>
          <w:sz w:val="24"/>
          <w:lang w:val="en-US" w:eastAsia="zh-CN"/>
        </w:rPr>
        <w:t>如图3-2所示。</w:t>
      </w:r>
    </w:p>
    <w:p w14:paraId="45CBD5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宋体"/>
          <w:sz w:val="21"/>
          <w:szCs w:val="21"/>
        </w:rPr>
      </w:pPr>
      <w:r>
        <w:rPr>
          <w:rFonts w:hint="eastAsia" w:ascii="宋体" w:hAnsi="宋体" w:cs="宋体"/>
          <w:sz w:val="21"/>
          <w:szCs w:val="21"/>
        </w:rPr>
        <w:drawing>
          <wp:inline distT="0" distB="0" distL="114300" distR="114300">
            <wp:extent cx="4993640" cy="1863725"/>
            <wp:effectExtent l="0" t="0" r="10160" b="3175"/>
            <wp:docPr id="118" name="图片 118" descr="生成赣绣传承管理系统网站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生成赣绣传承管理系统网站图片 (1)"/>
                    <pic:cNvPicPr>
                      <a:picLocks noChangeAspect="1"/>
                    </pic:cNvPicPr>
                  </pic:nvPicPr>
                  <pic:blipFill>
                    <a:blip r:embed="rId184"/>
                    <a:srcRect t="24462" b="7048"/>
                    <a:stretch>
                      <a:fillRect/>
                    </a:stretch>
                  </pic:blipFill>
                  <pic:spPr>
                    <a:xfrm>
                      <a:off x="0" y="0"/>
                      <a:ext cx="4993640" cy="1863725"/>
                    </a:xfrm>
                    <a:prstGeom prst="rect">
                      <a:avLst/>
                    </a:prstGeom>
                  </pic:spPr>
                </pic:pic>
              </a:graphicData>
            </a:graphic>
          </wp:inline>
        </w:drawing>
      </w:r>
    </w:p>
    <w:p w14:paraId="58AE6A69">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图3-2总体ER图</w:t>
      </w:r>
    </w:p>
    <w:p w14:paraId="022FCA0B">
      <w:pPr>
        <w:spacing w:line="440" w:lineRule="exact"/>
        <w:ind w:firstLine="480" w:firstLineChars="200"/>
        <w:rPr>
          <w:rFonts w:ascii="宋体" w:hAnsi="宋体" w:cs="宋体"/>
          <w:sz w:val="24"/>
        </w:rPr>
      </w:pPr>
      <w:r>
        <w:rPr>
          <w:rFonts w:hint="eastAsia" w:ascii="宋体" w:hAnsi="宋体" w:cs="宋体"/>
          <w:sz w:val="24"/>
        </w:rPr>
        <w:t>(1)用户实体</w:t>
      </w:r>
    </w:p>
    <w:p w14:paraId="3B1BC21A">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697152" behindDoc="0" locked="0" layoutInCell="1" allowOverlap="1">
            <wp:simplePos x="0" y="0"/>
            <wp:positionH relativeFrom="column">
              <wp:posOffset>196850</wp:posOffset>
            </wp:positionH>
            <wp:positionV relativeFrom="paragraph">
              <wp:posOffset>36830</wp:posOffset>
            </wp:positionV>
            <wp:extent cx="4882515" cy="1576705"/>
            <wp:effectExtent l="0" t="0" r="6985" b="10795"/>
            <wp:wrapTopAndBottom/>
            <wp:docPr id="119" name="图片 119" descr="用户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用户1"/>
                    <pic:cNvPicPr>
                      <a:picLocks noChangeAspect="1"/>
                    </pic:cNvPicPr>
                  </pic:nvPicPr>
                  <pic:blipFill>
                    <a:blip r:embed="rId185"/>
                    <a:stretch>
                      <a:fillRect/>
                    </a:stretch>
                  </pic:blipFill>
                  <pic:spPr>
                    <a:xfrm>
                      <a:off x="0" y="0"/>
                      <a:ext cx="4882515" cy="1576705"/>
                    </a:xfrm>
                    <a:prstGeom prst="rect">
                      <a:avLst/>
                    </a:prstGeom>
                  </pic:spPr>
                </pic:pic>
              </a:graphicData>
            </a:graphic>
          </wp:anchor>
        </w:drawing>
      </w:r>
      <w:r>
        <w:rPr>
          <w:rFonts w:ascii="宋体" w:hAnsi="宋体" w:eastAsia="宋体" w:cs="宋体"/>
          <w:sz w:val="24"/>
        </w:rPr>
        <w:t>:</w:t>
      </w:r>
    </w:p>
    <w:p w14:paraId="0303CB95">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图3-3 用户实体图</w:t>
      </w:r>
    </w:p>
    <w:p w14:paraId="1C9DD010">
      <w:pPr>
        <w:spacing w:line="440" w:lineRule="exact"/>
        <w:ind w:firstLine="480" w:firstLineChars="200"/>
        <w:rPr>
          <w:rFonts w:ascii="宋体" w:hAnsi="宋体" w:cs="宋体"/>
          <w:sz w:val="24"/>
        </w:rPr>
      </w:pPr>
      <w:r>
        <w:rPr>
          <w:rFonts w:hint="eastAsia" w:ascii="宋体" w:hAnsi="宋体" w:cs="宋体"/>
          <w:sz w:val="24"/>
        </w:rPr>
        <w:t>（2）赣绣项目实体</w:t>
      </w:r>
    </w:p>
    <w:p w14:paraId="3D6E215B">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04320" behindDoc="0" locked="0" layoutInCell="1" allowOverlap="1">
            <wp:simplePos x="0" y="0"/>
            <wp:positionH relativeFrom="column">
              <wp:posOffset>833120</wp:posOffset>
            </wp:positionH>
            <wp:positionV relativeFrom="paragraph">
              <wp:posOffset>153670</wp:posOffset>
            </wp:positionV>
            <wp:extent cx="3883660" cy="1763395"/>
            <wp:effectExtent l="0" t="0" r="2540" b="1905"/>
            <wp:wrapTopAndBottom/>
            <wp:docPr id="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
                    <pic:cNvPicPr>
                      <a:picLocks noChangeAspect="1"/>
                    </pic:cNvPicPr>
                  </pic:nvPicPr>
                  <pic:blipFill>
                    <a:blip r:embed="rId186"/>
                    <a:stretch>
                      <a:fillRect/>
                    </a:stretch>
                  </pic:blipFill>
                  <pic:spPr>
                    <a:xfrm>
                      <a:off x="0" y="0"/>
                      <a:ext cx="3883660" cy="1763395"/>
                    </a:xfrm>
                    <a:prstGeom prst="rect">
                      <a:avLst/>
                    </a:prstGeom>
                    <a:noFill/>
                    <a:ln>
                      <a:noFill/>
                    </a:ln>
                  </pic:spPr>
                </pic:pic>
              </a:graphicData>
            </a:graphic>
          </wp:anchor>
        </w:drawing>
      </w:r>
      <w:r>
        <w:rPr>
          <w:rFonts w:hint="eastAsia" w:ascii="宋体" w:hAnsi="宋体" w:cs="宋体"/>
          <w:sz w:val="21"/>
          <w:szCs w:val="21"/>
        </w:rPr>
        <w:t>图3-4 赣绣项目实体图</w:t>
      </w:r>
    </w:p>
    <w:p w14:paraId="6CBB1A05">
      <w:pPr>
        <w:spacing w:line="440" w:lineRule="exact"/>
        <w:ind w:firstLine="480" w:firstLineChars="200"/>
        <w:rPr>
          <w:rFonts w:ascii="宋体" w:hAnsi="宋体" w:cs="宋体"/>
          <w:sz w:val="24"/>
        </w:rPr>
      </w:pPr>
      <w:r>
        <w:rPr>
          <w:rFonts w:hint="eastAsia" w:ascii="宋体" w:hAnsi="宋体" w:cs="宋体"/>
          <w:sz w:val="24"/>
        </w:rPr>
        <w:t>（3）传承人实体</w:t>
      </w:r>
    </w:p>
    <w:p w14:paraId="3219EA8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698176" behindDoc="0" locked="0" layoutInCell="1" allowOverlap="1">
            <wp:simplePos x="0" y="0"/>
            <wp:positionH relativeFrom="column">
              <wp:posOffset>244475</wp:posOffset>
            </wp:positionH>
            <wp:positionV relativeFrom="paragraph">
              <wp:posOffset>241300</wp:posOffset>
            </wp:positionV>
            <wp:extent cx="5051425" cy="1991360"/>
            <wp:effectExtent l="0" t="0" r="0" b="2540"/>
            <wp:wrapTopAndBottom/>
            <wp:docPr id="121" name="图片 121" descr="传承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传承人"/>
                    <pic:cNvPicPr>
                      <a:picLocks noChangeAspect="1"/>
                    </pic:cNvPicPr>
                  </pic:nvPicPr>
                  <pic:blipFill>
                    <a:blip r:embed="rId187"/>
                    <a:stretch>
                      <a:fillRect/>
                    </a:stretch>
                  </pic:blipFill>
                  <pic:spPr>
                    <a:xfrm>
                      <a:off x="0" y="0"/>
                      <a:ext cx="5051425" cy="1991360"/>
                    </a:xfrm>
                    <a:prstGeom prst="rect">
                      <a:avLst/>
                    </a:prstGeom>
                  </pic:spPr>
                </pic:pic>
              </a:graphicData>
            </a:graphic>
          </wp:anchor>
        </w:drawing>
      </w:r>
      <w:r>
        <w:rPr>
          <w:rFonts w:hint="eastAsia" w:ascii="宋体" w:hAnsi="宋体" w:cs="宋体"/>
          <w:sz w:val="21"/>
          <w:szCs w:val="21"/>
        </w:rPr>
        <w:t>图3-5 传承人实体图</w:t>
      </w:r>
    </w:p>
    <w:p w14:paraId="7676A698">
      <w:pPr>
        <w:spacing w:line="440" w:lineRule="exact"/>
        <w:ind w:firstLine="480" w:firstLineChars="200"/>
        <w:rPr>
          <w:rFonts w:ascii="宋体" w:hAnsi="宋体" w:cs="宋体"/>
          <w:sz w:val="24"/>
        </w:rPr>
      </w:pPr>
      <w:r>
        <w:rPr>
          <w:rFonts w:hint="eastAsia" w:ascii="宋体" w:hAnsi="宋体" w:cs="宋体"/>
          <w:sz w:val="24"/>
        </w:rPr>
        <w:t>（4）课程实体</w:t>
      </w:r>
    </w:p>
    <w:p w14:paraId="4E9558E3">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699200" behindDoc="0" locked="0" layoutInCell="1" allowOverlap="1">
            <wp:simplePos x="0" y="0"/>
            <wp:positionH relativeFrom="column">
              <wp:posOffset>248920</wp:posOffset>
            </wp:positionH>
            <wp:positionV relativeFrom="paragraph">
              <wp:posOffset>272415</wp:posOffset>
            </wp:positionV>
            <wp:extent cx="4965700" cy="1888490"/>
            <wp:effectExtent l="0" t="0" r="0" b="3810"/>
            <wp:wrapTopAndBottom/>
            <wp:docPr id="122" name="图片 122" descr="课程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课程表"/>
                    <pic:cNvPicPr>
                      <a:picLocks noChangeAspect="1"/>
                    </pic:cNvPicPr>
                  </pic:nvPicPr>
                  <pic:blipFill>
                    <a:blip r:embed="rId188"/>
                    <a:stretch>
                      <a:fillRect/>
                    </a:stretch>
                  </pic:blipFill>
                  <pic:spPr>
                    <a:xfrm>
                      <a:off x="0" y="0"/>
                      <a:ext cx="4965700" cy="1888490"/>
                    </a:xfrm>
                    <a:prstGeom prst="rect">
                      <a:avLst/>
                    </a:prstGeom>
                  </pic:spPr>
                </pic:pic>
              </a:graphicData>
            </a:graphic>
          </wp:anchor>
        </w:drawing>
      </w:r>
    </w:p>
    <w:p w14:paraId="3CB10944">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图3-4 课程实体图</w:t>
      </w:r>
    </w:p>
    <w:p w14:paraId="414C7726">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700224" behindDoc="0" locked="0" layoutInCell="1" allowOverlap="1">
            <wp:simplePos x="0" y="0"/>
            <wp:positionH relativeFrom="column">
              <wp:posOffset>293370</wp:posOffset>
            </wp:positionH>
            <wp:positionV relativeFrom="paragraph">
              <wp:posOffset>-7905750</wp:posOffset>
            </wp:positionV>
            <wp:extent cx="5014595" cy="1898015"/>
            <wp:effectExtent l="0" t="0" r="1905" b="6985"/>
            <wp:wrapTopAndBottom/>
            <wp:docPr id="123" name="图片 123" descr="活动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活动表"/>
                    <pic:cNvPicPr>
                      <a:picLocks noChangeAspect="1"/>
                    </pic:cNvPicPr>
                  </pic:nvPicPr>
                  <pic:blipFill>
                    <a:blip r:embed="rId189"/>
                    <a:stretch>
                      <a:fillRect/>
                    </a:stretch>
                  </pic:blipFill>
                  <pic:spPr>
                    <a:xfrm>
                      <a:off x="0" y="0"/>
                      <a:ext cx="5014595" cy="1898015"/>
                    </a:xfrm>
                    <a:prstGeom prst="rect">
                      <a:avLst/>
                    </a:prstGeom>
                  </pic:spPr>
                </pic:pic>
              </a:graphicData>
            </a:graphic>
          </wp:anchor>
        </w:drawing>
      </w:r>
      <w:r>
        <w:rPr>
          <w:rFonts w:hint="eastAsia" w:ascii="宋体" w:hAnsi="宋体" w:cs="宋体"/>
          <w:sz w:val="24"/>
        </w:rPr>
        <w:t>（5）活动实体</w:t>
      </w:r>
    </w:p>
    <w:p w14:paraId="2BC4F82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p>
    <w:p w14:paraId="5064C7B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宋体"/>
          <w:sz w:val="21"/>
          <w:szCs w:val="21"/>
        </w:rPr>
      </w:pPr>
      <w:r>
        <w:rPr>
          <w:rFonts w:hint="eastAsia" w:ascii="宋体" w:hAnsi="宋体" w:eastAsia="宋体" w:cs="宋体"/>
          <w:sz w:val="24"/>
          <w:szCs w:val="24"/>
          <w:lang w:val="en-US" w:eastAsia="zh-CN"/>
        </w:rPr>
        <w:drawing>
          <wp:anchor distT="0" distB="0" distL="114300" distR="114300" simplePos="0" relativeHeight="251732992" behindDoc="0" locked="0" layoutInCell="1" allowOverlap="1">
            <wp:simplePos x="0" y="0"/>
            <wp:positionH relativeFrom="column">
              <wp:posOffset>299720</wp:posOffset>
            </wp:positionH>
            <wp:positionV relativeFrom="paragraph">
              <wp:posOffset>250190</wp:posOffset>
            </wp:positionV>
            <wp:extent cx="5014595" cy="1898015"/>
            <wp:effectExtent l="0" t="0" r="1905" b="6985"/>
            <wp:wrapTopAndBottom/>
            <wp:docPr id="135" name="图片 135" descr="活动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活动表"/>
                    <pic:cNvPicPr>
                      <a:picLocks noChangeAspect="1"/>
                    </pic:cNvPicPr>
                  </pic:nvPicPr>
                  <pic:blipFill>
                    <a:blip r:embed="rId189"/>
                    <a:stretch>
                      <a:fillRect/>
                    </a:stretch>
                  </pic:blipFill>
                  <pic:spPr>
                    <a:xfrm>
                      <a:off x="0" y="0"/>
                      <a:ext cx="5014595" cy="1898015"/>
                    </a:xfrm>
                    <a:prstGeom prst="rect">
                      <a:avLst/>
                    </a:prstGeom>
                  </pic:spPr>
                </pic:pic>
              </a:graphicData>
            </a:graphic>
          </wp:anchor>
        </w:drawing>
      </w:r>
    </w:p>
    <w:p w14:paraId="4D729E8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图3-5 活动实体图</w:t>
      </w:r>
    </w:p>
    <w:p w14:paraId="2031AB51">
      <w:pPr>
        <w:spacing w:line="440" w:lineRule="exact"/>
        <w:ind w:firstLine="480" w:firstLineChars="200"/>
        <w:rPr>
          <w:rFonts w:ascii="宋体" w:hAnsi="宋体" w:cs="宋体"/>
          <w:sz w:val="24"/>
        </w:rPr>
      </w:pPr>
      <w:r>
        <w:rPr>
          <w:rFonts w:hint="eastAsia" w:ascii="宋体" w:hAnsi="宋体" w:cs="宋体"/>
          <w:sz w:val="24"/>
        </w:rPr>
        <w:t>（6）商品实体</w:t>
      </w:r>
    </w:p>
    <w:p w14:paraId="3657515B">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701248" behindDoc="0" locked="0" layoutInCell="1" allowOverlap="1">
            <wp:simplePos x="0" y="0"/>
            <wp:positionH relativeFrom="column">
              <wp:posOffset>378460</wp:posOffset>
            </wp:positionH>
            <wp:positionV relativeFrom="paragraph">
              <wp:posOffset>161290</wp:posOffset>
            </wp:positionV>
            <wp:extent cx="4962525" cy="1943735"/>
            <wp:effectExtent l="0" t="0" r="3175" b="12065"/>
            <wp:wrapTopAndBottom/>
            <wp:docPr id="124" name="图片 124" descr="商品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商品表"/>
                    <pic:cNvPicPr>
                      <a:picLocks noChangeAspect="1"/>
                    </pic:cNvPicPr>
                  </pic:nvPicPr>
                  <pic:blipFill>
                    <a:blip r:embed="rId190"/>
                    <a:stretch>
                      <a:fillRect/>
                    </a:stretch>
                  </pic:blipFill>
                  <pic:spPr>
                    <a:xfrm>
                      <a:off x="0" y="0"/>
                      <a:ext cx="4962525" cy="1943735"/>
                    </a:xfrm>
                    <a:prstGeom prst="rect">
                      <a:avLst/>
                    </a:prstGeom>
                  </pic:spPr>
                </pic:pic>
              </a:graphicData>
            </a:graphic>
          </wp:anchor>
        </w:drawing>
      </w:r>
    </w:p>
    <w:p w14:paraId="094E449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图3-6商品实体图</w:t>
      </w:r>
    </w:p>
    <w:p w14:paraId="3089EE1F">
      <w:pPr>
        <w:spacing w:line="440" w:lineRule="exact"/>
        <w:ind w:firstLine="480" w:firstLineChars="200"/>
        <w:rPr>
          <w:rFonts w:ascii="宋体" w:hAnsi="宋体" w:cs="宋体"/>
          <w:sz w:val="24"/>
        </w:rPr>
      </w:pPr>
      <w:r>
        <w:rPr>
          <w:rFonts w:hint="eastAsia" w:ascii="宋体" w:hAnsi="宋体" w:cs="宋体"/>
          <w:sz w:val="24"/>
        </w:rPr>
        <w:t>（7）订单实体</w:t>
      </w:r>
    </w:p>
    <w:p w14:paraId="72FBEB89">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702272" behindDoc="0" locked="0" layoutInCell="1" allowOverlap="1">
            <wp:simplePos x="0" y="0"/>
            <wp:positionH relativeFrom="column">
              <wp:posOffset>227330</wp:posOffset>
            </wp:positionH>
            <wp:positionV relativeFrom="paragraph">
              <wp:posOffset>94615</wp:posOffset>
            </wp:positionV>
            <wp:extent cx="5189220" cy="2148840"/>
            <wp:effectExtent l="0" t="0" r="7620" b="0"/>
            <wp:wrapTopAndBottom/>
            <wp:docPr id="125" name="图片 125" descr="订单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订单表"/>
                    <pic:cNvPicPr>
                      <a:picLocks noChangeAspect="1"/>
                    </pic:cNvPicPr>
                  </pic:nvPicPr>
                  <pic:blipFill>
                    <a:blip r:embed="rId191"/>
                    <a:stretch>
                      <a:fillRect/>
                    </a:stretch>
                  </pic:blipFill>
                  <pic:spPr>
                    <a:xfrm>
                      <a:off x="0" y="0"/>
                      <a:ext cx="5189220" cy="2148840"/>
                    </a:xfrm>
                    <a:prstGeom prst="rect">
                      <a:avLst/>
                    </a:prstGeom>
                  </pic:spPr>
                </pic:pic>
              </a:graphicData>
            </a:graphic>
          </wp:anchor>
        </w:drawing>
      </w:r>
    </w:p>
    <w:p w14:paraId="676BD6D4">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图3-7 订单实体图</w:t>
      </w:r>
    </w:p>
    <w:p w14:paraId="35335924">
      <w:pPr>
        <w:spacing w:line="440" w:lineRule="exact"/>
        <w:ind w:firstLine="480" w:firstLineChars="200"/>
        <w:rPr>
          <w:rFonts w:ascii="宋体" w:hAnsi="宋体" w:cs="宋体"/>
          <w:sz w:val="24"/>
        </w:rPr>
      </w:pPr>
      <w:r>
        <w:rPr>
          <w:rFonts w:hint="eastAsia" w:ascii="宋体" w:hAnsi="宋体" w:cs="宋体"/>
          <w:sz w:val="24"/>
        </w:rPr>
        <w:drawing>
          <wp:anchor distT="0" distB="0" distL="114300" distR="114300" simplePos="0" relativeHeight="251703296" behindDoc="0" locked="0" layoutInCell="1" allowOverlap="1">
            <wp:simplePos x="0" y="0"/>
            <wp:positionH relativeFrom="column">
              <wp:posOffset>277495</wp:posOffset>
            </wp:positionH>
            <wp:positionV relativeFrom="paragraph">
              <wp:posOffset>521970</wp:posOffset>
            </wp:positionV>
            <wp:extent cx="5189220" cy="1447800"/>
            <wp:effectExtent l="0" t="0" r="7620" b="0"/>
            <wp:wrapTopAndBottom/>
            <wp:docPr id="126" name="图片 126" descr="AI消息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AI消息表"/>
                    <pic:cNvPicPr>
                      <a:picLocks noChangeAspect="1"/>
                    </pic:cNvPicPr>
                  </pic:nvPicPr>
                  <pic:blipFill>
                    <a:blip r:embed="rId192"/>
                    <a:stretch>
                      <a:fillRect/>
                    </a:stretch>
                  </pic:blipFill>
                  <pic:spPr>
                    <a:xfrm>
                      <a:off x="0" y="0"/>
                      <a:ext cx="5189220" cy="1447800"/>
                    </a:xfrm>
                    <a:prstGeom prst="rect">
                      <a:avLst/>
                    </a:prstGeom>
                  </pic:spPr>
                </pic:pic>
              </a:graphicData>
            </a:graphic>
          </wp:anchor>
        </w:drawing>
      </w:r>
      <w:r>
        <w:rPr>
          <w:rFonts w:hint="eastAsia" w:ascii="宋体" w:hAnsi="宋体" w:cs="宋体"/>
          <w:sz w:val="24"/>
        </w:rPr>
        <w:t>（8）AI会话实体</w:t>
      </w:r>
    </w:p>
    <w:p w14:paraId="5F4CC764">
      <w:pPr>
        <w:spacing w:line="440" w:lineRule="exact"/>
        <w:ind w:firstLine="480" w:firstLineChars="200"/>
        <w:rPr>
          <w:rFonts w:ascii="宋体" w:hAnsi="宋体" w:cs="宋体"/>
          <w:sz w:val="24"/>
        </w:rPr>
      </w:pPr>
    </w:p>
    <w:p w14:paraId="663838F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图3-8 AI会话实体图</w:t>
      </w:r>
    </w:p>
    <w:p w14:paraId="248C76EA">
      <w:pPr>
        <w:spacing w:line="440" w:lineRule="exact"/>
        <w:ind w:firstLine="480" w:firstLineChars="200"/>
        <w:rPr>
          <w:rFonts w:ascii="宋体" w:hAnsi="宋体" w:cs="宋体"/>
          <w:sz w:val="24"/>
        </w:rPr>
      </w:pPr>
      <w:r>
        <w:rPr>
          <w:rFonts w:hint="eastAsia" w:ascii="宋体" w:hAnsi="宋体" w:eastAsia="宋体" w:cs="宋体"/>
          <w:sz w:val="24"/>
        </w:rPr>
        <w:t>3</w:t>
      </w:r>
      <w:r>
        <w:rPr>
          <w:rFonts w:ascii="宋体" w:hAnsi="宋体" w:eastAsia="宋体" w:cs="宋体"/>
          <w:sz w:val="24"/>
        </w:rPr>
        <w:t>.3.2 数据库表设计</w:t>
      </w:r>
    </w:p>
    <w:p w14:paraId="3E67BE37">
      <w:pPr>
        <w:spacing w:line="440" w:lineRule="exact"/>
        <w:ind w:firstLine="480" w:firstLineChars="200"/>
      </w:pPr>
      <w:r>
        <w:rPr>
          <w:rFonts w:ascii="宋体" w:hAnsi="宋体" w:eastAsia="宋体" w:cs="宋体"/>
          <w:sz w:val="24"/>
        </w:rPr>
        <w:t>以下是各张表的字段结构说明。系统共设计了15张核心业务表,包括用户表、</w:t>
      </w:r>
      <w:r>
        <w:rPr>
          <w:rFonts w:hint="eastAsia" w:ascii="宋体" w:hAnsi="宋体" w:eastAsia="宋体" w:cs="宋体"/>
          <w:sz w:val="24"/>
        </w:rPr>
        <w:t>赣绣</w:t>
      </w:r>
      <w:r>
        <w:rPr>
          <w:rFonts w:ascii="宋体" w:hAnsi="宋体" w:eastAsia="宋体" w:cs="宋体"/>
          <w:sz w:val="24"/>
        </w:rPr>
        <w:t>项目表、传承人表、传承人项目关联表、课程表、课程章节表、活动表、活动报名表、商品分类表、商品表、订单表、订单明细表、收货地址表、AI会话表和AI消息表。</w:t>
      </w:r>
    </w:p>
    <w:p w14:paraId="2A103B95">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1</w:t>
      </w:r>
      <w:r>
        <w:rPr>
          <w:rFonts w:hint="eastAsia" w:ascii="宋体" w:hAnsi="宋体" w:eastAsia="宋体" w:cs="宋体"/>
          <w:sz w:val="24"/>
          <w:lang w:eastAsia="zh-CN"/>
        </w:rPr>
        <w:t>）</w:t>
      </w:r>
      <w:r>
        <w:rPr>
          <w:rFonts w:ascii="宋体" w:hAnsi="宋体" w:eastAsia="宋体" w:cs="宋体"/>
          <w:sz w:val="24"/>
        </w:rPr>
        <w:t>user(用户表)</w:t>
      </w:r>
    </w:p>
    <w:p w14:paraId="59833FA0">
      <w:pPr>
        <w:spacing w:line="440" w:lineRule="exact"/>
        <w:ind w:firstLine="480" w:firstLineChars="200"/>
        <w:rPr>
          <w:rFonts w:ascii="宋体" w:hAnsi="宋体" w:cs="宋体"/>
          <w:sz w:val="24"/>
        </w:rPr>
      </w:pPr>
      <w:r>
        <w:rPr>
          <w:rFonts w:ascii="宋体" w:hAnsi="宋体" w:eastAsia="宋体" w:cs="宋体"/>
          <w:sz w:val="24"/>
        </w:rPr>
        <w:t>用户表存储系统用户的基本信息,包括用户ID、用户名、密码、邮箱、手机号、角色、头像等字段。</w:t>
      </w:r>
    </w:p>
    <w:p w14:paraId="511DE24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表3-1 用户表</w:t>
      </w:r>
    </w:p>
    <w:tbl>
      <w:tblPr>
        <w:tblStyle w:val="35"/>
        <w:tblW w:w="0" w:type="auto"/>
        <w:jc w:val="center"/>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fixed"/>
        <w:tblCellMar>
          <w:top w:w="0" w:type="dxa"/>
          <w:left w:w="0" w:type="dxa"/>
          <w:bottom w:w="0" w:type="dxa"/>
          <w:right w:w="0" w:type="dxa"/>
        </w:tblCellMar>
      </w:tblPr>
      <w:tblGrid>
        <w:gridCol w:w="1544"/>
        <w:gridCol w:w="1194"/>
        <w:gridCol w:w="1066"/>
        <w:gridCol w:w="2250"/>
        <w:gridCol w:w="767"/>
        <w:gridCol w:w="1745"/>
      </w:tblGrid>
      <w:tr w14:paraId="5A8990C0">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jc w:val="center"/>
        </w:trPr>
        <w:tc>
          <w:tcPr>
            <w:tcW w:w="1544" w:type="dxa"/>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21A76194">
            <w:pPr>
              <w:spacing w:line="440" w:lineRule="exact"/>
              <w:rPr>
                <w:rFonts w:ascii="宋体" w:hAnsi="宋体" w:cs="宋体"/>
                <w:sz w:val="24"/>
              </w:rPr>
            </w:pPr>
            <w:r>
              <w:rPr>
                <w:rFonts w:ascii="宋体" w:hAnsi="宋体" w:eastAsia="宋体" w:cs="宋体"/>
                <w:sz w:val="24"/>
              </w:rPr>
              <w:t>字段名称</w:t>
            </w:r>
          </w:p>
        </w:tc>
        <w:tc>
          <w:tcPr>
            <w:tcW w:w="1194"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8996A05">
            <w:pPr>
              <w:spacing w:line="440" w:lineRule="exact"/>
              <w:rPr>
                <w:rFonts w:ascii="宋体" w:hAnsi="宋体" w:cs="宋体"/>
                <w:sz w:val="24"/>
              </w:rPr>
            </w:pPr>
            <w:r>
              <w:rPr>
                <w:rFonts w:ascii="宋体" w:hAnsi="宋体" w:eastAsia="宋体" w:cs="宋体"/>
                <w:sz w:val="24"/>
              </w:rPr>
              <w:t>类型</w:t>
            </w:r>
          </w:p>
        </w:tc>
        <w:tc>
          <w:tcPr>
            <w:tcW w:w="1066"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4B608C9">
            <w:pPr>
              <w:spacing w:line="440" w:lineRule="exact"/>
              <w:rPr>
                <w:rFonts w:ascii="宋体" w:hAnsi="宋体" w:cs="宋体"/>
                <w:sz w:val="24"/>
              </w:rPr>
            </w:pPr>
            <w:r>
              <w:rPr>
                <w:rFonts w:ascii="宋体" w:hAnsi="宋体" w:eastAsia="宋体" w:cs="宋体"/>
                <w:sz w:val="24"/>
              </w:rPr>
              <w:t>长度</w:t>
            </w:r>
          </w:p>
        </w:tc>
        <w:tc>
          <w:tcPr>
            <w:tcW w:w="2250"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11DEC112">
            <w:pPr>
              <w:spacing w:line="440" w:lineRule="exact"/>
              <w:rPr>
                <w:rFonts w:ascii="宋体" w:hAnsi="宋体" w:cs="宋体"/>
                <w:sz w:val="24"/>
              </w:rPr>
            </w:pPr>
            <w:r>
              <w:rPr>
                <w:rFonts w:ascii="宋体" w:hAnsi="宋体" w:eastAsia="宋体" w:cs="宋体"/>
                <w:sz w:val="24"/>
              </w:rPr>
              <w:t>字段说明</w:t>
            </w:r>
          </w:p>
        </w:tc>
        <w:tc>
          <w:tcPr>
            <w:tcW w:w="767"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4A235AC1">
            <w:pPr>
              <w:spacing w:line="440" w:lineRule="exact"/>
              <w:rPr>
                <w:rFonts w:ascii="宋体" w:hAnsi="宋体" w:cs="宋体"/>
                <w:sz w:val="24"/>
              </w:rPr>
            </w:pPr>
            <w:r>
              <w:rPr>
                <w:rFonts w:ascii="宋体" w:hAnsi="宋体" w:eastAsia="宋体" w:cs="宋体"/>
                <w:sz w:val="24"/>
              </w:rPr>
              <w:t>主键</w:t>
            </w:r>
          </w:p>
        </w:tc>
        <w:tc>
          <w:tcPr>
            <w:tcW w:w="1745"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76C782C">
            <w:pPr>
              <w:spacing w:line="440" w:lineRule="exact"/>
              <w:ind w:firstLine="480" w:firstLineChars="200"/>
              <w:rPr>
                <w:rFonts w:ascii="宋体" w:hAnsi="宋体" w:cs="宋体"/>
                <w:sz w:val="24"/>
              </w:rPr>
            </w:pPr>
            <w:r>
              <w:rPr>
                <w:rFonts w:ascii="宋体" w:hAnsi="宋体" w:eastAsia="宋体" w:cs="宋体"/>
                <w:sz w:val="24"/>
              </w:rPr>
              <w:t>默认值</w:t>
            </w:r>
          </w:p>
        </w:tc>
      </w:tr>
      <w:tr w14:paraId="1C99CAC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0D73822">
            <w:pPr>
              <w:spacing w:line="440" w:lineRule="exact"/>
              <w:rPr>
                <w:rFonts w:ascii="宋体" w:hAnsi="宋体" w:cs="宋体"/>
                <w:sz w:val="24"/>
              </w:rPr>
            </w:pPr>
            <w:r>
              <w:rPr>
                <w:rFonts w:ascii="宋体" w:hAnsi="宋体" w:eastAsia="宋体" w:cs="宋体"/>
                <w:sz w:val="24"/>
              </w:rPr>
              <w:t>id</w:t>
            </w:r>
          </w:p>
        </w:tc>
        <w:tc>
          <w:tcPr>
            <w:tcW w:w="119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4644BEF">
            <w:pPr>
              <w:spacing w:line="440" w:lineRule="exact"/>
              <w:rPr>
                <w:rFonts w:ascii="宋体" w:hAnsi="宋体" w:cs="宋体"/>
                <w:sz w:val="24"/>
              </w:rPr>
            </w:pPr>
            <w:r>
              <w:rPr>
                <w:rFonts w:ascii="宋体" w:hAnsi="宋体" w:eastAsia="宋体" w:cs="宋体"/>
                <w:sz w:val="24"/>
              </w:rPr>
              <w:t>bigint</w:t>
            </w:r>
          </w:p>
        </w:tc>
        <w:tc>
          <w:tcPr>
            <w:tcW w:w="106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183080F">
            <w:pPr>
              <w:spacing w:line="440" w:lineRule="exact"/>
              <w:rPr>
                <w:rFonts w:ascii="宋体" w:hAnsi="宋体" w:cs="宋体"/>
                <w:sz w:val="24"/>
              </w:rPr>
            </w:pPr>
            <w:r>
              <w:rPr>
                <w:rFonts w:ascii="宋体" w:hAnsi="宋体" w:eastAsia="宋体" w:cs="宋体"/>
                <w:sz w:val="24"/>
              </w:rPr>
              <w:t>20</w:t>
            </w:r>
          </w:p>
        </w:tc>
        <w:tc>
          <w:tcPr>
            <w:tcW w:w="225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5EFA20B">
            <w:pPr>
              <w:spacing w:line="440" w:lineRule="exact"/>
              <w:rPr>
                <w:rFonts w:ascii="宋体" w:hAnsi="宋体" w:cs="宋体"/>
                <w:sz w:val="24"/>
              </w:rPr>
            </w:pPr>
            <w:r>
              <w:rPr>
                <w:rFonts w:ascii="宋体" w:hAnsi="宋体" w:eastAsia="宋体" w:cs="宋体"/>
                <w:sz w:val="24"/>
              </w:rPr>
              <w:t>用户ID</w:t>
            </w:r>
          </w:p>
        </w:tc>
        <w:tc>
          <w:tcPr>
            <w:tcW w:w="767"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4DC3F4A">
            <w:pPr>
              <w:spacing w:line="440" w:lineRule="exact"/>
              <w:rPr>
                <w:rFonts w:ascii="宋体" w:hAnsi="宋体" w:cs="宋体"/>
                <w:sz w:val="24"/>
              </w:rPr>
            </w:pPr>
            <w:r>
              <w:rPr>
                <w:rFonts w:ascii="宋体" w:hAnsi="宋体" w:eastAsia="宋体" w:cs="宋体"/>
                <w:sz w:val="24"/>
              </w:rPr>
              <w:t>是</w:t>
            </w:r>
          </w:p>
        </w:tc>
        <w:tc>
          <w:tcPr>
            <w:tcW w:w="1745"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3185E01">
            <w:pPr>
              <w:spacing w:line="440" w:lineRule="exact"/>
              <w:ind w:firstLine="480" w:firstLineChars="200"/>
              <w:rPr>
                <w:rFonts w:ascii="宋体" w:hAnsi="宋体" w:cs="宋体"/>
                <w:sz w:val="24"/>
              </w:rPr>
            </w:pPr>
            <w:r>
              <w:rPr>
                <w:rFonts w:ascii="宋体" w:hAnsi="宋体" w:eastAsia="宋体" w:cs="宋体"/>
                <w:sz w:val="24"/>
              </w:rPr>
              <w:t>自增</w:t>
            </w:r>
          </w:p>
        </w:tc>
      </w:tr>
      <w:tr w14:paraId="3294F49C">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5A49ABAF">
            <w:pPr>
              <w:spacing w:line="440" w:lineRule="exact"/>
              <w:rPr>
                <w:rFonts w:ascii="宋体" w:hAnsi="宋体" w:cs="宋体"/>
                <w:sz w:val="24"/>
              </w:rPr>
            </w:pPr>
            <w:r>
              <w:rPr>
                <w:rFonts w:ascii="宋体" w:hAnsi="宋体" w:eastAsia="宋体" w:cs="宋体"/>
                <w:sz w:val="24"/>
              </w:rPr>
              <w:t>username</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40A15C2E">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2E69BFF8">
            <w:pPr>
              <w:spacing w:line="440" w:lineRule="exact"/>
              <w:rPr>
                <w:rFonts w:ascii="宋体" w:hAnsi="宋体" w:cs="宋体"/>
                <w:sz w:val="24"/>
              </w:rPr>
            </w:pPr>
            <w:r>
              <w:rPr>
                <w:rFonts w:ascii="宋体" w:hAnsi="宋体" w:eastAsia="宋体" w:cs="宋体"/>
                <w:sz w:val="24"/>
              </w:rPr>
              <w:t>50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35650175">
            <w:pPr>
              <w:spacing w:line="440" w:lineRule="exact"/>
              <w:rPr>
                <w:rFonts w:ascii="宋体" w:hAnsi="宋体" w:cs="宋体"/>
                <w:sz w:val="24"/>
              </w:rPr>
            </w:pPr>
            <w:r>
              <w:rPr>
                <w:rFonts w:ascii="宋体" w:hAnsi="宋体" w:eastAsia="宋体" w:cs="宋体"/>
                <w:sz w:val="24"/>
              </w:rPr>
              <w:t>用户名</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6882E5D3">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3BC87A4E">
            <w:pPr>
              <w:spacing w:line="440" w:lineRule="exact"/>
              <w:ind w:firstLine="480" w:firstLineChars="200"/>
              <w:rPr>
                <w:rFonts w:ascii="宋体" w:hAnsi="宋体" w:cs="宋体"/>
                <w:sz w:val="24"/>
              </w:rPr>
            </w:pPr>
          </w:p>
        </w:tc>
      </w:tr>
      <w:tr w14:paraId="118211A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77A35624">
            <w:pPr>
              <w:spacing w:line="440" w:lineRule="exact"/>
              <w:rPr>
                <w:rFonts w:ascii="宋体" w:hAnsi="宋体" w:cs="宋体"/>
                <w:sz w:val="24"/>
              </w:rPr>
            </w:pPr>
            <w:r>
              <w:rPr>
                <w:rFonts w:ascii="宋体" w:hAnsi="宋体" w:eastAsia="宋体" w:cs="宋体"/>
                <w:sz w:val="24"/>
              </w:rPr>
              <w:t>password</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42E8A867">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78686E24">
            <w:pPr>
              <w:spacing w:line="440" w:lineRule="exact"/>
              <w:rPr>
                <w:rFonts w:ascii="宋体" w:hAnsi="宋体" w:cs="宋体"/>
                <w:sz w:val="24"/>
              </w:rPr>
            </w:pPr>
            <w:r>
              <w:rPr>
                <w:rFonts w:ascii="宋体" w:hAnsi="宋体" w:eastAsia="宋体" w:cs="宋体"/>
                <w:sz w:val="24"/>
              </w:rPr>
              <w:t>100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1EF583BC">
            <w:pPr>
              <w:spacing w:line="440" w:lineRule="exact"/>
              <w:rPr>
                <w:rFonts w:ascii="宋体" w:hAnsi="宋体" w:cs="宋体"/>
                <w:sz w:val="24"/>
              </w:rPr>
            </w:pPr>
            <w:r>
              <w:rPr>
                <w:rFonts w:ascii="宋体" w:hAnsi="宋体" w:eastAsia="宋体" w:cs="宋体"/>
                <w:sz w:val="24"/>
              </w:rPr>
              <w:t>密码(加密存储)</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043787DC">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03C4F636">
            <w:pPr>
              <w:spacing w:line="440" w:lineRule="exact"/>
              <w:ind w:firstLine="480" w:firstLineChars="200"/>
              <w:rPr>
                <w:rFonts w:ascii="宋体" w:hAnsi="宋体" w:cs="宋体"/>
                <w:sz w:val="24"/>
              </w:rPr>
            </w:pPr>
          </w:p>
        </w:tc>
      </w:tr>
      <w:tr w14:paraId="16EF1D0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7CF165DF">
            <w:pPr>
              <w:spacing w:line="440" w:lineRule="exact"/>
              <w:rPr>
                <w:rFonts w:ascii="宋体" w:hAnsi="宋体" w:cs="宋体"/>
                <w:sz w:val="24"/>
              </w:rPr>
            </w:pPr>
            <w:r>
              <w:rPr>
                <w:rFonts w:ascii="宋体" w:hAnsi="宋体" w:eastAsia="宋体" w:cs="宋体"/>
                <w:sz w:val="24"/>
              </w:rPr>
              <w:t>email</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489D994E">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2EFC022E">
            <w:pPr>
              <w:spacing w:line="440" w:lineRule="exact"/>
              <w:rPr>
                <w:rFonts w:ascii="宋体" w:hAnsi="宋体" w:cs="宋体"/>
                <w:sz w:val="24"/>
              </w:rPr>
            </w:pPr>
            <w:r>
              <w:rPr>
                <w:rFonts w:ascii="宋体" w:hAnsi="宋体" w:eastAsia="宋体" w:cs="宋体"/>
                <w:sz w:val="24"/>
              </w:rPr>
              <w:t>100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33A9218D">
            <w:pPr>
              <w:spacing w:line="440" w:lineRule="exact"/>
              <w:rPr>
                <w:rFonts w:ascii="宋体" w:hAnsi="宋体" w:cs="宋体"/>
                <w:sz w:val="24"/>
              </w:rPr>
            </w:pPr>
            <w:r>
              <w:rPr>
                <w:rFonts w:ascii="宋体" w:hAnsi="宋体" w:eastAsia="宋体" w:cs="宋体"/>
                <w:sz w:val="24"/>
              </w:rPr>
              <w:t>邮箱</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62528F56">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42A1F993">
            <w:pPr>
              <w:spacing w:line="440" w:lineRule="exact"/>
              <w:ind w:firstLine="480" w:firstLineChars="200"/>
              <w:rPr>
                <w:rFonts w:ascii="宋体" w:hAnsi="宋体" w:cs="宋体"/>
                <w:sz w:val="24"/>
              </w:rPr>
            </w:pPr>
          </w:p>
        </w:tc>
      </w:tr>
      <w:tr w14:paraId="4567D57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27C7376E">
            <w:pPr>
              <w:spacing w:line="440" w:lineRule="exact"/>
              <w:rPr>
                <w:rFonts w:ascii="宋体" w:hAnsi="宋体" w:cs="宋体"/>
                <w:sz w:val="24"/>
              </w:rPr>
            </w:pPr>
            <w:r>
              <w:rPr>
                <w:rFonts w:ascii="宋体" w:hAnsi="宋体" w:eastAsia="宋体" w:cs="宋体"/>
                <w:sz w:val="24"/>
              </w:rPr>
              <w:t>phone</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02075736">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662C8C6D">
            <w:pPr>
              <w:spacing w:line="440" w:lineRule="exact"/>
              <w:rPr>
                <w:rFonts w:ascii="宋体" w:hAnsi="宋体" w:cs="宋体"/>
                <w:sz w:val="24"/>
              </w:rPr>
            </w:pPr>
            <w:r>
              <w:rPr>
                <w:rFonts w:ascii="宋体" w:hAnsi="宋体" w:eastAsia="宋体" w:cs="宋体"/>
                <w:sz w:val="24"/>
              </w:rPr>
              <w:t>20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0E6A40CF">
            <w:pPr>
              <w:spacing w:line="440" w:lineRule="exact"/>
              <w:rPr>
                <w:rFonts w:ascii="宋体" w:hAnsi="宋体" w:cs="宋体"/>
                <w:sz w:val="24"/>
              </w:rPr>
            </w:pPr>
            <w:r>
              <w:rPr>
                <w:rFonts w:ascii="宋体" w:hAnsi="宋体" w:eastAsia="宋体" w:cs="宋体"/>
                <w:sz w:val="24"/>
              </w:rPr>
              <w:t>手机号</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4AFD180B">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2FE38084">
            <w:pPr>
              <w:spacing w:line="440" w:lineRule="exact"/>
              <w:ind w:firstLine="480" w:firstLineChars="200"/>
              <w:rPr>
                <w:rFonts w:ascii="宋体" w:hAnsi="宋体" w:cs="宋体"/>
                <w:sz w:val="24"/>
              </w:rPr>
            </w:pPr>
          </w:p>
        </w:tc>
      </w:tr>
      <w:tr w14:paraId="0716A3E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37D371A4">
            <w:pPr>
              <w:spacing w:line="440" w:lineRule="exact"/>
              <w:rPr>
                <w:rFonts w:ascii="宋体" w:hAnsi="宋体" w:cs="宋体"/>
                <w:sz w:val="24"/>
              </w:rPr>
            </w:pPr>
            <w:r>
              <w:rPr>
                <w:rFonts w:ascii="宋体" w:hAnsi="宋体" w:eastAsia="宋体" w:cs="宋体"/>
                <w:sz w:val="24"/>
              </w:rPr>
              <w:t>role</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7CA85F58">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643ABBDD">
            <w:pPr>
              <w:spacing w:line="440" w:lineRule="exact"/>
              <w:rPr>
                <w:rFonts w:ascii="宋体" w:hAnsi="宋体" w:cs="宋体"/>
                <w:sz w:val="24"/>
              </w:rPr>
            </w:pPr>
            <w:r>
              <w:rPr>
                <w:rFonts w:ascii="宋体" w:hAnsi="宋体" w:eastAsia="宋体" w:cs="宋体"/>
                <w:sz w:val="24"/>
              </w:rPr>
              <w:t>20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57D02B72">
            <w:pPr>
              <w:spacing w:line="440" w:lineRule="exact"/>
              <w:rPr>
                <w:rFonts w:ascii="宋体" w:hAnsi="宋体" w:cs="宋体"/>
                <w:sz w:val="24"/>
              </w:rPr>
            </w:pPr>
            <w:r>
              <w:rPr>
                <w:rFonts w:hint="eastAsia" w:ascii="宋体" w:hAnsi="宋体" w:cs="宋体"/>
                <w:sz w:val="24"/>
              </w:rPr>
              <w:t>角色（user/admin）</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3AFB3A0A">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4B06FB03">
            <w:pPr>
              <w:spacing w:line="440" w:lineRule="exact"/>
              <w:ind w:firstLine="480" w:firstLineChars="200"/>
              <w:rPr>
                <w:rFonts w:ascii="宋体" w:hAnsi="宋体" w:cs="宋体"/>
                <w:sz w:val="24"/>
              </w:rPr>
            </w:pPr>
            <w:r>
              <w:rPr>
                <w:rFonts w:ascii="宋体" w:hAnsi="宋体" w:eastAsia="宋体" w:cs="宋体"/>
                <w:sz w:val="24"/>
              </w:rPr>
              <w:t>USER</w:t>
            </w:r>
          </w:p>
        </w:tc>
      </w:tr>
      <w:tr w14:paraId="62DCE612">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nil"/>
              <w:right w:val="nil"/>
            </w:tcBorders>
            <w:shd w:val="clear" w:color="auto" w:fill="FFFFFF"/>
            <w:tcMar>
              <w:top w:w="60" w:type="dxa"/>
              <w:left w:w="130" w:type="dxa"/>
              <w:bottom w:w="60" w:type="dxa"/>
              <w:right w:w="130" w:type="dxa"/>
            </w:tcMar>
            <w:vAlign w:val="center"/>
          </w:tcPr>
          <w:p w14:paraId="43B4A9F8">
            <w:pPr>
              <w:spacing w:line="440" w:lineRule="exact"/>
              <w:rPr>
                <w:rFonts w:ascii="宋体" w:hAnsi="宋体" w:cs="宋体"/>
                <w:sz w:val="24"/>
              </w:rPr>
            </w:pPr>
            <w:r>
              <w:rPr>
                <w:rFonts w:ascii="宋体" w:hAnsi="宋体" w:eastAsia="宋体" w:cs="宋体"/>
                <w:sz w:val="24"/>
              </w:rPr>
              <w:t>avatar</w:t>
            </w:r>
          </w:p>
        </w:tc>
        <w:tc>
          <w:tcPr>
            <w:tcW w:w="1194" w:type="dxa"/>
            <w:tcBorders>
              <w:top w:val="nil"/>
              <w:left w:val="nil"/>
              <w:bottom w:val="nil"/>
              <w:right w:val="nil"/>
            </w:tcBorders>
            <w:shd w:val="clear" w:color="auto" w:fill="FFFFFF"/>
            <w:tcMar>
              <w:top w:w="60" w:type="dxa"/>
              <w:left w:w="130" w:type="dxa"/>
              <w:bottom w:w="60" w:type="dxa"/>
              <w:right w:w="130" w:type="dxa"/>
            </w:tcMar>
            <w:vAlign w:val="center"/>
          </w:tcPr>
          <w:p w14:paraId="1A532894">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6F268A40">
            <w:pPr>
              <w:spacing w:line="440" w:lineRule="exact"/>
              <w:rPr>
                <w:rFonts w:ascii="宋体" w:hAnsi="宋体" w:cs="宋体"/>
                <w:sz w:val="24"/>
              </w:rPr>
            </w:pPr>
            <w:r>
              <w:rPr>
                <w:rFonts w:ascii="宋体" w:hAnsi="宋体" w:eastAsia="宋体" w:cs="宋体"/>
                <w:sz w:val="24"/>
              </w:rPr>
              <w:t>500</w:t>
            </w:r>
          </w:p>
        </w:tc>
        <w:tc>
          <w:tcPr>
            <w:tcW w:w="2250" w:type="dxa"/>
            <w:tcBorders>
              <w:top w:val="nil"/>
              <w:left w:val="nil"/>
              <w:bottom w:val="nil"/>
              <w:right w:val="nil"/>
            </w:tcBorders>
            <w:shd w:val="clear" w:color="auto" w:fill="FFFFFF"/>
            <w:tcMar>
              <w:top w:w="60" w:type="dxa"/>
              <w:left w:w="130" w:type="dxa"/>
              <w:bottom w:w="60" w:type="dxa"/>
              <w:right w:w="130" w:type="dxa"/>
            </w:tcMar>
            <w:vAlign w:val="center"/>
          </w:tcPr>
          <w:p w14:paraId="4C144D01">
            <w:pPr>
              <w:spacing w:line="440" w:lineRule="exact"/>
              <w:rPr>
                <w:rFonts w:ascii="宋体" w:hAnsi="宋体" w:cs="宋体"/>
                <w:sz w:val="24"/>
              </w:rPr>
            </w:pPr>
            <w:r>
              <w:rPr>
                <w:rFonts w:ascii="宋体" w:hAnsi="宋体" w:eastAsia="宋体" w:cs="宋体"/>
                <w:sz w:val="24"/>
              </w:rPr>
              <w:t>头像路径</w:t>
            </w:r>
          </w:p>
        </w:tc>
        <w:tc>
          <w:tcPr>
            <w:tcW w:w="767" w:type="dxa"/>
            <w:tcBorders>
              <w:top w:val="nil"/>
              <w:left w:val="nil"/>
              <w:bottom w:val="nil"/>
              <w:right w:val="nil"/>
            </w:tcBorders>
            <w:shd w:val="clear" w:color="auto" w:fill="FFFFFF"/>
            <w:tcMar>
              <w:top w:w="60" w:type="dxa"/>
              <w:left w:w="130" w:type="dxa"/>
              <w:bottom w:w="60" w:type="dxa"/>
              <w:right w:w="130" w:type="dxa"/>
            </w:tcMar>
            <w:vAlign w:val="center"/>
          </w:tcPr>
          <w:p w14:paraId="2C128BE8">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nil"/>
              <w:right w:val="nil"/>
            </w:tcBorders>
            <w:shd w:val="clear" w:color="auto" w:fill="FFFFFF"/>
            <w:tcMar>
              <w:top w:w="60" w:type="dxa"/>
              <w:left w:w="130" w:type="dxa"/>
              <w:bottom w:w="60" w:type="dxa"/>
              <w:right w:w="130" w:type="dxa"/>
            </w:tcMar>
            <w:vAlign w:val="center"/>
          </w:tcPr>
          <w:p w14:paraId="0CF111FC">
            <w:pPr>
              <w:spacing w:line="440" w:lineRule="exact"/>
              <w:ind w:firstLine="480" w:firstLineChars="200"/>
              <w:rPr>
                <w:rFonts w:ascii="宋体" w:hAnsi="宋体" w:cs="宋体"/>
                <w:sz w:val="24"/>
              </w:rPr>
            </w:pPr>
          </w:p>
        </w:tc>
      </w:tr>
      <w:tr w14:paraId="776F1625">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4AD212E2">
            <w:pPr>
              <w:spacing w:line="440" w:lineRule="exact"/>
              <w:rPr>
                <w:rFonts w:ascii="宋体" w:hAnsi="宋体" w:cs="宋体"/>
                <w:sz w:val="24"/>
              </w:rPr>
            </w:pPr>
            <w:r>
              <w:rPr>
                <w:rFonts w:ascii="宋体" w:hAnsi="宋体" w:eastAsia="宋体" w:cs="宋体"/>
                <w:sz w:val="24"/>
              </w:rPr>
              <w:t>status</w:t>
            </w:r>
          </w:p>
        </w:tc>
        <w:tc>
          <w:tcPr>
            <w:tcW w:w="1194"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02857723">
            <w:pPr>
              <w:spacing w:line="440" w:lineRule="exact"/>
              <w:rPr>
                <w:rFonts w:ascii="宋体" w:hAnsi="宋体" w:cs="宋体"/>
                <w:sz w:val="24"/>
              </w:rPr>
            </w:pPr>
            <w:r>
              <w:rPr>
                <w:rFonts w:ascii="宋体" w:hAnsi="宋体" w:eastAsia="宋体" w:cs="宋体"/>
                <w:sz w:val="24"/>
              </w:rPr>
              <w:t>tinyint</w:t>
            </w:r>
          </w:p>
        </w:tc>
        <w:tc>
          <w:tcPr>
            <w:tcW w:w="1066"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31F85BD3">
            <w:pPr>
              <w:spacing w:line="440" w:lineRule="exact"/>
              <w:rPr>
                <w:rFonts w:ascii="宋体" w:hAnsi="宋体" w:cs="宋体"/>
                <w:sz w:val="24"/>
              </w:rPr>
            </w:pPr>
            <w:r>
              <w:rPr>
                <w:rFonts w:ascii="宋体" w:hAnsi="宋体" w:eastAsia="宋体" w:cs="宋体"/>
                <w:sz w:val="24"/>
              </w:rPr>
              <w:t>1</w:t>
            </w:r>
          </w:p>
        </w:tc>
        <w:tc>
          <w:tcPr>
            <w:tcW w:w="2250"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3E024352">
            <w:pPr>
              <w:spacing w:line="440" w:lineRule="exact"/>
              <w:rPr>
                <w:rFonts w:ascii="宋体" w:hAnsi="宋体" w:cs="宋体"/>
                <w:sz w:val="24"/>
              </w:rPr>
            </w:pPr>
            <w:r>
              <w:rPr>
                <w:rFonts w:ascii="宋体" w:hAnsi="宋体" w:eastAsia="宋体" w:cs="宋体"/>
                <w:sz w:val="24"/>
              </w:rPr>
              <w:t>状态(0禁用1启用)</w:t>
            </w:r>
          </w:p>
        </w:tc>
        <w:tc>
          <w:tcPr>
            <w:tcW w:w="767"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30721251">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796B7EB5">
            <w:pPr>
              <w:spacing w:line="440" w:lineRule="exact"/>
              <w:ind w:firstLine="480" w:firstLineChars="200"/>
              <w:rPr>
                <w:rFonts w:ascii="宋体" w:hAnsi="宋体" w:cs="宋体"/>
                <w:sz w:val="24"/>
              </w:rPr>
            </w:pPr>
            <w:r>
              <w:rPr>
                <w:rFonts w:ascii="宋体" w:hAnsi="宋体" w:eastAsia="宋体" w:cs="宋体"/>
                <w:sz w:val="24"/>
              </w:rPr>
              <w:t>1</w:t>
            </w:r>
          </w:p>
        </w:tc>
      </w:tr>
      <w:tr w14:paraId="62CFBDD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CE30FB9">
            <w:pPr>
              <w:spacing w:line="440" w:lineRule="exact"/>
              <w:rPr>
                <w:rFonts w:ascii="宋体" w:hAnsi="宋体" w:cs="宋体"/>
                <w:sz w:val="24"/>
              </w:rPr>
            </w:pPr>
            <w:r>
              <w:rPr>
                <w:rFonts w:ascii="宋体" w:hAnsi="宋体" w:eastAsia="宋体" w:cs="宋体"/>
                <w:sz w:val="24"/>
              </w:rPr>
              <w:t>create_time</w:t>
            </w:r>
          </w:p>
        </w:tc>
        <w:tc>
          <w:tcPr>
            <w:tcW w:w="119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81BEE35">
            <w:pPr>
              <w:spacing w:line="440" w:lineRule="exact"/>
              <w:rPr>
                <w:rFonts w:ascii="宋体" w:hAnsi="宋体" w:cs="宋体"/>
                <w:sz w:val="24"/>
              </w:rPr>
            </w:pPr>
            <w:r>
              <w:rPr>
                <w:rFonts w:ascii="宋体" w:hAnsi="宋体" w:eastAsia="宋体" w:cs="宋体"/>
                <w:sz w:val="24"/>
              </w:rPr>
              <w:t>datetime</w:t>
            </w:r>
          </w:p>
        </w:tc>
        <w:tc>
          <w:tcPr>
            <w:tcW w:w="106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DD706E4">
            <w:pPr>
              <w:spacing w:line="440" w:lineRule="exact"/>
              <w:rPr>
                <w:rFonts w:ascii="宋体" w:hAnsi="宋体" w:cs="宋体"/>
                <w:sz w:val="24"/>
              </w:rPr>
            </w:pPr>
            <w:r>
              <w:rPr>
                <w:rFonts w:ascii="宋体" w:hAnsi="宋体" w:eastAsia="宋体" w:cs="宋体"/>
                <w:sz w:val="24"/>
              </w:rPr>
              <w:t>-</w:t>
            </w:r>
          </w:p>
        </w:tc>
        <w:tc>
          <w:tcPr>
            <w:tcW w:w="225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9E605DB">
            <w:pPr>
              <w:spacing w:line="440" w:lineRule="exact"/>
              <w:rPr>
                <w:rFonts w:ascii="宋体" w:hAnsi="宋体" w:cs="宋体"/>
                <w:sz w:val="24"/>
              </w:rPr>
            </w:pPr>
            <w:r>
              <w:rPr>
                <w:rFonts w:ascii="宋体" w:hAnsi="宋体" w:eastAsia="宋体" w:cs="宋体"/>
                <w:sz w:val="24"/>
              </w:rPr>
              <w:t>创建时间</w:t>
            </w:r>
          </w:p>
        </w:tc>
        <w:tc>
          <w:tcPr>
            <w:tcW w:w="767"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84E19A0">
            <w:pPr>
              <w:spacing w:line="440" w:lineRule="exact"/>
              <w:rPr>
                <w:rFonts w:ascii="宋体" w:hAnsi="宋体" w:cs="宋体"/>
                <w:sz w:val="24"/>
              </w:rPr>
            </w:pPr>
            <w:r>
              <w:rPr>
                <w:rFonts w:ascii="宋体" w:hAnsi="宋体" w:eastAsia="宋体" w:cs="宋体"/>
                <w:sz w:val="24"/>
              </w:rPr>
              <w:t>否</w:t>
            </w:r>
          </w:p>
        </w:tc>
        <w:tc>
          <w:tcPr>
            <w:tcW w:w="1745"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0F26D88">
            <w:pPr>
              <w:spacing w:line="440" w:lineRule="exact"/>
              <w:rPr>
                <w:rFonts w:ascii="宋体" w:hAnsi="宋体" w:cs="宋体"/>
                <w:sz w:val="24"/>
              </w:rPr>
            </w:pPr>
            <w:r>
              <w:rPr>
                <w:rFonts w:ascii="宋体" w:hAnsi="宋体" w:eastAsia="宋体" w:cs="宋体"/>
                <w:sz w:val="24"/>
              </w:rPr>
              <w:t>CURRENT_TIMESTAMP</w:t>
            </w:r>
          </w:p>
        </w:tc>
      </w:tr>
      <w:tr w14:paraId="63ADA173">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544"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5320079">
            <w:pPr>
              <w:spacing w:line="440" w:lineRule="exact"/>
              <w:rPr>
                <w:rFonts w:ascii="宋体" w:hAnsi="宋体" w:cs="宋体"/>
                <w:sz w:val="24"/>
              </w:rPr>
            </w:pPr>
            <w:r>
              <w:rPr>
                <w:rFonts w:ascii="宋体" w:hAnsi="宋体" w:eastAsia="宋体" w:cs="宋体"/>
                <w:sz w:val="24"/>
              </w:rPr>
              <w:t>update_time</w:t>
            </w:r>
          </w:p>
        </w:tc>
        <w:tc>
          <w:tcPr>
            <w:tcW w:w="1194"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E57AE96">
            <w:pPr>
              <w:spacing w:line="440" w:lineRule="exact"/>
              <w:rPr>
                <w:rFonts w:ascii="宋体" w:hAnsi="宋体" w:cs="宋体"/>
                <w:sz w:val="24"/>
              </w:rPr>
            </w:pPr>
            <w:r>
              <w:rPr>
                <w:rFonts w:ascii="宋体" w:hAnsi="宋体" w:eastAsia="宋体" w:cs="宋体"/>
                <w:sz w:val="24"/>
              </w:rPr>
              <w:t>datetime</w:t>
            </w:r>
          </w:p>
        </w:tc>
        <w:tc>
          <w:tcPr>
            <w:tcW w:w="1066"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78CE0C7E">
            <w:pPr>
              <w:spacing w:line="440" w:lineRule="exact"/>
              <w:rPr>
                <w:rFonts w:ascii="宋体" w:hAnsi="宋体" w:cs="宋体"/>
                <w:sz w:val="24"/>
              </w:rPr>
            </w:pPr>
            <w:r>
              <w:rPr>
                <w:rFonts w:ascii="宋体" w:hAnsi="宋体" w:eastAsia="宋体" w:cs="宋体"/>
                <w:sz w:val="24"/>
              </w:rPr>
              <w:t>-</w:t>
            </w:r>
          </w:p>
        </w:tc>
        <w:tc>
          <w:tcPr>
            <w:tcW w:w="225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DA062F3">
            <w:pPr>
              <w:spacing w:line="440" w:lineRule="exact"/>
              <w:rPr>
                <w:rFonts w:ascii="宋体" w:hAnsi="宋体" w:cs="宋体"/>
                <w:sz w:val="24"/>
              </w:rPr>
            </w:pPr>
            <w:r>
              <w:rPr>
                <w:rFonts w:ascii="宋体" w:hAnsi="宋体" w:eastAsia="宋体" w:cs="宋体"/>
                <w:sz w:val="24"/>
              </w:rPr>
              <w:t>更新时间</w:t>
            </w:r>
          </w:p>
        </w:tc>
        <w:tc>
          <w:tcPr>
            <w:tcW w:w="767"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BC89215">
            <w:pPr>
              <w:spacing w:line="440" w:lineRule="exact"/>
              <w:rPr>
                <w:rFonts w:ascii="宋体" w:hAnsi="宋体" w:cs="宋体"/>
                <w:sz w:val="24"/>
              </w:rPr>
            </w:pPr>
            <w:r>
              <w:rPr>
                <w:rFonts w:ascii="宋体" w:hAnsi="宋体" w:eastAsia="宋体" w:cs="宋体"/>
                <w:sz w:val="24"/>
              </w:rPr>
              <w:t>否</w:t>
            </w:r>
          </w:p>
        </w:tc>
        <w:tc>
          <w:tcPr>
            <w:tcW w:w="1745"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54F23655">
            <w:pPr>
              <w:spacing w:line="440" w:lineRule="exact"/>
              <w:rPr>
                <w:rFonts w:ascii="宋体" w:hAnsi="宋体" w:cs="宋体"/>
                <w:sz w:val="24"/>
              </w:rPr>
            </w:pPr>
            <w:r>
              <w:rPr>
                <w:rFonts w:ascii="宋体" w:hAnsi="宋体" w:eastAsia="宋体" w:cs="宋体"/>
                <w:sz w:val="24"/>
              </w:rPr>
              <w:t>CURRENT_TIMESTAMP</w:t>
            </w:r>
          </w:p>
        </w:tc>
      </w:tr>
    </w:tbl>
    <w:p w14:paraId="702F33F4">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2</w:t>
      </w:r>
      <w:r>
        <w:rPr>
          <w:rFonts w:hint="eastAsia" w:ascii="宋体" w:hAnsi="宋体" w:eastAsia="宋体" w:cs="宋体"/>
          <w:sz w:val="24"/>
          <w:lang w:eastAsia="zh-CN"/>
        </w:rPr>
        <w:t>）</w:t>
      </w:r>
      <w:r>
        <w:rPr>
          <w:rFonts w:ascii="宋体" w:hAnsi="宋体" w:eastAsia="宋体" w:cs="宋体"/>
          <w:sz w:val="24"/>
        </w:rPr>
        <w:t>heritage_item(</w:t>
      </w:r>
      <w:r>
        <w:rPr>
          <w:rFonts w:hint="eastAsia" w:ascii="宋体" w:hAnsi="宋体" w:eastAsia="宋体" w:cs="宋体"/>
          <w:sz w:val="24"/>
        </w:rPr>
        <w:t>赣绣</w:t>
      </w:r>
      <w:r>
        <w:rPr>
          <w:rFonts w:ascii="宋体" w:hAnsi="宋体" w:eastAsia="宋体" w:cs="宋体"/>
          <w:sz w:val="24"/>
        </w:rPr>
        <w:t>项目表)</w:t>
      </w:r>
    </w:p>
    <w:p w14:paraId="2BECB317">
      <w:pPr>
        <w:spacing w:line="440" w:lineRule="exact"/>
        <w:ind w:firstLine="480" w:firstLineChars="200"/>
        <w:rPr>
          <w:rFonts w:ascii="宋体" w:hAnsi="宋体" w:cs="宋体"/>
          <w:sz w:val="24"/>
        </w:rPr>
      </w:pPr>
      <w:r>
        <w:rPr>
          <w:rFonts w:hint="eastAsia" w:ascii="宋体" w:hAnsi="宋体" w:eastAsia="宋体" w:cs="宋体"/>
          <w:sz w:val="24"/>
        </w:rPr>
        <w:t>赣绣</w:t>
      </w:r>
      <w:r>
        <w:rPr>
          <w:rFonts w:ascii="宋体" w:hAnsi="宋体" w:eastAsia="宋体" w:cs="宋体"/>
          <w:sz w:val="24"/>
        </w:rPr>
        <w:t>项目表存储</w:t>
      </w:r>
      <w:r>
        <w:rPr>
          <w:rFonts w:hint="eastAsia" w:ascii="宋体" w:hAnsi="宋体" w:eastAsia="宋体" w:cs="宋体"/>
          <w:sz w:val="24"/>
        </w:rPr>
        <w:t>赣绣</w:t>
      </w:r>
      <w:r>
        <w:rPr>
          <w:rFonts w:ascii="宋体" w:hAnsi="宋体" w:eastAsia="宋体" w:cs="宋体"/>
          <w:sz w:val="24"/>
        </w:rPr>
        <w:t>项目的详细信息。</w:t>
      </w:r>
    </w:p>
    <w:p w14:paraId="00A81FE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表3-2 赣绣项目表</w:t>
      </w:r>
    </w:p>
    <w:tbl>
      <w:tblPr>
        <w:tblStyle w:val="35"/>
        <w:tblW w:w="0" w:type="auto"/>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fixed"/>
        <w:tblCellMar>
          <w:top w:w="0" w:type="dxa"/>
          <w:left w:w="0" w:type="dxa"/>
          <w:bottom w:w="0" w:type="dxa"/>
          <w:right w:w="0" w:type="dxa"/>
        </w:tblCellMar>
      </w:tblPr>
      <w:tblGrid>
        <w:gridCol w:w="1729"/>
        <w:gridCol w:w="1525"/>
        <w:gridCol w:w="867"/>
        <w:gridCol w:w="1300"/>
        <w:gridCol w:w="833"/>
        <w:gridCol w:w="2312"/>
      </w:tblGrid>
      <w:tr w14:paraId="1C093CD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1729" w:type="dxa"/>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2E441FD9">
            <w:pPr>
              <w:spacing w:line="440" w:lineRule="exact"/>
              <w:rPr>
                <w:rFonts w:ascii="宋体" w:hAnsi="宋体" w:cs="宋体"/>
                <w:sz w:val="24"/>
              </w:rPr>
            </w:pPr>
            <w:r>
              <w:rPr>
                <w:rFonts w:ascii="宋体" w:hAnsi="宋体" w:eastAsia="宋体" w:cs="宋体"/>
                <w:sz w:val="24"/>
              </w:rPr>
              <w:t>字段名称</w:t>
            </w:r>
          </w:p>
        </w:tc>
        <w:tc>
          <w:tcPr>
            <w:tcW w:w="1525"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6B6E8F6">
            <w:pPr>
              <w:spacing w:line="440" w:lineRule="exact"/>
              <w:rPr>
                <w:rFonts w:ascii="宋体" w:hAnsi="宋体" w:cs="宋体"/>
                <w:sz w:val="24"/>
              </w:rPr>
            </w:pPr>
            <w:r>
              <w:rPr>
                <w:rFonts w:ascii="宋体" w:hAnsi="宋体" w:eastAsia="宋体" w:cs="宋体"/>
                <w:sz w:val="24"/>
              </w:rPr>
              <w:t>类型</w:t>
            </w:r>
          </w:p>
        </w:tc>
        <w:tc>
          <w:tcPr>
            <w:tcW w:w="867"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613641A">
            <w:pPr>
              <w:spacing w:line="440" w:lineRule="exact"/>
              <w:rPr>
                <w:rFonts w:ascii="宋体" w:hAnsi="宋体" w:cs="宋体"/>
                <w:sz w:val="24"/>
              </w:rPr>
            </w:pPr>
            <w:r>
              <w:rPr>
                <w:rFonts w:ascii="宋体" w:hAnsi="宋体" w:eastAsia="宋体" w:cs="宋体"/>
                <w:sz w:val="24"/>
              </w:rPr>
              <w:t>长度</w:t>
            </w:r>
          </w:p>
        </w:tc>
        <w:tc>
          <w:tcPr>
            <w:tcW w:w="1300"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05DF92E">
            <w:pPr>
              <w:spacing w:line="440" w:lineRule="exact"/>
              <w:rPr>
                <w:rFonts w:ascii="宋体" w:hAnsi="宋体" w:cs="宋体"/>
                <w:sz w:val="24"/>
              </w:rPr>
            </w:pPr>
            <w:r>
              <w:rPr>
                <w:rFonts w:ascii="宋体" w:hAnsi="宋体" w:eastAsia="宋体" w:cs="宋体"/>
                <w:sz w:val="24"/>
              </w:rPr>
              <w:t>字段说明</w:t>
            </w:r>
          </w:p>
        </w:tc>
        <w:tc>
          <w:tcPr>
            <w:tcW w:w="833"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5F3E0C4">
            <w:pPr>
              <w:spacing w:line="440" w:lineRule="exact"/>
              <w:rPr>
                <w:rFonts w:ascii="宋体" w:hAnsi="宋体" w:cs="宋体"/>
                <w:sz w:val="24"/>
              </w:rPr>
            </w:pPr>
            <w:r>
              <w:rPr>
                <w:rFonts w:ascii="宋体" w:hAnsi="宋体" w:eastAsia="宋体" w:cs="宋体"/>
                <w:sz w:val="24"/>
              </w:rPr>
              <w:t>主键</w:t>
            </w:r>
          </w:p>
        </w:tc>
        <w:tc>
          <w:tcPr>
            <w:tcW w:w="2312"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1858B73">
            <w:pPr>
              <w:spacing w:line="440" w:lineRule="exact"/>
              <w:ind w:firstLine="480" w:firstLineChars="200"/>
              <w:rPr>
                <w:rFonts w:ascii="宋体" w:hAnsi="宋体" w:cs="宋体"/>
                <w:sz w:val="24"/>
              </w:rPr>
            </w:pPr>
            <w:r>
              <w:rPr>
                <w:rFonts w:ascii="宋体" w:hAnsi="宋体" w:eastAsia="宋体" w:cs="宋体"/>
                <w:sz w:val="24"/>
              </w:rPr>
              <w:t>默认值</w:t>
            </w:r>
          </w:p>
        </w:tc>
      </w:tr>
      <w:tr w14:paraId="5B925884">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064C315">
            <w:pPr>
              <w:spacing w:line="440" w:lineRule="exact"/>
              <w:rPr>
                <w:rFonts w:ascii="宋体" w:hAnsi="宋体" w:cs="宋体"/>
                <w:sz w:val="24"/>
              </w:rPr>
            </w:pPr>
            <w:r>
              <w:rPr>
                <w:rFonts w:ascii="宋体" w:hAnsi="宋体" w:eastAsia="宋体" w:cs="宋体"/>
                <w:sz w:val="24"/>
              </w:rPr>
              <w:t>id</w:t>
            </w:r>
          </w:p>
        </w:tc>
        <w:tc>
          <w:tcPr>
            <w:tcW w:w="1525"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A1A252B">
            <w:pPr>
              <w:spacing w:line="440" w:lineRule="exact"/>
              <w:rPr>
                <w:rFonts w:ascii="宋体" w:hAnsi="宋体" w:cs="宋体"/>
                <w:sz w:val="24"/>
              </w:rPr>
            </w:pPr>
            <w:r>
              <w:rPr>
                <w:rFonts w:ascii="宋体" w:hAnsi="宋体" w:eastAsia="宋体" w:cs="宋体"/>
                <w:sz w:val="24"/>
              </w:rPr>
              <w:t>varchar</w:t>
            </w:r>
          </w:p>
        </w:tc>
        <w:tc>
          <w:tcPr>
            <w:tcW w:w="867"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3B4B5A0">
            <w:pPr>
              <w:spacing w:line="440" w:lineRule="exact"/>
              <w:rPr>
                <w:rFonts w:ascii="宋体" w:hAnsi="宋体" w:cs="宋体"/>
                <w:sz w:val="24"/>
              </w:rPr>
            </w:pPr>
            <w:r>
              <w:rPr>
                <w:rFonts w:ascii="宋体" w:hAnsi="宋体" w:eastAsia="宋体" w:cs="宋体"/>
                <w:sz w:val="24"/>
              </w:rPr>
              <w:t>50</w:t>
            </w:r>
          </w:p>
        </w:tc>
        <w:tc>
          <w:tcPr>
            <w:tcW w:w="130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7C1C8E7">
            <w:pPr>
              <w:spacing w:line="440" w:lineRule="exact"/>
              <w:rPr>
                <w:rFonts w:ascii="宋体" w:hAnsi="宋体" w:cs="宋体"/>
                <w:sz w:val="24"/>
              </w:rPr>
            </w:pPr>
            <w:r>
              <w:rPr>
                <w:rFonts w:ascii="宋体" w:hAnsi="宋体" w:eastAsia="宋体" w:cs="宋体"/>
                <w:sz w:val="24"/>
              </w:rPr>
              <w:t>项目ID</w:t>
            </w:r>
          </w:p>
        </w:tc>
        <w:tc>
          <w:tcPr>
            <w:tcW w:w="833"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B0F4FF4">
            <w:pPr>
              <w:spacing w:line="440" w:lineRule="exact"/>
              <w:rPr>
                <w:rFonts w:ascii="宋体" w:hAnsi="宋体" w:cs="宋体"/>
                <w:sz w:val="24"/>
              </w:rPr>
            </w:pPr>
            <w:r>
              <w:rPr>
                <w:rFonts w:ascii="宋体" w:hAnsi="宋体" w:eastAsia="宋体" w:cs="宋体"/>
                <w:sz w:val="24"/>
              </w:rPr>
              <w:t>是</w:t>
            </w:r>
          </w:p>
        </w:tc>
        <w:tc>
          <w:tcPr>
            <w:tcW w:w="2312"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7E52B8A">
            <w:pPr>
              <w:spacing w:line="440" w:lineRule="exact"/>
              <w:ind w:firstLine="480" w:firstLineChars="200"/>
              <w:rPr>
                <w:rFonts w:ascii="宋体" w:hAnsi="宋体" w:cs="宋体"/>
                <w:sz w:val="24"/>
              </w:rPr>
            </w:pPr>
          </w:p>
        </w:tc>
      </w:tr>
      <w:tr w14:paraId="5402F81C">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4878CA64">
            <w:pPr>
              <w:spacing w:line="440" w:lineRule="exact"/>
              <w:rPr>
                <w:rFonts w:ascii="宋体" w:hAnsi="宋体" w:cs="宋体"/>
                <w:sz w:val="24"/>
              </w:rPr>
            </w:pPr>
            <w:r>
              <w:rPr>
                <w:rFonts w:ascii="宋体" w:hAnsi="宋体" w:eastAsia="宋体" w:cs="宋体"/>
                <w:sz w:val="24"/>
              </w:rPr>
              <w:t>title</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6428B444">
            <w:pPr>
              <w:spacing w:line="440" w:lineRule="exact"/>
              <w:rPr>
                <w:rFonts w:ascii="宋体" w:hAnsi="宋体" w:cs="宋体"/>
                <w:sz w:val="24"/>
              </w:rPr>
            </w:pPr>
            <w:r>
              <w:rPr>
                <w:rFonts w:ascii="宋体" w:hAnsi="宋体" w:eastAsia="宋体" w:cs="宋体"/>
                <w:sz w:val="24"/>
              </w:rPr>
              <w:t>varchar</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072FD03D">
            <w:pPr>
              <w:spacing w:line="440" w:lineRule="exact"/>
              <w:rPr>
                <w:rFonts w:ascii="宋体" w:hAnsi="宋体" w:cs="宋体"/>
                <w:sz w:val="24"/>
              </w:rPr>
            </w:pPr>
            <w:r>
              <w:rPr>
                <w:rFonts w:ascii="宋体" w:hAnsi="宋体" w:eastAsia="宋体" w:cs="宋体"/>
                <w:sz w:val="24"/>
              </w:rPr>
              <w:t>200</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59F7F099">
            <w:pPr>
              <w:spacing w:line="440" w:lineRule="exact"/>
              <w:rPr>
                <w:rFonts w:ascii="宋体" w:hAnsi="宋体" w:cs="宋体"/>
                <w:sz w:val="24"/>
              </w:rPr>
            </w:pPr>
            <w:r>
              <w:rPr>
                <w:rFonts w:ascii="宋体" w:hAnsi="宋体" w:eastAsia="宋体" w:cs="宋体"/>
                <w:sz w:val="24"/>
              </w:rPr>
              <w:t>标题</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10A549BF">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6A0BA59B">
            <w:pPr>
              <w:spacing w:line="440" w:lineRule="exact"/>
              <w:ind w:firstLine="480" w:firstLineChars="200"/>
              <w:rPr>
                <w:rFonts w:ascii="宋体" w:hAnsi="宋体" w:cs="宋体"/>
                <w:sz w:val="24"/>
              </w:rPr>
            </w:pPr>
          </w:p>
        </w:tc>
      </w:tr>
      <w:tr w14:paraId="04D57660">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1D038D79">
            <w:pPr>
              <w:spacing w:line="440" w:lineRule="exact"/>
              <w:rPr>
                <w:rFonts w:ascii="宋体" w:hAnsi="宋体" w:cs="宋体"/>
                <w:sz w:val="24"/>
              </w:rPr>
            </w:pPr>
            <w:r>
              <w:rPr>
                <w:rFonts w:ascii="宋体" w:hAnsi="宋体" w:eastAsia="宋体" w:cs="宋体"/>
                <w:sz w:val="24"/>
              </w:rPr>
              <w:t>category</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66ECBDAE">
            <w:pPr>
              <w:spacing w:line="440" w:lineRule="exact"/>
              <w:rPr>
                <w:rFonts w:ascii="宋体" w:hAnsi="宋体" w:cs="宋体"/>
                <w:sz w:val="24"/>
              </w:rPr>
            </w:pPr>
            <w:r>
              <w:rPr>
                <w:rFonts w:ascii="宋体" w:hAnsi="宋体" w:eastAsia="宋体" w:cs="宋体"/>
                <w:sz w:val="24"/>
              </w:rPr>
              <w:t>varchar</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3E1158DD">
            <w:pPr>
              <w:spacing w:line="440" w:lineRule="exact"/>
              <w:rPr>
                <w:rFonts w:ascii="宋体" w:hAnsi="宋体" w:cs="宋体"/>
                <w:sz w:val="24"/>
              </w:rPr>
            </w:pPr>
            <w:r>
              <w:rPr>
                <w:rFonts w:ascii="宋体" w:hAnsi="宋体" w:eastAsia="宋体" w:cs="宋体"/>
                <w:sz w:val="24"/>
              </w:rPr>
              <w:t>100</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0AB777DB">
            <w:pPr>
              <w:spacing w:line="440" w:lineRule="exact"/>
              <w:rPr>
                <w:rFonts w:ascii="宋体" w:hAnsi="宋体" w:cs="宋体"/>
                <w:sz w:val="24"/>
              </w:rPr>
            </w:pPr>
            <w:r>
              <w:rPr>
                <w:rFonts w:ascii="宋体" w:hAnsi="宋体" w:eastAsia="宋体" w:cs="宋体"/>
                <w:sz w:val="24"/>
              </w:rPr>
              <w:t>类别</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26A2F72B">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2849FD89">
            <w:pPr>
              <w:spacing w:line="440" w:lineRule="exact"/>
              <w:ind w:firstLine="480" w:firstLineChars="200"/>
              <w:rPr>
                <w:rFonts w:ascii="宋体" w:hAnsi="宋体" w:cs="宋体"/>
                <w:sz w:val="24"/>
              </w:rPr>
            </w:pPr>
          </w:p>
        </w:tc>
      </w:tr>
      <w:tr w14:paraId="49E592D3">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2ED68EE4">
            <w:pPr>
              <w:spacing w:line="440" w:lineRule="exact"/>
              <w:rPr>
                <w:rFonts w:ascii="宋体" w:hAnsi="宋体" w:cs="宋体"/>
                <w:sz w:val="24"/>
              </w:rPr>
            </w:pPr>
            <w:r>
              <w:rPr>
                <w:rFonts w:ascii="宋体" w:hAnsi="宋体" w:eastAsia="宋体" w:cs="宋体"/>
                <w:sz w:val="24"/>
              </w:rPr>
              <w:t>region</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0C50FCCE">
            <w:pPr>
              <w:spacing w:line="440" w:lineRule="exact"/>
              <w:rPr>
                <w:rFonts w:ascii="宋体" w:hAnsi="宋体" w:cs="宋体"/>
                <w:sz w:val="24"/>
              </w:rPr>
            </w:pPr>
            <w:r>
              <w:rPr>
                <w:rFonts w:ascii="宋体" w:hAnsi="宋体" w:eastAsia="宋体" w:cs="宋体"/>
                <w:sz w:val="24"/>
              </w:rPr>
              <w:t>varchar</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54DA33EF">
            <w:pPr>
              <w:spacing w:line="440" w:lineRule="exact"/>
              <w:rPr>
                <w:rFonts w:ascii="宋体" w:hAnsi="宋体" w:cs="宋体"/>
                <w:sz w:val="24"/>
              </w:rPr>
            </w:pPr>
            <w:r>
              <w:rPr>
                <w:rFonts w:ascii="宋体" w:hAnsi="宋体" w:eastAsia="宋体" w:cs="宋体"/>
                <w:sz w:val="24"/>
              </w:rPr>
              <w:t>100</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22BB9957">
            <w:pPr>
              <w:spacing w:line="440" w:lineRule="exact"/>
              <w:rPr>
                <w:rFonts w:ascii="宋体" w:hAnsi="宋体" w:cs="宋体"/>
                <w:sz w:val="24"/>
              </w:rPr>
            </w:pPr>
            <w:r>
              <w:rPr>
                <w:rFonts w:ascii="宋体" w:hAnsi="宋体" w:eastAsia="宋体" w:cs="宋体"/>
                <w:sz w:val="24"/>
              </w:rPr>
              <w:t>地区</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5D2DAFE8">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6931ACED">
            <w:pPr>
              <w:spacing w:line="440" w:lineRule="exact"/>
              <w:ind w:firstLine="480" w:firstLineChars="200"/>
              <w:rPr>
                <w:rFonts w:ascii="宋体" w:hAnsi="宋体" w:cs="宋体"/>
                <w:sz w:val="24"/>
              </w:rPr>
            </w:pPr>
          </w:p>
        </w:tc>
      </w:tr>
      <w:tr w14:paraId="66B54E1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5D093D89">
            <w:pPr>
              <w:spacing w:line="440" w:lineRule="exact"/>
              <w:rPr>
                <w:rFonts w:ascii="宋体" w:hAnsi="宋体" w:cs="宋体"/>
                <w:sz w:val="24"/>
              </w:rPr>
            </w:pPr>
            <w:r>
              <w:rPr>
                <w:rFonts w:ascii="宋体" w:hAnsi="宋体" w:eastAsia="宋体" w:cs="宋体"/>
                <w:sz w:val="24"/>
              </w:rPr>
              <w:t>summary</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02854009">
            <w:pPr>
              <w:spacing w:line="440" w:lineRule="exact"/>
              <w:rPr>
                <w:rFonts w:ascii="宋体" w:hAnsi="宋体" w:cs="宋体"/>
                <w:sz w:val="24"/>
              </w:rPr>
            </w:pPr>
            <w:r>
              <w:rPr>
                <w:rFonts w:ascii="宋体" w:hAnsi="宋体" w:eastAsia="宋体" w:cs="宋体"/>
                <w:sz w:val="24"/>
              </w:rPr>
              <w:t>text</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2C2FBE94">
            <w:pPr>
              <w:spacing w:line="440" w:lineRule="exact"/>
              <w:rPr>
                <w:rFonts w:ascii="宋体" w:hAnsi="宋体" w:cs="宋体"/>
                <w:sz w:val="24"/>
              </w:rPr>
            </w:pPr>
            <w:r>
              <w:rPr>
                <w:rFonts w:ascii="宋体" w:hAnsi="宋体" w:eastAsia="宋体" w:cs="宋体"/>
                <w:sz w:val="24"/>
              </w:rPr>
              <w:t>-</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1ED514E0">
            <w:pPr>
              <w:spacing w:line="440" w:lineRule="exact"/>
              <w:rPr>
                <w:rFonts w:ascii="宋体" w:hAnsi="宋体" w:cs="宋体"/>
                <w:sz w:val="24"/>
              </w:rPr>
            </w:pPr>
            <w:r>
              <w:rPr>
                <w:rFonts w:ascii="宋体" w:hAnsi="宋体" w:eastAsia="宋体" w:cs="宋体"/>
                <w:sz w:val="24"/>
              </w:rPr>
              <w:t>摘要</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44F5BC4D">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3288EFC6">
            <w:pPr>
              <w:spacing w:line="440" w:lineRule="exact"/>
              <w:ind w:firstLine="480" w:firstLineChars="200"/>
              <w:rPr>
                <w:rFonts w:ascii="宋体" w:hAnsi="宋体" w:cs="宋体"/>
                <w:sz w:val="24"/>
              </w:rPr>
            </w:pPr>
          </w:p>
        </w:tc>
      </w:tr>
      <w:tr w14:paraId="223B6705">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02F1380A">
            <w:pPr>
              <w:spacing w:line="440" w:lineRule="exact"/>
              <w:rPr>
                <w:rFonts w:ascii="宋体" w:hAnsi="宋体" w:cs="宋体"/>
                <w:sz w:val="24"/>
              </w:rPr>
            </w:pPr>
            <w:r>
              <w:rPr>
                <w:rFonts w:ascii="宋体" w:hAnsi="宋体" w:eastAsia="宋体" w:cs="宋体"/>
                <w:sz w:val="24"/>
              </w:rPr>
              <w:t>description</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6E09B4B7">
            <w:pPr>
              <w:spacing w:line="440" w:lineRule="exact"/>
              <w:rPr>
                <w:rFonts w:ascii="宋体" w:hAnsi="宋体" w:cs="宋体"/>
                <w:sz w:val="24"/>
              </w:rPr>
            </w:pPr>
            <w:r>
              <w:rPr>
                <w:rFonts w:ascii="宋体" w:hAnsi="宋体" w:eastAsia="宋体" w:cs="宋体"/>
                <w:sz w:val="24"/>
              </w:rPr>
              <w:t>mediumtext</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5A6FC41D">
            <w:pPr>
              <w:spacing w:line="440" w:lineRule="exact"/>
              <w:rPr>
                <w:rFonts w:ascii="宋体" w:hAnsi="宋体" w:cs="宋体"/>
                <w:sz w:val="24"/>
              </w:rPr>
            </w:pPr>
            <w:r>
              <w:rPr>
                <w:rFonts w:ascii="宋体" w:hAnsi="宋体" w:eastAsia="宋体" w:cs="宋体"/>
                <w:sz w:val="24"/>
              </w:rPr>
              <w:t>-</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79F70AE8">
            <w:pPr>
              <w:spacing w:line="440" w:lineRule="exact"/>
              <w:rPr>
                <w:rFonts w:ascii="宋体" w:hAnsi="宋体" w:cs="宋体"/>
                <w:sz w:val="24"/>
              </w:rPr>
            </w:pPr>
            <w:r>
              <w:rPr>
                <w:rFonts w:ascii="宋体" w:hAnsi="宋体" w:eastAsia="宋体" w:cs="宋体"/>
                <w:sz w:val="24"/>
              </w:rPr>
              <w:t>详细描述</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64A8042B">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73769E55">
            <w:pPr>
              <w:spacing w:line="440" w:lineRule="exact"/>
              <w:ind w:firstLine="480" w:firstLineChars="200"/>
              <w:rPr>
                <w:rFonts w:ascii="宋体" w:hAnsi="宋体" w:cs="宋体"/>
                <w:sz w:val="24"/>
              </w:rPr>
            </w:pPr>
          </w:p>
        </w:tc>
      </w:tr>
      <w:tr w14:paraId="216E8D5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47AB2E9A">
            <w:pPr>
              <w:spacing w:line="440" w:lineRule="exact"/>
              <w:rPr>
                <w:rFonts w:ascii="宋体" w:hAnsi="宋体" w:cs="宋体"/>
                <w:sz w:val="24"/>
              </w:rPr>
            </w:pPr>
            <w:r>
              <w:rPr>
                <w:rFonts w:ascii="宋体" w:hAnsi="宋体" w:eastAsia="宋体" w:cs="宋体"/>
                <w:sz w:val="24"/>
              </w:rPr>
              <w:t>status</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4D803144">
            <w:pPr>
              <w:spacing w:line="440" w:lineRule="exact"/>
              <w:rPr>
                <w:rFonts w:ascii="宋体" w:hAnsi="宋体" w:cs="宋体"/>
                <w:sz w:val="24"/>
              </w:rPr>
            </w:pPr>
            <w:r>
              <w:rPr>
                <w:rFonts w:ascii="宋体" w:hAnsi="宋体" w:eastAsia="宋体" w:cs="宋体"/>
                <w:sz w:val="24"/>
              </w:rPr>
              <w:t>tinyint</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304DB1F5">
            <w:pPr>
              <w:spacing w:line="440" w:lineRule="exact"/>
              <w:rPr>
                <w:rFonts w:ascii="宋体" w:hAnsi="宋体" w:cs="宋体"/>
                <w:sz w:val="24"/>
              </w:rPr>
            </w:pPr>
            <w:r>
              <w:rPr>
                <w:rFonts w:ascii="宋体" w:hAnsi="宋体" w:eastAsia="宋体" w:cs="宋体"/>
                <w:sz w:val="24"/>
              </w:rPr>
              <w:t>1</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2EEFCE4C">
            <w:pPr>
              <w:spacing w:line="440" w:lineRule="exact"/>
              <w:rPr>
                <w:rFonts w:ascii="宋体" w:hAnsi="宋体" w:cs="宋体"/>
                <w:sz w:val="24"/>
              </w:rPr>
            </w:pPr>
            <w:r>
              <w:rPr>
                <w:rFonts w:ascii="宋体" w:hAnsi="宋体" w:eastAsia="宋体" w:cs="宋体"/>
                <w:sz w:val="24"/>
              </w:rPr>
              <w:t>状态</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3B059A19">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120CB66D">
            <w:pPr>
              <w:spacing w:line="440" w:lineRule="exact"/>
              <w:ind w:firstLine="480" w:firstLineChars="200"/>
              <w:rPr>
                <w:rFonts w:ascii="宋体" w:hAnsi="宋体" w:cs="宋体"/>
                <w:sz w:val="24"/>
              </w:rPr>
            </w:pPr>
            <w:r>
              <w:rPr>
                <w:rFonts w:ascii="宋体" w:hAnsi="宋体" w:eastAsia="宋体" w:cs="宋体"/>
                <w:sz w:val="24"/>
              </w:rPr>
              <w:t>0</w:t>
            </w:r>
          </w:p>
        </w:tc>
      </w:tr>
      <w:tr w14:paraId="6D5489F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nil"/>
              <w:right w:val="nil"/>
            </w:tcBorders>
            <w:shd w:val="clear" w:color="auto" w:fill="FFFFFF"/>
            <w:tcMar>
              <w:top w:w="60" w:type="dxa"/>
              <w:left w:w="130" w:type="dxa"/>
              <w:bottom w:w="60" w:type="dxa"/>
              <w:right w:w="130" w:type="dxa"/>
            </w:tcMar>
            <w:vAlign w:val="center"/>
          </w:tcPr>
          <w:p w14:paraId="56067183">
            <w:pPr>
              <w:spacing w:line="440" w:lineRule="exact"/>
              <w:rPr>
                <w:rFonts w:ascii="宋体" w:hAnsi="宋体" w:cs="宋体"/>
                <w:sz w:val="24"/>
              </w:rPr>
            </w:pPr>
            <w:r>
              <w:rPr>
                <w:rFonts w:ascii="宋体" w:hAnsi="宋体" w:eastAsia="宋体" w:cs="宋体"/>
                <w:sz w:val="24"/>
              </w:rPr>
              <w:t>create_time</w:t>
            </w:r>
          </w:p>
        </w:tc>
        <w:tc>
          <w:tcPr>
            <w:tcW w:w="1525" w:type="dxa"/>
            <w:tcBorders>
              <w:top w:val="nil"/>
              <w:left w:val="nil"/>
              <w:bottom w:val="nil"/>
              <w:right w:val="nil"/>
            </w:tcBorders>
            <w:shd w:val="clear" w:color="auto" w:fill="FFFFFF"/>
            <w:tcMar>
              <w:top w:w="60" w:type="dxa"/>
              <w:left w:w="130" w:type="dxa"/>
              <w:bottom w:w="60" w:type="dxa"/>
              <w:right w:w="130" w:type="dxa"/>
            </w:tcMar>
            <w:vAlign w:val="center"/>
          </w:tcPr>
          <w:p w14:paraId="22B12773">
            <w:pPr>
              <w:spacing w:line="440" w:lineRule="exact"/>
              <w:rPr>
                <w:rFonts w:ascii="宋体" w:hAnsi="宋体" w:cs="宋体"/>
                <w:sz w:val="24"/>
              </w:rPr>
            </w:pPr>
            <w:r>
              <w:rPr>
                <w:rFonts w:ascii="宋体" w:hAnsi="宋体" w:eastAsia="宋体" w:cs="宋体"/>
                <w:sz w:val="24"/>
              </w:rPr>
              <w:t>datetime</w:t>
            </w:r>
          </w:p>
        </w:tc>
        <w:tc>
          <w:tcPr>
            <w:tcW w:w="867" w:type="dxa"/>
            <w:tcBorders>
              <w:top w:val="nil"/>
              <w:left w:val="nil"/>
              <w:bottom w:val="nil"/>
              <w:right w:val="nil"/>
            </w:tcBorders>
            <w:shd w:val="clear" w:color="auto" w:fill="FFFFFF"/>
            <w:tcMar>
              <w:top w:w="60" w:type="dxa"/>
              <w:left w:w="130" w:type="dxa"/>
              <w:bottom w:w="60" w:type="dxa"/>
              <w:right w:w="130" w:type="dxa"/>
            </w:tcMar>
            <w:vAlign w:val="center"/>
          </w:tcPr>
          <w:p w14:paraId="04B29DC8">
            <w:pPr>
              <w:spacing w:line="440" w:lineRule="exact"/>
              <w:rPr>
                <w:rFonts w:ascii="宋体" w:hAnsi="宋体" w:cs="宋体"/>
                <w:sz w:val="24"/>
              </w:rPr>
            </w:pPr>
            <w:r>
              <w:rPr>
                <w:rFonts w:ascii="宋体" w:hAnsi="宋体" w:eastAsia="宋体" w:cs="宋体"/>
                <w:sz w:val="24"/>
              </w:rPr>
              <w:t>-</w:t>
            </w:r>
          </w:p>
        </w:tc>
        <w:tc>
          <w:tcPr>
            <w:tcW w:w="1300" w:type="dxa"/>
            <w:tcBorders>
              <w:top w:val="nil"/>
              <w:left w:val="nil"/>
              <w:bottom w:val="nil"/>
              <w:right w:val="nil"/>
            </w:tcBorders>
            <w:shd w:val="clear" w:color="auto" w:fill="FFFFFF"/>
            <w:tcMar>
              <w:top w:w="60" w:type="dxa"/>
              <w:left w:w="130" w:type="dxa"/>
              <w:bottom w:w="60" w:type="dxa"/>
              <w:right w:w="130" w:type="dxa"/>
            </w:tcMar>
            <w:vAlign w:val="center"/>
          </w:tcPr>
          <w:p w14:paraId="4477D376">
            <w:pPr>
              <w:spacing w:line="440" w:lineRule="exact"/>
              <w:rPr>
                <w:rFonts w:ascii="宋体" w:hAnsi="宋体" w:cs="宋体"/>
                <w:sz w:val="24"/>
              </w:rPr>
            </w:pPr>
            <w:r>
              <w:rPr>
                <w:rFonts w:ascii="宋体" w:hAnsi="宋体" w:eastAsia="宋体" w:cs="宋体"/>
                <w:sz w:val="24"/>
              </w:rPr>
              <w:t>创建时间</w:t>
            </w:r>
          </w:p>
        </w:tc>
        <w:tc>
          <w:tcPr>
            <w:tcW w:w="833" w:type="dxa"/>
            <w:tcBorders>
              <w:top w:val="nil"/>
              <w:left w:val="nil"/>
              <w:bottom w:val="nil"/>
              <w:right w:val="nil"/>
            </w:tcBorders>
            <w:shd w:val="clear" w:color="auto" w:fill="FFFFFF"/>
            <w:tcMar>
              <w:top w:w="60" w:type="dxa"/>
              <w:left w:w="130" w:type="dxa"/>
              <w:bottom w:w="60" w:type="dxa"/>
              <w:right w:w="130" w:type="dxa"/>
            </w:tcMar>
            <w:vAlign w:val="center"/>
          </w:tcPr>
          <w:p w14:paraId="511916DB">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nil"/>
              <w:right w:val="nil"/>
            </w:tcBorders>
            <w:shd w:val="clear" w:color="auto" w:fill="FFFFFF"/>
            <w:tcMar>
              <w:top w:w="60" w:type="dxa"/>
              <w:left w:w="130" w:type="dxa"/>
              <w:bottom w:w="60" w:type="dxa"/>
              <w:right w:w="130" w:type="dxa"/>
            </w:tcMar>
            <w:vAlign w:val="center"/>
          </w:tcPr>
          <w:p w14:paraId="552D700F">
            <w:pPr>
              <w:spacing w:line="440" w:lineRule="exact"/>
              <w:rPr>
                <w:rFonts w:ascii="宋体" w:hAnsi="宋体" w:cs="宋体"/>
                <w:sz w:val="24"/>
              </w:rPr>
            </w:pPr>
            <w:r>
              <w:rPr>
                <w:rFonts w:ascii="宋体" w:hAnsi="宋体" w:eastAsia="宋体" w:cs="宋体"/>
                <w:sz w:val="24"/>
              </w:rPr>
              <w:t>CURRENT_TIMESTAMP</w:t>
            </w:r>
          </w:p>
        </w:tc>
      </w:tr>
      <w:tr w14:paraId="45DC1F7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29"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59EACD80">
            <w:pPr>
              <w:spacing w:line="440" w:lineRule="exact"/>
              <w:rPr>
                <w:rFonts w:ascii="宋体" w:hAnsi="宋体" w:cs="宋体"/>
                <w:sz w:val="24"/>
              </w:rPr>
            </w:pPr>
            <w:r>
              <w:rPr>
                <w:rFonts w:ascii="宋体" w:hAnsi="宋体" w:eastAsia="宋体" w:cs="宋体"/>
                <w:sz w:val="24"/>
              </w:rPr>
              <w:t>update_time</w:t>
            </w:r>
          </w:p>
        </w:tc>
        <w:tc>
          <w:tcPr>
            <w:tcW w:w="1525"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066D2AF">
            <w:pPr>
              <w:spacing w:line="440" w:lineRule="exact"/>
              <w:rPr>
                <w:rFonts w:ascii="宋体" w:hAnsi="宋体" w:cs="宋体"/>
                <w:sz w:val="24"/>
              </w:rPr>
            </w:pPr>
            <w:r>
              <w:rPr>
                <w:rFonts w:ascii="宋体" w:hAnsi="宋体" w:eastAsia="宋体" w:cs="宋体"/>
                <w:sz w:val="24"/>
              </w:rPr>
              <w:t>datetime</w:t>
            </w:r>
          </w:p>
        </w:tc>
        <w:tc>
          <w:tcPr>
            <w:tcW w:w="867"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4CDCA38">
            <w:pPr>
              <w:spacing w:line="440" w:lineRule="exact"/>
              <w:rPr>
                <w:rFonts w:ascii="宋体" w:hAnsi="宋体" w:cs="宋体"/>
                <w:sz w:val="24"/>
              </w:rPr>
            </w:pPr>
            <w:r>
              <w:rPr>
                <w:rFonts w:ascii="宋体" w:hAnsi="宋体" w:eastAsia="宋体" w:cs="宋体"/>
                <w:sz w:val="24"/>
              </w:rPr>
              <w:t>-</w:t>
            </w:r>
          </w:p>
        </w:tc>
        <w:tc>
          <w:tcPr>
            <w:tcW w:w="130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67DC108">
            <w:pPr>
              <w:spacing w:line="440" w:lineRule="exact"/>
              <w:rPr>
                <w:rFonts w:ascii="宋体" w:hAnsi="宋体" w:cs="宋体"/>
                <w:sz w:val="24"/>
              </w:rPr>
            </w:pPr>
            <w:r>
              <w:rPr>
                <w:rFonts w:ascii="宋体" w:hAnsi="宋体" w:eastAsia="宋体" w:cs="宋体"/>
                <w:sz w:val="24"/>
              </w:rPr>
              <w:t>更新时间</w:t>
            </w:r>
          </w:p>
        </w:tc>
        <w:tc>
          <w:tcPr>
            <w:tcW w:w="833"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F349BFB">
            <w:pPr>
              <w:spacing w:line="440" w:lineRule="exact"/>
              <w:rPr>
                <w:rFonts w:ascii="宋体" w:hAnsi="宋体" w:cs="宋体"/>
                <w:sz w:val="24"/>
              </w:rPr>
            </w:pPr>
            <w:r>
              <w:rPr>
                <w:rFonts w:ascii="宋体" w:hAnsi="宋体" w:eastAsia="宋体" w:cs="宋体"/>
                <w:sz w:val="24"/>
              </w:rPr>
              <w:t>否</w:t>
            </w:r>
          </w:p>
        </w:tc>
        <w:tc>
          <w:tcPr>
            <w:tcW w:w="2312"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9F4642A">
            <w:pPr>
              <w:spacing w:line="440" w:lineRule="exact"/>
              <w:rPr>
                <w:rFonts w:ascii="宋体" w:hAnsi="宋体" w:cs="宋体"/>
                <w:sz w:val="24"/>
              </w:rPr>
            </w:pPr>
            <w:r>
              <w:rPr>
                <w:rFonts w:ascii="宋体" w:hAnsi="宋体" w:eastAsia="宋体" w:cs="宋体"/>
                <w:sz w:val="24"/>
              </w:rPr>
              <w:t>CURRENT_TIMESTAMP</w:t>
            </w:r>
          </w:p>
        </w:tc>
      </w:tr>
    </w:tbl>
    <w:p w14:paraId="43FC360E">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3</w:t>
      </w:r>
      <w:r>
        <w:rPr>
          <w:rFonts w:hint="eastAsia" w:ascii="宋体" w:hAnsi="宋体" w:eastAsia="宋体" w:cs="宋体"/>
          <w:sz w:val="24"/>
          <w:lang w:eastAsia="zh-CN"/>
        </w:rPr>
        <w:t>）</w:t>
      </w:r>
      <w:r>
        <w:rPr>
          <w:rFonts w:ascii="宋体" w:hAnsi="宋体" w:eastAsia="宋体" w:cs="宋体"/>
          <w:sz w:val="24"/>
        </w:rPr>
        <w:t>inheritor(传承人表)</w:t>
      </w:r>
    </w:p>
    <w:p w14:paraId="2EAA9CB7">
      <w:pPr>
        <w:spacing w:line="440" w:lineRule="exact"/>
        <w:ind w:firstLine="480" w:firstLineChars="200"/>
        <w:rPr>
          <w:rFonts w:ascii="宋体" w:hAnsi="宋体" w:cs="宋体"/>
          <w:sz w:val="24"/>
        </w:rPr>
      </w:pPr>
      <w:r>
        <w:rPr>
          <w:rFonts w:ascii="宋体" w:hAnsi="宋体" w:eastAsia="宋体" w:cs="宋体"/>
          <w:sz w:val="24"/>
        </w:rPr>
        <w:t>传承人表存储</w:t>
      </w:r>
      <w:r>
        <w:rPr>
          <w:rFonts w:hint="eastAsia" w:ascii="宋体" w:hAnsi="宋体" w:eastAsia="宋体" w:cs="宋体"/>
          <w:sz w:val="24"/>
        </w:rPr>
        <w:t>赣绣</w:t>
      </w:r>
      <w:r>
        <w:rPr>
          <w:rFonts w:ascii="宋体" w:hAnsi="宋体" w:eastAsia="宋体" w:cs="宋体"/>
          <w:sz w:val="24"/>
        </w:rPr>
        <w:t>传承人的基本信息。</w:t>
      </w:r>
    </w:p>
    <w:p w14:paraId="50CCC95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表3-3 传承人表</w:t>
      </w:r>
    </w:p>
    <w:tbl>
      <w:tblPr>
        <w:tblStyle w:val="35"/>
        <w:tblW w:w="0" w:type="auto"/>
        <w:jc w:val="center"/>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fixed"/>
        <w:tblCellMar>
          <w:top w:w="0" w:type="dxa"/>
          <w:left w:w="0" w:type="dxa"/>
          <w:bottom w:w="0" w:type="dxa"/>
          <w:right w:w="0" w:type="dxa"/>
        </w:tblCellMar>
      </w:tblPr>
      <w:tblGrid>
        <w:gridCol w:w="1279"/>
        <w:gridCol w:w="1492"/>
        <w:gridCol w:w="1066"/>
        <w:gridCol w:w="1449"/>
        <w:gridCol w:w="876"/>
        <w:gridCol w:w="2404"/>
      </w:tblGrid>
      <w:tr w14:paraId="45EEA07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jc w:val="center"/>
        </w:trPr>
        <w:tc>
          <w:tcPr>
            <w:tcW w:w="1279" w:type="dxa"/>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0D0C1960">
            <w:pPr>
              <w:spacing w:line="440" w:lineRule="exact"/>
              <w:rPr>
                <w:rFonts w:ascii="宋体" w:hAnsi="宋体" w:cs="宋体"/>
                <w:sz w:val="24"/>
              </w:rPr>
            </w:pPr>
            <w:r>
              <w:rPr>
                <w:rFonts w:ascii="宋体" w:hAnsi="宋体" w:eastAsia="宋体" w:cs="宋体"/>
                <w:sz w:val="24"/>
              </w:rPr>
              <w:t>字段名称</w:t>
            </w:r>
          </w:p>
        </w:tc>
        <w:tc>
          <w:tcPr>
            <w:tcW w:w="1492"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D3D8D53">
            <w:pPr>
              <w:spacing w:line="440" w:lineRule="exact"/>
              <w:rPr>
                <w:rFonts w:ascii="宋体" w:hAnsi="宋体" w:cs="宋体"/>
                <w:sz w:val="24"/>
              </w:rPr>
            </w:pPr>
            <w:r>
              <w:rPr>
                <w:rFonts w:ascii="宋体" w:hAnsi="宋体" w:eastAsia="宋体" w:cs="宋体"/>
                <w:sz w:val="24"/>
              </w:rPr>
              <w:t>类型</w:t>
            </w:r>
          </w:p>
        </w:tc>
        <w:tc>
          <w:tcPr>
            <w:tcW w:w="1066"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48128FD">
            <w:pPr>
              <w:spacing w:line="440" w:lineRule="exact"/>
              <w:rPr>
                <w:rFonts w:ascii="宋体" w:hAnsi="宋体" w:cs="宋体"/>
                <w:sz w:val="24"/>
              </w:rPr>
            </w:pPr>
            <w:r>
              <w:rPr>
                <w:rFonts w:ascii="宋体" w:hAnsi="宋体" w:eastAsia="宋体" w:cs="宋体"/>
                <w:sz w:val="24"/>
              </w:rPr>
              <w:t>长度</w:t>
            </w:r>
          </w:p>
        </w:tc>
        <w:tc>
          <w:tcPr>
            <w:tcW w:w="1449"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4CB8B54F">
            <w:pPr>
              <w:spacing w:line="440" w:lineRule="exact"/>
              <w:rPr>
                <w:rFonts w:ascii="宋体" w:hAnsi="宋体" w:cs="宋体"/>
                <w:sz w:val="24"/>
              </w:rPr>
            </w:pPr>
            <w:r>
              <w:rPr>
                <w:rFonts w:ascii="宋体" w:hAnsi="宋体" w:eastAsia="宋体" w:cs="宋体"/>
                <w:sz w:val="24"/>
              </w:rPr>
              <w:t>字段说明</w:t>
            </w:r>
          </w:p>
        </w:tc>
        <w:tc>
          <w:tcPr>
            <w:tcW w:w="876"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18FC5B4F">
            <w:pPr>
              <w:spacing w:line="440" w:lineRule="exact"/>
              <w:rPr>
                <w:rFonts w:ascii="宋体" w:hAnsi="宋体" w:cs="宋体"/>
                <w:sz w:val="24"/>
              </w:rPr>
            </w:pPr>
            <w:r>
              <w:rPr>
                <w:rFonts w:ascii="宋体" w:hAnsi="宋体" w:eastAsia="宋体" w:cs="宋体"/>
                <w:sz w:val="24"/>
              </w:rPr>
              <w:t>主键</w:t>
            </w:r>
          </w:p>
        </w:tc>
        <w:tc>
          <w:tcPr>
            <w:tcW w:w="2404"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8E0E131">
            <w:pPr>
              <w:spacing w:line="440" w:lineRule="exact"/>
              <w:ind w:firstLine="480" w:firstLineChars="200"/>
              <w:rPr>
                <w:rFonts w:ascii="宋体" w:hAnsi="宋体" w:cs="宋体"/>
                <w:sz w:val="24"/>
              </w:rPr>
            </w:pPr>
            <w:r>
              <w:rPr>
                <w:rFonts w:ascii="宋体" w:hAnsi="宋体" w:eastAsia="宋体" w:cs="宋体"/>
                <w:sz w:val="24"/>
              </w:rPr>
              <w:t>默认值</w:t>
            </w:r>
          </w:p>
        </w:tc>
      </w:tr>
      <w:tr w14:paraId="61AC2514">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C6AEC1A">
            <w:pPr>
              <w:spacing w:line="440" w:lineRule="exact"/>
              <w:rPr>
                <w:rFonts w:ascii="宋体" w:hAnsi="宋体" w:cs="宋体"/>
                <w:sz w:val="24"/>
              </w:rPr>
            </w:pPr>
            <w:r>
              <w:rPr>
                <w:rFonts w:ascii="宋体" w:hAnsi="宋体" w:eastAsia="宋体" w:cs="宋体"/>
                <w:sz w:val="24"/>
              </w:rPr>
              <w:t>id</w:t>
            </w:r>
          </w:p>
        </w:tc>
        <w:tc>
          <w:tcPr>
            <w:tcW w:w="1492"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24DEFF2">
            <w:pPr>
              <w:spacing w:line="440" w:lineRule="exact"/>
              <w:rPr>
                <w:rFonts w:ascii="宋体" w:hAnsi="宋体" w:cs="宋体"/>
                <w:sz w:val="24"/>
              </w:rPr>
            </w:pPr>
            <w:r>
              <w:rPr>
                <w:rFonts w:ascii="宋体" w:hAnsi="宋体" w:eastAsia="宋体" w:cs="宋体"/>
                <w:sz w:val="24"/>
              </w:rPr>
              <w:t>varchar</w:t>
            </w:r>
          </w:p>
        </w:tc>
        <w:tc>
          <w:tcPr>
            <w:tcW w:w="106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BA0625E">
            <w:pPr>
              <w:spacing w:line="440" w:lineRule="exact"/>
              <w:rPr>
                <w:rFonts w:ascii="宋体" w:hAnsi="宋体" w:cs="宋体"/>
                <w:sz w:val="24"/>
              </w:rPr>
            </w:pPr>
            <w:r>
              <w:rPr>
                <w:rFonts w:ascii="宋体" w:hAnsi="宋体" w:eastAsia="宋体" w:cs="宋体"/>
                <w:sz w:val="24"/>
              </w:rPr>
              <w:t>50</w:t>
            </w:r>
          </w:p>
        </w:tc>
        <w:tc>
          <w:tcPr>
            <w:tcW w:w="144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61E1ECE">
            <w:pPr>
              <w:spacing w:line="440" w:lineRule="exact"/>
              <w:rPr>
                <w:rFonts w:ascii="宋体" w:hAnsi="宋体" w:cs="宋体"/>
                <w:sz w:val="24"/>
              </w:rPr>
            </w:pPr>
            <w:r>
              <w:rPr>
                <w:rFonts w:ascii="宋体" w:hAnsi="宋体" w:eastAsia="宋体" w:cs="宋体"/>
                <w:sz w:val="24"/>
              </w:rPr>
              <w:t>传承人ID</w:t>
            </w:r>
          </w:p>
        </w:tc>
        <w:tc>
          <w:tcPr>
            <w:tcW w:w="87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413F4A9">
            <w:pPr>
              <w:spacing w:line="440" w:lineRule="exact"/>
              <w:rPr>
                <w:rFonts w:ascii="宋体" w:hAnsi="宋体" w:cs="宋体"/>
                <w:sz w:val="24"/>
              </w:rPr>
            </w:pPr>
            <w:r>
              <w:rPr>
                <w:rFonts w:ascii="宋体" w:hAnsi="宋体" w:eastAsia="宋体" w:cs="宋体"/>
                <w:sz w:val="24"/>
              </w:rPr>
              <w:t>是</w:t>
            </w:r>
          </w:p>
        </w:tc>
        <w:tc>
          <w:tcPr>
            <w:tcW w:w="240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0DBDB58">
            <w:pPr>
              <w:spacing w:line="440" w:lineRule="exact"/>
              <w:ind w:firstLine="480" w:firstLineChars="200"/>
              <w:rPr>
                <w:rFonts w:ascii="宋体" w:hAnsi="宋体" w:cs="宋体"/>
                <w:sz w:val="24"/>
              </w:rPr>
            </w:pPr>
          </w:p>
        </w:tc>
      </w:tr>
      <w:tr w14:paraId="2789E3D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nil"/>
              <w:left w:val="nil"/>
              <w:bottom w:val="nil"/>
              <w:right w:val="nil"/>
            </w:tcBorders>
            <w:shd w:val="clear" w:color="auto" w:fill="FFFFFF"/>
            <w:tcMar>
              <w:top w:w="60" w:type="dxa"/>
              <w:left w:w="130" w:type="dxa"/>
              <w:bottom w:w="60" w:type="dxa"/>
              <w:right w:w="130" w:type="dxa"/>
            </w:tcMar>
            <w:vAlign w:val="center"/>
          </w:tcPr>
          <w:p w14:paraId="116C4CFC">
            <w:pPr>
              <w:spacing w:line="440" w:lineRule="exact"/>
              <w:rPr>
                <w:rFonts w:ascii="宋体" w:hAnsi="宋体" w:cs="宋体"/>
                <w:sz w:val="24"/>
              </w:rPr>
            </w:pPr>
            <w:r>
              <w:rPr>
                <w:rFonts w:ascii="宋体" w:hAnsi="宋体" w:eastAsia="宋体" w:cs="宋体"/>
                <w:sz w:val="24"/>
              </w:rPr>
              <w:t>name</w:t>
            </w:r>
          </w:p>
        </w:tc>
        <w:tc>
          <w:tcPr>
            <w:tcW w:w="1492" w:type="dxa"/>
            <w:tcBorders>
              <w:top w:val="nil"/>
              <w:left w:val="nil"/>
              <w:bottom w:val="nil"/>
              <w:right w:val="nil"/>
            </w:tcBorders>
            <w:shd w:val="clear" w:color="auto" w:fill="FFFFFF"/>
            <w:tcMar>
              <w:top w:w="60" w:type="dxa"/>
              <w:left w:w="130" w:type="dxa"/>
              <w:bottom w:w="60" w:type="dxa"/>
              <w:right w:w="130" w:type="dxa"/>
            </w:tcMar>
            <w:vAlign w:val="center"/>
          </w:tcPr>
          <w:p w14:paraId="5CB76889">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20C67FF6">
            <w:pPr>
              <w:spacing w:line="440" w:lineRule="exact"/>
              <w:rPr>
                <w:rFonts w:ascii="宋体" w:hAnsi="宋体" w:cs="宋体"/>
                <w:sz w:val="24"/>
              </w:rPr>
            </w:pPr>
            <w:r>
              <w:rPr>
                <w:rFonts w:ascii="宋体" w:hAnsi="宋体" w:eastAsia="宋体" w:cs="宋体"/>
                <w:sz w:val="24"/>
              </w:rPr>
              <w:t>100</w:t>
            </w:r>
          </w:p>
        </w:tc>
        <w:tc>
          <w:tcPr>
            <w:tcW w:w="1449" w:type="dxa"/>
            <w:tcBorders>
              <w:top w:val="nil"/>
              <w:left w:val="nil"/>
              <w:bottom w:val="nil"/>
              <w:right w:val="nil"/>
            </w:tcBorders>
            <w:shd w:val="clear" w:color="auto" w:fill="FFFFFF"/>
            <w:tcMar>
              <w:top w:w="60" w:type="dxa"/>
              <w:left w:w="130" w:type="dxa"/>
              <w:bottom w:w="60" w:type="dxa"/>
              <w:right w:w="130" w:type="dxa"/>
            </w:tcMar>
            <w:vAlign w:val="center"/>
          </w:tcPr>
          <w:p w14:paraId="15842069">
            <w:pPr>
              <w:spacing w:line="440" w:lineRule="exact"/>
              <w:rPr>
                <w:rFonts w:ascii="宋体" w:hAnsi="宋体" w:cs="宋体"/>
                <w:sz w:val="24"/>
              </w:rPr>
            </w:pPr>
            <w:r>
              <w:rPr>
                <w:rFonts w:ascii="宋体" w:hAnsi="宋体" w:eastAsia="宋体" w:cs="宋体"/>
                <w:sz w:val="24"/>
              </w:rPr>
              <w:t>姓名</w:t>
            </w:r>
          </w:p>
        </w:tc>
        <w:tc>
          <w:tcPr>
            <w:tcW w:w="876" w:type="dxa"/>
            <w:tcBorders>
              <w:top w:val="nil"/>
              <w:left w:val="nil"/>
              <w:bottom w:val="nil"/>
              <w:right w:val="nil"/>
            </w:tcBorders>
            <w:shd w:val="clear" w:color="auto" w:fill="FFFFFF"/>
            <w:tcMar>
              <w:top w:w="60" w:type="dxa"/>
              <w:left w:w="130" w:type="dxa"/>
              <w:bottom w:w="60" w:type="dxa"/>
              <w:right w:w="130" w:type="dxa"/>
            </w:tcMar>
            <w:vAlign w:val="center"/>
          </w:tcPr>
          <w:p w14:paraId="33C90BFD">
            <w:pPr>
              <w:spacing w:line="440" w:lineRule="exact"/>
              <w:rPr>
                <w:rFonts w:ascii="宋体" w:hAnsi="宋体" w:cs="宋体"/>
                <w:sz w:val="24"/>
              </w:rPr>
            </w:pPr>
            <w:r>
              <w:rPr>
                <w:rFonts w:ascii="宋体" w:hAnsi="宋体" w:eastAsia="宋体" w:cs="宋体"/>
                <w:sz w:val="24"/>
              </w:rPr>
              <w:t>否</w:t>
            </w:r>
          </w:p>
        </w:tc>
        <w:tc>
          <w:tcPr>
            <w:tcW w:w="2404" w:type="dxa"/>
            <w:tcBorders>
              <w:top w:val="nil"/>
              <w:left w:val="nil"/>
              <w:bottom w:val="nil"/>
              <w:right w:val="nil"/>
            </w:tcBorders>
            <w:shd w:val="clear" w:color="auto" w:fill="FFFFFF"/>
            <w:tcMar>
              <w:top w:w="60" w:type="dxa"/>
              <w:left w:w="130" w:type="dxa"/>
              <w:bottom w:w="60" w:type="dxa"/>
              <w:right w:w="130" w:type="dxa"/>
            </w:tcMar>
            <w:vAlign w:val="center"/>
          </w:tcPr>
          <w:p w14:paraId="233C595C">
            <w:pPr>
              <w:spacing w:line="440" w:lineRule="exact"/>
              <w:ind w:firstLine="480" w:firstLineChars="200"/>
              <w:rPr>
                <w:rFonts w:ascii="宋体" w:hAnsi="宋体" w:cs="宋体"/>
                <w:sz w:val="24"/>
              </w:rPr>
            </w:pPr>
          </w:p>
        </w:tc>
      </w:tr>
      <w:tr w14:paraId="5C049884">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nil"/>
              <w:left w:val="nil"/>
              <w:bottom w:val="nil"/>
              <w:right w:val="nil"/>
            </w:tcBorders>
            <w:shd w:val="clear" w:color="auto" w:fill="FFFFFF"/>
            <w:tcMar>
              <w:top w:w="60" w:type="dxa"/>
              <w:left w:w="130" w:type="dxa"/>
              <w:bottom w:w="60" w:type="dxa"/>
              <w:right w:w="130" w:type="dxa"/>
            </w:tcMar>
            <w:vAlign w:val="center"/>
          </w:tcPr>
          <w:p w14:paraId="0216637C">
            <w:pPr>
              <w:spacing w:line="440" w:lineRule="exact"/>
              <w:rPr>
                <w:rFonts w:ascii="宋体" w:hAnsi="宋体" w:cs="宋体"/>
                <w:sz w:val="24"/>
              </w:rPr>
            </w:pPr>
            <w:r>
              <w:rPr>
                <w:rFonts w:ascii="宋体" w:hAnsi="宋体" w:eastAsia="宋体" w:cs="宋体"/>
                <w:sz w:val="24"/>
              </w:rPr>
              <w:t>title</w:t>
            </w:r>
          </w:p>
        </w:tc>
        <w:tc>
          <w:tcPr>
            <w:tcW w:w="1492" w:type="dxa"/>
            <w:tcBorders>
              <w:top w:val="nil"/>
              <w:left w:val="nil"/>
              <w:bottom w:val="nil"/>
              <w:right w:val="nil"/>
            </w:tcBorders>
            <w:shd w:val="clear" w:color="auto" w:fill="FFFFFF"/>
            <w:tcMar>
              <w:top w:w="60" w:type="dxa"/>
              <w:left w:w="130" w:type="dxa"/>
              <w:bottom w:w="60" w:type="dxa"/>
              <w:right w:w="130" w:type="dxa"/>
            </w:tcMar>
            <w:vAlign w:val="center"/>
          </w:tcPr>
          <w:p w14:paraId="3F7F1281">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68DD7344">
            <w:pPr>
              <w:spacing w:line="440" w:lineRule="exact"/>
              <w:rPr>
                <w:rFonts w:ascii="宋体" w:hAnsi="宋体" w:cs="宋体"/>
                <w:sz w:val="24"/>
              </w:rPr>
            </w:pPr>
            <w:r>
              <w:rPr>
                <w:rFonts w:ascii="宋体" w:hAnsi="宋体" w:eastAsia="宋体" w:cs="宋体"/>
                <w:sz w:val="24"/>
              </w:rPr>
              <w:t>100</w:t>
            </w:r>
          </w:p>
        </w:tc>
        <w:tc>
          <w:tcPr>
            <w:tcW w:w="1449" w:type="dxa"/>
            <w:tcBorders>
              <w:top w:val="nil"/>
              <w:left w:val="nil"/>
              <w:bottom w:val="nil"/>
              <w:right w:val="nil"/>
            </w:tcBorders>
            <w:shd w:val="clear" w:color="auto" w:fill="FFFFFF"/>
            <w:tcMar>
              <w:top w:w="60" w:type="dxa"/>
              <w:left w:w="130" w:type="dxa"/>
              <w:bottom w:w="60" w:type="dxa"/>
              <w:right w:w="130" w:type="dxa"/>
            </w:tcMar>
            <w:vAlign w:val="center"/>
          </w:tcPr>
          <w:p w14:paraId="377CB5D7">
            <w:pPr>
              <w:spacing w:line="440" w:lineRule="exact"/>
              <w:rPr>
                <w:rFonts w:ascii="宋体" w:hAnsi="宋体" w:cs="宋体"/>
                <w:sz w:val="24"/>
              </w:rPr>
            </w:pPr>
            <w:r>
              <w:rPr>
                <w:rFonts w:ascii="宋体" w:hAnsi="宋体" w:eastAsia="宋体" w:cs="宋体"/>
                <w:sz w:val="24"/>
              </w:rPr>
              <w:t>称号</w:t>
            </w:r>
          </w:p>
        </w:tc>
        <w:tc>
          <w:tcPr>
            <w:tcW w:w="876" w:type="dxa"/>
            <w:tcBorders>
              <w:top w:val="nil"/>
              <w:left w:val="nil"/>
              <w:bottom w:val="nil"/>
              <w:right w:val="nil"/>
            </w:tcBorders>
            <w:shd w:val="clear" w:color="auto" w:fill="FFFFFF"/>
            <w:tcMar>
              <w:top w:w="60" w:type="dxa"/>
              <w:left w:w="130" w:type="dxa"/>
              <w:bottom w:w="60" w:type="dxa"/>
              <w:right w:w="130" w:type="dxa"/>
            </w:tcMar>
            <w:vAlign w:val="center"/>
          </w:tcPr>
          <w:p w14:paraId="3897FF2C">
            <w:pPr>
              <w:spacing w:line="440" w:lineRule="exact"/>
              <w:rPr>
                <w:rFonts w:ascii="宋体" w:hAnsi="宋体" w:cs="宋体"/>
                <w:sz w:val="24"/>
              </w:rPr>
            </w:pPr>
            <w:r>
              <w:rPr>
                <w:rFonts w:ascii="宋体" w:hAnsi="宋体" w:eastAsia="宋体" w:cs="宋体"/>
                <w:sz w:val="24"/>
              </w:rPr>
              <w:t>否</w:t>
            </w:r>
          </w:p>
        </w:tc>
        <w:tc>
          <w:tcPr>
            <w:tcW w:w="2404" w:type="dxa"/>
            <w:tcBorders>
              <w:top w:val="nil"/>
              <w:left w:val="nil"/>
              <w:bottom w:val="nil"/>
              <w:right w:val="nil"/>
            </w:tcBorders>
            <w:shd w:val="clear" w:color="auto" w:fill="FFFFFF"/>
            <w:tcMar>
              <w:top w:w="60" w:type="dxa"/>
              <w:left w:w="130" w:type="dxa"/>
              <w:bottom w:w="60" w:type="dxa"/>
              <w:right w:w="130" w:type="dxa"/>
            </w:tcMar>
            <w:vAlign w:val="center"/>
          </w:tcPr>
          <w:p w14:paraId="6BD0876D">
            <w:pPr>
              <w:spacing w:line="440" w:lineRule="exact"/>
              <w:ind w:firstLine="480" w:firstLineChars="200"/>
              <w:rPr>
                <w:rFonts w:ascii="宋体" w:hAnsi="宋体" w:cs="宋体"/>
                <w:sz w:val="24"/>
              </w:rPr>
            </w:pPr>
          </w:p>
        </w:tc>
      </w:tr>
      <w:tr w14:paraId="73AD7152">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21DB15C8">
            <w:pPr>
              <w:spacing w:line="440" w:lineRule="exact"/>
              <w:rPr>
                <w:rFonts w:ascii="宋体" w:hAnsi="宋体" w:cs="宋体"/>
                <w:sz w:val="24"/>
              </w:rPr>
            </w:pPr>
            <w:r>
              <w:rPr>
                <w:rFonts w:ascii="宋体" w:hAnsi="宋体" w:eastAsia="宋体" w:cs="宋体"/>
                <w:sz w:val="24"/>
              </w:rPr>
              <w:t>region</w:t>
            </w:r>
          </w:p>
        </w:tc>
        <w:tc>
          <w:tcPr>
            <w:tcW w:w="1492"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6277AFBD">
            <w:pPr>
              <w:spacing w:line="440" w:lineRule="exact"/>
              <w:rPr>
                <w:rFonts w:ascii="宋体" w:hAnsi="宋体" w:cs="宋体"/>
                <w:sz w:val="24"/>
              </w:rPr>
            </w:pPr>
            <w:r>
              <w:rPr>
                <w:rFonts w:ascii="宋体" w:hAnsi="宋体" w:eastAsia="宋体" w:cs="宋体"/>
                <w:sz w:val="24"/>
              </w:rPr>
              <w:t>varchar</w:t>
            </w:r>
          </w:p>
        </w:tc>
        <w:tc>
          <w:tcPr>
            <w:tcW w:w="1066"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495978F6">
            <w:pPr>
              <w:spacing w:line="440" w:lineRule="exact"/>
              <w:rPr>
                <w:rFonts w:ascii="宋体" w:hAnsi="宋体" w:cs="宋体"/>
                <w:sz w:val="24"/>
              </w:rPr>
            </w:pPr>
            <w:r>
              <w:rPr>
                <w:rFonts w:ascii="宋体" w:hAnsi="宋体" w:eastAsia="宋体" w:cs="宋体"/>
                <w:sz w:val="24"/>
              </w:rPr>
              <w:t>100</w:t>
            </w:r>
          </w:p>
        </w:tc>
        <w:tc>
          <w:tcPr>
            <w:tcW w:w="1449"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02DE9671">
            <w:pPr>
              <w:spacing w:line="440" w:lineRule="exact"/>
              <w:rPr>
                <w:rFonts w:ascii="宋体" w:hAnsi="宋体" w:cs="宋体"/>
                <w:sz w:val="24"/>
              </w:rPr>
            </w:pPr>
            <w:r>
              <w:rPr>
                <w:rFonts w:ascii="宋体" w:hAnsi="宋体" w:eastAsia="宋体" w:cs="宋体"/>
                <w:sz w:val="24"/>
              </w:rPr>
              <w:t>地区</w:t>
            </w:r>
          </w:p>
        </w:tc>
        <w:tc>
          <w:tcPr>
            <w:tcW w:w="876"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159544ED">
            <w:pPr>
              <w:spacing w:line="440" w:lineRule="exact"/>
              <w:rPr>
                <w:rFonts w:ascii="宋体" w:hAnsi="宋体" w:cs="宋体"/>
                <w:sz w:val="24"/>
              </w:rPr>
            </w:pPr>
            <w:r>
              <w:rPr>
                <w:rFonts w:ascii="宋体" w:hAnsi="宋体" w:eastAsia="宋体" w:cs="宋体"/>
                <w:sz w:val="24"/>
              </w:rPr>
              <w:t>否</w:t>
            </w:r>
          </w:p>
        </w:tc>
        <w:tc>
          <w:tcPr>
            <w:tcW w:w="2404" w:type="dxa"/>
            <w:tcBorders>
              <w:top w:val="nil"/>
              <w:left w:val="nil"/>
              <w:bottom w:val="single" w:color="000000" w:sz="4" w:space="0"/>
              <w:right w:val="nil"/>
            </w:tcBorders>
            <w:shd w:val="clear" w:color="auto" w:fill="FFFFFF"/>
            <w:tcMar>
              <w:top w:w="60" w:type="dxa"/>
              <w:left w:w="130" w:type="dxa"/>
              <w:bottom w:w="60" w:type="dxa"/>
              <w:right w:w="130" w:type="dxa"/>
            </w:tcMar>
            <w:vAlign w:val="center"/>
          </w:tcPr>
          <w:p w14:paraId="673740E4">
            <w:pPr>
              <w:spacing w:line="440" w:lineRule="exact"/>
              <w:ind w:firstLine="480" w:firstLineChars="200"/>
              <w:rPr>
                <w:rFonts w:ascii="宋体" w:hAnsi="宋体" w:cs="宋体"/>
                <w:sz w:val="24"/>
              </w:rPr>
            </w:pPr>
          </w:p>
        </w:tc>
      </w:tr>
      <w:tr w14:paraId="7B61008A">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688A8F4">
            <w:pPr>
              <w:spacing w:line="440" w:lineRule="exact"/>
              <w:rPr>
                <w:rFonts w:ascii="宋体" w:hAnsi="宋体" w:cs="宋体"/>
                <w:sz w:val="24"/>
              </w:rPr>
            </w:pPr>
            <w:r>
              <w:rPr>
                <w:rFonts w:ascii="宋体" w:hAnsi="宋体" w:eastAsia="宋体" w:cs="宋体"/>
                <w:sz w:val="24"/>
              </w:rPr>
              <w:t>bio</w:t>
            </w:r>
          </w:p>
        </w:tc>
        <w:tc>
          <w:tcPr>
            <w:tcW w:w="1492"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1FE028C">
            <w:pPr>
              <w:spacing w:line="440" w:lineRule="exact"/>
              <w:rPr>
                <w:rFonts w:ascii="宋体" w:hAnsi="宋体" w:cs="宋体"/>
                <w:sz w:val="24"/>
              </w:rPr>
            </w:pPr>
            <w:r>
              <w:rPr>
                <w:rFonts w:ascii="宋体" w:hAnsi="宋体" w:eastAsia="宋体" w:cs="宋体"/>
                <w:sz w:val="24"/>
              </w:rPr>
              <w:t>mediumtext</w:t>
            </w:r>
          </w:p>
        </w:tc>
        <w:tc>
          <w:tcPr>
            <w:tcW w:w="106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3F58BF2">
            <w:pPr>
              <w:spacing w:line="440" w:lineRule="exact"/>
              <w:rPr>
                <w:rFonts w:ascii="宋体" w:hAnsi="宋体" w:cs="宋体"/>
                <w:sz w:val="24"/>
              </w:rPr>
            </w:pPr>
            <w:r>
              <w:rPr>
                <w:rFonts w:ascii="宋体" w:hAnsi="宋体" w:eastAsia="宋体" w:cs="宋体"/>
                <w:sz w:val="24"/>
              </w:rPr>
              <w:t>-</w:t>
            </w:r>
          </w:p>
        </w:tc>
        <w:tc>
          <w:tcPr>
            <w:tcW w:w="144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C0AEE36">
            <w:pPr>
              <w:spacing w:line="440" w:lineRule="exact"/>
              <w:rPr>
                <w:rFonts w:ascii="宋体" w:hAnsi="宋体" w:cs="宋体"/>
                <w:sz w:val="24"/>
              </w:rPr>
            </w:pPr>
            <w:r>
              <w:rPr>
                <w:rFonts w:ascii="宋体" w:hAnsi="宋体" w:eastAsia="宋体" w:cs="宋体"/>
                <w:sz w:val="24"/>
              </w:rPr>
              <w:t>简介</w:t>
            </w:r>
          </w:p>
        </w:tc>
        <w:tc>
          <w:tcPr>
            <w:tcW w:w="876"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DCE88AB">
            <w:pPr>
              <w:spacing w:line="440" w:lineRule="exact"/>
              <w:rPr>
                <w:rFonts w:ascii="宋体" w:hAnsi="宋体" w:cs="宋体"/>
                <w:sz w:val="24"/>
              </w:rPr>
            </w:pPr>
            <w:r>
              <w:rPr>
                <w:rFonts w:ascii="宋体" w:hAnsi="宋体" w:eastAsia="宋体" w:cs="宋体"/>
                <w:sz w:val="24"/>
              </w:rPr>
              <w:t>否</w:t>
            </w:r>
          </w:p>
        </w:tc>
        <w:tc>
          <w:tcPr>
            <w:tcW w:w="240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A511166">
            <w:pPr>
              <w:spacing w:line="440" w:lineRule="exact"/>
              <w:ind w:firstLine="480" w:firstLineChars="200"/>
              <w:rPr>
                <w:rFonts w:ascii="宋体" w:hAnsi="宋体" w:cs="宋体"/>
                <w:sz w:val="24"/>
              </w:rPr>
            </w:pPr>
          </w:p>
        </w:tc>
      </w:tr>
      <w:tr w14:paraId="646E7798">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nil"/>
              <w:left w:val="nil"/>
              <w:bottom w:val="nil"/>
              <w:right w:val="nil"/>
            </w:tcBorders>
            <w:shd w:val="clear" w:color="auto" w:fill="FFFFFF"/>
            <w:tcMar>
              <w:top w:w="60" w:type="dxa"/>
              <w:left w:w="130" w:type="dxa"/>
              <w:bottom w:w="60" w:type="dxa"/>
              <w:right w:w="130" w:type="dxa"/>
            </w:tcMar>
            <w:vAlign w:val="center"/>
          </w:tcPr>
          <w:p w14:paraId="460FC6E3">
            <w:pPr>
              <w:spacing w:line="440" w:lineRule="exact"/>
              <w:rPr>
                <w:rFonts w:ascii="宋体" w:hAnsi="宋体" w:cs="宋体"/>
                <w:sz w:val="24"/>
              </w:rPr>
            </w:pPr>
            <w:r>
              <w:rPr>
                <w:rFonts w:ascii="宋体" w:hAnsi="宋体" w:eastAsia="宋体" w:cs="宋体"/>
                <w:sz w:val="24"/>
              </w:rPr>
              <w:t>create_time</w:t>
            </w:r>
          </w:p>
        </w:tc>
        <w:tc>
          <w:tcPr>
            <w:tcW w:w="1492" w:type="dxa"/>
            <w:tcBorders>
              <w:top w:val="nil"/>
              <w:left w:val="nil"/>
              <w:bottom w:val="nil"/>
              <w:right w:val="nil"/>
            </w:tcBorders>
            <w:shd w:val="clear" w:color="auto" w:fill="FFFFFF"/>
            <w:tcMar>
              <w:top w:w="60" w:type="dxa"/>
              <w:left w:w="130" w:type="dxa"/>
              <w:bottom w:w="60" w:type="dxa"/>
              <w:right w:w="130" w:type="dxa"/>
            </w:tcMar>
            <w:vAlign w:val="center"/>
          </w:tcPr>
          <w:p w14:paraId="33D06C92">
            <w:pPr>
              <w:spacing w:line="440" w:lineRule="exact"/>
              <w:rPr>
                <w:rFonts w:ascii="宋体" w:hAnsi="宋体" w:cs="宋体"/>
                <w:sz w:val="24"/>
              </w:rPr>
            </w:pPr>
            <w:r>
              <w:rPr>
                <w:rFonts w:ascii="宋体" w:hAnsi="宋体" w:eastAsia="宋体" w:cs="宋体"/>
                <w:sz w:val="24"/>
              </w:rPr>
              <w:t>datetime</w:t>
            </w:r>
          </w:p>
        </w:tc>
        <w:tc>
          <w:tcPr>
            <w:tcW w:w="1066" w:type="dxa"/>
            <w:tcBorders>
              <w:top w:val="nil"/>
              <w:left w:val="nil"/>
              <w:bottom w:val="nil"/>
              <w:right w:val="nil"/>
            </w:tcBorders>
            <w:shd w:val="clear" w:color="auto" w:fill="FFFFFF"/>
            <w:tcMar>
              <w:top w:w="60" w:type="dxa"/>
              <w:left w:w="130" w:type="dxa"/>
              <w:bottom w:w="60" w:type="dxa"/>
              <w:right w:w="130" w:type="dxa"/>
            </w:tcMar>
            <w:vAlign w:val="center"/>
          </w:tcPr>
          <w:p w14:paraId="51719997">
            <w:pPr>
              <w:spacing w:line="440" w:lineRule="exact"/>
              <w:rPr>
                <w:rFonts w:ascii="宋体" w:hAnsi="宋体" w:cs="宋体"/>
                <w:sz w:val="24"/>
              </w:rPr>
            </w:pPr>
            <w:r>
              <w:rPr>
                <w:rFonts w:ascii="宋体" w:hAnsi="宋体" w:eastAsia="宋体" w:cs="宋体"/>
                <w:sz w:val="24"/>
              </w:rPr>
              <w:t>-</w:t>
            </w:r>
          </w:p>
        </w:tc>
        <w:tc>
          <w:tcPr>
            <w:tcW w:w="1449" w:type="dxa"/>
            <w:tcBorders>
              <w:top w:val="nil"/>
              <w:left w:val="nil"/>
              <w:bottom w:val="nil"/>
              <w:right w:val="nil"/>
            </w:tcBorders>
            <w:shd w:val="clear" w:color="auto" w:fill="FFFFFF"/>
            <w:tcMar>
              <w:top w:w="60" w:type="dxa"/>
              <w:left w:w="130" w:type="dxa"/>
              <w:bottom w:w="60" w:type="dxa"/>
              <w:right w:w="130" w:type="dxa"/>
            </w:tcMar>
            <w:vAlign w:val="center"/>
          </w:tcPr>
          <w:p w14:paraId="10A04186">
            <w:pPr>
              <w:spacing w:line="440" w:lineRule="exact"/>
              <w:rPr>
                <w:rFonts w:ascii="宋体" w:hAnsi="宋体" w:cs="宋体"/>
                <w:sz w:val="24"/>
              </w:rPr>
            </w:pPr>
            <w:r>
              <w:rPr>
                <w:rFonts w:ascii="宋体" w:hAnsi="宋体" w:eastAsia="宋体" w:cs="宋体"/>
                <w:sz w:val="24"/>
              </w:rPr>
              <w:t>创建时间</w:t>
            </w:r>
          </w:p>
        </w:tc>
        <w:tc>
          <w:tcPr>
            <w:tcW w:w="876" w:type="dxa"/>
            <w:tcBorders>
              <w:top w:val="nil"/>
              <w:left w:val="nil"/>
              <w:bottom w:val="nil"/>
              <w:right w:val="nil"/>
            </w:tcBorders>
            <w:shd w:val="clear" w:color="auto" w:fill="FFFFFF"/>
            <w:tcMar>
              <w:top w:w="60" w:type="dxa"/>
              <w:left w:w="130" w:type="dxa"/>
              <w:bottom w:w="60" w:type="dxa"/>
              <w:right w:w="130" w:type="dxa"/>
            </w:tcMar>
            <w:vAlign w:val="center"/>
          </w:tcPr>
          <w:p w14:paraId="73F67DC8">
            <w:pPr>
              <w:spacing w:line="440" w:lineRule="exact"/>
              <w:rPr>
                <w:rFonts w:ascii="宋体" w:hAnsi="宋体" w:cs="宋体"/>
                <w:sz w:val="24"/>
              </w:rPr>
            </w:pPr>
            <w:r>
              <w:rPr>
                <w:rFonts w:ascii="宋体" w:hAnsi="宋体" w:eastAsia="宋体" w:cs="宋体"/>
                <w:sz w:val="24"/>
              </w:rPr>
              <w:t>否</w:t>
            </w:r>
          </w:p>
        </w:tc>
        <w:tc>
          <w:tcPr>
            <w:tcW w:w="2404" w:type="dxa"/>
            <w:tcBorders>
              <w:top w:val="nil"/>
              <w:left w:val="nil"/>
              <w:bottom w:val="nil"/>
              <w:right w:val="nil"/>
            </w:tcBorders>
            <w:shd w:val="clear" w:color="auto" w:fill="FFFFFF"/>
            <w:tcMar>
              <w:top w:w="60" w:type="dxa"/>
              <w:left w:w="130" w:type="dxa"/>
              <w:bottom w:w="60" w:type="dxa"/>
              <w:right w:w="130" w:type="dxa"/>
            </w:tcMar>
            <w:vAlign w:val="center"/>
          </w:tcPr>
          <w:p w14:paraId="1BDA5310">
            <w:pPr>
              <w:spacing w:line="440" w:lineRule="exact"/>
              <w:ind w:firstLine="480" w:firstLineChars="200"/>
              <w:rPr>
                <w:rFonts w:ascii="宋体" w:hAnsi="宋体" w:cs="宋体"/>
                <w:sz w:val="24"/>
              </w:rPr>
            </w:pPr>
            <w:r>
              <w:rPr>
                <w:rFonts w:ascii="宋体" w:hAnsi="宋体" w:eastAsia="宋体" w:cs="宋体"/>
                <w:sz w:val="24"/>
              </w:rPr>
              <w:t>CURRENT_TIMESTAMP</w:t>
            </w:r>
          </w:p>
        </w:tc>
      </w:tr>
      <w:tr w14:paraId="0D7C7382">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jc w:val="center"/>
        </w:trPr>
        <w:tc>
          <w:tcPr>
            <w:tcW w:w="1279"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F1E16F6">
            <w:pPr>
              <w:spacing w:line="440" w:lineRule="exact"/>
              <w:rPr>
                <w:rFonts w:ascii="宋体" w:hAnsi="宋体" w:cs="宋体"/>
                <w:sz w:val="24"/>
              </w:rPr>
            </w:pPr>
            <w:r>
              <w:rPr>
                <w:rFonts w:ascii="宋体" w:hAnsi="宋体" w:eastAsia="宋体" w:cs="宋体"/>
                <w:sz w:val="24"/>
              </w:rPr>
              <w:t>update_time</w:t>
            </w:r>
          </w:p>
        </w:tc>
        <w:tc>
          <w:tcPr>
            <w:tcW w:w="1492"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B4D6351">
            <w:pPr>
              <w:spacing w:line="440" w:lineRule="exact"/>
              <w:rPr>
                <w:rFonts w:ascii="宋体" w:hAnsi="宋体" w:cs="宋体"/>
                <w:sz w:val="24"/>
              </w:rPr>
            </w:pPr>
            <w:r>
              <w:rPr>
                <w:rFonts w:ascii="宋体" w:hAnsi="宋体" w:eastAsia="宋体" w:cs="宋体"/>
                <w:sz w:val="24"/>
              </w:rPr>
              <w:t>datetime</w:t>
            </w:r>
          </w:p>
        </w:tc>
        <w:tc>
          <w:tcPr>
            <w:tcW w:w="1066"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53DEC904">
            <w:pPr>
              <w:spacing w:line="440" w:lineRule="exact"/>
              <w:rPr>
                <w:rFonts w:ascii="宋体" w:hAnsi="宋体" w:cs="宋体"/>
                <w:sz w:val="24"/>
              </w:rPr>
            </w:pPr>
            <w:r>
              <w:rPr>
                <w:rFonts w:ascii="宋体" w:hAnsi="宋体" w:eastAsia="宋体" w:cs="宋体"/>
                <w:sz w:val="24"/>
              </w:rPr>
              <w:t>-</w:t>
            </w:r>
          </w:p>
        </w:tc>
        <w:tc>
          <w:tcPr>
            <w:tcW w:w="1449"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F8B322E">
            <w:pPr>
              <w:spacing w:line="440" w:lineRule="exact"/>
              <w:rPr>
                <w:rFonts w:ascii="宋体" w:hAnsi="宋体" w:cs="宋体"/>
                <w:sz w:val="24"/>
              </w:rPr>
            </w:pPr>
            <w:r>
              <w:rPr>
                <w:rFonts w:ascii="宋体" w:hAnsi="宋体" w:eastAsia="宋体" w:cs="宋体"/>
                <w:sz w:val="24"/>
              </w:rPr>
              <w:t>更新时间</w:t>
            </w:r>
          </w:p>
        </w:tc>
        <w:tc>
          <w:tcPr>
            <w:tcW w:w="876"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4F21B42">
            <w:pPr>
              <w:spacing w:line="440" w:lineRule="exact"/>
              <w:rPr>
                <w:rFonts w:ascii="宋体" w:hAnsi="宋体" w:cs="宋体"/>
                <w:sz w:val="24"/>
              </w:rPr>
            </w:pPr>
            <w:r>
              <w:rPr>
                <w:rFonts w:ascii="宋体" w:hAnsi="宋体" w:eastAsia="宋体" w:cs="宋体"/>
                <w:sz w:val="24"/>
              </w:rPr>
              <w:t>否</w:t>
            </w:r>
          </w:p>
        </w:tc>
        <w:tc>
          <w:tcPr>
            <w:tcW w:w="2404"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712E937">
            <w:pPr>
              <w:spacing w:line="440" w:lineRule="exact"/>
              <w:rPr>
                <w:rFonts w:ascii="宋体" w:hAnsi="宋体" w:cs="宋体"/>
                <w:sz w:val="24"/>
              </w:rPr>
            </w:pPr>
            <w:r>
              <w:rPr>
                <w:rFonts w:ascii="宋体" w:hAnsi="宋体" w:eastAsia="宋体" w:cs="宋体"/>
                <w:sz w:val="24"/>
              </w:rPr>
              <w:t>CURRENT_TIMESTAMP</w:t>
            </w:r>
          </w:p>
        </w:tc>
      </w:tr>
    </w:tbl>
    <w:p w14:paraId="18AA8EF6">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4</w:t>
      </w:r>
      <w:r>
        <w:rPr>
          <w:rFonts w:hint="eastAsia" w:ascii="宋体" w:hAnsi="宋体" w:eastAsia="宋体" w:cs="宋体"/>
          <w:sz w:val="24"/>
          <w:lang w:eastAsia="zh-CN"/>
        </w:rPr>
        <w:t>）</w:t>
      </w:r>
      <w:r>
        <w:rPr>
          <w:rFonts w:ascii="宋体" w:hAnsi="宋体" w:eastAsia="宋体" w:cs="宋体"/>
          <w:sz w:val="24"/>
        </w:rPr>
        <w:t>course(课程表)</w:t>
      </w:r>
    </w:p>
    <w:p w14:paraId="0341C5CA">
      <w:pPr>
        <w:spacing w:line="440" w:lineRule="exact"/>
        <w:ind w:firstLine="480" w:firstLineChars="200"/>
        <w:rPr>
          <w:rFonts w:ascii="宋体" w:hAnsi="宋体" w:cs="宋体"/>
          <w:sz w:val="24"/>
        </w:rPr>
      </w:pPr>
      <w:r>
        <w:rPr>
          <w:rFonts w:ascii="宋体" w:hAnsi="宋体" w:eastAsia="宋体" w:cs="宋体"/>
          <w:sz w:val="24"/>
        </w:rPr>
        <w:t>课程表存储在线课程的基本信息。</w:t>
      </w:r>
    </w:p>
    <w:p w14:paraId="7B77BBF7">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表3-4 课程表</w:t>
      </w:r>
    </w:p>
    <w:tbl>
      <w:tblPr>
        <w:tblStyle w:val="35"/>
        <w:tblW w:w="0" w:type="auto"/>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fixed"/>
        <w:tblCellMar>
          <w:top w:w="0" w:type="dxa"/>
          <w:left w:w="0" w:type="dxa"/>
          <w:bottom w:w="0" w:type="dxa"/>
          <w:right w:w="0" w:type="dxa"/>
        </w:tblCellMar>
      </w:tblPr>
      <w:tblGrid>
        <w:gridCol w:w="1799"/>
        <w:gridCol w:w="1693"/>
        <w:gridCol w:w="950"/>
        <w:gridCol w:w="1254"/>
        <w:gridCol w:w="775"/>
        <w:gridCol w:w="2095"/>
      </w:tblGrid>
      <w:tr w14:paraId="05F56BA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1799" w:type="dxa"/>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2294F206">
            <w:pPr>
              <w:spacing w:line="440" w:lineRule="exact"/>
              <w:rPr>
                <w:rFonts w:ascii="宋体" w:hAnsi="宋体" w:cs="宋体"/>
                <w:sz w:val="24"/>
              </w:rPr>
            </w:pPr>
            <w:r>
              <w:rPr>
                <w:rFonts w:ascii="宋体" w:hAnsi="宋体" w:eastAsia="宋体" w:cs="宋体"/>
                <w:sz w:val="24"/>
              </w:rPr>
              <w:t>字段名称</w:t>
            </w:r>
          </w:p>
        </w:tc>
        <w:tc>
          <w:tcPr>
            <w:tcW w:w="1693"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2C52BDC">
            <w:pPr>
              <w:spacing w:line="440" w:lineRule="exact"/>
              <w:rPr>
                <w:rFonts w:ascii="宋体" w:hAnsi="宋体" w:cs="宋体"/>
                <w:sz w:val="24"/>
              </w:rPr>
            </w:pPr>
            <w:r>
              <w:rPr>
                <w:rFonts w:ascii="宋体" w:hAnsi="宋体" w:eastAsia="宋体" w:cs="宋体"/>
                <w:sz w:val="24"/>
              </w:rPr>
              <w:t>类型</w:t>
            </w:r>
          </w:p>
        </w:tc>
        <w:tc>
          <w:tcPr>
            <w:tcW w:w="950"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F9D3D24">
            <w:pPr>
              <w:spacing w:line="440" w:lineRule="exact"/>
              <w:rPr>
                <w:rFonts w:ascii="宋体" w:hAnsi="宋体" w:cs="宋体"/>
                <w:sz w:val="24"/>
              </w:rPr>
            </w:pPr>
            <w:r>
              <w:rPr>
                <w:rFonts w:ascii="宋体" w:hAnsi="宋体" w:eastAsia="宋体" w:cs="宋体"/>
                <w:sz w:val="24"/>
              </w:rPr>
              <w:t>长度</w:t>
            </w:r>
          </w:p>
        </w:tc>
        <w:tc>
          <w:tcPr>
            <w:tcW w:w="1254"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1EA4A498">
            <w:pPr>
              <w:spacing w:line="440" w:lineRule="exact"/>
              <w:rPr>
                <w:rFonts w:ascii="宋体" w:hAnsi="宋体" w:cs="宋体"/>
                <w:sz w:val="24"/>
              </w:rPr>
            </w:pPr>
            <w:r>
              <w:rPr>
                <w:rFonts w:ascii="宋体" w:hAnsi="宋体" w:eastAsia="宋体" w:cs="宋体"/>
                <w:sz w:val="24"/>
              </w:rPr>
              <w:t>字段说明</w:t>
            </w:r>
          </w:p>
        </w:tc>
        <w:tc>
          <w:tcPr>
            <w:tcW w:w="775"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4496412">
            <w:pPr>
              <w:spacing w:line="440" w:lineRule="exact"/>
              <w:rPr>
                <w:rFonts w:ascii="宋体" w:hAnsi="宋体" w:cs="宋体"/>
                <w:sz w:val="24"/>
              </w:rPr>
            </w:pPr>
            <w:r>
              <w:rPr>
                <w:rFonts w:ascii="宋体" w:hAnsi="宋体" w:eastAsia="宋体" w:cs="宋体"/>
                <w:sz w:val="24"/>
              </w:rPr>
              <w:t>主键</w:t>
            </w:r>
          </w:p>
        </w:tc>
        <w:tc>
          <w:tcPr>
            <w:tcW w:w="2095"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A12998C">
            <w:pPr>
              <w:spacing w:line="440" w:lineRule="exact"/>
              <w:ind w:firstLine="480" w:firstLineChars="200"/>
              <w:rPr>
                <w:rFonts w:ascii="宋体" w:hAnsi="宋体" w:cs="宋体"/>
                <w:sz w:val="24"/>
              </w:rPr>
            </w:pPr>
            <w:r>
              <w:rPr>
                <w:rFonts w:ascii="宋体" w:hAnsi="宋体" w:eastAsia="宋体" w:cs="宋体"/>
                <w:sz w:val="24"/>
              </w:rPr>
              <w:t>默认值</w:t>
            </w:r>
          </w:p>
        </w:tc>
      </w:tr>
      <w:tr w14:paraId="253027B8">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E8ED021">
            <w:pPr>
              <w:spacing w:line="440" w:lineRule="exact"/>
              <w:rPr>
                <w:rFonts w:ascii="宋体" w:hAnsi="宋体" w:cs="宋体"/>
                <w:sz w:val="24"/>
              </w:rPr>
            </w:pPr>
            <w:r>
              <w:rPr>
                <w:rFonts w:ascii="宋体" w:hAnsi="宋体" w:eastAsia="宋体" w:cs="宋体"/>
                <w:sz w:val="24"/>
              </w:rPr>
              <w:t>id</w:t>
            </w:r>
          </w:p>
        </w:tc>
        <w:tc>
          <w:tcPr>
            <w:tcW w:w="1693"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D0DE6B1">
            <w:pPr>
              <w:spacing w:line="440" w:lineRule="exact"/>
              <w:rPr>
                <w:rFonts w:ascii="宋体" w:hAnsi="宋体" w:cs="宋体"/>
                <w:sz w:val="24"/>
              </w:rPr>
            </w:pPr>
            <w:r>
              <w:rPr>
                <w:rFonts w:ascii="宋体" w:hAnsi="宋体" w:eastAsia="宋体" w:cs="宋体"/>
                <w:sz w:val="24"/>
              </w:rPr>
              <w:t>varchar</w:t>
            </w:r>
          </w:p>
        </w:tc>
        <w:tc>
          <w:tcPr>
            <w:tcW w:w="95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908F878">
            <w:pPr>
              <w:spacing w:line="440" w:lineRule="exact"/>
              <w:rPr>
                <w:rFonts w:ascii="宋体" w:hAnsi="宋体" w:cs="宋体"/>
                <w:sz w:val="24"/>
              </w:rPr>
            </w:pPr>
            <w:r>
              <w:rPr>
                <w:rFonts w:ascii="宋体" w:hAnsi="宋体" w:eastAsia="宋体" w:cs="宋体"/>
                <w:sz w:val="24"/>
              </w:rPr>
              <w:t>50</w:t>
            </w:r>
          </w:p>
        </w:tc>
        <w:tc>
          <w:tcPr>
            <w:tcW w:w="125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DC00FDD">
            <w:pPr>
              <w:spacing w:line="440" w:lineRule="exact"/>
              <w:rPr>
                <w:rFonts w:ascii="宋体" w:hAnsi="宋体" w:cs="宋体"/>
                <w:sz w:val="24"/>
              </w:rPr>
            </w:pPr>
            <w:r>
              <w:rPr>
                <w:rFonts w:ascii="宋体" w:hAnsi="宋体" w:eastAsia="宋体" w:cs="宋体"/>
                <w:sz w:val="24"/>
              </w:rPr>
              <w:t>课程ID</w:t>
            </w:r>
          </w:p>
        </w:tc>
        <w:tc>
          <w:tcPr>
            <w:tcW w:w="775"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140CFF1">
            <w:pPr>
              <w:spacing w:line="440" w:lineRule="exact"/>
              <w:rPr>
                <w:rFonts w:ascii="宋体" w:hAnsi="宋体" w:cs="宋体"/>
                <w:sz w:val="24"/>
              </w:rPr>
            </w:pPr>
            <w:r>
              <w:rPr>
                <w:rFonts w:ascii="宋体" w:hAnsi="宋体" w:eastAsia="宋体" w:cs="宋体"/>
                <w:sz w:val="24"/>
              </w:rPr>
              <w:t>是</w:t>
            </w:r>
          </w:p>
        </w:tc>
        <w:tc>
          <w:tcPr>
            <w:tcW w:w="2095"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703B42E">
            <w:pPr>
              <w:spacing w:line="440" w:lineRule="exact"/>
              <w:ind w:firstLine="480" w:firstLineChars="200"/>
              <w:rPr>
                <w:rFonts w:ascii="宋体" w:hAnsi="宋体" w:cs="宋体"/>
                <w:sz w:val="24"/>
              </w:rPr>
            </w:pPr>
          </w:p>
        </w:tc>
      </w:tr>
      <w:tr w14:paraId="6F65DFC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nil"/>
              <w:right w:val="nil"/>
            </w:tcBorders>
            <w:shd w:val="clear" w:color="auto" w:fill="FFFFFF"/>
            <w:tcMar>
              <w:top w:w="60" w:type="dxa"/>
              <w:left w:w="130" w:type="dxa"/>
              <w:bottom w:w="60" w:type="dxa"/>
              <w:right w:w="130" w:type="dxa"/>
            </w:tcMar>
            <w:vAlign w:val="center"/>
          </w:tcPr>
          <w:p w14:paraId="58842D3C">
            <w:pPr>
              <w:spacing w:line="440" w:lineRule="exact"/>
              <w:rPr>
                <w:rFonts w:ascii="宋体" w:hAnsi="宋体" w:cs="宋体"/>
                <w:sz w:val="24"/>
              </w:rPr>
            </w:pPr>
            <w:r>
              <w:rPr>
                <w:rFonts w:ascii="宋体" w:hAnsi="宋体" w:eastAsia="宋体" w:cs="宋体"/>
                <w:sz w:val="24"/>
              </w:rPr>
              <w:t>title</w:t>
            </w:r>
          </w:p>
        </w:tc>
        <w:tc>
          <w:tcPr>
            <w:tcW w:w="1693" w:type="dxa"/>
            <w:tcBorders>
              <w:top w:val="nil"/>
              <w:left w:val="nil"/>
              <w:bottom w:val="nil"/>
              <w:right w:val="nil"/>
            </w:tcBorders>
            <w:shd w:val="clear" w:color="auto" w:fill="FFFFFF"/>
            <w:tcMar>
              <w:top w:w="60" w:type="dxa"/>
              <w:left w:w="130" w:type="dxa"/>
              <w:bottom w:w="60" w:type="dxa"/>
              <w:right w:w="130" w:type="dxa"/>
            </w:tcMar>
            <w:vAlign w:val="center"/>
          </w:tcPr>
          <w:p w14:paraId="4D06E05D">
            <w:pPr>
              <w:spacing w:line="440" w:lineRule="exact"/>
              <w:rPr>
                <w:rFonts w:ascii="宋体" w:hAnsi="宋体" w:cs="宋体"/>
                <w:sz w:val="24"/>
              </w:rPr>
            </w:pPr>
            <w:r>
              <w:rPr>
                <w:rFonts w:ascii="宋体" w:hAnsi="宋体" w:eastAsia="宋体" w:cs="宋体"/>
                <w:sz w:val="24"/>
              </w:rPr>
              <w:t>varchar</w:t>
            </w:r>
          </w:p>
        </w:tc>
        <w:tc>
          <w:tcPr>
            <w:tcW w:w="950" w:type="dxa"/>
            <w:tcBorders>
              <w:top w:val="nil"/>
              <w:left w:val="nil"/>
              <w:bottom w:val="nil"/>
              <w:right w:val="nil"/>
            </w:tcBorders>
            <w:shd w:val="clear" w:color="auto" w:fill="FFFFFF"/>
            <w:tcMar>
              <w:top w:w="60" w:type="dxa"/>
              <w:left w:w="130" w:type="dxa"/>
              <w:bottom w:w="60" w:type="dxa"/>
              <w:right w:w="130" w:type="dxa"/>
            </w:tcMar>
            <w:vAlign w:val="center"/>
          </w:tcPr>
          <w:p w14:paraId="4B9E55CE">
            <w:pPr>
              <w:spacing w:line="440" w:lineRule="exact"/>
              <w:rPr>
                <w:rFonts w:ascii="宋体" w:hAnsi="宋体" w:cs="宋体"/>
                <w:sz w:val="24"/>
              </w:rPr>
            </w:pPr>
            <w:r>
              <w:rPr>
                <w:rFonts w:ascii="宋体" w:hAnsi="宋体" w:eastAsia="宋体" w:cs="宋体"/>
                <w:sz w:val="24"/>
              </w:rPr>
              <w:t>200</w:t>
            </w:r>
          </w:p>
        </w:tc>
        <w:tc>
          <w:tcPr>
            <w:tcW w:w="1254" w:type="dxa"/>
            <w:tcBorders>
              <w:top w:val="nil"/>
              <w:left w:val="nil"/>
              <w:bottom w:val="nil"/>
              <w:right w:val="nil"/>
            </w:tcBorders>
            <w:shd w:val="clear" w:color="auto" w:fill="FFFFFF"/>
            <w:tcMar>
              <w:top w:w="60" w:type="dxa"/>
              <w:left w:w="130" w:type="dxa"/>
              <w:bottom w:w="60" w:type="dxa"/>
              <w:right w:w="130" w:type="dxa"/>
            </w:tcMar>
            <w:vAlign w:val="center"/>
          </w:tcPr>
          <w:p w14:paraId="0C000481">
            <w:pPr>
              <w:spacing w:line="440" w:lineRule="exact"/>
              <w:rPr>
                <w:rFonts w:ascii="宋体" w:hAnsi="宋体" w:cs="宋体"/>
                <w:sz w:val="24"/>
              </w:rPr>
            </w:pPr>
            <w:r>
              <w:rPr>
                <w:rFonts w:ascii="宋体" w:hAnsi="宋体" w:eastAsia="宋体" w:cs="宋体"/>
                <w:sz w:val="24"/>
              </w:rPr>
              <w:t>标题</w:t>
            </w:r>
          </w:p>
        </w:tc>
        <w:tc>
          <w:tcPr>
            <w:tcW w:w="775" w:type="dxa"/>
            <w:tcBorders>
              <w:top w:val="nil"/>
              <w:left w:val="nil"/>
              <w:bottom w:val="nil"/>
              <w:right w:val="nil"/>
            </w:tcBorders>
            <w:shd w:val="clear" w:color="auto" w:fill="FFFFFF"/>
            <w:tcMar>
              <w:top w:w="60" w:type="dxa"/>
              <w:left w:w="130" w:type="dxa"/>
              <w:bottom w:w="60" w:type="dxa"/>
              <w:right w:w="130" w:type="dxa"/>
            </w:tcMar>
            <w:vAlign w:val="center"/>
          </w:tcPr>
          <w:p w14:paraId="345F2A9A">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nil"/>
              <w:right w:val="nil"/>
            </w:tcBorders>
            <w:shd w:val="clear" w:color="auto" w:fill="FFFFFF"/>
            <w:tcMar>
              <w:top w:w="60" w:type="dxa"/>
              <w:left w:w="130" w:type="dxa"/>
              <w:bottom w:w="60" w:type="dxa"/>
              <w:right w:w="130" w:type="dxa"/>
            </w:tcMar>
            <w:vAlign w:val="center"/>
          </w:tcPr>
          <w:p w14:paraId="72C620DB">
            <w:pPr>
              <w:spacing w:line="440" w:lineRule="exact"/>
              <w:ind w:firstLine="480" w:firstLineChars="200"/>
              <w:rPr>
                <w:rFonts w:ascii="宋体" w:hAnsi="宋体" w:cs="宋体"/>
                <w:sz w:val="24"/>
              </w:rPr>
            </w:pPr>
          </w:p>
        </w:tc>
      </w:tr>
      <w:tr w14:paraId="2C8D697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nil"/>
              <w:right w:val="nil"/>
            </w:tcBorders>
            <w:shd w:val="clear" w:color="auto" w:fill="FFFFFF"/>
            <w:tcMar>
              <w:top w:w="60" w:type="dxa"/>
              <w:left w:w="130" w:type="dxa"/>
              <w:bottom w:w="60" w:type="dxa"/>
              <w:right w:w="130" w:type="dxa"/>
            </w:tcMar>
            <w:vAlign w:val="center"/>
          </w:tcPr>
          <w:p w14:paraId="7AA168BF">
            <w:pPr>
              <w:spacing w:line="440" w:lineRule="exact"/>
              <w:rPr>
                <w:rFonts w:ascii="宋体" w:hAnsi="宋体" w:cs="宋体"/>
                <w:sz w:val="24"/>
              </w:rPr>
            </w:pPr>
            <w:r>
              <w:rPr>
                <w:rFonts w:ascii="宋体" w:hAnsi="宋体" w:eastAsia="宋体" w:cs="宋体"/>
                <w:sz w:val="24"/>
              </w:rPr>
              <w:t>level</w:t>
            </w:r>
          </w:p>
        </w:tc>
        <w:tc>
          <w:tcPr>
            <w:tcW w:w="1693" w:type="dxa"/>
            <w:tcBorders>
              <w:top w:val="nil"/>
              <w:left w:val="nil"/>
              <w:bottom w:val="nil"/>
              <w:right w:val="nil"/>
            </w:tcBorders>
            <w:shd w:val="clear" w:color="auto" w:fill="FFFFFF"/>
            <w:tcMar>
              <w:top w:w="60" w:type="dxa"/>
              <w:left w:w="130" w:type="dxa"/>
              <w:bottom w:w="60" w:type="dxa"/>
              <w:right w:w="130" w:type="dxa"/>
            </w:tcMar>
            <w:vAlign w:val="center"/>
          </w:tcPr>
          <w:p w14:paraId="028368F7">
            <w:pPr>
              <w:spacing w:line="440" w:lineRule="exact"/>
              <w:rPr>
                <w:rFonts w:ascii="宋体" w:hAnsi="宋体" w:cs="宋体"/>
                <w:sz w:val="24"/>
              </w:rPr>
            </w:pPr>
            <w:r>
              <w:rPr>
                <w:rFonts w:ascii="宋体" w:hAnsi="宋体" w:eastAsia="宋体" w:cs="宋体"/>
                <w:sz w:val="24"/>
              </w:rPr>
              <w:t>varchar</w:t>
            </w:r>
          </w:p>
        </w:tc>
        <w:tc>
          <w:tcPr>
            <w:tcW w:w="950" w:type="dxa"/>
            <w:tcBorders>
              <w:top w:val="nil"/>
              <w:left w:val="nil"/>
              <w:bottom w:val="nil"/>
              <w:right w:val="nil"/>
            </w:tcBorders>
            <w:shd w:val="clear" w:color="auto" w:fill="FFFFFF"/>
            <w:tcMar>
              <w:top w:w="60" w:type="dxa"/>
              <w:left w:w="130" w:type="dxa"/>
              <w:bottom w:w="60" w:type="dxa"/>
              <w:right w:w="130" w:type="dxa"/>
            </w:tcMar>
            <w:vAlign w:val="center"/>
          </w:tcPr>
          <w:p w14:paraId="2F149D22">
            <w:pPr>
              <w:spacing w:line="440" w:lineRule="exact"/>
              <w:rPr>
                <w:rFonts w:ascii="宋体" w:hAnsi="宋体" w:cs="宋体"/>
                <w:sz w:val="24"/>
              </w:rPr>
            </w:pPr>
            <w:r>
              <w:rPr>
                <w:rFonts w:ascii="宋体" w:hAnsi="宋体" w:eastAsia="宋体" w:cs="宋体"/>
                <w:sz w:val="24"/>
              </w:rPr>
              <w:t>50</w:t>
            </w:r>
          </w:p>
        </w:tc>
        <w:tc>
          <w:tcPr>
            <w:tcW w:w="1254" w:type="dxa"/>
            <w:tcBorders>
              <w:top w:val="nil"/>
              <w:left w:val="nil"/>
              <w:bottom w:val="nil"/>
              <w:right w:val="nil"/>
            </w:tcBorders>
            <w:shd w:val="clear" w:color="auto" w:fill="FFFFFF"/>
            <w:tcMar>
              <w:top w:w="60" w:type="dxa"/>
              <w:left w:w="130" w:type="dxa"/>
              <w:bottom w:w="60" w:type="dxa"/>
              <w:right w:w="130" w:type="dxa"/>
            </w:tcMar>
            <w:vAlign w:val="center"/>
          </w:tcPr>
          <w:p w14:paraId="4AF7FE87">
            <w:pPr>
              <w:spacing w:line="440" w:lineRule="exact"/>
              <w:rPr>
                <w:rFonts w:ascii="宋体" w:hAnsi="宋体" w:cs="宋体"/>
                <w:sz w:val="24"/>
              </w:rPr>
            </w:pPr>
            <w:r>
              <w:rPr>
                <w:rFonts w:ascii="宋体" w:hAnsi="宋体" w:eastAsia="宋体" w:cs="宋体"/>
                <w:sz w:val="24"/>
              </w:rPr>
              <w:t>难度等级</w:t>
            </w:r>
          </w:p>
        </w:tc>
        <w:tc>
          <w:tcPr>
            <w:tcW w:w="775" w:type="dxa"/>
            <w:tcBorders>
              <w:top w:val="nil"/>
              <w:left w:val="nil"/>
              <w:bottom w:val="nil"/>
              <w:right w:val="nil"/>
            </w:tcBorders>
            <w:shd w:val="clear" w:color="auto" w:fill="FFFFFF"/>
            <w:tcMar>
              <w:top w:w="60" w:type="dxa"/>
              <w:left w:w="130" w:type="dxa"/>
              <w:bottom w:w="60" w:type="dxa"/>
              <w:right w:w="130" w:type="dxa"/>
            </w:tcMar>
            <w:vAlign w:val="center"/>
          </w:tcPr>
          <w:p w14:paraId="3851394B">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nil"/>
              <w:right w:val="nil"/>
            </w:tcBorders>
            <w:shd w:val="clear" w:color="auto" w:fill="FFFFFF"/>
            <w:tcMar>
              <w:top w:w="60" w:type="dxa"/>
              <w:left w:w="130" w:type="dxa"/>
              <w:bottom w:w="60" w:type="dxa"/>
              <w:right w:w="130" w:type="dxa"/>
            </w:tcMar>
            <w:vAlign w:val="center"/>
          </w:tcPr>
          <w:p w14:paraId="37ABDA8F">
            <w:pPr>
              <w:spacing w:line="440" w:lineRule="exact"/>
              <w:ind w:firstLine="480" w:firstLineChars="200"/>
              <w:rPr>
                <w:rFonts w:ascii="宋体" w:hAnsi="宋体" w:cs="宋体"/>
                <w:sz w:val="24"/>
              </w:rPr>
            </w:pPr>
          </w:p>
        </w:tc>
      </w:tr>
      <w:tr w14:paraId="7D40050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nil"/>
              <w:right w:val="nil"/>
            </w:tcBorders>
            <w:shd w:val="clear" w:color="auto" w:fill="FFFFFF"/>
            <w:tcMar>
              <w:top w:w="60" w:type="dxa"/>
              <w:left w:w="130" w:type="dxa"/>
              <w:bottom w:w="60" w:type="dxa"/>
              <w:right w:w="130" w:type="dxa"/>
            </w:tcMar>
            <w:vAlign w:val="center"/>
          </w:tcPr>
          <w:p w14:paraId="3B94B167">
            <w:pPr>
              <w:spacing w:line="440" w:lineRule="exact"/>
              <w:rPr>
                <w:rFonts w:ascii="宋体" w:hAnsi="宋体" w:cs="宋体"/>
                <w:sz w:val="24"/>
              </w:rPr>
            </w:pPr>
            <w:r>
              <w:rPr>
                <w:rFonts w:ascii="宋体" w:hAnsi="宋体" w:eastAsia="宋体" w:cs="宋体"/>
                <w:sz w:val="24"/>
              </w:rPr>
              <w:t>description</w:t>
            </w:r>
          </w:p>
        </w:tc>
        <w:tc>
          <w:tcPr>
            <w:tcW w:w="1693" w:type="dxa"/>
            <w:tcBorders>
              <w:top w:val="nil"/>
              <w:left w:val="nil"/>
              <w:bottom w:val="nil"/>
              <w:right w:val="nil"/>
            </w:tcBorders>
            <w:shd w:val="clear" w:color="auto" w:fill="FFFFFF"/>
            <w:tcMar>
              <w:top w:w="60" w:type="dxa"/>
              <w:left w:w="130" w:type="dxa"/>
              <w:bottom w:w="60" w:type="dxa"/>
              <w:right w:w="130" w:type="dxa"/>
            </w:tcMar>
            <w:vAlign w:val="center"/>
          </w:tcPr>
          <w:p w14:paraId="4EDB01EA">
            <w:pPr>
              <w:spacing w:line="440" w:lineRule="exact"/>
              <w:rPr>
                <w:rFonts w:ascii="宋体" w:hAnsi="宋体" w:cs="宋体"/>
                <w:sz w:val="24"/>
              </w:rPr>
            </w:pPr>
            <w:r>
              <w:rPr>
                <w:rFonts w:ascii="宋体" w:hAnsi="宋体" w:eastAsia="宋体" w:cs="宋体"/>
                <w:sz w:val="24"/>
              </w:rPr>
              <w:t>mediumtext</w:t>
            </w:r>
          </w:p>
        </w:tc>
        <w:tc>
          <w:tcPr>
            <w:tcW w:w="950" w:type="dxa"/>
            <w:tcBorders>
              <w:top w:val="nil"/>
              <w:left w:val="nil"/>
              <w:bottom w:val="nil"/>
              <w:right w:val="nil"/>
            </w:tcBorders>
            <w:shd w:val="clear" w:color="auto" w:fill="FFFFFF"/>
            <w:tcMar>
              <w:top w:w="60" w:type="dxa"/>
              <w:left w:w="130" w:type="dxa"/>
              <w:bottom w:w="60" w:type="dxa"/>
              <w:right w:w="130" w:type="dxa"/>
            </w:tcMar>
            <w:vAlign w:val="center"/>
          </w:tcPr>
          <w:p w14:paraId="043A1403">
            <w:pPr>
              <w:spacing w:line="440" w:lineRule="exact"/>
              <w:rPr>
                <w:rFonts w:ascii="宋体" w:hAnsi="宋体" w:cs="宋体"/>
                <w:sz w:val="24"/>
              </w:rPr>
            </w:pPr>
            <w:r>
              <w:rPr>
                <w:rFonts w:ascii="宋体" w:hAnsi="宋体" w:eastAsia="宋体" w:cs="宋体"/>
                <w:sz w:val="24"/>
              </w:rPr>
              <w:t>-</w:t>
            </w:r>
          </w:p>
        </w:tc>
        <w:tc>
          <w:tcPr>
            <w:tcW w:w="1254" w:type="dxa"/>
            <w:tcBorders>
              <w:top w:val="nil"/>
              <w:left w:val="nil"/>
              <w:bottom w:val="nil"/>
              <w:right w:val="nil"/>
            </w:tcBorders>
            <w:shd w:val="clear" w:color="auto" w:fill="FFFFFF"/>
            <w:tcMar>
              <w:top w:w="60" w:type="dxa"/>
              <w:left w:w="130" w:type="dxa"/>
              <w:bottom w:w="60" w:type="dxa"/>
              <w:right w:w="130" w:type="dxa"/>
            </w:tcMar>
            <w:vAlign w:val="center"/>
          </w:tcPr>
          <w:p w14:paraId="5A61809F">
            <w:pPr>
              <w:spacing w:line="440" w:lineRule="exact"/>
              <w:rPr>
                <w:rFonts w:ascii="宋体" w:hAnsi="宋体" w:cs="宋体"/>
                <w:sz w:val="24"/>
              </w:rPr>
            </w:pPr>
            <w:r>
              <w:rPr>
                <w:rFonts w:ascii="宋体" w:hAnsi="宋体" w:eastAsia="宋体" w:cs="宋体"/>
                <w:sz w:val="24"/>
              </w:rPr>
              <w:t>课程描述</w:t>
            </w:r>
          </w:p>
        </w:tc>
        <w:tc>
          <w:tcPr>
            <w:tcW w:w="775" w:type="dxa"/>
            <w:tcBorders>
              <w:top w:val="nil"/>
              <w:left w:val="nil"/>
              <w:bottom w:val="nil"/>
              <w:right w:val="nil"/>
            </w:tcBorders>
            <w:shd w:val="clear" w:color="auto" w:fill="FFFFFF"/>
            <w:tcMar>
              <w:top w:w="60" w:type="dxa"/>
              <w:left w:w="130" w:type="dxa"/>
              <w:bottom w:w="60" w:type="dxa"/>
              <w:right w:w="130" w:type="dxa"/>
            </w:tcMar>
            <w:vAlign w:val="center"/>
          </w:tcPr>
          <w:p w14:paraId="0FB7CA4A">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nil"/>
              <w:right w:val="nil"/>
            </w:tcBorders>
            <w:shd w:val="clear" w:color="auto" w:fill="FFFFFF"/>
            <w:tcMar>
              <w:top w:w="60" w:type="dxa"/>
              <w:left w:w="130" w:type="dxa"/>
              <w:bottom w:w="60" w:type="dxa"/>
              <w:right w:w="130" w:type="dxa"/>
            </w:tcMar>
            <w:vAlign w:val="center"/>
          </w:tcPr>
          <w:p w14:paraId="60C91EB1">
            <w:pPr>
              <w:spacing w:line="440" w:lineRule="exact"/>
              <w:ind w:firstLine="480" w:firstLineChars="200"/>
              <w:rPr>
                <w:rFonts w:ascii="宋体" w:hAnsi="宋体" w:cs="宋体"/>
                <w:sz w:val="24"/>
              </w:rPr>
            </w:pPr>
          </w:p>
        </w:tc>
      </w:tr>
      <w:tr w14:paraId="1BA73B08">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nil"/>
              <w:right w:val="nil"/>
            </w:tcBorders>
            <w:shd w:val="clear" w:color="auto" w:fill="FFFFFF"/>
            <w:tcMar>
              <w:top w:w="60" w:type="dxa"/>
              <w:left w:w="130" w:type="dxa"/>
              <w:bottom w:w="60" w:type="dxa"/>
              <w:right w:w="130" w:type="dxa"/>
            </w:tcMar>
            <w:vAlign w:val="center"/>
          </w:tcPr>
          <w:p w14:paraId="522405DF">
            <w:pPr>
              <w:spacing w:line="440" w:lineRule="exact"/>
              <w:rPr>
                <w:rFonts w:ascii="宋体" w:hAnsi="宋体" w:cs="宋体"/>
                <w:sz w:val="24"/>
              </w:rPr>
            </w:pPr>
            <w:r>
              <w:rPr>
                <w:rFonts w:ascii="宋体" w:hAnsi="宋体" w:eastAsia="宋体" w:cs="宋体"/>
                <w:sz w:val="24"/>
              </w:rPr>
              <w:t>status</w:t>
            </w:r>
          </w:p>
        </w:tc>
        <w:tc>
          <w:tcPr>
            <w:tcW w:w="1693" w:type="dxa"/>
            <w:tcBorders>
              <w:top w:val="nil"/>
              <w:left w:val="nil"/>
              <w:bottom w:val="nil"/>
              <w:right w:val="nil"/>
            </w:tcBorders>
            <w:shd w:val="clear" w:color="auto" w:fill="FFFFFF"/>
            <w:tcMar>
              <w:top w:w="60" w:type="dxa"/>
              <w:left w:w="130" w:type="dxa"/>
              <w:bottom w:w="60" w:type="dxa"/>
              <w:right w:w="130" w:type="dxa"/>
            </w:tcMar>
            <w:vAlign w:val="center"/>
          </w:tcPr>
          <w:p w14:paraId="6DECB67B">
            <w:pPr>
              <w:spacing w:line="440" w:lineRule="exact"/>
              <w:rPr>
                <w:rFonts w:ascii="宋体" w:hAnsi="宋体" w:cs="宋体"/>
                <w:sz w:val="24"/>
              </w:rPr>
            </w:pPr>
            <w:r>
              <w:rPr>
                <w:rFonts w:ascii="宋体" w:hAnsi="宋体" w:eastAsia="宋体" w:cs="宋体"/>
                <w:sz w:val="24"/>
              </w:rPr>
              <w:t>tinyint</w:t>
            </w:r>
          </w:p>
        </w:tc>
        <w:tc>
          <w:tcPr>
            <w:tcW w:w="950" w:type="dxa"/>
            <w:tcBorders>
              <w:top w:val="nil"/>
              <w:left w:val="nil"/>
              <w:bottom w:val="nil"/>
              <w:right w:val="nil"/>
            </w:tcBorders>
            <w:shd w:val="clear" w:color="auto" w:fill="FFFFFF"/>
            <w:tcMar>
              <w:top w:w="60" w:type="dxa"/>
              <w:left w:w="130" w:type="dxa"/>
              <w:bottom w:w="60" w:type="dxa"/>
              <w:right w:w="130" w:type="dxa"/>
            </w:tcMar>
            <w:vAlign w:val="center"/>
          </w:tcPr>
          <w:p w14:paraId="7B83613D">
            <w:pPr>
              <w:spacing w:line="440" w:lineRule="exact"/>
              <w:rPr>
                <w:rFonts w:ascii="宋体" w:hAnsi="宋体" w:cs="宋体"/>
                <w:sz w:val="24"/>
              </w:rPr>
            </w:pPr>
            <w:r>
              <w:rPr>
                <w:rFonts w:ascii="宋体" w:hAnsi="宋体" w:eastAsia="宋体" w:cs="宋体"/>
                <w:sz w:val="24"/>
              </w:rPr>
              <w:t>1</w:t>
            </w:r>
          </w:p>
        </w:tc>
        <w:tc>
          <w:tcPr>
            <w:tcW w:w="1254" w:type="dxa"/>
            <w:tcBorders>
              <w:top w:val="nil"/>
              <w:left w:val="nil"/>
              <w:bottom w:val="nil"/>
              <w:right w:val="nil"/>
            </w:tcBorders>
            <w:shd w:val="clear" w:color="auto" w:fill="FFFFFF"/>
            <w:tcMar>
              <w:top w:w="60" w:type="dxa"/>
              <w:left w:w="130" w:type="dxa"/>
              <w:bottom w:w="60" w:type="dxa"/>
              <w:right w:w="130" w:type="dxa"/>
            </w:tcMar>
            <w:vAlign w:val="center"/>
          </w:tcPr>
          <w:p w14:paraId="04B5362B">
            <w:pPr>
              <w:spacing w:line="440" w:lineRule="exact"/>
              <w:rPr>
                <w:rFonts w:ascii="宋体" w:hAnsi="宋体" w:cs="宋体"/>
                <w:sz w:val="24"/>
              </w:rPr>
            </w:pPr>
            <w:r>
              <w:rPr>
                <w:rFonts w:ascii="宋体" w:hAnsi="宋体" w:eastAsia="宋体" w:cs="宋体"/>
                <w:sz w:val="24"/>
              </w:rPr>
              <w:t>状态</w:t>
            </w:r>
          </w:p>
        </w:tc>
        <w:tc>
          <w:tcPr>
            <w:tcW w:w="775" w:type="dxa"/>
            <w:tcBorders>
              <w:top w:val="nil"/>
              <w:left w:val="nil"/>
              <w:bottom w:val="nil"/>
              <w:right w:val="nil"/>
            </w:tcBorders>
            <w:shd w:val="clear" w:color="auto" w:fill="FFFFFF"/>
            <w:tcMar>
              <w:top w:w="60" w:type="dxa"/>
              <w:left w:w="130" w:type="dxa"/>
              <w:bottom w:w="60" w:type="dxa"/>
              <w:right w:w="130" w:type="dxa"/>
            </w:tcMar>
            <w:vAlign w:val="center"/>
          </w:tcPr>
          <w:p w14:paraId="1231A28A">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nil"/>
              <w:right w:val="nil"/>
            </w:tcBorders>
            <w:shd w:val="clear" w:color="auto" w:fill="FFFFFF"/>
            <w:tcMar>
              <w:top w:w="60" w:type="dxa"/>
              <w:left w:w="130" w:type="dxa"/>
              <w:bottom w:w="60" w:type="dxa"/>
              <w:right w:w="130" w:type="dxa"/>
            </w:tcMar>
            <w:vAlign w:val="center"/>
          </w:tcPr>
          <w:p w14:paraId="64A1C8E8">
            <w:pPr>
              <w:spacing w:line="440" w:lineRule="exact"/>
              <w:rPr>
                <w:rFonts w:ascii="宋体" w:hAnsi="宋体" w:cs="宋体"/>
                <w:sz w:val="24"/>
              </w:rPr>
            </w:pPr>
            <w:r>
              <w:rPr>
                <w:rFonts w:ascii="宋体" w:hAnsi="宋体" w:eastAsia="宋体" w:cs="宋体"/>
                <w:sz w:val="24"/>
              </w:rPr>
              <w:t>0</w:t>
            </w:r>
          </w:p>
        </w:tc>
      </w:tr>
      <w:tr w14:paraId="42BA914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nil"/>
              <w:right w:val="nil"/>
            </w:tcBorders>
            <w:shd w:val="clear" w:color="auto" w:fill="FFFFFF"/>
            <w:tcMar>
              <w:top w:w="60" w:type="dxa"/>
              <w:left w:w="130" w:type="dxa"/>
              <w:bottom w:w="60" w:type="dxa"/>
              <w:right w:w="130" w:type="dxa"/>
            </w:tcMar>
            <w:vAlign w:val="center"/>
          </w:tcPr>
          <w:p w14:paraId="24C867FF">
            <w:pPr>
              <w:spacing w:line="440" w:lineRule="exact"/>
              <w:rPr>
                <w:rFonts w:ascii="宋体" w:hAnsi="宋体" w:cs="宋体"/>
                <w:sz w:val="24"/>
              </w:rPr>
            </w:pPr>
            <w:r>
              <w:rPr>
                <w:rFonts w:ascii="宋体" w:hAnsi="宋体" w:eastAsia="宋体" w:cs="宋体"/>
                <w:sz w:val="24"/>
              </w:rPr>
              <w:t>create_time</w:t>
            </w:r>
          </w:p>
        </w:tc>
        <w:tc>
          <w:tcPr>
            <w:tcW w:w="1693" w:type="dxa"/>
            <w:tcBorders>
              <w:top w:val="nil"/>
              <w:left w:val="nil"/>
              <w:bottom w:val="nil"/>
              <w:right w:val="nil"/>
            </w:tcBorders>
            <w:shd w:val="clear" w:color="auto" w:fill="FFFFFF"/>
            <w:tcMar>
              <w:top w:w="60" w:type="dxa"/>
              <w:left w:w="130" w:type="dxa"/>
              <w:bottom w:w="60" w:type="dxa"/>
              <w:right w:w="130" w:type="dxa"/>
            </w:tcMar>
            <w:vAlign w:val="center"/>
          </w:tcPr>
          <w:p w14:paraId="368322B8">
            <w:pPr>
              <w:spacing w:line="440" w:lineRule="exact"/>
              <w:rPr>
                <w:rFonts w:ascii="宋体" w:hAnsi="宋体" w:cs="宋体"/>
                <w:sz w:val="24"/>
              </w:rPr>
            </w:pPr>
            <w:r>
              <w:rPr>
                <w:rFonts w:ascii="宋体" w:hAnsi="宋体" w:eastAsia="宋体" w:cs="宋体"/>
                <w:sz w:val="24"/>
              </w:rPr>
              <w:t>datetime</w:t>
            </w:r>
          </w:p>
        </w:tc>
        <w:tc>
          <w:tcPr>
            <w:tcW w:w="950" w:type="dxa"/>
            <w:tcBorders>
              <w:top w:val="nil"/>
              <w:left w:val="nil"/>
              <w:bottom w:val="nil"/>
              <w:right w:val="nil"/>
            </w:tcBorders>
            <w:shd w:val="clear" w:color="auto" w:fill="FFFFFF"/>
            <w:tcMar>
              <w:top w:w="60" w:type="dxa"/>
              <w:left w:w="130" w:type="dxa"/>
              <w:bottom w:w="60" w:type="dxa"/>
              <w:right w:w="130" w:type="dxa"/>
            </w:tcMar>
            <w:vAlign w:val="center"/>
          </w:tcPr>
          <w:p w14:paraId="0A8BEA45">
            <w:pPr>
              <w:spacing w:line="440" w:lineRule="exact"/>
              <w:rPr>
                <w:rFonts w:ascii="宋体" w:hAnsi="宋体" w:cs="宋体"/>
                <w:sz w:val="24"/>
              </w:rPr>
            </w:pPr>
            <w:r>
              <w:rPr>
                <w:rFonts w:ascii="宋体" w:hAnsi="宋体" w:eastAsia="宋体" w:cs="宋体"/>
                <w:sz w:val="24"/>
              </w:rPr>
              <w:t>-</w:t>
            </w:r>
          </w:p>
        </w:tc>
        <w:tc>
          <w:tcPr>
            <w:tcW w:w="1254" w:type="dxa"/>
            <w:tcBorders>
              <w:top w:val="nil"/>
              <w:left w:val="nil"/>
              <w:bottom w:val="nil"/>
              <w:right w:val="nil"/>
            </w:tcBorders>
            <w:shd w:val="clear" w:color="auto" w:fill="FFFFFF"/>
            <w:tcMar>
              <w:top w:w="60" w:type="dxa"/>
              <w:left w:w="130" w:type="dxa"/>
              <w:bottom w:w="60" w:type="dxa"/>
              <w:right w:w="130" w:type="dxa"/>
            </w:tcMar>
            <w:vAlign w:val="center"/>
          </w:tcPr>
          <w:p w14:paraId="2C7AC863">
            <w:pPr>
              <w:spacing w:line="440" w:lineRule="exact"/>
              <w:rPr>
                <w:rFonts w:ascii="宋体" w:hAnsi="宋体" w:cs="宋体"/>
                <w:sz w:val="24"/>
              </w:rPr>
            </w:pPr>
            <w:r>
              <w:rPr>
                <w:rFonts w:ascii="宋体" w:hAnsi="宋体" w:eastAsia="宋体" w:cs="宋体"/>
                <w:sz w:val="24"/>
              </w:rPr>
              <w:t>创建时间</w:t>
            </w:r>
          </w:p>
        </w:tc>
        <w:tc>
          <w:tcPr>
            <w:tcW w:w="775" w:type="dxa"/>
            <w:tcBorders>
              <w:top w:val="nil"/>
              <w:left w:val="nil"/>
              <w:bottom w:val="nil"/>
              <w:right w:val="nil"/>
            </w:tcBorders>
            <w:shd w:val="clear" w:color="auto" w:fill="FFFFFF"/>
            <w:tcMar>
              <w:top w:w="60" w:type="dxa"/>
              <w:left w:w="130" w:type="dxa"/>
              <w:bottom w:w="60" w:type="dxa"/>
              <w:right w:w="130" w:type="dxa"/>
            </w:tcMar>
            <w:vAlign w:val="center"/>
          </w:tcPr>
          <w:p w14:paraId="5F738364">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nil"/>
              <w:right w:val="nil"/>
            </w:tcBorders>
            <w:shd w:val="clear" w:color="auto" w:fill="FFFFFF"/>
            <w:tcMar>
              <w:top w:w="60" w:type="dxa"/>
              <w:left w:w="130" w:type="dxa"/>
              <w:bottom w:w="60" w:type="dxa"/>
              <w:right w:w="130" w:type="dxa"/>
            </w:tcMar>
            <w:vAlign w:val="center"/>
          </w:tcPr>
          <w:p w14:paraId="73E3FD19">
            <w:pPr>
              <w:spacing w:line="440" w:lineRule="exact"/>
              <w:rPr>
                <w:rFonts w:ascii="宋体" w:hAnsi="宋体" w:cs="宋体"/>
                <w:sz w:val="24"/>
              </w:rPr>
            </w:pPr>
            <w:r>
              <w:rPr>
                <w:rFonts w:ascii="宋体" w:hAnsi="宋体" w:eastAsia="宋体" w:cs="宋体"/>
                <w:sz w:val="24"/>
              </w:rPr>
              <w:t>CURRENT_TIMESTAMP</w:t>
            </w:r>
          </w:p>
        </w:tc>
      </w:tr>
      <w:tr w14:paraId="525D82EC">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799"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799D34E0">
            <w:pPr>
              <w:spacing w:line="440" w:lineRule="exact"/>
              <w:rPr>
                <w:rFonts w:ascii="宋体" w:hAnsi="宋体" w:cs="宋体"/>
                <w:sz w:val="24"/>
              </w:rPr>
            </w:pPr>
            <w:r>
              <w:rPr>
                <w:rFonts w:ascii="宋体" w:hAnsi="宋体" w:eastAsia="宋体" w:cs="宋体"/>
                <w:sz w:val="24"/>
              </w:rPr>
              <w:t>update_time</w:t>
            </w:r>
          </w:p>
        </w:tc>
        <w:tc>
          <w:tcPr>
            <w:tcW w:w="1693"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A68E0AC">
            <w:pPr>
              <w:spacing w:line="440" w:lineRule="exact"/>
              <w:rPr>
                <w:rFonts w:ascii="宋体" w:hAnsi="宋体" w:cs="宋体"/>
                <w:sz w:val="24"/>
              </w:rPr>
            </w:pPr>
            <w:r>
              <w:rPr>
                <w:rFonts w:ascii="宋体" w:hAnsi="宋体" w:eastAsia="宋体" w:cs="宋体"/>
                <w:sz w:val="24"/>
              </w:rPr>
              <w:t>datetime</w:t>
            </w:r>
          </w:p>
        </w:tc>
        <w:tc>
          <w:tcPr>
            <w:tcW w:w="95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26EDBAB">
            <w:pPr>
              <w:spacing w:line="440" w:lineRule="exact"/>
              <w:rPr>
                <w:rFonts w:ascii="宋体" w:hAnsi="宋体" w:cs="宋体"/>
                <w:sz w:val="24"/>
              </w:rPr>
            </w:pPr>
            <w:r>
              <w:rPr>
                <w:rFonts w:ascii="宋体" w:hAnsi="宋体" w:eastAsia="宋体" w:cs="宋体"/>
                <w:sz w:val="24"/>
              </w:rPr>
              <w:t>-</w:t>
            </w:r>
          </w:p>
        </w:tc>
        <w:tc>
          <w:tcPr>
            <w:tcW w:w="1254"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B957948">
            <w:pPr>
              <w:spacing w:line="440" w:lineRule="exact"/>
              <w:rPr>
                <w:rFonts w:ascii="宋体" w:hAnsi="宋体" w:cs="宋体"/>
                <w:sz w:val="24"/>
              </w:rPr>
            </w:pPr>
            <w:r>
              <w:rPr>
                <w:rFonts w:ascii="宋体" w:hAnsi="宋体" w:eastAsia="宋体" w:cs="宋体"/>
                <w:sz w:val="24"/>
              </w:rPr>
              <w:t>更新时间</w:t>
            </w:r>
          </w:p>
        </w:tc>
        <w:tc>
          <w:tcPr>
            <w:tcW w:w="775"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511B5242">
            <w:pPr>
              <w:spacing w:line="440" w:lineRule="exact"/>
              <w:rPr>
                <w:rFonts w:ascii="宋体" w:hAnsi="宋体" w:cs="宋体"/>
                <w:sz w:val="24"/>
              </w:rPr>
            </w:pPr>
            <w:r>
              <w:rPr>
                <w:rFonts w:ascii="宋体" w:hAnsi="宋体" w:eastAsia="宋体" w:cs="宋体"/>
                <w:sz w:val="24"/>
              </w:rPr>
              <w:t>否</w:t>
            </w:r>
          </w:p>
        </w:tc>
        <w:tc>
          <w:tcPr>
            <w:tcW w:w="2095"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ADEB336">
            <w:pPr>
              <w:spacing w:line="440" w:lineRule="exact"/>
              <w:rPr>
                <w:rFonts w:ascii="宋体" w:hAnsi="宋体" w:cs="宋体"/>
                <w:sz w:val="24"/>
              </w:rPr>
            </w:pPr>
            <w:r>
              <w:rPr>
                <w:rFonts w:ascii="宋体" w:hAnsi="宋体" w:eastAsia="宋体" w:cs="宋体"/>
                <w:sz w:val="24"/>
              </w:rPr>
              <w:t>CURRENT_TIMESTAMP</w:t>
            </w:r>
          </w:p>
        </w:tc>
      </w:tr>
    </w:tbl>
    <w:p w14:paraId="14B9E272">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5</w:t>
      </w:r>
      <w:r>
        <w:rPr>
          <w:rFonts w:hint="eastAsia" w:ascii="宋体" w:hAnsi="宋体" w:eastAsia="宋体" w:cs="宋体"/>
          <w:sz w:val="24"/>
          <w:lang w:eastAsia="zh-CN"/>
        </w:rPr>
        <w:t>）</w:t>
      </w:r>
      <w:r>
        <w:rPr>
          <w:rFonts w:ascii="宋体" w:hAnsi="宋体" w:eastAsia="宋体" w:cs="宋体"/>
          <w:sz w:val="24"/>
        </w:rPr>
        <w:t>activity(活动表)</w:t>
      </w:r>
    </w:p>
    <w:p w14:paraId="448080D9">
      <w:pPr>
        <w:spacing w:line="440" w:lineRule="exact"/>
        <w:ind w:firstLine="480" w:firstLineChars="200"/>
        <w:rPr>
          <w:rFonts w:ascii="宋体" w:hAnsi="宋体" w:cs="宋体"/>
          <w:sz w:val="24"/>
        </w:rPr>
      </w:pPr>
      <w:r>
        <w:rPr>
          <w:rFonts w:ascii="宋体" w:hAnsi="宋体" w:eastAsia="宋体" w:cs="宋体"/>
          <w:sz w:val="24"/>
        </w:rPr>
        <w:t>活动表存储</w:t>
      </w:r>
      <w:r>
        <w:rPr>
          <w:rFonts w:hint="eastAsia" w:ascii="宋体" w:hAnsi="宋体" w:eastAsia="宋体" w:cs="宋体"/>
          <w:sz w:val="24"/>
        </w:rPr>
        <w:t>赣绣</w:t>
      </w:r>
      <w:r>
        <w:rPr>
          <w:rFonts w:ascii="宋体" w:hAnsi="宋体" w:eastAsia="宋体" w:cs="宋体"/>
          <w:sz w:val="24"/>
        </w:rPr>
        <w:t>活动的信息。</w:t>
      </w:r>
    </w:p>
    <w:p w14:paraId="25F115D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表3-5活动表</w:t>
      </w:r>
    </w:p>
    <w:tbl>
      <w:tblPr>
        <w:tblStyle w:val="35"/>
        <w:tblW w:w="8571" w:type="dxa"/>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autofit"/>
        <w:tblCellMar>
          <w:top w:w="0" w:type="dxa"/>
          <w:left w:w="0" w:type="dxa"/>
          <w:bottom w:w="0" w:type="dxa"/>
          <w:right w:w="0" w:type="dxa"/>
        </w:tblCellMar>
      </w:tblPr>
      <w:tblGrid>
        <w:gridCol w:w="1580"/>
        <w:gridCol w:w="1460"/>
        <w:gridCol w:w="740"/>
        <w:gridCol w:w="1220"/>
        <w:gridCol w:w="854"/>
        <w:gridCol w:w="2717"/>
      </w:tblGrid>
      <w:tr w14:paraId="7DCE51A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75D9C6C7">
            <w:pPr>
              <w:spacing w:line="440" w:lineRule="exact"/>
              <w:rPr>
                <w:rFonts w:ascii="宋体" w:hAnsi="宋体" w:cs="宋体"/>
                <w:sz w:val="24"/>
              </w:rPr>
            </w:pPr>
            <w:r>
              <w:rPr>
                <w:rFonts w:ascii="宋体" w:hAnsi="宋体" w:eastAsia="宋体" w:cs="宋体"/>
                <w:sz w:val="24"/>
              </w:rPr>
              <w:t>字段名称</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4F1C8481">
            <w:pPr>
              <w:spacing w:line="440" w:lineRule="exact"/>
              <w:rPr>
                <w:rFonts w:ascii="宋体" w:hAnsi="宋体" w:cs="宋体"/>
                <w:sz w:val="24"/>
              </w:rPr>
            </w:pPr>
            <w:r>
              <w:rPr>
                <w:rFonts w:ascii="宋体" w:hAnsi="宋体" w:eastAsia="宋体" w:cs="宋体"/>
                <w:sz w:val="24"/>
              </w:rPr>
              <w:t>类型</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780504F">
            <w:pPr>
              <w:spacing w:line="440" w:lineRule="exact"/>
              <w:rPr>
                <w:rFonts w:ascii="宋体" w:hAnsi="宋体" w:cs="宋体"/>
                <w:sz w:val="24"/>
              </w:rPr>
            </w:pPr>
            <w:r>
              <w:rPr>
                <w:rFonts w:ascii="宋体" w:hAnsi="宋体" w:eastAsia="宋体" w:cs="宋体"/>
                <w:sz w:val="24"/>
              </w:rPr>
              <w:t>长度</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085E9B2">
            <w:pPr>
              <w:spacing w:line="440" w:lineRule="exact"/>
              <w:rPr>
                <w:rFonts w:ascii="宋体" w:hAnsi="宋体" w:cs="宋体"/>
                <w:sz w:val="24"/>
              </w:rPr>
            </w:pPr>
            <w:r>
              <w:rPr>
                <w:rFonts w:ascii="宋体" w:hAnsi="宋体" w:eastAsia="宋体" w:cs="宋体"/>
                <w:sz w:val="24"/>
              </w:rPr>
              <w:t>字段说明</w:t>
            </w:r>
          </w:p>
        </w:tc>
        <w:tc>
          <w:tcPr>
            <w:tcW w:w="854"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E953512">
            <w:pPr>
              <w:spacing w:line="440" w:lineRule="exact"/>
              <w:rPr>
                <w:rFonts w:ascii="宋体" w:hAnsi="宋体" w:cs="宋体"/>
                <w:sz w:val="24"/>
              </w:rPr>
            </w:pPr>
            <w:r>
              <w:rPr>
                <w:rFonts w:ascii="宋体" w:hAnsi="宋体" w:eastAsia="宋体" w:cs="宋体"/>
                <w:sz w:val="24"/>
              </w:rPr>
              <w:t>主键</w:t>
            </w:r>
          </w:p>
        </w:tc>
        <w:tc>
          <w:tcPr>
            <w:tcW w:w="2717"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180AB39">
            <w:pPr>
              <w:spacing w:line="440" w:lineRule="exact"/>
              <w:rPr>
                <w:rFonts w:ascii="宋体" w:hAnsi="宋体" w:cs="宋体"/>
                <w:sz w:val="24"/>
              </w:rPr>
            </w:pPr>
            <w:r>
              <w:rPr>
                <w:rFonts w:ascii="宋体" w:hAnsi="宋体" w:eastAsia="宋体" w:cs="宋体"/>
                <w:sz w:val="24"/>
              </w:rPr>
              <w:t>默认值</w:t>
            </w:r>
          </w:p>
        </w:tc>
      </w:tr>
      <w:tr w14:paraId="302A6FA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FC2FF91">
            <w:pPr>
              <w:spacing w:line="440" w:lineRule="exact"/>
              <w:rPr>
                <w:rFonts w:ascii="宋体" w:hAnsi="宋体" w:cs="宋体"/>
                <w:sz w:val="24"/>
              </w:rPr>
            </w:pPr>
            <w:r>
              <w:rPr>
                <w:rFonts w:ascii="宋体" w:hAnsi="宋体" w:eastAsia="宋体" w:cs="宋体"/>
                <w:sz w:val="24"/>
              </w:rPr>
              <w:t>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3F44BB9">
            <w:pPr>
              <w:spacing w:line="440" w:lineRule="exact"/>
              <w:rPr>
                <w:rFonts w:ascii="宋体" w:hAnsi="宋体" w:cs="宋体"/>
                <w:sz w:val="24"/>
              </w:rPr>
            </w:pPr>
            <w:r>
              <w:rPr>
                <w:rFonts w:ascii="宋体" w:hAnsi="宋体" w:eastAsia="宋体" w:cs="宋体"/>
                <w:sz w:val="24"/>
              </w:rPr>
              <w:t>varchar</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414AFC6">
            <w:pPr>
              <w:spacing w:line="440" w:lineRule="exact"/>
              <w:rPr>
                <w:rFonts w:ascii="宋体" w:hAnsi="宋体" w:cs="宋体"/>
                <w:sz w:val="24"/>
              </w:rPr>
            </w:pPr>
            <w:r>
              <w:rPr>
                <w:rFonts w:ascii="宋体" w:hAnsi="宋体" w:eastAsia="宋体" w:cs="宋体"/>
                <w:sz w:val="24"/>
              </w:rPr>
              <w:t>50</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D5EC527">
            <w:pPr>
              <w:spacing w:line="440" w:lineRule="exact"/>
              <w:rPr>
                <w:rFonts w:ascii="宋体" w:hAnsi="宋体" w:cs="宋体"/>
                <w:sz w:val="24"/>
              </w:rPr>
            </w:pPr>
            <w:r>
              <w:rPr>
                <w:rFonts w:ascii="宋体" w:hAnsi="宋体" w:eastAsia="宋体" w:cs="宋体"/>
                <w:sz w:val="24"/>
              </w:rPr>
              <w:t>活动ID</w:t>
            </w:r>
          </w:p>
        </w:tc>
        <w:tc>
          <w:tcPr>
            <w:tcW w:w="854"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27362D6">
            <w:pPr>
              <w:spacing w:line="440" w:lineRule="exact"/>
              <w:rPr>
                <w:rFonts w:ascii="宋体" w:hAnsi="宋体" w:cs="宋体"/>
                <w:sz w:val="24"/>
              </w:rPr>
            </w:pPr>
            <w:r>
              <w:rPr>
                <w:rFonts w:ascii="宋体" w:hAnsi="宋体" w:eastAsia="宋体" w:cs="宋体"/>
                <w:sz w:val="24"/>
              </w:rPr>
              <w:t>是</w:t>
            </w:r>
          </w:p>
        </w:tc>
        <w:tc>
          <w:tcPr>
            <w:tcW w:w="2717"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BD0651D">
            <w:pPr>
              <w:spacing w:line="440" w:lineRule="exact"/>
              <w:rPr>
                <w:rFonts w:ascii="宋体" w:hAnsi="宋体" w:cs="宋体"/>
                <w:sz w:val="24"/>
              </w:rPr>
            </w:pPr>
          </w:p>
        </w:tc>
      </w:tr>
      <w:tr w14:paraId="68A91942">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C80E823">
            <w:pPr>
              <w:spacing w:line="440" w:lineRule="exact"/>
              <w:rPr>
                <w:rFonts w:ascii="宋体" w:hAnsi="宋体" w:cs="宋体"/>
                <w:sz w:val="24"/>
              </w:rPr>
            </w:pPr>
            <w:r>
              <w:rPr>
                <w:rFonts w:ascii="宋体" w:hAnsi="宋体" w:eastAsia="宋体" w:cs="宋体"/>
                <w:sz w:val="24"/>
              </w:rPr>
              <w:t>title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9D9108E">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25C3116">
            <w:pPr>
              <w:spacing w:line="440" w:lineRule="exact"/>
              <w:rPr>
                <w:rFonts w:ascii="宋体" w:hAnsi="宋体" w:cs="宋体"/>
                <w:sz w:val="24"/>
              </w:rPr>
            </w:pPr>
            <w:r>
              <w:rPr>
                <w:rFonts w:ascii="宋体" w:hAnsi="宋体" w:eastAsia="宋体" w:cs="宋体"/>
                <w:sz w:val="24"/>
              </w:rPr>
              <w:t>200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C82B593">
            <w:pPr>
              <w:spacing w:line="440" w:lineRule="exact"/>
              <w:rPr>
                <w:rFonts w:ascii="宋体" w:hAnsi="宋体" w:cs="宋体"/>
                <w:sz w:val="24"/>
              </w:rPr>
            </w:pPr>
            <w:r>
              <w:rPr>
                <w:rFonts w:ascii="宋体" w:hAnsi="宋体" w:eastAsia="宋体" w:cs="宋体"/>
                <w:sz w:val="24"/>
              </w:rPr>
              <w:t>标题</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19FD76B2">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015D55EE">
            <w:pPr>
              <w:spacing w:line="440" w:lineRule="exact"/>
              <w:rPr>
                <w:rFonts w:ascii="宋体" w:hAnsi="宋体" w:cs="宋体"/>
                <w:sz w:val="24"/>
              </w:rPr>
            </w:pPr>
          </w:p>
        </w:tc>
      </w:tr>
      <w:tr w14:paraId="195AF67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51284A12">
            <w:pPr>
              <w:spacing w:line="440" w:lineRule="exact"/>
              <w:rPr>
                <w:rFonts w:ascii="宋体" w:hAnsi="宋体" w:cs="宋体"/>
                <w:sz w:val="24"/>
              </w:rPr>
            </w:pPr>
            <w:r>
              <w:rPr>
                <w:rFonts w:ascii="宋体" w:hAnsi="宋体" w:eastAsia="宋体" w:cs="宋体"/>
                <w:sz w:val="24"/>
              </w:rPr>
              <w:t>type</w:t>
            </w:r>
          </w:p>
        </w:tc>
        <w:tc>
          <w:tcPr>
            <w:tcW w:w="0" w:type="auto"/>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2B7EBCA1">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5D7021C2">
            <w:pPr>
              <w:spacing w:line="440" w:lineRule="exact"/>
              <w:rPr>
                <w:rFonts w:ascii="宋体" w:hAnsi="宋体" w:cs="宋体"/>
                <w:sz w:val="24"/>
              </w:rPr>
            </w:pPr>
            <w:r>
              <w:rPr>
                <w:rFonts w:ascii="宋体" w:hAnsi="宋体" w:eastAsia="宋体" w:cs="宋体"/>
                <w:sz w:val="24"/>
              </w:rPr>
              <w:t>50</w:t>
            </w:r>
          </w:p>
        </w:tc>
        <w:tc>
          <w:tcPr>
            <w:tcW w:w="0" w:type="auto"/>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52FB0E09">
            <w:pPr>
              <w:spacing w:line="440" w:lineRule="exact"/>
              <w:rPr>
                <w:rFonts w:ascii="宋体" w:hAnsi="宋体" w:cs="宋体"/>
                <w:sz w:val="24"/>
              </w:rPr>
            </w:pPr>
            <w:r>
              <w:rPr>
                <w:rFonts w:ascii="宋体" w:hAnsi="宋体" w:eastAsia="宋体" w:cs="宋体"/>
                <w:sz w:val="24"/>
              </w:rPr>
              <w:t>类型</w:t>
            </w:r>
          </w:p>
        </w:tc>
        <w:tc>
          <w:tcPr>
            <w:tcW w:w="854" w:type="dxa"/>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05B8A99F">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single" w:color="auto" w:sz="4" w:space="0"/>
              <w:right w:val="nil"/>
            </w:tcBorders>
            <w:shd w:val="clear" w:color="auto" w:fill="FFFFFF"/>
            <w:tcMar>
              <w:top w:w="60" w:type="dxa"/>
              <w:left w:w="130" w:type="dxa"/>
              <w:bottom w:w="60" w:type="dxa"/>
              <w:right w:w="130" w:type="dxa"/>
            </w:tcMar>
            <w:vAlign w:val="center"/>
          </w:tcPr>
          <w:p w14:paraId="28F1D986">
            <w:pPr>
              <w:spacing w:line="440" w:lineRule="exact"/>
              <w:rPr>
                <w:rFonts w:ascii="宋体" w:hAnsi="宋体" w:cs="宋体"/>
                <w:sz w:val="24"/>
              </w:rPr>
            </w:pPr>
          </w:p>
        </w:tc>
      </w:tr>
      <w:tr w14:paraId="2B5A3D72">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7D05F629">
            <w:pPr>
              <w:spacing w:line="440" w:lineRule="exact"/>
              <w:rPr>
                <w:rFonts w:ascii="宋体" w:hAnsi="宋体" w:cs="宋体"/>
                <w:sz w:val="24"/>
              </w:rPr>
            </w:pPr>
            <w:r>
              <w:rPr>
                <w:rFonts w:ascii="宋体" w:hAnsi="宋体" w:eastAsia="宋体" w:cs="宋体"/>
                <w:sz w:val="24"/>
              </w:rPr>
              <w:t>start_time</w:t>
            </w:r>
          </w:p>
        </w:tc>
        <w:tc>
          <w:tcPr>
            <w:tcW w:w="0" w:type="auto"/>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0FC21F21">
            <w:pPr>
              <w:spacing w:line="440" w:lineRule="exact"/>
              <w:rPr>
                <w:rFonts w:ascii="宋体" w:hAnsi="宋体" w:cs="宋体"/>
                <w:sz w:val="24"/>
              </w:rPr>
            </w:pPr>
            <w:r>
              <w:rPr>
                <w:rFonts w:ascii="宋体" w:hAnsi="宋体" w:eastAsia="宋体" w:cs="宋体"/>
                <w:sz w:val="24"/>
              </w:rPr>
              <w:t>datetime</w:t>
            </w:r>
          </w:p>
        </w:tc>
        <w:tc>
          <w:tcPr>
            <w:tcW w:w="0" w:type="auto"/>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3E025FB7">
            <w:pPr>
              <w:spacing w:line="440" w:lineRule="exact"/>
              <w:rPr>
                <w:rFonts w:ascii="宋体" w:hAnsi="宋体" w:cs="宋体"/>
                <w:sz w:val="24"/>
              </w:rPr>
            </w:pPr>
            <w:r>
              <w:rPr>
                <w:rFonts w:ascii="宋体" w:hAnsi="宋体" w:eastAsia="宋体" w:cs="宋体"/>
                <w:sz w:val="24"/>
              </w:rPr>
              <w:t>-</w:t>
            </w:r>
          </w:p>
        </w:tc>
        <w:tc>
          <w:tcPr>
            <w:tcW w:w="0" w:type="auto"/>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3A83F8EA">
            <w:pPr>
              <w:spacing w:line="440" w:lineRule="exact"/>
              <w:rPr>
                <w:rFonts w:ascii="宋体" w:hAnsi="宋体" w:cs="宋体"/>
                <w:sz w:val="24"/>
              </w:rPr>
            </w:pPr>
            <w:r>
              <w:rPr>
                <w:rFonts w:ascii="宋体" w:hAnsi="宋体" w:eastAsia="宋体" w:cs="宋体"/>
                <w:sz w:val="24"/>
              </w:rPr>
              <w:t>开始时间</w:t>
            </w:r>
          </w:p>
        </w:tc>
        <w:tc>
          <w:tcPr>
            <w:tcW w:w="854" w:type="dxa"/>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42B2FE2A">
            <w:pPr>
              <w:spacing w:line="440" w:lineRule="exact"/>
              <w:rPr>
                <w:rFonts w:ascii="宋体" w:hAnsi="宋体" w:cs="宋体"/>
                <w:sz w:val="24"/>
              </w:rPr>
            </w:pPr>
            <w:r>
              <w:rPr>
                <w:rFonts w:ascii="宋体" w:hAnsi="宋体" w:eastAsia="宋体" w:cs="宋体"/>
                <w:sz w:val="24"/>
              </w:rPr>
              <w:t>否</w:t>
            </w:r>
          </w:p>
        </w:tc>
        <w:tc>
          <w:tcPr>
            <w:tcW w:w="2717" w:type="dxa"/>
            <w:tcBorders>
              <w:top w:val="single" w:color="auto" w:sz="4" w:space="0"/>
              <w:left w:val="nil"/>
              <w:bottom w:val="nil"/>
              <w:right w:val="nil"/>
            </w:tcBorders>
            <w:shd w:val="clear" w:color="auto" w:fill="FFFFFF"/>
            <w:tcMar>
              <w:top w:w="60" w:type="dxa"/>
              <w:left w:w="130" w:type="dxa"/>
              <w:bottom w:w="60" w:type="dxa"/>
              <w:right w:w="130" w:type="dxa"/>
            </w:tcMar>
            <w:vAlign w:val="center"/>
          </w:tcPr>
          <w:p w14:paraId="632A0D30">
            <w:pPr>
              <w:spacing w:line="440" w:lineRule="exact"/>
              <w:rPr>
                <w:rFonts w:ascii="宋体" w:hAnsi="宋体" w:cs="宋体"/>
                <w:sz w:val="24"/>
              </w:rPr>
            </w:pPr>
          </w:p>
        </w:tc>
      </w:tr>
      <w:tr w14:paraId="4A0FCDF8">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038D070">
            <w:pPr>
              <w:spacing w:line="440" w:lineRule="exact"/>
              <w:rPr>
                <w:rFonts w:ascii="宋体" w:hAnsi="宋体" w:cs="宋体"/>
                <w:sz w:val="24"/>
              </w:rPr>
            </w:pPr>
            <w:r>
              <w:rPr>
                <w:rFonts w:ascii="宋体" w:hAnsi="宋体" w:eastAsia="宋体" w:cs="宋体"/>
                <w:sz w:val="24"/>
              </w:rPr>
              <w:t>end_time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063440E">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660BDFB">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2EB414C">
            <w:pPr>
              <w:spacing w:line="440" w:lineRule="exact"/>
              <w:rPr>
                <w:rFonts w:ascii="宋体" w:hAnsi="宋体" w:cs="宋体"/>
                <w:sz w:val="24"/>
              </w:rPr>
            </w:pPr>
            <w:r>
              <w:rPr>
                <w:rFonts w:ascii="宋体" w:hAnsi="宋体" w:eastAsia="宋体" w:cs="宋体"/>
                <w:sz w:val="24"/>
              </w:rPr>
              <w:t>结束时间</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5BFF7ACC">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768014F6">
            <w:pPr>
              <w:spacing w:line="440" w:lineRule="exact"/>
              <w:rPr>
                <w:rFonts w:ascii="宋体" w:hAnsi="宋体" w:cs="宋体"/>
                <w:sz w:val="24"/>
              </w:rPr>
            </w:pPr>
          </w:p>
        </w:tc>
      </w:tr>
      <w:tr w14:paraId="559AA3A0">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8FE6A3D">
            <w:pPr>
              <w:spacing w:line="440" w:lineRule="exact"/>
              <w:rPr>
                <w:rFonts w:ascii="宋体" w:hAnsi="宋体" w:cs="宋体"/>
                <w:sz w:val="24"/>
              </w:rPr>
            </w:pPr>
            <w:r>
              <w:rPr>
                <w:rFonts w:ascii="宋体" w:hAnsi="宋体" w:eastAsia="宋体" w:cs="宋体"/>
                <w:sz w:val="24"/>
              </w:rPr>
              <w:t>location</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1430294">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D4C99E2">
            <w:pPr>
              <w:spacing w:line="440" w:lineRule="exact"/>
              <w:rPr>
                <w:rFonts w:ascii="宋体" w:hAnsi="宋体" w:cs="宋体"/>
                <w:sz w:val="24"/>
              </w:rPr>
            </w:pPr>
            <w:r>
              <w:rPr>
                <w:rFonts w:ascii="宋体" w:hAnsi="宋体" w:eastAsia="宋体" w:cs="宋体"/>
                <w:sz w:val="24"/>
              </w:rPr>
              <w:t>200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4394E8A">
            <w:pPr>
              <w:spacing w:line="440" w:lineRule="exact"/>
              <w:rPr>
                <w:rFonts w:ascii="宋体" w:hAnsi="宋体" w:cs="宋体"/>
                <w:sz w:val="24"/>
              </w:rPr>
            </w:pPr>
            <w:r>
              <w:rPr>
                <w:rFonts w:ascii="宋体" w:hAnsi="宋体" w:eastAsia="宋体" w:cs="宋体"/>
                <w:sz w:val="24"/>
              </w:rPr>
              <w:t>地点</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7D451185">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732FAB0E">
            <w:pPr>
              <w:spacing w:line="440" w:lineRule="exact"/>
              <w:rPr>
                <w:rFonts w:ascii="宋体" w:hAnsi="宋体" w:cs="宋体"/>
                <w:sz w:val="24"/>
              </w:rPr>
            </w:pPr>
          </w:p>
        </w:tc>
      </w:tr>
      <w:tr w14:paraId="6C2C635A">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692295E">
            <w:pPr>
              <w:spacing w:line="440" w:lineRule="exact"/>
              <w:rPr>
                <w:rFonts w:ascii="宋体" w:hAnsi="宋体" w:cs="宋体"/>
                <w:sz w:val="24"/>
              </w:rPr>
            </w:pPr>
            <w:r>
              <w:rPr>
                <w:rFonts w:ascii="宋体" w:hAnsi="宋体" w:eastAsia="宋体" w:cs="宋体"/>
                <w:sz w:val="24"/>
              </w:rPr>
              <w:t>description</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5B0EE32">
            <w:pPr>
              <w:spacing w:line="440" w:lineRule="exact"/>
              <w:rPr>
                <w:rFonts w:ascii="宋体" w:hAnsi="宋体" w:cs="宋体"/>
                <w:sz w:val="24"/>
              </w:rPr>
            </w:pPr>
            <w:r>
              <w:rPr>
                <w:rFonts w:ascii="宋体" w:hAnsi="宋体" w:eastAsia="宋体" w:cs="宋体"/>
                <w:sz w:val="24"/>
              </w:rPr>
              <w:t>mediumtext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042485F">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FE692F3">
            <w:pPr>
              <w:spacing w:line="440" w:lineRule="exact"/>
              <w:rPr>
                <w:rFonts w:ascii="宋体" w:hAnsi="宋体" w:cs="宋体"/>
                <w:sz w:val="24"/>
              </w:rPr>
            </w:pPr>
            <w:r>
              <w:rPr>
                <w:rFonts w:ascii="宋体" w:hAnsi="宋体" w:eastAsia="宋体" w:cs="宋体"/>
                <w:sz w:val="24"/>
              </w:rPr>
              <w:t>描述</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30C081F5">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0D934ACF">
            <w:pPr>
              <w:spacing w:line="440" w:lineRule="exact"/>
              <w:rPr>
                <w:rFonts w:ascii="宋体" w:hAnsi="宋体" w:cs="宋体"/>
                <w:sz w:val="24"/>
              </w:rPr>
            </w:pPr>
          </w:p>
        </w:tc>
      </w:tr>
      <w:tr w14:paraId="7ED5278B">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1644B62">
            <w:pPr>
              <w:spacing w:line="440" w:lineRule="exact"/>
              <w:rPr>
                <w:rFonts w:ascii="宋体" w:hAnsi="宋体" w:cs="宋体"/>
                <w:sz w:val="24"/>
              </w:rPr>
            </w:pPr>
            <w:r>
              <w:rPr>
                <w:rFonts w:ascii="宋体" w:hAnsi="宋体" w:eastAsia="宋体" w:cs="宋体"/>
                <w:sz w:val="24"/>
              </w:rPr>
              <w:t>status</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4B82203">
            <w:pPr>
              <w:spacing w:line="440" w:lineRule="exact"/>
              <w:rPr>
                <w:rFonts w:ascii="宋体" w:hAnsi="宋体" w:cs="宋体"/>
                <w:sz w:val="24"/>
              </w:rPr>
            </w:pPr>
            <w:r>
              <w:rPr>
                <w:rFonts w:ascii="宋体" w:hAnsi="宋体" w:eastAsia="宋体" w:cs="宋体"/>
                <w:sz w:val="24"/>
              </w:rPr>
              <w:t>tinyint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71B9C85">
            <w:pPr>
              <w:spacing w:line="440" w:lineRule="exact"/>
              <w:rPr>
                <w:rFonts w:ascii="宋体" w:hAnsi="宋体" w:cs="宋体"/>
                <w:sz w:val="24"/>
              </w:rPr>
            </w:pPr>
            <w:r>
              <w:rPr>
                <w:rFonts w:ascii="宋体" w:hAnsi="宋体" w:eastAsia="宋体" w:cs="宋体"/>
                <w:sz w:val="24"/>
              </w:rPr>
              <w:t>1</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C070CA7">
            <w:pPr>
              <w:spacing w:line="440" w:lineRule="exact"/>
              <w:rPr>
                <w:rFonts w:ascii="宋体" w:hAnsi="宋体" w:cs="宋体"/>
                <w:sz w:val="24"/>
              </w:rPr>
            </w:pPr>
            <w:r>
              <w:rPr>
                <w:rFonts w:ascii="宋体" w:hAnsi="宋体" w:eastAsia="宋体" w:cs="宋体"/>
                <w:sz w:val="24"/>
              </w:rPr>
              <w:t>状态</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79BCC08E">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635D1834">
            <w:pPr>
              <w:spacing w:line="440" w:lineRule="exact"/>
              <w:rPr>
                <w:rFonts w:ascii="宋体" w:hAnsi="宋体" w:cs="宋体"/>
                <w:sz w:val="24"/>
              </w:rPr>
            </w:pPr>
            <w:r>
              <w:rPr>
                <w:rFonts w:ascii="宋体" w:hAnsi="宋体" w:eastAsia="宋体" w:cs="宋体"/>
                <w:sz w:val="24"/>
              </w:rPr>
              <w:t>0</w:t>
            </w:r>
          </w:p>
        </w:tc>
      </w:tr>
      <w:tr w14:paraId="07BDBBFB">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CDCACE4">
            <w:pPr>
              <w:spacing w:line="440" w:lineRule="exact"/>
              <w:rPr>
                <w:rFonts w:ascii="宋体" w:hAnsi="宋体" w:cs="宋体"/>
                <w:sz w:val="24"/>
              </w:rPr>
            </w:pPr>
            <w:r>
              <w:rPr>
                <w:rFonts w:ascii="宋体" w:hAnsi="宋体" w:eastAsia="宋体" w:cs="宋体"/>
                <w:sz w:val="24"/>
              </w:rPr>
              <w:t>create_time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6331102">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E1A83C7">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AF1D455">
            <w:pPr>
              <w:spacing w:line="440" w:lineRule="exact"/>
              <w:rPr>
                <w:rFonts w:ascii="宋体" w:hAnsi="宋体" w:cs="宋体"/>
                <w:sz w:val="24"/>
              </w:rPr>
            </w:pPr>
            <w:r>
              <w:rPr>
                <w:rFonts w:ascii="宋体" w:hAnsi="宋体" w:eastAsia="宋体" w:cs="宋体"/>
                <w:sz w:val="24"/>
              </w:rPr>
              <w:t>创建时间</w:t>
            </w:r>
          </w:p>
        </w:tc>
        <w:tc>
          <w:tcPr>
            <w:tcW w:w="854" w:type="dxa"/>
            <w:tcBorders>
              <w:top w:val="nil"/>
              <w:left w:val="nil"/>
              <w:bottom w:val="nil"/>
              <w:right w:val="nil"/>
            </w:tcBorders>
            <w:shd w:val="clear" w:color="auto" w:fill="FFFFFF"/>
            <w:tcMar>
              <w:top w:w="60" w:type="dxa"/>
              <w:left w:w="130" w:type="dxa"/>
              <w:bottom w:w="60" w:type="dxa"/>
              <w:right w:w="130" w:type="dxa"/>
            </w:tcMar>
            <w:vAlign w:val="center"/>
          </w:tcPr>
          <w:p w14:paraId="20981189">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nil"/>
              <w:right w:val="nil"/>
            </w:tcBorders>
            <w:shd w:val="clear" w:color="auto" w:fill="FFFFFF"/>
            <w:tcMar>
              <w:top w:w="60" w:type="dxa"/>
              <w:left w:w="130" w:type="dxa"/>
              <w:bottom w:w="60" w:type="dxa"/>
              <w:right w:w="130" w:type="dxa"/>
            </w:tcMar>
            <w:vAlign w:val="center"/>
          </w:tcPr>
          <w:p w14:paraId="76408AFF">
            <w:pPr>
              <w:spacing w:line="440" w:lineRule="exact"/>
              <w:rPr>
                <w:rFonts w:ascii="宋体" w:hAnsi="宋体" w:cs="宋体"/>
                <w:sz w:val="24"/>
              </w:rPr>
            </w:pPr>
            <w:r>
              <w:rPr>
                <w:rFonts w:ascii="宋体" w:hAnsi="宋体" w:eastAsia="宋体" w:cs="宋体"/>
                <w:sz w:val="24"/>
              </w:rPr>
              <w:t>CURRENT_TIMESTAMP</w:t>
            </w:r>
          </w:p>
        </w:tc>
      </w:tr>
      <w:tr w14:paraId="601BC04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1916977">
            <w:pPr>
              <w:spacing w:line="440" w:lineRule="exact"/>
              <w:rPr>
                <w:rFonts w:ascii="宋体" w:hAnsi="宋体" w:cs="宋体"/>
                <w:sz w:val="24"/>
              </w:rPr>
            </w:pPr>
            <w:r>
              <w:rPr>
                <w:rFonts w:ascii="宋体" w:hAnsi="宋体" w:eastAsia="宋体" w:cs="宋体"/>
                <w:sz w:val="24"/>
              </w:rPr>
              <w:t>update_time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19DE3C0">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F9871B0">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A528E79">
            <w:pPr>
              <w:spacing w:line="440" w:lineRule="exact"/>
              <w:rPr>
                <w:rFonts w:ascii="宋体" w:hAnsi="宋体" w:cs="宋体"/>
                <w:sz w:val="24"/>
              </w:rPr>
            </w:pPr>
            <w:r>
              <w:rPr>
                <w:rFonts w:ascii="宋体" w:hAnsi="宋体" w:eastAsia="宋体" w:cs="宋体"/>
                <w:sz w:val="24"/>
              </w:rPr>
              <w:t>更新时间</w:t>
            </w:r>
          </w:p>
        </w:tc>
        <w:tc>
          <w:tcPr>
            <w:tcW w:w="854"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7EBAE112">
            <w:pPr>
              <w:spacing w:line="440" w:lineRule="exact"/>
              <w:rPr>
                <w:rFonts w:ascii="宋体" w:hAnsi="宋体" w:cs="宋体"/>
                <w:sz w:val="24"/>
              </w:rPr>
            </w:pPr>
            <w:r>
              <w:rPr>
                <w:rFonts w:ascii="宋体" w:hAnsi="宋体" w:eastAsia="宋体" w:cs="宋体"/>
                <w:sz w:val="24"/>
              </w:rPr>
              <w:t>否</w:t>
            </w:r>
          </w:p>
        </w:tc>
        <w:tc>
          <w:tcPr>
            <w:tcW w:w="2717"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8C3F7C0">
            <w:pPr>
              <w:spacing w:line="440" w:lineRule="exact"/>
              <w:rPr>
                <w:rFonts w:ascii="宋体" w:hAnsi="宋体" w:cs="宋体"/>
                <w:sz w:val="24"/>
              </w:rPr>
            </w:pPr>
            <w:r>
              <w:rPr>
                <w:rFonts w:ascii="宋体" w:hAnsi="宋体" w:eastAsia="宋体" w:cs="宋体"/>
                <w:sz w:val="24"/>
              </w:rPr>
              <w:t>CURRENT_TIMESTAMP</w:t>
            </w:r>
          </w:p>
        </w:tc>
      </w:tr>
    </w:tbl>
    <w:p w14:paraId="7FDA7DC7">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6</w:t>
      </w:r>
      <w:r>
        <w:rPr>
          <w:rFonts w:hint="eastAsia" w:ascii="宋体" w:hAnsi="宋体" w:eastAsia="宋体" w:cs="宋体"/>
          <w:sz w:val="24"/>
          <w:lang w:eastAsia="zh-CN"/>
        </w:rPr>
        <w:t>）</w:t>
      </w:r>
      <w:r>
        <w:rPr>
          <w:rFonts w:ascii="宋体" w:hAnsi="宋体" w:eastAsia="宋体" w:cs="宋体"/>
          <w:sz w:val="24"/>
        </w:rPr>
        <w:t>shop_product(商品表)</w:t>
      </w:r>
    </w:p>
    <w:p w14:paraId="35AF643F">
      <w:pPr>
        <w:spacing w:line="440" w:lineRule="exact"/>
        <w:ind w:firstLine="480" w:firstLineChars="200"/>
        <w:rPr>
          <w:rFonts w:ascii="宋体" w:hAnsi="宋体" w:cs="宋体"/>
          <w:sz w:val="24"/>
        </w:rPr>
      </w:pPr>
      <w:r>
        <w:rPr>
          <w:rFonts w:ascii="宋体" w:hAnsi="宋体" w:eastAsia="宋体" w:cs="宋体"/>
          <w:sz w:val="24"/>
        </w:rPr>
        <w:t>商品表存储商品的详细信息。</w:t>
      </w:r>
    </w:p>
    <w:p w14:paraId="67AFF5C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表3-6 商品表</w:t>
      </w:r>
    </w:p>
    <w:tbl>
      <w:tblPr>
        <w:tblStyle w:val="35"/>
        <w:tblW w:w="0" w:type="auto"/>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autofit"/>
        <w:tblCellMar>
          <w:top w:w="0" w:type="dxa"/>
          <w:left w:w="0" w:type="dxa"/>
          <w:bottom w:w="0" w:type="dxa"/>
          <w:right w:w="0" w:type="dxa"/>
        </w:tblCellMar>
      </w:tblPr>
      <w:tblGrid>
        <w:gridCol w:w="1580"/>
        <w:gridCol w:w="1460"/>
        <w:gridCol w:w="740"/>
        <w:gridCol w:w="1220"/>
        <w:gridCol w:w="740"/>
        <w:gridCol w:w="2300"/>
      </w:tblGrid>
      <w:tr w14:paraId="5859CCF7">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75066637">
            <w:pPr>
              <w:spacing w:line="440" w:lineRule="exact"/>
              <w:rPr>
                <w:rFonts w:ascii="宋体" w:hAnsi="宋体" w:cs="宋体"/>
                <w:sz w:val="24"/>
              </w:rPr>
            </w:pPr>
            <w:r>
              <w:rPr>
                <w:rFonts w:ascii="宋体" w:hAnsi="宋体" w:eastAsia="宋体" w:cs="宋体"/>
                <w:sz w:val="24"/>
              </w:rPr>
              <w:t>字段名称</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041C606">
            <w:pPr>
              <w:spacing w:line="440" w:lineRule="exact"/>
              <w:rPr>
                <w:rFonts w:ascii="宋体" w:hAnsi="宋体" w:cs="宋体"/>
                <w:sz w:val="24"/>
              </w:rPr>
            </w:pPr>
            <w:r>
              <w:rPr>
                <w:rFonts w:ascii="宋体" w:hAnsi="宋体" w:eastAsia="宋体" w:cs="宋体"/>
                <w:sz w:val="24"/>
              </w:rPr>
              <w:t>类型</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5A0B5E2">
            <w:pPr>
              <w:spacing w:line="440" w:lineRule="exact"/>
              <w:rPr>
                <w:rFonts w:ascii="宋体" w:hAnsi="宋体" w:cs="宋体"/>
                <w:sz w:val="24"/>
              </w:rPr>
            </w:pPr>
            <w:r>
              <w:rPr>
                <w:rFonts w:ascii="宋体" w:hAnsi="宋体" w:eastAsia="宋体" w:cs="宋体"/>
                <w:sz w:val="24"/>
              </w:rPr>
              <w:t>长度</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367AFDCA">
            <w:pPr>
              <w:spacing w:line="440" w:lineRule="exact"/>
              <w:rPr>
                <w:rFonts w:ascii="宋体" w:hAnsi="宋体" w:cs="宋体"/>
                <w:sz w:val="24"/>
              </w:rPr>
            </w:pPr>
            <w:r>
              <w:rPr>
                <w:rFonts w:ascii="宋体" w:hAnsi="宋体" w:eastAsia="宋体" w:cs="宋体"/>
                <w:sz w:val="24"/>
              </w:rPr>
              <w:t>字段说明</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3388A03B">
            <w:pPr>
              <w:spacing w:line="440" w:lineRule="exact"/>
              <w:rPr>
                <w:rFonts w:ascii="宋体" w:hAnsi="宋体" w:cs="宋体"/>
                <w:sz w:val="24"/>
              </w:rPr>
            </w:pPr>
            <w:r>
              <w:rPr>
                <w:rFonts w:ascii="宋体" w:hAnsi="宋体" w:eastAsia="宋体" w:cs="宋体"/>
                <w:sz w:val="24"/>
              </w:rPr>
              <w:t>主键</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E80E02D">
            <w:pPr>
              <w:spacing w:line="440" w:lineRule="exact"/>
              <w:rPr>
                <w:rFonts w:ascii="宋体" w:hAnsi="宋体" w:cs="宋体"/>
                <w:sz w:val="24"/>
              </w:rPr>
            </w:pPr>
            <w:r>
              <w:rPr>
                <w:rFonts w:ascii="宋体" w:hAnsi="宋体" w:eastAsia="宋体" w:cs="宋体"/>
                <w:sz w:val="24"/>
              </w:rPr>
              <w:t>默认值</w:t>
            </w:r>
          </w:p>
        </w:tc>
      </w:tr>
      <w:tr w14:paraId="521FC7DA">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89E4782">
            <w:pPr>
              <w:spacing w:line="440" w:lineRule="exact"/>
              <w:rPr>
                <w:rFonts w:ascii="宋体" w:hAnsi="宋体" w:cs="宋体"/>
                <w:sz w:val="24"/>
              </w:rPr>
            </w:pPr>
            <w:r>
              <w:rPr>
                <w:rFonts w:ascii="宋体" w:hAnsi="宋体" w:eastAsia="宋体" w:cs="宋体"/>
                <w:sz w:val="24"/>
              </w:rPr>
              <w:t>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42476AA3">
            <w:pPr>
              <w:spacing w:line="440" w:lineRule="exact"/>
              <w:rPr>
                <w:rFonts w:ascii="宋体" w:hAnsi="宋体" w:cs="宋体"/>
                <w:sz w:val="24"/>
              </w:rPr>
            </w:pPr>
            <w:r>
              <w:rPr>
                <w:rFonts w:ascii="宋体" w:hAnsi="宋体" w:eastAsia="宋体" w:cs="宋体"/>
                <w:sz w:val="24"/>
              </w:rPr>
              <w:t>varchar</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2CC2256">
            <w:pPr>
              <w:spacing w:line="440" w:lineRule="exact"/>
              <w:rPr>
                <w:rFonts w:ascii="宋体" w:hAnsi="宋体" w:cs="宋体"/>
                <w:sz w:val="24"/>
              </w:rPr>
            </w:pPr>
            <w:r>
              <w:rPr>
                <w:rFonts w:ascii="宋体" w:hAnsi="宋体" w:eastAsia="宋体" w:cs="宋体"/>
                <w:sz w:val="24"/>
              </w:rPr>
              <w:t>50</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AD7AE8D">
            <w:pPr>
              <w:spacing w:line="440" w:lineRule="exact"/>
              <w:rPr>
                <w:rFonts w:ascii="宋体" w:hAnsi="宋体" w:cs="宋体"/>
                <w:sz w:val="24"/>
              </w:rPr>
            </w:pPr>
            <w:r>
              <w:rPr>
                <w:rFonts w:ascii="宋体" w:hAnsi="宋体" w:eastAsia="宋体" w:cs="宋体"/>
                <w:sz w:val="24"/>
              </w:rPr>
              <w:t>商品ID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77F7B5D">
            <w:pPr>
              <w:spacing w:line="440" w:lineRule="exact"/>
              <w:rPr>
                <w:rFonts w:ascii="宋体" w:hAnsi="宋体" w:cs="宋体"/>
                <w:sz w:val="24"/>
              </w:rPr>
            </w:pPr>
            <w:r>
              <w:rPr>
                <w:rFonts w:ascii="宋体" w:hAnsi="宋体" w:eastAsia="宋体" w:cs="宋体"/>
                <w:sz w:val="24"/>
              </w:rPr>
              <w:t>是</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D674CE0">
            <w:pPr>
              <w:spacing w:line="440" w:lineRule="exact"/>
              <w:rPr>
                <w:rFonts w:ascii="宋体" w:hAnsi="宋体" w:cs="宋体"/>
                <w:sz w:val="24"/>
              </w:rPr>
            </w:pPr>
          </w:p>
        </w:tc>
      </w:tr>
      <w:tr w14:paraId="7C3F5EE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9D0E9A6">
            <w:pPr>
              <w:spacing w:line="440" w:lineRule="exact"/>
              <w:rPr>
                <w:rFonts w:ascii="宋体" w:hAnsi="宋体" w:cs="宋体"/>
                <w:sz w:val="24"/>
              </w:rPr>
            </w:pPr>
            <w:r>
              <w:rPr>
                <w:rFonts w:ascii="宋体" w:hAnsi="宋体" w:eastAsia="宋体" w:cs="宋体"/>
                <w:sz w:val="24"/>
              </w:rPr>
              <w:t>title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466F359">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3375348">
            <w:pPr>
              <w:spacing w:line="440" w:lineRule="exact"/>
              <w:rPr>
                <w:rFonts w:ascii="宋体" w:hAnsi="宋体" w:cs="宋体"/>
                <w:sz w:val="24"/>
              </w:rPr>
            </w:pPr>
            <w:r>
              <w:rPr>
                <w:rFonts w:ascii="宋体" w:hAnsi="宋体" w:eastAsia="宋体" w:cs="宋体"/>
                <w:sz w:val="24"/>
              </w:rPr>
              <w:t>200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8BE5567">
            <w:pPr>
              <w:spacing w:line="440" w:lineRule="exact"/>
              <w:rPr>
                <w:rFonts w:ascii="宋体" w:hAnsi="宋体" w:cs="宋体"/>
                <w:sz w:val="24"/>
              </w:rPr>
            </w:pPr>
            <w:r>
              <w:rPr>
                <w:rFonts w:ascii="宋体" w:hAnsi="宋体" w:eastAsia="宋体" w:cs="宋体"/>
                <w:sz w:val="24"/>
              </w:rPr>
              <w:t>商品标题</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46321DE">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9E6F928">
            <w:pPr>
              <w:spacing w:line="440" w:lineRule="exact"/>
              <w:rPr>
                <w:rFonts w:ascii="宋体" w:hAnsi="宋体" w:cs="宋体"/>
                <w:sz w:val="24"/>
              </w:rPr>
            </w:pPr>
          </w:p>
        </w:tc>
      </w:tr>
      <w:tr w14:paraId="5DB70435">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30A1FEF">
            <w:pPr>
              <w:spacing w:line="440" w:lineRule="exact"/>
              <w:rPr>
                <w:rFonts w:ascii="宋体" w:hAnsi="宋体" w:cs="宋体"/>
                <w:sz w:val="24"/>
              </w:rPr>
            </w:pPr>
            <w:r>
              <w:rPr>
                <w:rFonts w:ascii="宋体" w:hAnsi="宋体" w:eastAsia="宋体" w:cs="宋体"/>
                <w:sz w:val="24"/>
              </w:rPr>
              <w:t>subtitle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AEB93D6">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9FD7B39">
            <w:pPr>
              <w:spacing w:line="440" w:lineRule="exact"/>
              <w:rPr>
                <w:rFonts w:ascii="宋体" w:hAnsi="宋体" w:cs="宋体"/>
                <w:sz w:val="24"/>
              </w:rPr>
            </w:pPr>
            <w:r>
              <w:rPr>
                <w:rFonts w:ascii="宋体" w:hAnsi="宋体" w:eastAsia="宋体" w:cs="宋体"/>
                <w:sz w:val="24"/>
              </w:rPr>
              <w:t>255</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D257F1D">
            <w:pPr>
              <w:spacing w:line="440" w:lineRule="exact"/>
              <w:rPr>
                <w:rFonts w:ascii="宋体" w:hAnsi="宋体" w:cs="宋体"/>
                <w:sz w:val="24"/>
              </w:rPr>
            </w:pPr>
            <w:r>
              <w:rPr>
                <w:rFonts w:ascii="宋体" w:hAnsi="宋体" w:eastAsia="宋体" w:cs="宋体"/>
                <w:sz w:val="24"/>
              </w:rPr>
              <w:t>副标题</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24CBBF6">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A9F68E9">
            <w:pPr>
              <w:spacing w:line="440" w:lineRule="exact"/>
              <w:rPr>
                <w:rFonts w:ascii="宋体" w:hAnsi="宋体" w:cs="宋体"/>
                <w:sz w:val="24"/>
              </w:rPr>
            </w:pPr>
          </w:p>
        </w:tc>
      </w:tr>
      <w:tr w14:paraId="00BE0B55">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5D0534C">
            <w:pPr>
              <w:spacing w:line="440" w:lineRule="exact"/>
              <w:rPr>
                <w:rFonts w:ascii="宋体" w:hAnsi="宋体" w:cs="宋体"/>
                <w:sz w:val="24"/>
              </w:rPr>
            </w:pPr>
            <w:r>
              <w:rPr>
                <w:rFonts w:ascii="宋体" w:hAnsi="宋体" w:eastAsia="宋体" w:cs="宋体"/>
                <w:sz w:val="24"/>
              </w:rPr>
              <w:t>price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5662AD8">
            <w:pPr>
              <w:spacing w:line="440" w:lineRule="exact"/>
              <w:rPr>
                <w:rFonts w:ascii="宋体" w:hAnsi="宋体" w:cs="宋体"/>
                <w:sz w:val="24"/>
              </w:rPr>
            </w:pPr>
            <w:r>
              <w:rPr>
                <w:rFonts w:ascii="宋体" w:hAnsi="宋体" w:eastAsia="宋体" w:cs="宋体"/>
                <w:sz w:val="24"/>
              </w:rPr>
              <w:t>decimal</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A633B42">
            <w:pPr>
              <w:spacing w:line="440" w:lineRule="exact"/>
              <w:rPr>
                <w:rFonts w:ascii="宋体" w:hAnsi="宋体" w:cs="宋体"/>
                <w:sz w:val="24"/>
              </w:rPr>
            </w:pPr>
            <w:r>
              <w:rPr>
                <w:rFonts w:ascii="宋体" w:hAnsi="宋体" w:eastAsia="宋体" w:cs="宋体"/>
                <w:sz w:val="24"/>
              </w:rPr>
              <w:t>10,2</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81E944E">
            <w:pPr>
              <w:spacing w:line="440" w:lineRule="exact"/>
              <w:rPr>
                <w:rFonts w:ascii="宋体" w:hAnsi="宋体" w:cs="宋体"/>
                <w:sz w:val="24"/>
              </w:rPr>
            </w:pPr>
            <w:r>
              <w:rPr>
                <w:rFonts w:ascii="宋体" w:hAnsi="宋体" w:eastAsia="宋体" w:cs="宋体"/>
                <w:sz w:val="24"/>
              </w:rPr>
              <w:t>价格</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6E6A823">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30624F6">
            <w:pPr>
              <w:spacing w:line="440" w:lineRule="exact"/>
              <w:rPr>
                <w:rFonts w:ascii="宋体" w:hAnsi="宋体" w:cs="宋体"/>
                <w:sz w:val="24"/>
              </w:rPr>
            </w:pPr>
          </w:p>
        </w:tc>
      </w:tr>
      <w:tr w14:paraId="730FB97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82CD51A">
            <w:pPr>
              <w:spacing w:line="440" w:lineRule="exact"/>
              <w:rPr>
                <w:rFonts w:ascii="宋体" w:hAnsi="宋体" w:cs="宋体"/>
                <w:sz w:val="24"/>
              </w:rPr>
            </w:pPr>
            <w:r>
              <w:rPr>
                <w:rFonts w:ascii="宋体" w:hAnsi="宋体" w:eastAsia="宋体" w:cs="宋体"/>
                <w:sz w:val="24"/>
              </w:rPr>
              <w:t>stock</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93B6A98">
            <w:pPr>
              <w:spacing w:line="440" w:lineRule="exact"/>
              <w:rPr>
                <w:rFonts w:ascii="宋体" w:hAnsi="宋体" w:cs="宋体"/>
                <w:sz w:val="24"/>
              </w:rPr>
            </w:pPr>
            <w:r>
              <w:rPr>
                <w:rFonts w:ascii="宋体" w:hAnsi="宋体" w:eastAsia="宋体" w:cs="宋体"/>
                <w:sz w:val="24"/>
              </w:rPr>
              <w:t>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46026C5">
            <w:pPr>
              <w:spacing w:line="440" w:lineRule="exact"/>
              <w:rPr>
                <w:rFonts w:ascii="宋体" w:hAnsi="宋体" w:cs="宋体"/>
                <w:sz w:val="24"/>
              </w:rPr>
            </w:pPr>
            <w:r>
              <w:rPr>
                <w:rFonts w:ascii="宋体" w:hAnsi="宋体" w:eastAsia="宋体" w:cs="宋体"/>
                <w:sz w:val="24"/>
              </w:rPr>
              <w:t>11</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47A346D">
            <w:pPr>
              <w:spacing w:line="440" w:lineRule="exact"/>
              <w:rPr>
                <w:rFonts w:ascii="宋体" w:hAnsi="宋体" w:cs="宋体"/>
                <w:sz w:val="24"/>
              </w:rPr>
            </w:pPr>
            <w:r>
              <w:rPr>
                <w:rFonts w:ascii="宋体" w:hAnsi="宋体" w:eastAsia="宋体" w:cs="宋体"/>
                <w:sz w:val="24"/>
              </w:rPr>
              <w:t>库存</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1A4EA92">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AFC2B0D">
            <w:pPr>
              <w:spacing w:line="440" w:lineRule="exact"/>
              <w:rPr>
                <w:rFonts w:ascii="宋体" w:hAnsi="宋体" w:cs="宋体"/>
                <w:sz w:val="24"/>
              </w:rPr>
            </w:pPr>
            <w:r>
              <w:rPr>
                <w:rFonts w:ascii="宋体" w:hAnsi="宋体" w:eastAsia="宋体" w:cs="宋体"/>
                <w:sz w:val="24"/>
              </w:rPr>
              <w:t>0</w:t>
            </w:r>
          </w:p>
        </w:tc>
      </w:tr>
      <w:tr w14:paraId="20BDD4FB">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BF4E504">
            <w:pPr>
              <w:spacing w:line="440" w:lineRule="exact"/>
              <w:rPr>
                <w:rFonts w:ascii="宋体" w:hAnsi="宋体" w:cs="宋体"/>
                <w:sz w:val="24"/>
              </w:rPr>
            </w:pPr>
            <w:r>
              <w:rPr>
                <w:rFonts w:ascii="宋体" w:hAnsi="宋体" w:eastAsia="宋体" w:cs="宋体"/>
                <w:sz w:val="24"/>
              </w:rPr>
              <w:t>category_id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F95E2A7">
            <w:pPr>
              <w:spacing w:line="440" w:lineRule="exact"/>
              <w:rPr>
                <w:rFonts w:ascii="宋体" w:hAnsi="宋体" w:cs="宋体"/>
                <w:sz w:val="24"/>
              </w:rPr>
            </w:pPr>
            <w:r>
              <w:rPr>
                <w:rFonts w:ascii="宋体" w:hAnsi="宋体" w:eastAsia="宋体" w:cs="宋体"/>
                <w:sz w:val="24"/>
              </w:rPr>
              <w:t>bigint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C430267">
            <w:pPr>
              <w:spacing w:line="440" w:lineRule="exact"/>
              <w:rPr>
                <w:rFonts w:ascii="宋体" w:hAnsi="宋体" w:cs="宋体"/>
                <w:sz w:val="24"/>
              </w:rPr>
            </w:pPr>
            <w:r>
              <w:rPr>
                <w:rFonts w:ascii="宋体" w:hAnsi="宋体" w:eastAsia="宋体" w:cs="宋体"/>
                <w:sz w:val="24"/>
              </w:rPr>
              <w:t>20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46DE2F6">
            <w:pPr>
              <w:spacing w:line="440" w:lineRule="exact"/>
              <w:rPr>
                <w:rFonts w:ascii="宋体" w:hAnsi="宋体" w:cs="宋体"/>
                <w:sz w:val="24"/>
              </w:rPr>
            </w:pPr>
            <w:r>
              <w:rPr>
                <w:rFonts w:ascii="宋体" w:hAnsi="宋体" w:eastAsia="宋体" w:cs="宋体"/>
                <w:sz w:val="24"/>
              </w:rPr>
              <w:t>分类ID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361E30C">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DF814F0">
            <w:pPr>
              <w:spacing w:line="440" w:lineRule="exact"/>
              <w:rPr>
                <w:rFonts w:ascii="宋体" w:hAnsi="宋体" w:cs="宋体"/>
                <w:sz w:val="24"/>
              </w:rPr>
            </w:pPr>
          </w:p>
        </w:tc>
      </w:tr>
      <w:tr w14:paraId="71BCF183">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7584BF4">
            <w:pPr>
              <w:spacing w:line="440" w:lineRule="exact"/>
              <w:rPr>
                <w:rFonts w:ascii="宋体" w:hAnsi="宋体" w:cs="宋体"/>
                <w:sz w:val="24"/>
              </w:rPr>
            </w:pPr>
            <w:r>
              <w:rPr>
                <w:rFonts w:ascii="宋体" w:hAnsi="宋体" w:eastAsia="宋体" w:cs="宋体"/>
                <w:sz w:val="24"/>
              </w:rPr>
              <w:t>description</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C3799A1">
            <w:pPr>
              <w:spacing w:line="440" w:lineRule="exact"/>
              <w:rPr>
                <w:rFonts w:ascii="宋体" w:hAnsi="宋体" w:cs="宋体"/>
                <w:sz w:val="24"/>
              </w:rPr>
            </w:pPr>
            <w:r>
              <w:rPr>
                <w:rFonts w:ascii="宋体" w:hAnsi="宋体" w:eastAsia="宋体" w:cs="宋体"/>
                <w:sz w:val="24"/>
              </w:rPr>
              <w:t>mediumtext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FE890AD">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AA7E9EE">
            <w:pPr>
              <w:spacing w:line="440" w:lineRule="exact"/>
              <w:rPr>
                <w:rFonts w:ascii="宋体" w:hAnsi="宋体" w:cs="宋体"/>
                <w:sz w:val="24"/>
              </w:rPr>
            </w:pPr>
            <w:r>
              <w:rPr>
                <w:rFonts w:ascii="宋体" w:hAnsi="宋体" w:eastAsia="宋体" w:cs="宋体"/>
                <w:sz w:val="24"/>
              </w:rPr>
              <w:t>商品描述</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56ACEE8">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875F07E">
            <w:pPr>
              <w:spacing w:line="440" w:lineRule="exact"/>
              <w:rPr>
                <w:rFonts w:ascii="宋体" w:hAnsi="宋体" w:cs="宋体"/>
                <w:sz w:val="24"/>
              </w:rPr>
            </w:pPr>
          </w:p>
        </w:tc>
      </w:tr>
      <w:tr w14:paraId="17BC367B">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72957C5">
            <w:pPr>
              <w:spacing w:line="440" w:lineRule="exact"/>
              <w:rPr>
                <w:rFonts w:ascii="宋体" w:hAnsi="宋体" w:cs="宋体"/>
                <w:sz w:val="24"/>
              </w:rPr>
            </w:pPr>
            <w:r>
              <w:rPr>
                <w:rFonts w:ascii="宋体" w:hAnsi="宋体" w:eastAsia="宋体" w:cs="宋体"/>
                <w:sz w:val="24"/>
              </w:rPr>
              <w:t>status</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A4439B9">
            <w:pPr>
              <w:spacing w:line="440" w:lineRule="exact"/>
              <w:rPr>
                <w:rFonts w:ascii="宋体" w:hAnsi="宋体" w:cs="宋体"/>
                <w:sz w:val="24"/>
              </w:rPr>
            </w:pPr>
            <w:r>
              <w:rPr>
                <w:rFonts w:ascii="宋体" w:hAnsi="宋体" w:eastAsia="宋体" w:cs="宋体"/>
                <w:sz w:val="24"/>
              </w:rPr>
              <w:t>tinyint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576B00F">
            <w:pPr>
              <w:spacing w:line="440" w:lineRule="exact"/>
              <w:rPr>
                <w:rFonts w:ascii="宋体" w:hAnsi="宋体" w:cs="宋体"/>
                <w:sz w:val="24"/>
              </w:rPr>
            </w:pPr>
            <w:r>
              <w:rPr>
                <w:rFonts w:ascii="宋体" w:hAnsi="宋体" w:eastAsia="宋体" w:cs="宋体"/>
                <w:sz w:val="24"/>
              </w:rPr>
              <w:t>1</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17883E9">
            <w:pPr>
              <w:spacing w:line="440" w:lineRule="exact"/>
              <w:rPr>
                <w:rFonts w:ascii="宋体" w:hAnsi="宋体" w:cs="宋体"/>
                <w:sz w:val="24"/>
              </w:rPr>
            </w:pPr>
            <w:r>
              <w:rPr>
                <w:rFonts w:ascii="宋体" w:hAnsi="宋体" w:eastAsia="宋体" w:cs="宋体"/>
                <w:sz w:val="24"/>
              </w:rPr>
              <w:t>状态</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4D0F4E1">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5532423">
            <w:pPr>
              <w:spacing w:line="440" w:lineRule="exact"/>
              <w:rPr>
                <w:rFonts w:ascii="宋体" w:hAnsi="宋体" w:cs="宋体"/>
                <w:sz w:val="24"/>
              </w:rPr>
            </w:pPr>
            <w:r>
              <w:rPr>
                <w:rFonts w:ascii="宋体" w:hAnsi="宋体" w:eastAsia="宋体" w:cs="宋体"/>
                <w:sz w:val="24"/>
              </w:rPr>
              <w:t>0</w:t>
            </w:r>
          </w:p>
        </w:tc>
      </w:tr>
      <w:tr w14:paraId="611693B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CE1E4BD">
            <w:pPr>
              <w:spacing w:line="440" w:lineRule="exact"/>
              <w:rPr>
                <w:rFonts w:ascii="宋体" w:hAnsi="宋体" w:cs="宋体"/>
                <w:sz w:val="24"/>
              </w:rPr>
            </w:pPr>
            <w:r>
              <w:rPr>
                <w:rFonts w:ascii="宋体" w:hAnsi="宋体" w:eastAsia="宋体" w:cs="宋体"/>
                <w:sz w:val="24"/>
              </w:rPr>
              <w:t>create_time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B315677">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0CCC730">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97A8AAB">
            <w:pPr>
              <w:spacing w:line="440" w:lineRule="exact"/>
              <w:rPr>
                <w:rFonts w:ascii="宋体" w:hAnsi="宋体" w:cs="宋体"/>
                <w:sz w:val="24"/>
              </w:rPr>
            </w:pPr>
            <w:r>
              <w:rPr>
                <w:rFonts w:ascii="宋体" w:hAnsi="宋体" w:eastAsia="宋体" w:cs="宋体"/>
                <w:sz w:val="24"/>
              </w:rPr>
              <w:t>创建时间</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8B5BA58">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3503861">
            <w:pPr>
              <w:spacing w:line="440" w:lineRule="exact"/>
              <w:rPr>
                <w:rFonts w:ascii="宋体" w:hAnsi="宋体" w:cs="宋体"/>
                <w:sz w:val="24"/>
              </w:rPr>
            </w:pPr>
            <w:r>
              <w:rPr>
                <w:rFonts w:ascii="宋体" w:hAnsi="宋体" w:eastAsia="宋体" w:cs="宋体"/>
                <w:sz w:val="24"/>
              </w:rPr>
              <w:t>CURRENT_TIMESTAMP</w:t>
            </w:r>
          </w:p>
        </w:tc>
      </w:tr>
      <w:tr w14:paraId="4E4B293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726194AD">
            <w:pPr>
              <w:spacing w:line="440" w:lineRule="exact"/>
              <w:rPr>
                <w:rFonts w:ascii="宋体" w:hAnsi="宋体" w:cs="宋体"/>
                <w:sz w:val="24"/>
              </w:rPr>
            </w:pPr>
            <w:r>
              <w:rPr>
                <w:rFonts w:ascii="宋体" w:hAnsi="宋体" w:eastAsia="宋体" w:cs="宋体"/>
                <w:sz w:val="24"/>
              </w:rPr>
              <w:t>update_time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CDA029D">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C912086">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6B2E907">
            <w:pPr>
              <w:spacing w:line="440" w:lineRule="exact"/>
              <w:rPr>
                <w:rFonts w:ascii="宋体" w:hAnsi="宋体" w:cs="宋体"/>
                <w:sz w:val="24"/>
              </w:rPr>
            </w:pPr>
            <w:r>
              <w:rPr>
                <w:rFonts w:ascii="宋体" w:hAnsi="宋体" w:eastAsia="宋体" w:cs="宋体"/>
                <w:sz w:val="24"/>
              </w:rPr>
              <w:t>更新时间</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5F007F3">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09CDE0C">
            <w:pPr>
              <w:spacing w:line="440" w:lineRule="exact"/>
              <w:rPr>
                <w:rFonts w:ascii="宋体" w:hAnsi="宋体" w:cs="宋体"/>
                <w:sz w:val="24"/>
              </w:rPr>
            </w:pPr>
            <w:r>
              <w:rPr>
                <w:rFonts w:ascii="宋体" w:hAnsi="宋体" w:eastAsia="宋体" w:cs="宋体"/>
                <w:sz w:val="24"/>
              </w:rPr>
              <w:t>CURRENT_TIMESTAMP</w:t>
            </w:r>
          </w:p>
        </w:tc>
      </w:tr>
    </w:tbl>
    <w:p w14:paraId="423BC1F7">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7</w:t>
      </w:r>
      <w:r>
        <w:rPr>
          <w:rFonts w:hint="eastAsia" w:ascii="宋体" w:hAnsi="宋体" w:eastAsia="宋体" w:cs="宋体"/>
          <w:sz w:val="24"/>
          <w:lang w:eastAsia="zh-CN"/>
        </w:rPr>
        <w:t>）</w:t>
      </w:r>
      <w:r>
        <w:rPr>
          <w:rFonts w:ascii="宋体" w:hAnsi="宋体" w:eastAsia="宋体" w:cs="宋体"/>
          <w:sz w:val="24"/>
        </w:rPr>
        <w:t>shop_order(订单表)</w:t>
      </w:r>
    </w:p>
    <w:p w14:paraId="335F5839">
      <w:pPr>
        <w:spacing w:line="440" w:lineRule="exact"/>
        <w:ind w:firstLine="480" w:firstLineChars="200"/>
        <w:rPr>
          <w:rFonts w:ascii="宋体" w:hAnsi="宋体" w:eastAsia="宋体" w:cs="宋体"/>
          <w:sz w:val="24"/>
        </w:rPr>
      </w:pPr>
      <w:r>
        <w:rPr>
          <w:rFonts w:ascii="宋体" w:hAnsi="宋体" w:eastAsia="宋体" w:cs="宋体"/>
          <w:sz w:val="24"/>
        </w:rPr>
        <w:t>订单表存储用户的订单信息。</w:t>
      </w:r>
    </w:p>
    <w:p w14:paraId="46C68B4E">
      <w:pPr>
        <w:spacing w:line="440" w:lineRule="exact"/>
        <w:ind w:firstLine="480" w:firstLineChars="200"/>
        <w:rPr>
          <w:rFonts w:ascii="宋体" w:hAnsi="宋体" w:eastAsia="宋体" w:cs="宋体"/>
          <w:sz w:val="24"/>
        </w:rPr>
      </w:pPr>
    </w:p>
    <w:p w14:paraId="6DCDFABA">
      <w:pPr>
        <w:spacing w:line="440" w:lineRule="exact"/>
        <w:ind w:firstLine="480" w:firstLineChars="200"/>
        <w:rPr>
          <w:rFonts w:ascii="宋体" w:hAnsi="宋体" w:eastAsia="宋体" w:cs="宋体"/>
          <w:sz w:val="24"/>
        </w:rPr>
      </w:pPr>
    </w:p>
    <w:p w14:paraId="42F6744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表3-7 订单表</w:t>
      </w:r>
    </w:p>
    <w:tbl>
      <w:tblPr>
        <w:tblStyle w:val="35"/>
        <w:tblW w:w="0" w:type="auto"/>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autofit"/>
        <w:tblCellMar>
          <w:top w:w="0" w:type="dxa"/>
          <w:left w:w="0" w:type="dxa"/>
          <w:bottom w:w="0" w:type="dxa"/>
          <w:right w:w="0" w:type="dxa"/>
        </w:tblCellMar>
      </w:tblPr>
      <w:tblGrid>
        <w:gridCol w:w="2180"/>
        <w:gridCol w:w="1220"/>
        <w:gridCol w:w="740"/>
        <w:gridCol w:w="1220"/>
        <w:gridCol w:w="740"/>
        <w:gridCol w:w="2300"/>
      </w:tblGrid>
      <w:tr w14:paraId="0F4A5FEC">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084D52C9">
            <w:pPr>
              <w:spacing w:line="440" w:lineRule="exact"/>
              <w:rPr>
                <w:rFonts w:ascii="宋体" w:hAnsi="宋体" w:cs="宋体"/>
                <w:sz w:val="24"/>
              </w:rPr>
            </w:pPr>
            <w:r>
              <w:rPr>
                <w:rFonts w:ascii="宋体" w:hAnsi="宋体" w:eastAsia="宋体" w:cs="宋体"/>
                <w:sz w:val="24"/>
              </w:rPr>
              <w:t>字段名称</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566CABF">
            <w:pPr>
              <w:spacing w:line="440" w:lineRule="exact"/>
              <w:rPr>
                <w:rFonts w:ascii="宋体" w:hAnsi="宋体" w:cs="宋体"/>
                <w:sz w:val="24"/>
              </w:rPr>
            </w:pPr>
            <w:r>
              <w:rPr>
                <w:rFonts w:ascii="宋体" w:hAnsi="宋体" w:eastAsia="宋体" w:cs="宋体"/>
                <w:sz w:val="24"/>
              </w:rPr>
              <w:t>类型</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411E451">
            <w:pPr>
              <w:spacing w:line="440" w:lineRule="exact"/>
              <w:rPr>
                <w:rFonts w:ascii="宋体" w:hAnsi="宋体" w:cs="宋体"/>
                <w:sz w:val="24"/>
              </w:rPr>
            </w:pPr>
            <w:r>
              <w:rPr>
                <w:rFonts w:ascii="宋体" w:hAnsi="宋体" w:eastAsia="宋体" w:cs="宋体"/>
                <w:sz w:val="24"/>
              </w:rPr>
              <w:t>长度</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146567D0">
            <w:pPr>
              <w:spacing w:line="440" w:lineRule="exact"/>
              <w:rPr>
                <w:rFonts w:ascii="宋体" w:hAnsi="宋体" w:cs="宋体"/>
                <w:sz w:val="24"/>
              </w:rPr>
            </w:pPr>
            <w:r>
              <w:rPr>
                <w:rFonts w:ascii="宋体" w:hAnsi="宋体" w:eastAsia="宋体" w:cs="宋体"/>
                <w:sz w:val="24"/>
              </w:rPr>
              <w:t>字段说明</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0BAF73EE">
            <w:pPr>
              <w:spacing w:line="440" w:lineRule="exact"/>
              <w:rPr>
                <w:rFonts w:ascii="宋体" w:hAnsi="宋体" w:cs="宋体"/>
                <w:sz w:val="24"/>
              </w:rPr>
            </w:pPr>
            <w:r>
              <w:rPr>
                <w:rFonts w:ascii="宋体" w:hAnsi="宋体" w:eastAsia="宋体" w:cs="宋体"/>
                <w:sz w:val="24"/>
              </w:rPr>
              <w:t>主键</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3748E34">
            <w:pPr>
              <w:spacing w:line="440" w:lineRule="exact"/>
              <w:rPr>
                <w:rFonts w:ascii="宋体" w:hAnsi="宋体" w:cs="宋体"/>
                <w:sz w:val="24"/>
              </w:rPr>
            </w:pPr>
            <w:r>
              <w:rPr>
                <w:rFonts w:ascii="宋体" w:hAnsi="宋体" w:eastAsia="宋体" w:cs="宋体"/>
                <w:sz w:val="24"/>
              </w:rPr>
              <w:t>默认值</w:t>
            </w:r>
          </w:p>
        </w:tc>
      </w:tr>
      <w:tr w14:paraId="686E8E65">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2CC9BFF">
            <w:pPr>
              <w:spacing w:line="440" w:lineRule="exact"/>
              <w:rPr>
                <w:rFonts w:ascii="宋体" w:hAnsi="宋体" w:cs="宋体"/>
                <w:sz w:val="24"/>
              </w:rPr>
            </w:pPr>
            <w:r>
              <w:rPr>
                <w:rFonts w:ascii="宋体" w:hAnsi="宋体" w:eastAsia="宋体" w:cs="宋体"/>
                <w:sz w:val="24"/>
              </w:rPr>
              <w:t>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D9FB0FA">
            <w:pPr>
              <w:spacing w:line="440" w:lineRule="exact"/>
              <w:rPr>
                <w:rFonts w:ascii="宋体" w:hAnsi="宋体" w:cs="宋体"/>
                <w:sz w:val="24"/>
              </w:rPr>
            </w:pPr>
            <w:r>
              <w:rPr>
                <w:rFonts w:ascii="宋体" w:hAnsi="宋体" w:eastAsia="宋体" w:cs="宋体"/>
                <w:sz w:val="24"/>
              </w:rPr>
              <w:t>bigint</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A43AA44">
            <w:pPr>
              <w:spacing w:line="440" w:lineRule="exact"/>
              <w:rPr>
                <w:rFonts w:ascii="宋体" w:hAnsi="宋体" w:cs="宋体"/>
                <w:sz w:val="24"/>
              </w:rPr>
            </w:pPr>
            <w:r>
              <w:rPr>
                <w:rFonts w:ascii="宋体" w:hAnsi="宋体" w:eastAsia="宋体" w:cs="宋体"/>
                <w:sz w:val="24"/>
              </w:rPr>
              <w:t>20</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5D95631">
            <w:pPr>
              <w:spacing w:line="440" w:lineRule="exact"/>
              <w:rPr>
                <w:rFonts w:ascii="宋体" w:hAnsi="宋体" w:cs="宋体"/>
                <w:sz w:val="24"/>
              </w:rPr>
            </w:pPr>
            <w:r>
              <w:rPr>
                <w:rFonts w:ascii="宋体" w:hAnsi="宋体" w:eastAsia="宋体" w:cs="宋体"/>
                <w:sz w:val="24"/>
              </w:rPr>
              <w:t>订单ID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ED058F9">
            <w:pPr>
              <w:spacing w:line="440" w:lineRule="exact"/>
              <w:rPr>
                <w:rFonts w:ascii="宋体" w:hAnsi="宋体" w:cs="宋体"/>
                <w:sz w:val="24"/>
              </w:rPr>
            </w:pPr>
            <w:r>
              <w:rPr>
                <w:rFonts w:ascii="宋体" w:hAnsi="宋体" w:eastAsia="宋体" w:cs="宋体"/>
                <w:sz w:val="24"/>
              </w:rPr>
              <w:t>是</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E73472C">
            <w:pPr>
              <w:spacing w:line="440" w:lineRule="exact"/>
              <w:rPr>
                <w:rFonts w:ascii="宋体" w:hAnsi="宋体" w:cs="宋体"/>
                <w:sz w:val="24"/>
              </w:rPr>
            </w:pPr>
            <w:r>
              <w:rPr>
                <w:rFonts w:ascii="宋体" w:hAnsi="宋体" w:eastAsia="宋体" w:cs="宋体"/>
                <w:sz w:val="24"/>
              </w:rPr>
              <w:t>自增</w:t>
            </w:r>
          </w:p>
        </w:tc>
      </w:tr>
      <w:tr w14:paraId="411826D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EA9FEE9">
            <w:pPr>
              <w:spacing w:line="440" w:lineRule="exact"/>
              <w:rPr>
                <w:rFonts w:ascii="宋体" w:hAnsi="宋体" w:cs="宋体"/>
                <w:sz w:val="24"/>
              </w:rPr>
            </w:pPr>
            <w:r>
              <w:rPr>
                <w:rFonts w:ascii="宋体" w:hAnsi="宋体" w:eastAsia="宋体" w:cs="宋体"/>
                <w:sz w:val="24"/>
              </w:rPr>
              <w:t>order_no</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F0FDD9E">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CB704D5">
            <w:pPr>
              <w:spacing w:line="440" w:lineRule="exact"/>
              <w:rPr>
                <w:rFonts w:ascii="宋体" w:hAnsi="宋体" w:cs="宋体"/>
                <w:sz w:val="24"/>
              </w:rPr>
            </w:pPr>
            <w:r>
              <w:rPr>
                <w:rFonts w:ascii="宋体" w:hAnsi="宋体" w:eastAsia="宋体" w:cs="宋体"/>
                <w:sz w:val="24"/>
              </w:rPr>
              <w:t>64</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E68617F">
            <w:pPr>
              <w:spacing w:line="440" w:lineRule="exact"/>
              <w:rPr>
                <w:rFonts w:ascii="宋体" w:hAnsi="宋体" w:cs="宋体"/>
                <w:sz w:val="24"/>
              </w:rPr>
            </w:pPr>
            <w:r>
              <w:rPr>
                <w:rFonts w:ascii="宋体" w:hAnsi="宋体" w:eastAsia="宋体" w:cs="宋体"/>
                <w:sz w:val="24"/>
              </w:rPr>
              <w:t>订单号</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7C0C022">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E61177B">
            <w:pPr>
              <w:spacing w:line="440" w:lineRule="exact"/>
              <w:rPr>
                <w:rFonts w:ascii="宋体" w:hAnsi="宋体" w:cs="宋体"/>
                <w:sz w:val="24"/>
              </w:rPr>
            </w:pPr>
          </w:p>
        </w:tc>
      </w:tr>
      <w:tr w14:paraId="4BEAC48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51BAAEE">
            <w:pPr>
              <w:spacing w:line="440" w:lineRule="exact"/>
              <w:rPr>
                <w:rFonts w:ascii="宋体" w:hAnsi="宋体" w:cs="宋体"/>
                <w:sz w:val="24"/>
              </w:rPr>
            </w:pPr>
            <w:r>
              <w:rPr>
                <w:rFonts w:ascii="宋体" w:hAnsi="宋体" w:eastAsia="宋体" w:cs="宋体"/>
                <w:sz w:val="24"/>
              </w:rPr>
              <w:t>user_id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69A1AB3">
            <w:pPr>
              <w:spacing w:line="440" w:lineRule="exact"/>
              <w:rPr>
                <w:rFonts w:ascii="宋体" w:hAnsi="宋体" w:cs="宋体"/>
                <w:sz w:val="24"/>
              </w:rPr>
            </w:pPr>
            <w:r>
              <w:rPr>
                <w:rFonts w:ascii="宋体" w:hAnsi="宋体" w:eastAsia="宋体" w:cs="宋体"/>
                <w:sz w:val="24"/>
              </w:rPr>
              <w:t>bigint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9612E1A">
            <w:pPr>
              <w:spacing w:line="440" w:lineRule="exact"/>
              <w:rPr>
                <w:rFonts w:ascii="宋体" w:hAnsi="宋体" w:cs="宋体"/>
                <w:sz w:val="24"/>
              </w:rPr>
            </w:pPr>
            <w:r>
              <w:rPr>
                <w:rFonts w:ascii="宋体" w:hAnsi="宋体" w:eastAsia="宋体" w:cs="宋体"/>
                <w:sz w:val="24"/>
              </w:rPr>
              <w:t>20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F51D1C3">
            <w:pPr>
              <w:spacing w:line="440" w:lineRule="exact"/>
              <w:rPr>
                <w:rFonts w:ascii="宋体" w:hAnsi="宋体" w:cs="宋体"/>
                <w:sz w:val="24"/>
              </w:rPr>
            </w:pPr>
            <w:r>
              <w:rPr>
                <w:rFonts w:ascii="宋体" w:hAnsi="宋体" w:eastAsia="宋体" w:cs="宋体"/>
                <w:sz w:val="24"/>
              </w:rPr>
              <w:t>用户ID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322E597">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0D6D3A9">
            <w:pPr>
              <w:spacing w:line="440" w:lineRule="exact"/>
              <w:rPr>
                <w:rFonts w:ascii="宋体" w:hAnsi="宋体" w:cs="宋体"/>
                <w:sz w:val="24"/>
              </w:rPr>
            </w:pPr>
          </w:p>
        </w:tc>
      </w:tr>
      <w:tr w14:paraId="0886234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A86115E">
            <w:pPr>
              <w:spacing w:line="440" w:lineRule="exact"/>
              <w:rPr>
                <w:rFonts w:ascii="宋体" w:hAnsi="宋体" w:cs="宋体"/>
                <w:sz w:val="24"/>
              </w:rPr>
            </w:pPr>
            <w:r>
              <w:rPr>
                <w:rFonts w:ascii="宋体" w:hAnsi="宋体" w:eastAsia="宋体" w:cs="宋体"/>
                <w:sz w:val="24"/>
              </w:rPr>
              <w:t>total_amount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E358638">
            <w:pPr>
              <w:spacing w:line="440" w:lineRule="exact"/>
              <w:rPr>
                <w:rFonts w:ascii="宋体" w:hAnsi="宋体" w:cs="宋体"/>
                <w:sz w:val="24"/>
              </w:rPr>
            </w:pPr>
            <w:r>
              <w:rPr>
                <w:rFonts w:ascii="宋体" w:hAnsi="宋体" w:eastAsia="宋体" w:cs="宋体"/>
                <w:sz w:val="24"/>
              </w:rPr>
              <w:t>decimal</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F0AAA18">
            <w:pPr>
              <w:spacing w:line="440" w:lineRule="exact"/>
              <w:rPr>
                <w:rFonts w:ascii="宋体" w:hAnsi="宋体" w:cs="宋体"/>
                <w:sz w:val="24"/>
              </w:rPr>
            </w:pPr>
            <w:r>
              <w:rPr>
                <w:rFonts w:ascii="宋体" w:hAnsi="宋体" w:eastAsia="宋体" w:cs="宋体"/>
                <w:sz w:val="24"/>
              </w:rPr>
              <w:t>10,2</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6C3EBBF">
            <w:pPr>
              <w:spacing w:line="440" w:lineRule="exact"/>
              <w:rPr>
                <w:rFonts w:ascii="宋体" w:hAnsi="宋体" w:cs="宋体"/>
                <w:sz w:val="24"/>
              </w:rPr>
            </w:pPr>
            <w:r>
              <w:rPr>
                <w:rFonts w:ascii="宋体" w:hAnsi="宋体" w:eastAsia="宋体" w:cs="宋体"/>
                <w:sz w:val="24"/>
              </w:rPr>
              <w:t>总金额</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382FFA8">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A5F3620">
            <w:pPr>
              <w:spacing w:line="440" w:lineRule="exact"/>
              <w:rPr>
                <w:rFonts w:ascii="宋体" w:hAnsi="宋体" w:cs="宋体"/>
                <w:sz w:val="24"/>
              </w:rPr>
            </w:pPr>
          </w:p>
        </w:tc>
      </w:tr>
      <w:tr w14:paraId="161431BD">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4032631">
            <w:pPr>
              <w:spacing w:line="440" w:lineRule="exact"/>
              <w:rPr>
                <w:rFonts w:ascii="宋体" w:hAnsi="宋体" w:cs="宋体"/>
                <w:sz w:val="24"/>
              </w:rPr>
            </w:pPr>
            <w:r>
              <w:rPr>
                <w:rFonts w:ascii="宋体" w:hAnsi="宋体" w:eastAsia="宋体" w:cs="宋体"/>
                <w:sz w:val="24"/>
              </w:rPr>
              <w:t>actual_amount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34A2BA4">
            <w:pPr>
              <w:spacing w:line="440" w:lineRule="exact"/>
              <w:rPr>
                <w:rFonts w:ascii="宋体" w:hAnsi="宋体" w:cs="宋体"/>
                <w:sz w:val="24"/>
              </w:rPr>
            </w:pPr>
            <w:r>
              <w:rPr>
                <w:rFonts w:ascii="宋体" w:hAnsi="宋体" w:eastAsia="宋体" w:cs="宋体"/>
                <w:sz w:val="24"/>
              </w:rPr>
              <w:t>decimal</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FD26A95">
            <w:pPr>
              <w:spacing w:line="440" w:lineRule="exact"/>
              <w:rPr>
                <w:rFonts w:ascii="宋体" w:hAnsi="宋体" w:cs="宋体"/>
                <w:sz w:val="24"/>
              </w:rPr>
            </w:pPr>
            <w:r>
              <w:rPr>
                <w:rFonts w:ascii="宋体" w:hAnsi="宋体" w:eastAsia="宋体" w:cs="宋体"/>
                <w:sz w:val="24"/>
              </w:rPr>
              <w:t>10,2</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C842A3A">
            <w:pPr>
              <w:spacing w:line="440" w:lineRule="exact"/>
              <w:rPr>
                <w:rFonts w:ascii="宋体" w:hAnsi="宋体" w:cs="宋体"/>
                <w:sz w:val="24"/>
              </w:rPr>
            </w:pPr>
            <w:r>
              <w:rPr>
                <w:rFonts w:ascii="宋体" w:hAnsi="宋体" w:eastAsia="宋体" w:cs="宋体"/>
                <w:sz w:val="24"/>
              </w:rPr>
              <w:t>实付金额</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E391123">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2FD3459">
            <w:pPr>
              <w:spacing w:line="440" w:lineRule="exact"/>
              <w:rPr>
                <w:rFonts w:ascii="宋体" w:hAnsi="宋体" w:cs="宋体"/>
                <w:sz w:val="24"/>
              </w:rPr>
            </w:pPr>
          </w:p>
        </w:tc>
      </w:tr>
      <w:tr w14:paraId="589C5260">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0E8A5B1">
            <w:pPr>
              <w:spacing w:line="440" w:lineRule="exact"/>
              <w:rPr>
                <w:rFonts w:ascii="宋体" w:hAnsi="宋体" w:cs="宋体"/>
                <w:sz w:val="24"/>
              </w:rPr>
            </w:pPr>
            <w:r>
              <w:rPr>
                <w:rFonts w:ascii="宋体" w:hAnsi="宋体" w:eastAsia="宋体" w:cs="宋体"/>
                <w:sz w:val="24"/>
              </w:rPr>
              <w:t>status</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0249956">
            <w:pPr>
              <w:spacing w:line="440" w:lineRule="exact"/>
              <w:rPr>
                <w:rFonts w:ascii="宋体" w:hAnsi="宋体" w:cs="宋体"/>
                <w:sz w:val="24"/>
              </w:rPr>
            </w:pPr>
            <w:r>
              <w:rPr>
                <w:rFonts w:ascii="宋体" w:hAnsi="宋体" w:eastAsia="宋体" w:cs="宋体"/>
                <w:sz w:val="24"/>
              </w:rPr>
              <w:t>tinyint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8DCBE05">
            <w:pPr>
              <w:spacing w:line="440" w:lineRule="exact"/>
              <w:rPr>
                <w:rFonts w:ascii="宋体" w:hAnsi="宋体" w:cs="宋体"/>
                <w:sz w:val="24"/>
              </w:rPr>
            </w:pPr>
            <w:r>
              <w:rPr>
                <w:rFonts w:ascii="宋体" w:hAnsi="宋体" w:eastAsia="宋体" w:cs="宋体"/>
                <w:sz w:val="24"/>
              </w:rPr>
              <w:t>1</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05CB77E">
            <w:pPr>
              <w:spacing w:line="440" w:lineRule="exact"/>
              <w:rPr>
                <w:rFonts w:ascii="宋体" w:hAnsi="宋体" w:cs="宋体"/>
                <w:sz w:val="24"/>
              </w:rPr>
            </w:pPr>
            <w:r>
              <w:rPr>
                <w:rFonts w:ascii="宋体" w:hAnsi="宋体" w:eastAsia="宋体" w:cs="宋体"/>
                <w:sz w:val="24"/>
              </w:rPr>
              <w:t>状态</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706AA9C">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CEC4EC4">
            <w:pPr>
              <w:spacing w:line="440" w:lineRule="exact"/>
              <w:rPr>
                <w:rFonts w:ascii="宋体" w:hAnsi="宋体" w:cs="宋体"/>
                <w:sz w:val="24"/>
              </w:rPr>
            </w:pPr>
            <w:r>
              <w:rPr>
                <w:rFonts w:ascii="宋体" w:hAnsi="宋体" w:eastAsia="宋体" w:cs="宋体"/>
                <w:sz w:val="24"/>
              </w:rPr>
              <w:t>0</w:t>
            </w:r>
          </w:p>
        </w:tc>
      </w:tr>
      <w:tr w14:paraId="1E70FBEE">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4C4BE6A">
            <w:pPr>
              <w:spacing w:line="440" w:lineRule="exact"/>
              <w:rPr>
                <w:rFonts w:ascii="宋体" w:hAnsi="宋体" w:cs="宋体"/>
                <w:sz w:val="24"/>
              </w:rPr>
            </w:pPr>
            <w:r>
              <w:rPr>
                <w:rFonts w:ascii="宋体" w:hAnsi="宋体" w:eastAsia="宋体" w:cs="宋体"/>
                <w:sz w:val="24"/>
              </w:rPr>
              <w:t>receiver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8F7AEAA">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52EB20F">
            <w:pPr>
              <w:spacing w:line="440" w:lineRule="exact"/>
              <w:rPr>
                <w:rFonts w:ascii="宋体" w:hAnsi="宋体" w:cs="宋体"/>
                <w:sz w:val="24"/>
              </w:rPr>
            </w:pPr>
            <w:r>
              <w:rPr>
                <w:rFonts w:ascii="宋体" w:hAnsi="宋体" w:eastAsia="宋体" w:cs="宋体"/>
                <w:sz w:val="24"/>
              </w:rPr>
              <w:t>50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3166856">
            <w:pPr>
              <w:spacing w:line="440" w:lineRule="exact"/>
              <w:rPr>
                <w:rFonts w:ascii="宋体" w:hAnsi="宋体" w:cs="宋体"/>
                <w:sz w:val="24"/>
              </w:rPr>
            </w:pPr>
            <w:r>
              <w:rPr>
                <w:rFonts w:ascii="宋体" w:hAnsi="宋体" w:eastAsia="宋体" w:cs="宋体"/>
                <w:sz w:val="24"/>
              </w:rPr>
              <w:t>收货人</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129BAAF">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5271A72">
            <w:pPr>
              <w:spacing w:line="440" w:lineRule="exact"/>
              <w:rPr>
                <w:rFonts w:ascii="宋体" w:hAnsi="宋体" w:cs="宋体"/>
                <w:sz w:val="24"/>
              </w:rPr>
            </w:pPr>
          </w:p>
        </w:tc>
      </w:tr>
      <w:tr w14:paraId="1A56AB17">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50D805C">
            <w:pPr>
              <w:spacing w:line="440" w:lineRule="exact"/>
              <w:rPr>
                <w:rFonts w:ascii="宋体" w:hAnsi="宋体" w:cs="宋体"/>
                <w:sz w:val="24"/>
              </w:rPr>
            </w:pPr>
            <w:r>
              <w:rPr>
                <w:rFonts w:ascii="宋体" w:hAnsi="宋体" w:eastAsia="宋体" w:cs="宋体"/>
                <w:sz w:val="24"/>
              </w:rPr>
              <w:t>receiver_address</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B3A9454">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41BA4A1">
            <w:pPr>
              <w:spacing w:line="440" w:lineRule="exact"/>
              <w:rPr>
                <w:rFonts w:ascii="宋体" w:hAnsi="宋体" w:cs="宋体"/>
                <w:sz w:val="24"/>
              </w:rPr>
            </w:pPr>
            <w:r>
              <w:rPr>
                <w:rFonts w:ascii="宋体" w:hAnsi="宋体" w:eastAsia="宋体" w:cs="宋体"/>
                <w:sz w:val="24"/>
              </w:rPr>
              <w:t>500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ED5EA0A">
            <w:pPr>
              <w:spacing w:line="440" w:lineRule="exact"/>
              <w:rPr>
                <w:rFonts w:ascii="宋体" w:hAnsi="宋体" w:cs="宋体"/>
                <w:sz w:val="24"/>
              </w:rPr>
            </w:pPr>
            <w:r>
              <w:rPr>
                <w:rFonts w:ascii="宋体" w:hAnsi="宋体" w:eastAsia="宋体" w:cs="宋体"/>
                <w:sz w:val="24"/>
              </w:rPr>
              <w:t>收货地址</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C770DAF">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003E063">
            <w:pPr>
              <w:spacing w:line="440" w:lineRule="exact"/>
              <w:rPr>
                <w:rFonts w:ascii="宋体" w:hAnsi="宋体" w:cs="宋体"/>
                <w:sz w:val="24"/>
              </w:rPr>
            </w:pPr>
          </w:p>
        </w:tc>
      </w:tr>
      <w:tr w14:paraId="40EA041C">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55127F0">
            <w:pPr>
              <w:spacing w:line="440" w:lineRule="exact"/>
              <w:rPr>
                <w:rFonts w:ascii="宋体" w:hAnsi="宋体" w:cs="宋体"/>
                <w:sz w:val="24"/>
              </w:rPr>
            </w:pPr>
            <w:r>
              <w:rPr>
                <w:rFonts w:ascii="宋体" w:hAnsi="宋体" w:eastAsia="宋体" w:cs="宋体"/>
                <w:sz w:val="24"/>
              </w:rPr>
              <w:t>create_time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0CF907B">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02F5A6B5">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6BF3698">
            <w:pPr>
              <w:spacing w:line="440" w:lineRule="exact"/>
              <w:rPr>
                <w:rFonts w:ascii="宋体" w:hAnsi="宋体" w:cs="宋体"/>
                <w:sz w:val="24"/>
              </w:rPr>
            </w:pPr>
            <w:r>
              <w:rPr>
                <w:rFonts w:ascii="宋体" w:hAnsi="宋体" w:eastAsia="宋体" w:cs="宋体"/>
                <w:sz w:val="24"/>
              </w:rPr>
              <w:t>创建时间</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2881737">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1055DF6">
            <w:pPr>
              <w:spacing w:line="440" w:lineRule="exact"/>
              <w:rPr>
                <w:rFonts w:ascii="宋体" w:hAnsi="宋体" w:cs="宋体"/>
                <w:sz w:val="24"/>
              </w:rPr>
            </w:pPr>
            <w:r>
              <w:rPr>
                <w:rFonts w:ascii="宋体" w:hAnsi="宋体" w:eastAsia="宋体" w:cs="宋体"/>
                <w:sz w:val="24"/>
              </w:rPr>
              <w:t>CURRENT_TIMESTAMP</w:t>
            </w:r>
          </w:p>
        </w:tc>
      </w:tr>
      <w:tr w14:paraId="695E79C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BEED1AA">
            <w:pPr>
              <w:spacing w:line="440" w:lineRule="exact"/>
              <w:rPr>
                <w:rFonts w:ascii="宋体" w:hAnsi="宋体" w:cs="宋体"/>
                <w:sz w:val="24"/>
              </w:rPr>
            </w:pPr>
            <w:r>
              <w:rPr>
                <w:rFonts w:ascii="宋体" w:hAnsi="宋体" w:eastAsia="宋体" w:cs="宋体"/>
                <w:sz w:val="24"/>
              </w:rPr>
              <w:t>update_time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4601C10">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9DCCCD2">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B4F5199">
            <w:pPr>
              <w:spacing w:line="440" w:lineRule="exact"/>
              <w:rPr>
                <w:rFonts w:ascii="宋体" w:hAnsi="宋体" w:cs="宋体"/>
                <w:sz w:val="24"/>
              </w:rPr>
            </w:pPr>
            <w:r>
              <w:rPr>
                <w:rFonts w:ascii="宋体" w:hAnsi="宋体" w:eastAsia="宋体" w:cs="宋体"/>
                <w:sz w:val="24"/>
              </w:rPr>
              <w:t>更新时间</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F84B089">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4EDFAE5C">
            <w:pPr>
              <w:spacing w:line="440" w:lineRule="exact"/>
              <w:rPr>
                <w:rFonts w:ascii="宋体" w:hAnsi="宋体" w:cs="宋体"/>
                <w:sz w:val="24"/>
              </w:rPr>
            </w:pPr>
            <w:r>
              <w:rPr>
                <w:rFonts w:ascii="宋体" w:hAnsi="宋体" w:eastAsia="宋体" w:cs="宋体"/>
                <w:sz w:val="24"/>
              </w:rPr>
              <w:t>CURRENT_TIMESTAMP</w:t>
            </w:r>
          </w:p>
        </w:tc>
      </w:tr>
    </w:tbl>
    <w:p w14:paraId="6B686960">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8</w:t>
      </w:r>
      <w:r>
        <w:rPr>
          <w:rFonts w:hint="eastAsia" w:ascii="宋体" w:hAnsi="宋体" w:eastAsia="宋体" w:cs="宋体"/>
          <w:sz w:val="24"/>
          <w:lang w:eastAsia="zh-CN"/>
        </w:rPr>
        <w:t>）</w:t>
      </w:r>
      <w:r>
        <w:rPr>
          <w:rFonts w:ascii="宋体" w:hAnsi="宋体" w:eastAsia="宋体" w:cs="宋体"/>
          <w:sz w:val="24"/>
        </w:rPr>
        <w:t>ai_chat_session(AI会话表)</w:t>
      </w:r>
    </w:p>
    <w:p w14:paraId="01A51275">
      <w:pPr>
        <w:spacing w:line="440" w:lineRule="exact"/>
        <w:ind w:firstLine="480" w:firstLineChars="200"/>
        <w:rPr>
          <w:rFonts w:ascii="宋体" w:hAnsi="宋体" w:cs="宋体"/>
          <w:sz w:val="24"/>
        </w:rPr>
      </w:pPr>
      <w:r>
        <w:rPr>
          <w:rFonts w:ascii="宋体" w:hAnsi="宋体" w:eastAsia="宋体" w:cs="宋体"/>
          <w:sz w:val="24"/>
        </w:rPr>
        <w:t>AI会话表存储用户与AI助手的会话信息。</w:t>
      </w:r>
    </w:p>
    <w:p w14:paraId="096EB09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表3-8 AI会话表</w:t>
      </w:r>
    </w:p>
    <w:tbl>
      <w:tblPr>
        <w:tblStyle w:val="35"/>
        <w:tblW w:w="0" w:type="auto"/>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autofit"/>
        <w:tblCellMar>
          <w:top w:w="0" w:type="dxa"/>
          <w:left w:w="0" w:type="dxa"/>
          <w:bottom w:w="0" w:type="dxa"/>
          <w:right w:w="0" w:type="dxa"/>
        </w:tblCellMar>
      </w:tblPr>
      <w:tblGrid>
        <w:gridCol w:w="1580"/>
        <w:gridCol w:w="1220"/>
        <w:gridCol w:w="740"/>
        <w:gridCol w:w="1700"/>
        <w:gridCol w:w="740"/>
        <w:gridCol w:w="2300"/>
      </w:tblGrid>
      <w:tr w14:paraId="2CDB007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1EDF44FD">
            <w:pPr>
              <w:spacing w:line="440" w:lineRule="exact"/>
              <w:rPr>
                <w:rFonts w:ascii="宋体" w:hAnsi="宋体" w:cs="宋体"/>
                <w:sz w:val="24"/>
              </w:rPr>
            </w:pPr>
            <w:r>
              <w:rPr>
                <w:rFonts w:ascii="宋体" w:hAnsi="宋体" w:eastAsia="宋体" w:cs="宋体"/>
                <w:sz w:val="24"/>
              </w:rPr>
              <w:t>字段名称</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BC2A632">
            <w:pPr>
              <w:spacing w:line="440" w:lineRule="exact"/>
              <w:rPr>
                <w:rFonts w:ascii="宋体" w:hAnsi="宋体" w:cs="宋体"/>
                <w:sz w:val="24"/>
              </w:rPr>
            </w:pPr>
            <w:r>
              <w:rPr>
                <w:rFonts w:ascii="宋体" w:hAnsi="宋体" w:eastAsia="宋体" w:cs="宋体"/>
                <w:sz w:val="24"/>
              </w:rPr>
              <w:t>类型</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5D4A900">
            <w:pPr>
              <w:spacing w:line="440" w:lineRule="exact"/>
              <w:rPr>
                <w:rFonts w:ascii="宋体" w:hAnsi="宋体" w:cs="宋体"/>
                <w:sz w:val="24"/>
              </w:rPr>
            </w:pPr>
            <w:r>
              <w:rPr>
                <w:rFonts w:ascii="宋体" w:hAnsi="宋体" w:eastAsia="宋体" w:cs="宋体"/>
                <w:sz w:val="24"/>
              </w:rPr>
              <w:t>长度</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D6D5474">
            <w:pPr>
              <w:spacing w:line="440" w:lineRule="exact"/>
              <w:rPr>
                <w:rFonts w:ascii="宋体" w:hAnsi="宋体" w:cs="宋体"/>
                <w:sz w:val="24"/>
              </w:rPr>
            </w:pPr>
            <w:r>
              <w:rPr>
                <w:rFonts w:ascii="宋体" w:hAnsi="宋体" w:eastAsia="宋体" w:cs="宋体"/>
                <w:sz w:val="24"/>
              </w:rPr>
              <w:t>字段说明</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593955C">
            <w:pPr>
              <w:spacing w:line="440" w:lineRule="exact"/>
              <w:rPr>
                <w:rFonts w:ascii="宋体" w:hAnsi="宋体" w:cs="宋体"/>
                <w:sz w:val="24"/>
              </w:rPr>
            </w:pPr>
            <w:r>
              <w:rPr>
                <w:rFonts w:ascii="宋体" w:hAnsi="宋体" w:eastAsia="宋体" w:cs="宋体"/>
                <w:sz w:val="24"/>
              </w:rPr>
              <w:t>主键</w:t>
            </w:r>
          </w:p>
        </w:tc>
        <w:tc>
          <w:tcPr>
            <w:tcW w:w="0" w:type="auto"/>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6737857">
            <w:pPr>
              <w:spacing w:line="440" w:lineRule="exact"/>
              <w:rPr>
                <w:rFonts w:ascii="宋体" w:hAnsi="宋体" w:cs="宋体"/>
                <w:sz w:val="24"/>
              </w:rPr>
            </w:pPr>
            <w:r>
              <w:rPr>
                <w:rFonts w:ascii="宋体" w:hAnsi="宋体" w:eastAsia="宋体" w:cs="宋体"/>
                <w:sz w:val="24"/>
              </w:rPr>
              <w:t>默认值</w:t>
            </w:r>
          </w:p>
        </w:tc>
      </w:tr>
      <w:tr w14:paraId="04706050">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C58ACC6">
            <w:pPr>
              <w:spacing w:line="440" w:lineRule="exact"/>
              <w:rPr>
                <w:rFonts w:ascii="宋体" w:hAnsi="宋体" w:cs="宋体"/>
                <w:sz w:val="24"/>
              </w:rPr>
            </w:pPr>
            <w:r>
              <w:rPr>
                <w:rFonts w:ascii="宋体" w:hAnsi="宋体" w:eastAsia="宋体" w:cs="宋体"/>
                <w:sz w:val="24"/>
              </w:rPr>
              <w:t>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3DE83635">
            <w:pPr>
              <w:spacing w:line="440" w:lineRule="exact"/>
              <w:rPr>
                <w:rFonts w:ascii="宋体" w:hAnsi="宋体" w:cs="宋体"/>
                <w:sz w:val="24"/>
              </w:rPr>
            </w:pPr>
            <w:r>
              <w:rPr>
                <w:rFonts w:ascii="宋体" w:hAnsi="宋体" w:eastAsia="宋体" w:cs="宋体"/>
                <w:sz w:val="24"/>
              </w:rPr>
              <w:t>bigint</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2FF014F">
            <w:pPr>
              <w:spacing w:line="440" w:lineRule="exact"/>
              <w:rPr>
                <w:rFonts w:ascii="宋体" w:hAnsi="宋体" w:cs="宋体"/>
                <w:sz w:val="24"/>
              </w:rPr>
            </w:pPr>
            <w:r>
              <w:rPr>
                <w:rFonts w:ascii="宋体" w:hAnsi="宋体" w:eastAsia="宋体" w:cs="宋体"/>
                <w:sz w:val="24"/>
              </w:rPr>
              <w:t>20</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5BF09FCD">
            <w:pPr>
              <w:spacing w:line="440" w:lineRule="exact"/>
              <w:rPr>
                <w:rFonts w:ascii="宋体" w:hAnsi="宋体" w:cs="宋体"/>
                <w:sz w:val="24"/>
              </w:rPr>
            </w:pPr>
            <w:r>
              <w:rPr>
                <w:rFonts w:ascii="宋体" w:hAnsi="宋体" w:eastAsia="宋体" w:cs="宋体"/>
                <w:sz w:val="24"/>
              </w:rPr>
              <w:t>会话ID</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BF5026C">
            <w:pPr>
              <w:spacing w:line="440" w:lineRule="exact"/>
              <w:rPr>
                <w:rFonts w:ascii="宋体" w:hAnsi="宋体" w:cs="宋体"/>
                <w:sz w:val="24"/>
              </w:rPr>
            </w:pPr>
            <w:r>
              <w:rPr>
                <w:rFonts w:ascii="宋体" w:hAnsi="宋体" w:eastAsia="宋体" w:cs="宋体"/>
                <w:sz w:val="24"/>
              </w:rPr>
              <w:t>是</w:t>
            </w:r>
          </w:p>
        </w:tc>
        <w:tc>
          <w:tcPr>
            <w:tcW w:w="0" w:type="auto"/>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25A3434C">
            <w:pPr>
              <w:spacing w:line="440" w:lineRule="exact"/>
              <w:rPr>
                <w:rFonts w:ascii="宋体" w:hAnsi="宋体" w:cs="宋体"/>
                <w:sz w:val="24"/>
              </w:rPr>
            </w:pPr>
            <w:r>
              <w:rPr>
                <w:rFonts w:ascii="宋体" w:hAnsi="宋体" w:eastAsia="宋体" w:cs="宋体"/>
                <w:sz w:val="24"/>
              </w:rPr>
              <w:t>自增</w:t>
            </w:r>
          </w:p>
        </w:tc>
      </w:tr>
      <w:tr w14:paraId="5F248324">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270C55B">
            <w:pPr>
              <w:spacing w:line="440" w:lineRule="exact"/>
              <w:rPr>
                <w:rFonts w:ascii="宋体" w:hAnsi="宋体" w:cs="宋体"/>
                <w:sz w:val="24"/>
              </w:rPr>
            </w:pPr>
            <w:r>
              <w:rPr>
                <w:rFonts w:ascii="宋体" w:hAnsi="宋体" w:eastAsia="宋体" w:cs="宋体"/>
                <w:sz w:val="24"/>
              </w:rPr>
              <w:t>session_id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3ADF73A">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E5EBC69">
            <w:pPr>
              <w:spacing w:line="440" w:lineRule="exact"/>
              <w:rPr>
                <w:rFonts w:ascii="宋体" w:hAnsi="宋体" w:cs="宋体"/>
                <w:sz w:val="24"/>
              </w:rPr>
            </w:pPr>
            <w:r>
              <w:rPr>
                <w:rFonts w:ascii="宋体" w:hAnsi="宋体" w:eastAsia="宋体" w:cs="宋体"/>
                <w:sz w:val="24"/>
              </w:rPr>
              <w:t>100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0BD8412">
            <w:pPr>
              <w:spacing w:line="440" w:lineRule="exact"/>
              <w:rPr>
                <w:rFonts w:ascii="宋体" w:hAnsi="宋体" w:cs="宋体"/>
                <w:sz w:val="24"/>
              </w:rPr>
            </w:pPr>
            <w:r>
              <w:rPr>
                <w:rFonts w:ascii="宋体" w:hAnsi="宋体" w:eastAsia="宋体" w:cs="宋体"/>
                <w:sz w:val="24"/>
              </w:rPr>
              <w:t>会话唯一标识</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446E13C">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93380BD">
            <w:pPr>
              <w:spacing w:line="440" w:lineRule="exact"/>
              <w:rPr>
                <w:rFonts w:ascii="宋体" w:hAnsi="宋体" w:cs="宋体"/>
                <w:sz w:val="24"/>
              </w:rPr>
            </w:pPr>
          </w:p>
        </w:tc>
      </w:tr>
      <w:tr w14:paraId="4392DBE1">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7EC77F7">
            <w:pPr>
              <w:spacing w:line="440" w:lineRule="exact"/>
              <w:rPr>
                <w:rFonts w:ascii="宋体" w:hAnsi="宋体" w:cs="宋体"/>
                <w:sz w:val="24"/>
              </w:rPr>
            </w:pPr>
            <w:r>
              <w:rPr>
                <w:rFonts w:ascii="宋体" w:hAnsi="宋体" w:eastAsia="宋体" w:cs="宋体"/>
                <w:sz w:val="24"/>
              </w:rPr>
              <w:t>user_id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2A05FCC">
            <w:pPr>
              <w:spacing w:line="440" w:lineRule="exact"/>
              <w:rPr>
                <w:rFonts w:ascii="宋体" w:hAnsi="宋体" w:cs="宋体"/>
                <w:sz w:val="24"/>
              </w:rPr>
            </w:pPr>
            <w:r>
              <w:rPr>
                <w:rFonts w:ascii="宋体" w:hAnsi="宋体" w:eastAsia="宋体" w:cs="宋体"/>
                <w:sz w:val="24"/>
              </w:rPr>
              <w:t>bigint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94267EB">
            <w:pPr>
              <w:spacing w:line="440" w:lineRule="exact"/>
              <w:rPr>
                <w:rFonts w:ascii="宋体" w:hAnsi="宋体" w:cs="宋体"/>
                <w:sz w:val="24"/>
              </w:rPr>
            </w:pPr>
            <w:r>
              <w:rPr>
                <w:rFonts w:ascii="宋体" w:hAnsi="宋体" w:eastAsia="宋体" w:cs="宋体"/>
                <w:sz w:val="24"/>
              </w:rPr>
              <w:t>20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4E36E01">
            <w:pPr>
              <w:spacing w:line="440" w:lineRule="exact"/>
              <w:rPr>
                <w:rFonts w:ascii="宋体" w:hAnsi="宋体" w:cs="宋体"/>
                <w:sz w:val="24"/>
              </w:rPr>
            </w:pPr>
            <w:r>
              <w:rPr>
                <w:rFonts w:ascii="宋体" w:hAnsi="宋体" w:eastAsia="宋体" w:cs="宋体"/>
                <w:sz w:val="24"/>
              </w:rPr>
              <w:t>用户ID</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011920E">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7A3DE521">
            <w:pPr>
              <w:spacing w:line="440" w:lineRule="exact"/>
              <w:rPr>
                <w:rFonts w:ascii="宋体" w:hAnsi="宋体" w:cs="宋体"/>
                <w:sz w:val="24"/>
              </w:rPr>
            </w:pPr>
          </w:p>
        </w:tc>
      </w:tr>
      <w:tr w14:paraId="2CC88C53">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B7C8FFB">
            <w:pPr>
              <w:spacing w:line="440" w:lineRule="exact"/>
              <w:rPr>
                <w:rFonts w:ascii="宋体" w:hAnsi="宋体" w:cs="宋体"/>
                <w:sz w:val="24"/>
              </w:rPr>
            </w:pPr>
            <w:r>
              <w:rPr>
                <w:rFonts w:ascii="宋体" w:hAnsi="宋体" w:eastAsia="宋体" w:cs="宋体"/>
                <w:sz w:val="24"/>
              </w:rPr>
              <w:t>title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A5D8713">
            <w:pPr>
              <w:spacing w:line="440" w:lineRule="exact"/>
              <w:rPr>
                <w:rFonts w:ascii="宋体" w:hAnsi="宋体" w:cs="宋体"/>
                <w:sz w:val="24"/>
              </w:rPr>
            </w:pPr>
            <w:r>
              <w:rPr>
                <w:rFonts w:ascii="宋体" w:hAnsi="宋体" w:eastAsia="宋体" w:cs="宋体"/>
                <w:sz w:val="24"/>
              </w:rPr>
              <w:t>varchar</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3ED13BB">
            <w:pPr>
              <w:spacing w:line="440" w:lineRule="exact"/>
              <w:rPr>
                <w:rFonts w:ascii="宋体" w:hAnsi="宋体" w:cs="宋体"/>
                <w:sz w:val="24"/>
              </w:rPr>
            </w:pPr>
            <w:r>
              <w:rPr>
                <w:rFonts w:ascii="宋体" w:hAnsi="宋体" w:eastAsia="宋体" w:cs="宋体"/>
                <w:sz w:val="24"/>
              </w:rPr>
              <w:t>200</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43F75FF6">
            <w:pPr>
              <w:spacing w:line="440" w:lineRule="exact"/>
              <w:rPr>
                <w:rFonts w:ascii="宋体" w:hAnsi="宋体" w:cs="宋体"/>
                <w:sz w:val="24"/>
              </w:rPr>
            </w:pPr>
            <w:r>
              <w:rPr>
                <w:rFonts w:ascii="宋体" w:hAnsi="宋体" w:eastAsia="宋体" w:cs="宋体"/>
                <w:sz w:val="24"/>
              </w:rPr>
              <w:t>会话标题</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4F7BC2F">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2FED3BC8">
            <w:pPr>
              <w:spacing w:line="440" w:lineRule="exact"/>
              <w:rPr>
                <w:rFonts w:ascii="宋体" w:hAnsi="宋体" w:cs="宋体"/>
                <w:sz w:val="24"/>
              </w:rPr>
            </w:pPr>
            <w:r>
              <w:rPr>
                <w:rFonts w:ascii="宋体" w:hAnsi="宋体" w:eastAsia="宋体" w:cs="宋体"/>
                <w:sz w:val="24"/>
              </w:rPr>
              <w:t>新对话</w:t>
            </w:r>
          </w:p>
        </w:tc>
      </w:tr>
      <w:tr w14:paraId="38EDF47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696E7924">
            <w:pPr>
              <w:spacing w:line="440" w:lineRule="exact"/>
              <w:rPr>
                <w:rFonts w:ascii="宋体" w:hAnsi="宋体" w:cs="宋体"/>
                <w:sz w:val="24"/>
              </w:rPr>
            </w:pPr>
            <w:r>
              <w:rPr>
                <w:rFonts w:ascii="宋体" w:hAnsi="宋体" w:eastAsia="宋体" w:cs="宋体"/>
                <w:sz w:val="24"/>
              </w:rPr>
              <w:t>create_time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F61E002">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5563C693">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E9467E6">
            <w:pPr>
              <w:spacing w:line="440" w:lineRule="exact"/>
              <w:rPr>
                <w:rFonts w:ascii="宋体" w:hAnsi="宋体" w:cs="宋体"/>
                <w:sz w:val="24"/>
              </w:rPr>
            </w:pPr>
            <w:r>
              <w:rPr>
                <w:rFonts w:ascii="宋体" w:hAnsi="宋体" w:eastAsia="宋体" w:cs="宋体"/>
                <w:sz w:val="24"/>
              </w:rPr>
              <w:t>创建时间</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1BA2BBA4">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nil"/>
              <w:right w:val="nil"/>
            </w:tcBorders>
            <w:shd w:val="clear" w:color="auto" w:fill="FFFFFF"/>
            <w:tcMar>
              <w:top w:w="60" w:type="dxa"/>
              <w:left w:w="130" w:type="dxa"/>
              <w:bottom w:w="60" w:type="dxa"/>
              <w:right w:w="130" w:type="dxa"/>
            </w:tcMar>
            <w:vAlign w:val="center"/>
          </w:tcPr>
          <w:p w14:paraId="30EED941">
            <w:pPr>
              <w:spacing w:line="440" w:lineRule="exact"/>
              <w:rPr>
                <w:rFonts w:ascii="宋体" w:hAnsi="宋体" w:cs="宋体"/>
                <w:sz w:val="24"/>
              </w:rPr>
            </w:pPr>
            <w:r>
              <w:rPr>
                <w:rFonts w:ascii="宋体" w:hAnsi="宋体" w:eastAsia="宋体" w:cs="宋体"/>
                <w:sz w:val="24"/>
              </w:rPr>
              <w:t>CURRENT_TIMESTAMP</w:t>
            </w:r>
          </w:p>
        </w:tc>
      </w:tr>
      <w:tr w14:paraId="2F143B1A">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3F55DE38">
            <w:pPr>
              <w:spacing w:line="440" w:lineRule="exact"/>
              <w:rPr>
                <w:rFonts w:ascii="宋体" w:hAnsi="宋体" w:cs="宋体"/>
                <w:sz w:val="24"/>
              </w:rPr>
            </w:pPr>
            <w:r>
              <w:rPr>
                <w:rFonts w:ascii="宋体" w:hAnsi="宋体" w:eastAsia="宋体" w:cs="宋体"/>
                <w:sz w:val="24"/>
              </w:rPr>
              <w:t>update_time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B8358E7">
            <w:pPr>
              <w:spacing w:line="440" w:lineRule="exact"/>
              <w:rPr>
                <w:rFonts w:ascii="宋体" w:hAnsi="宋体" w:cs="宋体"/>
                <w:sz w:val="24"/>
              </w:rPr>
            </w:pPr>
            <w:r>
              <w:rPr>
                <w:rFonts w:ascii="宋体" w:hAnsi="宋体" w:eastAsia="宋体" w:cs="宋体"/>
                <w:sz w:val="24"/>
              </w:rPr>
              <w:t>datetime</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BEC7AEF">
            <w:pPr>
              <w:spacing w:line="440" w:lineRule="exact"/>
              <w:rPr>
                <w:rFonts w:ascii="宋体" w:hAnsi="宋体" w:cs="宋体"/>
                <w:sz w:val="24"/>
              </w:rPr>
            </w:pPr>
            <w:r>
              <w:rPr>
                <w:rFonts w:ascii="宋体" w:hAnsi="宋体" w:eastAsia="宋体" w:cs="宋体"/>
                <w:sz w:val="24"/>
              </w:rPr>
              <w:t>-</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D26F474">
            <w:pPr>
              <w:spacing w:line="440" w:lineRule="exact"/>
              <w:rPr>
                <w:rFonts w:ascii="宋体" w:hAnsi="宋体" w:cs="宋体"/>
                <w:sz w:val="24"/>
              </w:rPr>
            </w:pPr>
            <w:r>
              <w:rPr>
                <w:rFonts w:ascii="宋体" w:hAnsi="宋体" w:eastAsia="宋体" w:cs="宋体"/>
                <w:sz w:val="24"/>
              </w:rPr>
              <w:t>更新时间</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5E716DB">
            <w:pPr>
              <w:spacing w:line="440" w:lineRule="exact"/>
              <w:rPr>
                <w:rFonts w:ascii="宋体" w:hAnsi="宋体" w:cs="宋体"/>
                <w:sz w:val="24"/>
              </w:rPr>
            </w:pPr>
            <w:r>
              <w:rPr>
                <w:rFonts w:ascii="宋体" w:hAnsi="宋体" w:eastAsia="宋体" w:cs="宋体"/>
                <w:sz w:val="24"/>
              </w:rPr>
              <w:t>否</w:t>
            </w:r>
          </w:p>
        </w:tc>
        <w:tc>
          <w:tcPr>
            <w:tcW w:w="0" w:type="auto"/>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0506CBA2">
            <w:pPr>
              <w:spacing w:line="440" w:lineRule="exact"/>
              <w:rPr>
                <w:rFonts w:ascii="宋体" w:hAnsi="宋体" w:cs="宋体"/>
                <w:sz w:val="24"/>
              </w:rPr>
            </w:pPr>
            <w:r>
              <w:rPr>
                <w:rFonts w:ascii="宋体" w:hAnsi="宋体" w:eastAsia="宋体" w:cs="宋体"/>
                <w:sz w:val="24"/>
              </w:rPr>
              <w:t>CURRENT_TIMESTAMP</w:t>
            </w:r>
          </w:p>
        </w:tc>
      </w:tr>
    </w:tbl>
    <w:p w14:paraId="04CDFD5E">
      <w:pPr>
        <w:spacing w:line="440" w:lineRule="exact"/>
        <w:ind w:firstLine="480" w:firstLineChars="200"/>
        <w:rPr>
          <w:rFonts w:ascii="宋体" w:hAnsi="宋体" w:cs="宋体"/>
          <w:sz w:val="24"/>
        </w:rPr>
      </w:pPr>
      <w:r>
        <w:rPr>
          <w:rFonts w:hint="eastAsia" w:ascii="宋体" w:hAnsi="宋体" w:eastAsia="宋体" w:cs="宋体"/>
          <w:sz w:val="24"/>
          <w:lang w:eastAsia="zh-CN"/>
        </w:rPr>
        <w:t>（</w:t>
      </w:r>
      <w:r>
        <w:rPr>
          <w:rFonts w:hint="eastAsia" w:ascii="宋体" w:hAnsi="宋体" w:eastAsia="宋体" w:cs="宋体"/>
          <w:sz w:val="24"/>
          <w:lang w:val="en-US" w:eastAsia="zh-CN"/>
        </w:rPr>
        <w:t>9</w:t>
      </w:r>
      <w:r>
        <w:rPr>
          <w:rFonts w:hint="eastAsia" w:ascii="宋体" w:hAnsi="宋体" w:eastAsia="宋体" w:cs="宋体"/>
          <w:sz w:val="24"/>
          <w:lang w:eastAsia="zh-CN"/>
        </w:rPr>
        <w:t>）</w:t>
      </w:r>
      <w:r>
        <w:rPr>
          <w:rFonts w:ascii="宋体" w:hAnsi="宋体" w:eastAsia="宋体" w:cs="宋体"/>
          <w:sz w:val="24"/>
        </w:rPr>
        <w:t>ai_chat_message(AI消息表)</w:t>
      </w:r>
    </w:p>
    <w:p w14:paraId="7052B06D">
      <w:pPr>
        <w:spacing w:line="440" w:lineRule="exact"/>
        <w:ind w:firstLine="480" w:firstLineChars="200"/>
        <w:rPr>
          <w:rFonts w:ascii="宋体" w:hAnsi="宋体" w:cs="宋体"/>
          <w:sz w:val="24"/>
        </w:rPr>
      </w:pPr>
      <w:r>
        <w:rPr>
          <w:rFonts w:ascii="宋体" w:hAnsi="宋体" w:eastAsia="宋体" w:cs="宋体"/>
          <w:sz w:val="24"/>
        </w:rPr>
        <w:t>AI消息表记录会话中的每条消息。</w:t>
      </w:r>
    </w:p>
    <w:p w14:paraId="6A24879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p>
    <w:p w14:paraId="25F21168">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p>
    <w:p w14:paraId="3F417FA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表3-9 AI消息表</w:t>
      </w:r>
    </w:p>
    <w:tbl>
      <w:tblPr>
        <w:tblStyle w:val="35"/>
        <w:tblW w:w="8582" w:type="dxa"/>
        <w:tblInd w:w="0" w:type="dxa"/>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Layout w:type="fixed"/>
        <w:tblCellMar>
          <w:top w:w="0" w:type="dxa"/>
          <w:left w:w="0" w:type="dxa"/>
          <w:bottom w:w="0" w:type="dxa"/>
          <w:right w:w="0" w:type="dxa"/>
        </w:tblCellMar>
      </w:tblPr>
      <w:tblGrid>
        <w:gridCol w:w="1580"/>
        <w:gridCol w:w="1220"/>
        <w:gridCol w:w="620"/>
        <w:gridCol w:w="3042"/>
        <w:gridCol w:w="859"/>
        <w:gridCol w:w="1261"/>
      </w:tblGrid>
      <w:tr w14:paraId="51F9264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rPr>
          <w:tblHeader/>
        </w:trPr>
        <w:tc>
          <w:tcPr>
            <w:tcW w:w="1580" w:type="dxa"/>
            <w:tcBorders>
              <w:top w:val="single" w:color="000000" w:sz="12" w:space="0"/>
              <w:left w:val="nil"/>
              <w:bottom w:val="single" w:color="000000" w:sz="4" w:space="0"/>
              <w:right w:val="nil"/>
              <w:tl2br w:val="nil"/>
            </w:tcBorders>
            <w:shd w:val="clear" w:color="auto" w:fill="FFFFFF"/>
            <w:tcMar>
              <w:top w:w="60" w:type="dxa"/>
              <w:left w:w="130" w:type="dxa"/>
              <w:bottom w:w="60" w:type="dxa"/>
              <w:right w:w="130" w:type="dxa"/>
            </w:tcMar>
            <w:vAlign w:val="center"/>
          </w:tcPr>
          <w:p w14:paraId="6013373B">
            <w:pPr>
              <w:spacing w:line="440" w:lineRule="exact"/>
              <w:rPr>
                <w:rFonts w:ascii="宋体" w:hAnsi="宋体" w:cs="宋体"/>
                <w:sz w:val="24"/>
              </w:rPr>
            </w:pPr>
            <w:r>
              <w:rPr>
                <w:rFonts w:ascii="宋体" w:hAnsi="宋体" w:eastAsia="宋体" w:cs="宋体"/>
                <w:sz w:val="24"/>
              </w:rPr>
              <w:t>字段名称</w:t>
            </w:r>
          </w:p>
        </w:tc>
        <w:tc>
          <w:tcPr>
            <w:tcW w:w="1220"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7EB69D7B">
            <w:pPr>
              <w:spacing w:line="440" w:lineRule="exact"/>
              <w:rPr>
                <w:rFonts w:ascii="宋体" w:hAnsi="宋体" w:cs="宋体"/>
                <w:sz w:val="24"/>
              </w:rPr>
            </w:pPr>
            <w:r>
              <w:rPr>
                <w:rFonts w:ascii="宋体" w:hAnsi="宋体" w:eastAsia="宋体" w:cs="宋体"/>
                <w:sz w:val="24"/>
              </w:rPr>
              <w:t>类型</w:t>
            </w:r>
          </w:p>
        </w:tc>
        <w:tc>
          <w:tcPr>
            <w:tcW w:w="620"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B4E97DC">
            <w:pPr>
              <w:spacing w:line="440" w:lineRule="exact"/>
              <w:rPr>
                <w:rFonts w:ascii="宋体" w:hAnsi="宋体" w:cs="宋体"/>
                <w:sz w:val="24"/>
              </w:rPr>
            </w:pPr>
            <w:r>
              <w:rPr>
                <w:rFonts w:ascii="宋体" w:hAnsi="宋体" w:eastAsia="宋体" w:cs="宋体"/>
                <w:sz w:val="24"/>
              </w:rPr>
              <w:t>长度</w:t>
            </w:r>
          </w:p>
        </w:tc>
        <w:tc>
          <w:tcPr>
            <w:tcW w:w="3042"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61EB71ED">
            <w:pPr>
              <w:spacing w:line="440" w:lineRule="exact"/>
              <w:rPr>
                <w:rFonts w:ascii="宋体" w:hAnsi="宋体" w:cs="宋体"/>
                <w:sz w:val="24"/>
              </w:rPr>
            </w:pPr>
            <w:r>
              <w:rPr>
                <w:rFonts w:ascii="宋体" w:hAnsi="宋体" w:eastAsia="宋体" w:cs="宋体"/>
                <w:sz w:val="24"/>
              </w:rPr>
              <w:t>字段说明</w:t>
            </w:r>
          </w:p>
        </w:tc>
        <w:tc>
          <w:tcPr>
            <w:tcW w:w="859"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2B2F7DED">
            <w:pPr>
              <w:spacing w:line="440" w:lineRule="exact"/>
              <w:rPr>
                <w:rFonts w:ascii="宋体" w:hAnsi="宋体" w:cs="宋体"/>
                <w:sz w:val="24"/>
              </w:rPr>
            </w:pPr>
            <w:r>
              <w:rPr>
                <w:rFonts w:ascii="宋体" w:hAnsi="宋体" w:eastAsia="宋体" w:cs="宋体"/>
                <w:sz w:val="24"/>
              </w:rPr>
              <w:t>主键</w:t>
            </w:r>
          </w:p>
        </w:tc>
        <w:tc>
          <w:tcPr>
            <w:tcW w:w="1261" w:type="dxa"/>
            <w:tcBorders>
              <w:top w:val="single" w:color="000000" w:sz="12" w:space="0"/>
              <w:left w:val="nil"/>
              <w:bottom w:val="single" w:color="000000" w:sz="4" w:space="0"/>
              <w:right w:val="nil"/>
            </w:tcBorders>
            <w:shd w:val="clear" w:color="auto" w:fill="FFFFFF"/>
            <w:tcMar>
              <w:top w:w="60" w:type="dxa"/>
              <w:left w:w="130" w:type="dxa"/>
              <w:bottom w:w="60" w:type="dxa"/>
              <w:right w:w="130" w:type="dxa"/>
            </w:tcMar>
            <w:vAlign w:val="center"/>
          </w:tcPr>
          <w:p w14:paraId="59095BC1">
            <w:pPr>
              <w:spacing w:line="440" w:lineRule="exact"/>
              <w:rPr>
                <w:rFonts w:ascii="宋体" w:hAnsi="宋体" w:cs="宋体"/>
                <w:sz w:val="24"/>
              </w:rPr>
            </w:pPr>
            <w:r>
              <w:rPr>
                <w:rFonts w:ascii="宋体" w:hAnsi="宋体" w:eastAsia="宋体" w:cs="宋体"/>
                <w:sz w:val="24"/>
              </w:rPr>
              <w:t>默认值</w:t>
            </w:r>
          </w:p>
        </w:tc>
      </w:tr>
      <w:tr w14:paraId="4BBC273F">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58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08A45FF">
            <w:pPr>
              <w:spacing w:line="440" w:lineRule="exact"/>
              <w:rPr>
                <w:rFonts w:ascii="宋体" w:hAnsi="宋体" w:cs="宋体"/>
                <w:sz w:val="24"/>
              </w:rPr>
            </w:pPr>
            <w:r>
              <w:rPr>
                <w:rFonts w:ascii="宋体" w:hAnsi="宋体" w:eastAsia="宋体" w:cs="宋体"/>
                <w:sz w:val="24"/>
              </w:rPr>
              <w:t>id</w:t>
            </w:r>
          </w:p>
        </w:tc>
        <w:tc>
          <w:tcPr>
            <w:tcW w:w="122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0991FBCA">
            <w:pPr>
              <w:spacing w:line="440" w:lineRule="exact"/>
              <w:rPr>
                <w:rFonts w:ascii="宋体" w:hAnsi="宋体" w:cs="宋体"/>
                <w:sz w:val="24"/>
              </w:rPr>
            </w:pPr>
            <w:r>
              <w:rPr>
                <w:rFonts w:ascii="宋体" w:hAnsi="宋体" w:eastAsia="宋体" w:cs="宋体"/>
                <w:sz w:val="24"/>
              </w:rPr>
              <w:t>bigint</w:t>
            </w:r>
          </w:p>
        </w:tc>
        <w:tc>
          <w:tcPr>
            <w:tcW w:w="620"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1A8DBA98">
            <w:pPr>
              <w:spacing w:line="440" w:lineRule="exact"/>
              <w:rPr>
                <w:rFonts w:ascii="宋体" w:hAnsi="宋体" w:cs="宋体"/>
                <w:sz w:val="24"/>
              </w:rPr>
            </w:pPr>
            <w:r>
              <w:rPr>
                <w:rFonts w:ascii="宋体" w:hAnsi="宋体" w:eastAsia="宋体" w:cs="宋体"/>
                <w:sz w:val="24"/>
              </w:rPr>
              <w:t>20</w:t>
            </w:r>
          </w:p>
        </w:tc>
        <w:tc>
          <w:tcPr>
            <w:tcW w:w="3042"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5D8FF77">
            <w:pPr>
              <w:spacing w:line="440" w:lineRule="exact"/>
              <w:rPr>
                <w:rFonts w:ascii="宋体" w:hAnsi="宋体" w:cs="宋体"/>
                <w:sz w:val="24"/>
              </w:rPr>
            </w:pPr>
            <w:r>
              <w:rPr>
                <w:rFonts w:ascii="宋体" w:hAnsi="宋体" w:eastAsia="宋体" w:cs="宋体"/>
                <w:sz w:val="24"/>
              </w:rPr>
              <w:t>消息ID</w:t>
            </w:r>
          </w:p>
        </w:tc>
        <w:tc>
          <w:tcPr>
            <w:tcW w:w="859"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782098D8">
            <w:pPr>
              <w:spacing w:line="440" w:lineRule="exact"/>
              <w:rPr>
                <w:rFonts w:ascii="宋体" w:hAnsi="宋体" w:cs="宋体"/>
                <w:sz w:val="24"/>
              </w:rPr>
            </w:pPr>
            <w:r>
              <w:rPr>
                <w:rFonts w:ascii="宋体" w:hAnsi="宋体" w:eastAsia="宋体" w:cs="宋体"/>
                <w:sz w:val="24"/>
              </w:rPr>
              <w:t>是</w:t>
            </w:r>
          </w:p>
        </w:tc>
        <w:tc>
          <w:tcPr>
            <w:tcW w:w="1261" w:type="dxa"/>
            <w:tcBorders>
              <w:top w:val="single" w:color="000000" w:sz="4" w:space="0"/>
              <w:left w:val="nil"/>
              <w:bottom w:val="nil"/>
              <w:right w:val="nil"/>
            </w:tcBorders>
            <w:shd w:val="clear" w:color="auto" w:fill="FFFFFF"/>
            <w:tcMar>
              <w:top w:w="60" w:type="dxa"/>
              <w:left w:w="130" w:type="dxa"/>
              <w:bottom w:w="60" w:type="dxa"/>
              <w:right w:w="130" w:type="dxa"/>
            </w:tcMar>
            <w:vAlign w:val="center"/>
          </w:tcPr>
          <w:p w14:paraId="624D4DB2">
            <w:pPr>
              <w:spacing w:line="440" w:lineRule="exact"/>
              <w:rPr>
                <w:rFonts w:ascii="宋体" w:hAnsi="宋体" w:cs="宋体"/>
                <w:sz w:val="24"/>
              </w:rPr>
            </w:pPr>
            <w:r>
              <w:rPr>
                <w:rFonts w:ascii="宋体" w:hAnsi="宋体" w:eastAsia="宋体" w:cs="宋体"/>
                <w:sz w:val="24"/>
              </w:rPr>
              <w:t>自增</w:t>
            </w:r>
          </w:p>
        </w:tc>
      </w:tr>
      <w:tr w14:paraId="7B9A90D3">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580" w:type="dxa"/>
            <w:tcBorders>
              <w:top w:val="nil"/>
              <w:left w:val="nil"/>
              <w:bottom w:val="nil"/>
              <w:right w:val="nil"/>
            </w:tcBorders>
            <w:shd w:val="clear" w:color="auto" w:fill="FFFFFF"/>
            <w:tcMar>
              <w:top w:w="60" w:type="dxa"/>
              <w:left w:w="130" w:type="dxa"/>
              <w:bottom w:w="60" w:type="dxa"/>
              <w:right w:w="130" w:type="dxa"/>
            </w:tcMar>
            <w:vAlign w:val="center"/>
          </w:tcPr>
          <w:p w14:paraId="48D2CC75">
            <w:pPr>
              <w:spacing w:line="440" w:lineRule="exact"/>
              <w:rPr>
                <w:rFonts w:ascii="宋体" w:hAnsi="宋体" w:cs="宋体"/>
                <w:sz w:val="24"/>
              </w:rPr>
            </w:pPr>
            <w:r>
              <w:rPr>
                <w:rFonts w:ascii="宋体" w:hAnsi="宋体" w:eastAsia="宋体" w:cs="宋体"/>
                <w:sz w:val="24"/>
              </w:rPr>
              <w:t>session_id</w:t>
            </w:r>
          </w:p>
        </w:tc>
        <w:tc>
          <w:tcPr>
            <w:tcW w:w="1220" w:type="dxa"/>
            <w:tcBorders>
              <w:top w:val="nil"/>
              <w:left w:val="nil"/>
              <w:bottom w:val="nil"/>
              <w:right w:val="nil"/>
            </w:tcBorders>
            <w:shd w:val="clear" w:color="auto" w:fill="FFFFFF"/>
            <w:tcMar>
              <w:top w:w="60" w:type="dxa"/>
              <w:left w:w="130" w:type="dxa"/>
              <w:bottom w:w="60" w:type="dxa"/>
              <w:right w:w="130" w:type="dxa"/>
            </w:tcMar>
            <w:vAlign w:val="center"/>
          </w:tcPr>
          <w:p w14:paraId="68B73CE8">
            <w:pPr>
              <w:spacing w:line="440" w:lineRule="exact"/>
              <w:rPr>
                <w:rFonts w:ascii="宋体" w:hAnsi="宋体" w:cs="宋体"/>
                <w:sz w:val="24"/>
              </w:rPr>
            </w:pPr>
            <w:r>
              <w:rPr>
                <w:rFonts w:ascii="宋体" w:hAnsi="宋体" w:eastAsia="宋体" w:cs="宋体"/>
                <w:sz w:val="24"/>
              </w:rPr>
              <w:t>varchar</w:t>
            </w:r>
          </w:p>
        </w:tc>
        <w:tc>
          <w:tcPr>
            <w:tcW w:w="620" w:type="dxa"/>
            <w:tcBorders>
              <w:top w:val="nil"/>
              <w:left w:val="nil"/>
              <w:bottom w:val="nil"/>
              <w:right w:val="nil"/>
            </w:tcBorders>
            <w:shd w:val="clear" w:color="auto" w:fill="FFFFFF"/>
            <w:tcMar>
              <w:top w:w="60" w:type="dxa"/>
              <w:left w:w="130" w:type="dxa"/>
              <w:bottom w:w="60" w:type="dxa"/>
              <w:right w:w="130" w:type="dxa"/>
            </w:tcMar>
            <w:vAlign w:val="center"/>
          </w:tcPr>
          <w:p w14:paraId="276A35E7">
            <w:pPr>
              <w:spacing w:line="440" w:lineRule="exact"/>
              <w:rPr>
                <w:rFonts w:ascii="宋体" w:hAnsi="宋体" w:cs="宋体"/>
                <w:sz w:val="24"/>
              </w:rPr>
            </w:pPr>
            <w:r>
              <w:rPr>
                <w:rFonts w:ascii="宋体" w:hAnsi="宋体" w:eastAsia="宋体" w:cs="宋体"/>
                <w:sz w:val="24"/>
              </w:rPr>
              <w:t>100</w:t>
            </w:r>
          </w:p>
        </w:tc>
        <w:tc>
          <w:tcPr>
            <w:tcW w:w="3042" w:type="dxa"/>
            <w:tcBorders>
              <w:top w:val="nil"/>
              <w:left w:val="nil"/>
              <w:bottom w:val="nil"/>
              <w:right w:val="nil"/>
            </w:tcBorders>
            <w:shd w:val="clear" w:color="auto" w:fill="FFFFFF"/>
            <w:tcMar>
              <w:top w:w="60" w:type="dxa"/>
              <w:left w:w="130" w:type="dxa"/>
              <w:bottom w:w="60" w:type="dxa"/>
              <w:right w:w="130" w:type="dxa"/>
            </w:tcMar>
            <w:vAlign w:val="center"/>
          </w:tcPr>
          <w:p w14:paraId="17EEF472">
            <w:pPr>
              <w:spacing w:line="440" w:lineRule="exact"/>
              <w:rPr>
                <w:rFonts w:ascii="宋体" w:hAnsi="宋体" w:cs="宋体"/>
                <w:sz w:val="24"/>
              </w:rPr>
            </w:pPr>
            <w:r>
              <w:rPr>
                <w:rFonts w:ascii="宋体" w:hAnsi="宋体" w:eastAsia="宋体" w:cs="宋体"/>
                <w:sz w:val="24"/>
              </w:rPr>
              <w:t>会话ID</w:t>
            </w:r>
          </w:p>
        </w:tc>
        <w:tc>
          <w:tcPr>
            <w:tcW w:w="859" w:type="dxa"/>
            <w:tcBorders>
              <w:top w:val="nil"/>
              <w:left w:val="nil"/>
              <w:bottom w:val="nil"/>
              <w:right w:val="nil"/>
            </w:tcBorders>
            <w:shd w:val="clear" w:color="auto" w:fill="FFFFFF"/>
            <w:tcMar>
              <w:top w:w="60" w:type="dxa"/>
              <w:left w:w="130" w:type="dxa"/>
              <w:bottom w:w="60" w:type="dxa"/>
              <w:right w:w="130" w:type="dxa"/>
            </w:tcMar>
            <w:vAlign w:val="center"/>
          </w:tcPr>
          <w:p w14:paraId="0BE72E45">
            <w:pPr>
              <w:spacing w:line="440" w:lineRule="exact"/>
              <w:rPr>
                <w:rFonts w:ascii="宋体" w:hAnsi="宋体" w:cs="宋体"/>
                <w:sz w:val="24"/>
              </w:rPr>
            </w:pPr>
            <w:r>
              <w:rPr>
                <w:rFonts w:ascii="宋体" w:hAnsi="宋体" w:eastAsia="宋体" w:cs="宋体"/>
                <w:sz w:val="24"/>
              </w:rPr>
              <w:t>否</w:t>
            </w:r>
          </w:p>
        </w:tc>
        <w:tc>
          <w:tcPr>
            <w:tcW w:w="1261" w:type="dxa"/>
            <w:tcBorders>
              <w:top w:val="nil"/>
              <w:left w:val="nil"/>
              <w:bottom w:val="nil"/>
              <w:right w:val="nil"/>
            </w:tcBorders>
            <w:shd w:val="clear" w:color="auto" w:fill="FFFFFF"/>
            <w:tcMar>
              <w:top w:w="60" w:type="dxa"/>
              <w:left w:w="130" w:type="dxa"/>
              <w:bottom w:w="60" w:type="dxa"/>
              <w:right w:w="130" w:type="dxa"/>
            </w:tcMar>
            <w:vAlign w:val="center"/>
          </w:tcPr>
          <w:p w14:paraId="79E25D4D">
            <w:pPr>
              <w:spacing w:line="440" w:lineRule="exact"/>
              <w:rPr>
                <w:rFonts w:ascii="宋体" w:hAnsi="宋体" w:cs="宋体"/>
                <w:sz w:val="24"/>
              </w:rPr>
            </w:pPr>
          </w:p>
        </w:tc>
      </w:tr>
      <w:tr w14:paraId="6218FFA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580" w:type="dxa"/>
            <w:tcBorders>
              <w:top w:val="nil"/>
              <w:left w:val="nil"/>
              <w:bottom w:val="nil"/>
              <w:right w:val="nil"/>
            </w:tcBorders>
            <w:shd w:val="clear" w:color="auto" w:fill="FFFFFF"/>
            <w:tcMar>
              <w:top w:w="60" w:type="dxa"/>
              <w:left w:w="130" w:type="dxa"/>
              <w:bottom w:w="60" w:type="dxa"/>
              <w:right w:w="130" w:type="dxa"/>
            </w:tcMar>
            <w:vAlign w:val="center"/>
          </w:tcPr>
          <w:p w14:paraId="11EC4284">
            <w:pPr>
              <w:spacing w:line="440" w:lineRule="exact"/>
              <w:rPr>
                <w:rFonts w:ascii="宋体" w:hAnsi="宋体" w:cs="宋体"/>
                <w:sz w:val="24"/>
              </w:rPr>
            </w:pPr>
            <w:r>
              <w:rPr>
                <w:rFonts w:ascii="宋体" w:hAnsi="宋体" w:eastAsia="宋体" w:cs="宋体"/>
                <w:sz w:val="24"/>
              </w:rPr>
              <w:t>role</w:t>
            </w:r>
          </w:p>
        </w:tc>
        <w:tc>
          <w:tcPr>
            <w:tcW w:w="1220" w:type="dxa"/>
            <w:tcBorders>
              <w:top w:val="nil"/>
              <w:left w:val="nil"/>
              <w:bottom w:val="nil"/>
              <w:right w:val="nil"/>
            </w:tcBorders>
            <w:shd w:val="clear" w:color="auto" w:fill="FFFFFF"/>
            <w:tcMar>
              <w:top w:w="60" w:type="dxa"/>
              <w:left w:w="130" w:type="dxa"/>
              <w:bottom w:w="60" w:type="dxa"/>
              <w:right w:w="130" w:type="dxa"/>
            </w:tcMar>
            <w:vAlign w:val="center"/>
          </w:tcPr>
          <w:p w14:paraId="2DF7CB8B">
            <w:pPr>
              <w:spacing w:line="440" w:lineRule="exact"/>
              <w:rPr>
                <w:rFonts w:ascii="宋体" w:hAnsi="宋体" w:cs="宋体"/>
                <w:sz w:val="24"/>
              </w:rPr>
            </w:pPr>
            <w:r>
              <w:rPr>
                <w:rFonts w:ascii="宋体" w:hAnsi="宋体" w:eastAsia="宋体" w:cs="宋体"/>
                <w:sz w:val="24"/>
              </w:rPr>
              <w:t>varchar</w:t>
            </w:r>
          </w:p>
        </w:tc>
        <w:tc>
          <w:tcPr>
            <w:tcW w:w="620" w:type="dxa"/>
            <w:tcBorders>
              <w:top w:val="nil"/>
              <w:left w:val="nil"/>
              <w:bottom w:val="nil"/>
              <w:right w:val="nil"/>
            </w:tcBorders>
            <w:shd w:val="clear" w:color="auto" w:fill="FFFFFF"/>
            <w:tcMar>
              <w:top w:w="60" w:type="dxa"/>
              <w:left w:w="130" w:type="dxa"/>
              <w:bottom w:w="60" w:type="dxa"/>
              <w:right w:w="130" w:type="dxa"/>
            </w:tcMar>
            <w:vAlign w:val="center"/>
          </w:tcPr>
          <w:p w14:paraId="201EC1B3">
            <w:pPr>
              <w:spacing w:line="440" w:lineRule="exact"/>
              <w:rPr>
                <w:rFonts w:ascii="宋体" w:hAnsi="宋体" w:cs="宋体"/>
                <w:sz w:val="24"/>
              </w:rPr>
            </w:pPr>
            <w:r>
              <w:rPr>
                <w:rFonts w:ascii="宋体" w:hAnsi="宋体" w:eastAsia="宋体" w:cs="宋体"/>
                <w:sz w:val="24"/>
              </w:rPr>
              <w:t>20</w:t>
            </w:r>
          </w:p>
        </w:tc>
        <w:tc>
          <w:tcPr>
            <w:tcW w:w="3042" w:type="dxa"/>
            <w:tcBorders>
              <w:top w:val="nil"/>
              <w:left w:val="nil"/>
              <w:bottom w:val="nil"/>
              <w:right w:val="nil"/>
            </w:tcBorders>
            <w:shd w:val="clear" w:color="auto" w:fill="FFFFFF"/>
            <w:tcMar>
              <w:top w:w="60" w:type="dxa"/>
              <w:left w:w="130" w:type="dxa"/>
              <w:bottom w:w="60" w:type="dxa"/>
              <w:right w:w="130" w:type="dxa"/>
            </w:tcMar>
            <w:vAlign w:val="center"/>
          </w:tcPr>
          <w:p w14:paraId="139FDCFB">
            <w:pPr>
              <w:spacing w:line="440" w:lineRule="exact"/>
              <w:rPr>
                <w:rFonts w:ascii="宋体" w:hAnsi="宋体" w:cs="宋体"/>
                <w:sz w:val="24"/>
              </w:rPr>
            </w:pPr>
            <w:r>
              <w:rPr>
                <w:rFonts w:ascii="宋体" w:hAnsi="宋体" w:eastAsia="宋体" w:cs="宋体"/>
                <w:sz w:val="24"/>
              </w:rPr>
              <w:t>角色(user/assistant)</w:t>
            </w:r>
          </w:p>
        </w:tc>
        <w:tc>
          <w:tcPr>
            <w:tcW w:w="859" w:type="dxa"/>
            <w:tcBorders>
              <w:top w:val="nil"/>
              <w:left w:val="nil"/>
              <w:bottom w:val="nil"/>
              <w:right w:val="nil"/>
            </w:tcBorders>
            <w:shd w:val="clear" w:color="auto" w:fill="FFFFFF"/>
            <w:tcMar>
              <w:top w:w="60" w:type="dxa"/>
              <w:left w:w="130" w:type="dxa"/>
              <w:bottom w:w="60" w:type="dxa"/>
              <w:right w:w="130" w:type="dxa"/>
            </w:tcMar>
            <w:vAlign w:val="center"/>
          </w:tcPr>
          <w:p w14:paraId="701810D1">
            <w:pPr>
              <w:spacing w:line="440" w:lineRule="exact"/>
              <w:rPr>
                <w:rFonts w:ascii="宋体" w:hAnsi="宋体" w:cs="宋体"/>
                <w:sz w:val="24"/>
              </w:rPr>
            </w:pPr>
            <w:r>
              <w:rPr>
                <w:rFonts w:ascii="宋体" w:hAnsi="宋体" w:eastAsia="宋体" w:cs="宋体"/>
                <w:sz w:val="24"/>
              </w:rPr>
              <w:t>否</w:t>
            </w:r>
          </w:p>
        </w:tc>
        <w:tc>
          <w:tcPr>
            <w:tcW w:w="1261" w:type="dxa"/>
            <w:tcBorders>
              <w:top w:val="nil"/>
              <w:left w:val="nil"/>
              <w:bottom w:val="nil"/>
              <w:right w:val="nil"/>
            </w:tcBorders>
            <w:shd w:val="clear" w:color="auto" w:fill="FFFFFF"/>
            <w:tcMar>
              <w:top w:w="60" w:type="dxa"/>
              <w:left w:w="130" w:type="dxa"/>
              <w:bottom w:w="60" w:type="dxa"/>
              <w:right w:w="130" w:type="dxa"/>
            </w:tcMar>
            <w:vAlign w:val="center"/>
          </w:tcPr>
          <w:p w14:paraId="35163971">
            <w:pPr>
              <w:spacing w:line="440" w:lineRule="exact"/>
              <w:rPr>
                <w:rFonts w:ascii="宋体" w:hAnsi="宋体" w:cs="宋体"/>
                <w:sz w:val="24"/>
              </w:rPr>
            </w:pPr>
          </w:p>
        </w:tc>
      </w:tr>
      <w:tr w14:paraId="6DEE9496">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580" w:type="dxa"/>
            <w:tcBorders>
              <w:top w:val="nil"/>
              <w:left w:val="nil"/>
              <w:bottom w:val="nil"/>
              <w:right w:val="nil"/>
            </w:tcBorders>
            <w:shd w:val="clear" w:color="auto" w:fill="FFFFFF"/>
            <w:tcMar>
              <w:top w:w="60" w:type="dxa"/>
              <w:left w:w="130" w:type="dxa"/>
              <w:bottom w:w="60" w:type="dxa"/>
              <w:right w:w="130" w:type="dxa"/>
            </w:tcMar>
            <w:vAlign w:val="center"/>
          </w:tcPr>
          <w:p w14:paraId="67440C21">
            <w:pPr>
              <w:spacing w:line="440" w:lineRule="exact"/>
              <w:rPr>
                <w:rFonts w:ascii="宋体" w:hAnsi="宋体" w:cs="宋体"/>
                <w:sz w:val="24"/>
              </w:rPr>
            </w:pPr>
            <w:r>
              <w:rPr>
                <w:rFonts w:ascii="宋体" w:hAnsi="宋体" w:eastAsia="宋体" w:cs="宋体"/>
                <w:sz w:val="24"/>
              </w:rPr>
              <w:t>content</w:t>
            </w:r>
          </w:p>
        </w:tc>
        <w:tc>
          <w:tcPr>
            <w:tcW w:w="1220" w:type="dxa"/>
            <w:tcBorders>
              <w:top w:val="nil"/>
              <w:left w:val="nil"/>
              <w:bottom w:val="nil"/>
              <w:right w:val="nil"/>
            </w:tcBorders>
            <w:shd w:val="clear" w:color="auto" w:fill="FFFFFF"/>
            <w:tcMar>
              <w:top w:w="60" w:type="dxa"/>
              <w:left w:w="130" w:type="dxa"/>
              <w:bottom w:w="60" w:type="dxa"/>
              <w:right w:w="130" w:type="dxa"/>
            </w:tcMar>
            <w:vAlign w:val="center"/>
          </w:tcPr>
          <w:p w14:paraId="6BC703B6">
            <w:pPr>
              <w:spacing w:line="440" w:lineRule="exact"/>
              <w:rPr>
                <w:rFonts w:ascii="宋体" w:hAnsi="宋体" w:cs="宋体"/>
                <w:sz w:val="24"/>
              </w:rPr>
            </w:pPr>
            <w:r>
              <w:rPr>
                <w:rFonts w:ascii="宋体" w:hAnsi="宋体" w:eastAsia="宋体" w:cs="宋体"/>
                <w:sz w:val="24"/>
              </w:rPr>
              <w:t>text</w:t>
            </w:r>
          </w:p>
        </w:tc>
        <w:tc>
          <w:tcPr>
            <w:tcW w:w="620" w:type="dxa"/>
            <w:tcBorders>
              <w:top w:val="nil"/>
              <w:left w:val="nil"/>
              <w:bottom w:val="nil"/>
              <w:right w:val="nil"/>
            </w:tcBorders>
            <w:shd w:val="clear" w:color="auto" w:fill="FFFFFF"/>
            <w:tcMar>
              <w:top w:w="60" w:type="dxa"/>
              <w:left w:w="130" w:type="dxa"/>
              <w:bottom w:w="60" w:type="dxa"/>
              <w:right w:w="130" w:type="dxa"/>
            </w:tcMar>
            <w:vAlign w:val="center"/>
          </w:tcPr>
          <w:p w14:paraId="65C99307">
            <w:pPr>
              <w:spacing w:line="440" w:lineRule="exact"/>
              <w:rPr>
                <w:rFonts w:ascii="宋体" w:hAnsi="宋体" w:cs="宋体"/>
                <w:sz w:val="24"/>
              </w:rPr>
            </w:pPr>
            <w:r>
              <w:rPr>
                <w:rFonts w:ascii="宋体" w:hAnsi="宋体" w:eastAsia="宋体" w:cs="宋体"/>
                <w:sz w:val="24"/>
              </w:rPr>
              <w:t>-</w:t>
            </w:r>
          </w:p>
        </w:tc>
        <w:tc>
          <w:tcPr>
            <w:tcW w:w="3042" w:type="dxa"/>
            <w:tcBorders>
              <w:top w:val="nil"/>
              <w:left w:val="nil"/>
              <w:bottom w:val="nil"/>
              <w:right w:val="nil"/>
            </w:tcBorders>
            <w:shd w:val="clear" w:color="auto" w:fill="FFFFFF"/>
            <w:tcMar>
              <w:top w:w="60" w:type="dxa"/>
              <w:left w:w="130" w:type="dxa"/>
              <w:bottom w:w="60" w:type="dxa"/>
              <w:right w:w="130" w:type="dxa"/>
            </w:tcMar>
            <w:vAlign w:val="center"/>
          </w:tcPr>
          <w:p w14:paraId="1B9BAB9C">
            <w:pPr>
              <w:spacing w:line="440" w:lineRule="exact"/>
              <w:rPr>
                <w:rFonts w:ascii="宋体" w:hAnsi="宋体" w:cs="宋体"/>
                <w:sz w:val="24"/>
              </w:rPr>
            </w:pPr>
            <w:r>
              <w:rPr>
                <w:rFonts w:ascii="宋体" w:hAnsi="宋体" w:eastAsia="宋体" w:cs="宋体"/>
                <w:sz w:val="24"/>
              </w:rPr>
              <w:t>消息内容</w:t>
            </w:r>
          </w:p>
        </w:tc>
        <w:tc>
          <w:tcPr>
            <w:tcW w:w="859" w:type="dxa"/>
            <w:tcBorders>
              <w:top w:val="nil"/>
              <w:left w:val="nil"/>
              <w:bottom w:val="nil"/>
              <w:right w:val="nil"/>
            </w:tcBorders>
            <w:shd w:val="clear" w:color="auto" w:fill="FFFFFF"/>
            <w:tcMar>
              <w:top w:w="60" w:type="dxa"/>
              <w:left w:w="130" w:type="dxa"/>
              <w:bottom w:w="60" w:type="dxa"/>
              <w:right w:w="130" w:type="dxa"/>
            </w:tcMar>
            <w:vAlign w:val="center"/>
          </w:tcPr>
          <w:p w14:paraId="684498AD">
            <w:pPr>
              <w:spacing w:line="440" w:lineRule="exact"/>
              <w:rPr>
                <w:rFonts w:ascii="宋体" w:hAnsi="宋体" w:cs="宋体"/>
                <w:sz w:val="24"/>
              </w:rPr>
            </w:pPr>
            <w:r>
              <w:rPr>
                <w:rFonts w:ascii="宋体" w:hAnsi="宋体" w:eastAsia="宋体" w:cs="宋体"/>
                <w:sz w:val="24"/>
              </w:rPr>
              <w:t>否</w:t>
            </w:r>
          </w:p>
        </w:tc>
        <w:tc>
          <w:tcPr>
            <w:tcW w:w="1261" w:type="dxa"/>
            <w:tcBorders>
              <w:top w:val="nil"/>
              <w:left w:val="nil"/>
              <w:bottom w:val="nil"/>
              <w:right w:val="nil"/>
            </w:tcBorders>
            <w:shd w:val="clear" w:color="auto" w:fill="FFFFFF"/>
            <w:tcMar>
              <w:top w:w="60" w:type="dxa"/>
              <w:left w:w="130" w:type="dxa"/>
              <w:bottom w:w="60" w:type="dxa"/>
              <w:right w:w="130" w:type="dxa"/>
            </w:tcMar>
            <w:vAlign w:val="center"/>
          </w:tcPr>
          <w:p w14:paraId="2E614553">
            <w:pPr>
              <w:spacing w:line="440" w:lineRule="exact"/>
              <w:rPr>
                <w:rFonts w:ascii="宋体" w:hAnsi="宋体" w:cs="宋体"/>
                <w:sz w:val="24"/>
              </w:rPr>
            </w:pPr>
          </w:p>
        </w:tc>
      </w:tr>
      <w:tr w14:paraId="34C42839">
        <w:tblPrEx>
          <w:tblBorders>
            <w:top w:val="single" w:color="DFE2E5" w:sz="4" w:space="0"/>
            <w:left w:val="single" w:color="DFE2E5" w:sz="4" w:space="0"/>
            <w:bottom w:val="single" w:color="DFE2E5" w:sz="4" w:space="0"/>
            <w:right w:val="single" w:color="DFE2E5" w:sz="4" w:space="0"/>
            <w:insideH w:val="none" w:color="auto" w:sz="0" w:space="0"/>
            <w:insideV w:val="none" w:color="auto" w:sz="0" w:space="0"/>
          </w:tblBorders>
          <w:tblCellMar>
            <w:top w:w="0" w:type="dxa"/>
            <w:left w:w="0" w:type="dxa"/>
            <w:bottom w:w="0" w:type="dxa"/>
            <w:right w:w="0" w:type="dxa"/>
          </w:tblCellMar>
        </w:tblPrEx>
        <w:tc>
          <w:tcPr>
            <w:tcW w:w="158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1D4AA79D">
            <w:pPr>
              <w:spacing w:line="440" w:lineRule="exact"/>
              <w:rPr>
                <w:rFonts w:ascii="宋体" w:hAnsi="宋体" w:cs="宋体"/>
                <w:sz w:val="24"/>
              </w:rPr>
            </w:pPr>
            <w:r>
              <w:rPr>
                <w:rFonts w:ascii="宋体" w:hAnsi="宋体" w:eastAsia="宋体" w:cs="宋体"/>
                <w:sz w:val="24"/>
              </w:rPr>
              <w:t>create_time</w:t>
            </w:r>
          </w:p>
        </w:tc>
        <w:tc>
          <w:tcPr>
            <w:tcW w:w="122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6D16EB4">
            <w:pPr>
              <w:spacing w:line="440" w:lineRule="exact"/>
              <w:rPr>
                <w:rFonts w:ascii="宋体" w:hAnsi="宋体" w:cs="宋体"/>
                <w:sz w:val="24"/>
              </w:rPr>
            </w:pPr>
            <w:r>
              <w:rPr>
                <w:rFonts w:ascii="宋体" w:hAnsi="宋体" w:eastAsia="宋体" w:cs="宋体"/>
                <w:sz w:val="24"/>
              </w:rPr>
              <w:t>datetime</w:t>
            </w:r>
          </w:p>
        </w:tc>
        <w:tc>
          <w:tcPr>
            <w:tcW w:w="620"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694D9E3A">
            <w:pPr>
              <w:spacing w:line="440" w:lineRule="exact"/>
              <w:rPr>
                <w:rFonts w:ascii="宋体" w:hAnsi="宋体" w:cs="宋体"/>
                <w:sz w:val="24"/>
              </w:rPr>
            </w:pPr>
            <w:r>
              <w:rPr>
                <w:rFonts w:ascii="宋体" w:hAnsi="宋体" w:eastAsia="宋体" w:cs="宋体"/>
                <w:sz w:val="24"/>
              </w:rPr>
              <w:t>-</w:t>
            </w:r>
          </w:p>
        </w:tc>
        <w:tc>
          <w:tcPr>
            <w:tcW w:w="3042"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2750F6E6">
            <w:pPr>
              <w:spacing w:line="440" w:lineRule="exact"/>
              <w:rPr>
                <w:rFonts w:ascii="宋体" w:hAnsi="宋体" w:cs="宋体"/>
                <w:sz w:val="24"/>
              </w:rPr>
            </w:pPr>
            <w:r>
              <w:rPr>
                <w:rFonts w:ascii="宋体" w:hAnsi="宋体" w:eastAsia="宋体" w:cs="宋体"/>
                <w:sz w:val="24"/>
              </w:rPr>
              <w:t>创建时间</w:t>
            </w:r>
          </w:p>
        </w:tc>
        <w:tc>
          <w:tcPr>
            <w:tcW w:w="859"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5768CA54">
            <w:pPr>
              <w:spacing w:line="440" w:lineRule="exact"/>
              <w:rPr>
                <w:rFonts w:ascii="宋体" w:hAnsi="宋体" w:cs="宋体"/>
                <w:sz w:val="24"/>
              </w:rPr>
            </w:pPr>
            <w:r>
              <w:rPr>
                <w:rFonts w:ascii="宋体" w:hAnsi="宋体" w:eastAsia="宋体" w:cs="宋体"/>
                <w:sz w:val="24"/>
              </w:rPr>
              <w:t>否</w:t>
            </w:r>
          </w:p>
        </w:tc>
        <w:tc>
          <w:tcPr>
            <w:tcW w:w="1261" w:type="dxa"/>
            <w:tcBorders>
              <w:top w:val="nil"/>
              <w:left w:val="nil"/>
              <w:bottom w:val="single" w:color="000000" w:sz="12" w:space="0"/>
              <w:right w:val="nil"/>
            </w:tcBorders>
            <w:shd w:val="clear" w:color="auto" w:fill="FFFFFF"/>
            <w:tcMar>
              <w:top w:w="60" w:type="dxa"/>
              <w:left w:w="130" w:type="dxa"/>
              <w:bottom w:w="60" w:type="dxa"/>
              <w:right w:w="130" w:type="dxa"/>
            </w:tcMar>
            <w:vAlign w:val="center"/>
          </w:tcPr>
          <w:p w14:paraId="7A46DE84">
            <w:pPr>
              <w:spacing w:line="440" w:lineRule="exact"/>
              <w:rPr>
                <w:rFonts w:ascii="宋体" w:hAnsi="宋体" w:cs="宋体"/>
                <w:sz w:val="24"/>
              </w:rPr>
            </w:pPr>
            <w:r>
              <w:rPr>
                <w:rFonts w:ascii="宋体" w:hAnsi="宋体" w:eastAsia="宋体" w:cs="宋体"/>
                <w:sz w:val="24"/>
              </w:rPr>
              <w:t>CURRENT_TIMESTAMP</w:t>
            </w:r>
          </w:p>
        </w:tc>
      </w:tr>
    </w:tbl>
    <w:p w14:paraId="2F2BB70E">
      <w:pPr>
        <w:spacing w:line="440" w:lineRule="exact"/>
        <w:outlineLvl w:val="9"/>
        <w:rPr>
          <w:b/>
          <w:bCs/>
          <w:sz w:val="28"/>
          <w:szCs w:val="28"/>
        </w:rPr>
      </w:pPr>
      <w:bookmarkStart w:id="509" w:name="_Toc14740"/>
      <w:bookmarkStart w:id="510" w:name="_Toc9560"/>
      <w:bookmarkStart w:id="511" w:name="_Toc28927"/>
      <w:bookmarkStart w:id="512" w:name="_Toc20818"/>
      <w:r>
        <w:rPr>
          <w:rFonts w:hint="eastAsia" w:cs="Times New Roman"/>
          <w:b/>
          <w:bCs/>
          <w:sz w:val="28"/>
          <w:szCs w:val="28"/>
        </w:rPr>
        <w:t>4系统实现</w:t>
      </w:r>
      <w:bookmarkEnd w:id="509"/>
      <w:bookmarkEnd w:id="510"/>
      <w:bookmarkEnd w:id="511"/>
      <w:bookmarkEnd w:id="512"/>
    </w:p>
    <w:p w14:paraId="75BCA33D">
      <w:pPr>
        <w:spacing w:line="440" w:lineRule="exact"/>
        <w:ind w:firstLine="480" w:firstLineChars="200"/>
        <w:jc w:val="left"/>
        <w:outlineLvl w:val="9"/>
        <w:rPr>
          <w:rFonts w:ascii="宋体" w:hAnsi="宋体" w:cs="宋体"/>
          <w:color w:val="000000"/>
          <w:sz w:val="24"/>
        </w:rPr>
      </w:pPr>
      <w:bookmarkStart w:id="513" w:name="_Toc15849"/>
      <w:bookmarkStart w:id="514" w:name="_Toc1625"/>
      <w:bookmarkStart w:id="515" w:name="_Toc27894"/>
      <w:bookmarkStart w:id="516" w:name="_Toc24807"/>
      <w:r>
        <w:rPr>
          <w:rFonts w:hint="eastAsia" w:ascii="宋体" w:hAnsi="宋体" w:cs="宋体"/>
          <w:color w:val="000000"/>
          <w:sz w:val="24"/>
        </w:rPr>
        <w:t>4.1 系</w:t>
      </w:r>
      <w:r>
        <w:rPr>
          <w:rFonts w:hint="eastAsia" w:ascii="宋体" w:hAnsi="宋体" w:eastAsia="宋体" w:cs="宋体"/>
          <w:color w:val="000000"/>
          <w:sz w:val="24"/>
        </w:rPr>
        <w:t>统开发环境</w:t>
      </w:r>
      <w:bookmarkEnd w:id="513"/>
      <w:bookmarkEnd w:id="514"/>
      <w:bookmarkEnd w:id="515"/>
      <w:bookmarkEnd w:id="516"/>
    </w:p>
    <w:p w14:paraId="2E4B948A">
      <w:pPr>
        <w:spacing w:line="440" w:lineRule="exact"/>
        <w:ind w:firstLine="480" w:firstLineChars="200"/>
        <w:jc w:val="left"/>
        <w:outlineLvl w:val="9"/>
        <w:rPr>
          <w:rFonts w:ascii="宋体" w:hAnsi="宋体" w:cs="宋体"/>
          <w:color w:val="000000"/>
          <w:sz w:val="24"/>
        </w:rPr>
      </w:pPr>
      <w:r>
        <w:rPr>
          <w:rFonts w:hint="eastAsia" w:ascii="宋体" w:hAnsi="宋体" w:cs="宋体"/>
          <w:color w:val="000000"/>
          <w:sz w:val="24"/>
        </w:rPr>
        <w:t>4.1.1 服务器端</w:t>
      </w:r>
    </w:p>
    <w:p w14:paraId="4E99A09E">
      <w:pPr>
        <w:spacing w:line="440" w:lineRule="exact"/>
        <w:ind w:firstLine="480" w:firstLineChars="200"/>
        <w:jc w:val="left"/>
        <w:outlineLvl w:val="9"/>
        <w:rPr>
          <w:rFonts w:ascii="宋体" w:hAnsi="宋体" w:cs="宋体"/>
          <w:color w:val="000000"/>
          <w:sz w:val="24"/>
        </w:rPr>
      </w:pPr>
      <w:r>
        <w:rPr>
          <w:rFonts w:hint="eastAsia" w:ascii="宋体" w:hAnsi="宋体" w:cs="宋体"/>
          <w:color w:val="000000"/>
          <w:sz w:val="24"/>
        </w:rPr>
        <w:t>服务器端硬件配置需满足赣绣数字化传承平台的业务运行需求，保障系统在多用户并发访问、数据存储与处理、多媒体资源加载等场景下的稳定性和高效性，具体配置如下：</w:t>
      </w:r>
    </w:p>
    <w:p w14:paraId="3F3844C9">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1.处理器</w:t>
      </w:r>
    </w:p>
    <w:p w14:paraId="2A25951A">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采用Intel Core i7及以上级别处理器，或同等性能的AMD Ryzen 7系列处理器，支持多线程并发处理，确保后端服务、数据库查询、AI智能客服响应等核心业务逻辑高效运行，满足500并发用户的访问压力。</w:t>
      </w:r>
    </w:p>
    <w:p w14:paraId="20FA6B04">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2.内存</w:t>
      </w:r>
    </w:p>
    <w:p w14:paraId="5ABBC9F9">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配置16GB及以上DDR4内存，保障系统运行过程中对内存资源的需求，避免因内存不足导致的服务卡顿或响应延迟，尤其支持数据库缓存、会话管理等内存密集型操作。</w:t>
      </w:r>
    </w:p>
    <w:p w14:paraId="2391C6E5">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3.存储设备</w:t>
      </w:r>
    </w:p>
    <w:p w14:paraId="206A554B">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采用 500GB 及以上 SSD 固态硬盘，提升数据读写速度，缩短系统启动时间、数据库查询响应时间和多媒体文件（如赣绣课程视频、作品图片）的加载时间；同时可搭配大容量机械硬盘用于数据备份，确保赣绣项目信息、传承人资料、用户数据等核心数据的安全性。</w:t>
      </w:r>
    </w:p>
    <w:p w14:paraId="76828F01">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4.网络配置</w:t>
      </w:r>
    </w:p>
    <w:p w14:paraId="27BE2680">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支持千兆以太网接入，保障服务器与客户端之间的网络传输速率，减少数据传输延迟，确保在线课程播放、AI 流式对话、商品下单等功能的流畅性，同时满足多用户同时访问时的网络带宽需求。</w:t>
      </w:r>
    </w:p>
    <w:p w14:paraId="3A60660A">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5.操作系统</w:t>
      </w:r>
    </w:p>
    <w:p w14:paraId="2DECD3DD">
      <w:pPr>
        <w:spacing w:line="440" w:lineRule="exact"/>
        <w:ind w:firstLine="480" w:firstLineChars="200"/>
        <w:jc w:val="left"/>
        <w:rPr>
          <w:rFonts w:ascii="宋体" w:hAnsi="宋体" w:cs="宋体"/>
          <w:b/>
          <w:bCs/>
          <w:color w:val="000000"/>
          <w:sz w:val="24"/>
        </w:rPr>
      </w:pPr>
      <w:r>
        <w:rPr>
          <w:rFonts w:hint="eastAsia" w:ascii="宋体" w:hAnsi="宋体" w:cs="宋体"/>
          <w:color w:val="000000"/>
          <w:sz w:val="24"/>
        </w:rPr>
        <w:t>兼容 Windows Server 2019 及以上版本、CentOS 7.0 及以上版本等主流服务器操作系统，为Spring Boot后端框架、MySQL数据库等软件提供稳定的运行环境，支持系统的部署、维护和扩展。</w:t>
      </w:r>
    </w:p>
    <w:p w14:paraId="4956A1A8">
      <w:pPr>
        <w:spacing w:line="440" w:lineRule="exact"/>
        <w:ind w:firstLine="480" w:firstLineChars="200"/>
        <w:jc w:val="left"/>
        <w:outlineLvl w:val="9"/>
        <w:rPr>
          <w:rFonts w:ascii="宋体" w:hAnsi="宋体" w:cs="宋体"/>
          <w:color w:val="000000"/>
          <w:sz w:val="24"/>
        </w:rPr>
      </w:pPr>
      <w:bookmarkStart w:id="517" w:name="_Toc30369"/>
      <w:bookmarkStart w:id="518" w:name="_Toc3823"/>
      <w:bookmarkStart w:id="519" w:name="_Toc30000"/>
      <w:bookmarkStart w:id="520" w:name="_Toc17645"/>
      <w:r>
        <w:rPr>
          <w:rFonts w:hint="eastAsia" w:ascii="宋体" w:hAnsi="宋体" w:cs="宋体"/>
          <w:color w:val="000000"/>
          <w:sz w:val="24"/>
        </w:rPr>
        <w:t>4.2 系统功能实现</w:t>
      </w:r>
      <w:bookmarkEnd w:id="517"/>
      <w:bookmarkEnd w:id="518"/>
      <w:bookmarkEnd w:id="519"/>
      <w:bookmarkEnd w:id="520"/>
    </w:p>
    <w:p w14:paraId="6E153C6C">
      <w:pPr>
        <w:spacing w:line="440" w:lineRule="exact"/>
        <w:ind w:firstLine="480" w:firstLineChars="200"/>
        <w:jc w:val="left"/>
        <w:outlineLvl w:val="9"/>
        <w:rPr>
          <w:rFonts w:ascii="宋体" w:hAnsi="宋体" w:cs="宋体"/>
          <w:color w:val="000000"/>
          <w:sz w:val="24"/>
        </w:rPr>
      </w:pPr>
      <w:r>
        <w:rPr>
          <w:rFonts w:hint="eastAsia" w:ascii="宋体" w:hAnsi="宋体" w:cs="宋体"/>
          <w:color w:val="000000"/>
          <w:sz w:val="24"/>
        </w:rPr>
        <w:t>4.2.1用户管理模块</w:t>
      </w:r>
    </w:p>
    <w:p w14:paraId="7A267F68">
      <w:pPr>
        <w:spacing w:line="440" w:lineRule="exact"/>
        <w:ind w:firstLine="480" w:firstLineChars="200"/>
        <w:jc w:val="left"/>
        <w:outlineLvl w:val="9"/>
        <w:rPr>
          <w:rFonts w:ascii="宋体" w:hAnsi="宋体" w:cs="宋体"/>
          <w:color w:val="000000"/>
          <w:sz w:val="24"/>
        </w:rPr>
      </w:pPr>
      <w:r>
        <w:rPr>
          <w:rFonts w:ascii="宋体" w:hAnsi="宋体" w:cs="宋体"/>
          <w:color w:val="000000"/>
          <w:sz w:val="24"/>
        </w:rPr>
        <w:t>用户管理模块是系统的基础模块,为系统提供用户注册、登录和权限管理等核心功能。本节重点介绍用户注册、用户登录和权限验证三个关键功能的实现。</w:t>
      </w:r>
    </w:p>
    <w:p w14:paraId="66E0BE9A">
      <w:pPr>
        <w:spacing w:line="440" w:lineRule="exact"/>
        <w:ind w:firstLine="480" w:firstLineChars="200"/>
        <w:jc w:val="left"/>
        <w:rPr>
          <w:rFonts w:ascii="宋体" w:hAnsi="宋体" w:cs="宋体"/>
          <w:color w:val="000000"/>
          <w:sz w:val="24"/>
        </w:rPr>
      </w:pPr>
      <w:r>
        <w:rPr>
          <w:rFonts w:hint="eastAsia" w:ascii="宋体" w:hAnsi="宋体" w:cs="宋体"/>
          <w:color w:val="000000"/>
          <w:sz w:val="24"/>
        </w:rPr>
        <w:drawing>
          <wp:anchor distT="0" distB="0" distL="114300" distR="114300" simplePos="0" relativeHeight="251706368" behindDoc="0" locked="0" layoutInCell="1" allowOverlap="1">
            <wp:simplePos x="0" y="0"/>
            <wp:positionH relativeFrom="column">
              <wp:posOffset>205105</wp:posOffset>
            </wp:positionH>
            <wp:positionV relativeFrom="paragraph">
              <wp:posOffset>311150</wp:posOffset>
            </wp:positionV>
            <wp:extent cx="5264150" cy="2959735"/>
            <wp:effectExtent l="0" t="0" r="8890" b="12065"/>
            <wp:wrapTopAndBottom/>
            <wp:docPr id="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
                    <pic:cNvPicPr>
                      <a:picLocks noChangeAspect="1"/>
                    </pic:cNvPicPr>
                  </pic:nvPicPr>
                  <pic:blipFill>
                    <a:blip r:embed="rId193"/>
                    <a:stretch>
                      <a:fillRect/>
                    </a:stretch>
                  </pic:blipFill>
                  <pic:spPr>
                    <a:xfrm>
                      <a:off x="0" y="0"/>
                      <a:ext cx="5264150" cy="2959735"/>
                    </a:xfrm>
                    <a:prstGeom prst="rect">
                      <a:avLst/>
                    </a:prstGeom>
                    <a:noFill/>
                    <a:ln>
                      <a:noFill/>
                    </a:ln>
                  </pic:spPr>
                </pic:pic>
              </a:graphicData>
            </a:graphic>
          </wp:anchor>
        </w:drawing>
      </w:r>
      <w:r>
        <w:rPr>
          <w:rFonts w:hint="eastAsia" w:ascii="宋体" w:hAnsi="宋体" w:cs="宋体"/>
          <w:color w:val="000000"/>
          <w:sz w:val="24"/>
          <w:lang w:val="en-US" w:eastAsia="zh-CN"/>
        </w:rPr>
        <w:t>(1)</w:t>
      </w:r>
      <w:r>
        <w:rPr>
          <w:rFonts w:hint="eastAsia" w:ascii="宋体" w:hAnsi="宋体" w:cs="宋体"/>
          <w:color w:val="000000"/>
          <w:sz w:val="24"/>
        </w:rPr>
        <w:t>用户注册功能</w:t>
      </w:r>
    </w:p>
    <w:p w14:paraId="5653F9CC">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 用户注册界面</w:t>
      </w:r>
    </w:p>
    <w:p w14:paraId="12F54A63">
      <w:pPr>
        <w:spacing w:line="440" w:lineRule="exact"/>
        <w:ind w:firstLine="480" w:firstLineChars="200"/>
        <w:rPr>
          <w:rFonts w:ascii="宋体" w:hAnsi="宋体" w:cs="宋体"/>
          <w:color w:val="000000"/>
          <w:sz w:val="24"/>
        </w:rPr>
      </w:pPr>
      <w:r>
        <w:rPr>
          <w:rFonts w:ascii="宋体" w:hAnsi="宋体" w:cs="宋体"/>
          <w:color w:val="000000"/>
          <w:sz w:val="24"/>
        </w:rPr>
        <w:t>以下是用户注册功能的核心代码。前端代码使用Vue3的Composition API编写,通过reactive定义表单数据,使用Ant Design Vue的AuthForm组件进行表单渲染和验证。后端代码使用Spring Boot框架,Controller层接收请求,Service层处理业务逻辑,使用BCrypt对密码进行加密,最后通过MyBatis-Plus将数据保存到数据库。</w:t>
      </w:r>
    </w:p>
    <w:p w14:paraId="26E3B464">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后端核心代码(UserService.java):</w:t>
      </w:r>
    </w:p>
    <w:p w14:paraId="6F1030C3">
      <w:pPr>
        <w:spacing w:line="440" w:lineRule="exact"/>
        <w:ind w:firstLine="480" w:firstLineChars="200"/>
        <w:jc w:val="left"/>
        <w:rPr>
          <w:rFonts w:ascii="宋体" w:hAnsi="宋体" w:cs="宋体"/>
          <w:color w:val="000000"/>
          <w:sz w:val="24"/>
        </w:rPr>
      </w:pPr>
      <w:r>
        <w:rPr>
          <w:rFonts w:ascii="宋体" w:hAnsi="宋体" w:cs="宋体"/>
          <w:color w:val="000000"/>
          <w:sz w:val="24"/>
        </w:rPr>
        <w:t>@Transactional(rollbackFor = Exception.class)</w:t>
      </w:r>
      <w:r>
        <w:rPr>
          <w:rFonts w:ascii="宋体" w:hAnsi="宋体" w:cs="宋体"/>
          <w:color w:val="000000"/>
          <w:sz w:val="24"/>
        </w:rPr>
        <w:br w:type="textWrapping"/>
      </w:r>
      <w:r>
        <w:rPr>
          <w:rFonts w:ascii="宋体" w:hAnsi="宋体" w:cs="宋体"/>
          <w:color w:val="000000"/>
          <w:sz w:val="24"/>
        </w:rPr>
        <w:t>public UserDetailResponseDTO register(UserRegisterCommandDTO registerDTO)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验证密码确认</w:t>
      </w:r>
      <w:r>
        <w:rPr>
          <w:rFonts w:ascii="宋体" w:hAnsi="宋体" w:cs="宋体"/>
          <w:color w:val="000000"/>
          <w:sz w:val="24"/>
        </w:rPr>
        <w:br w:type="textWrapping"/>
      </w:r>
      <w:r>
        <w:rPr>
          <w:rFonts w:ascii="宋体" w:hAnsi="宋体" w:cs="宋体"/>
          <w:color w:val="000000"/>
          <w:sz w:val="24"/>
        </w:rPr>
        <w:t xml:space="preserve">        if (!registerDTO.getPassword().equals(registerDTO.getConfirmPassword())) {</w:t>
      </w:r>
      <w:r>
        <w:rPr>
          <w:rFonts w:ascii="宋体" w:hAnsi="宋体" w:cs="宋体"/>
          <w:color w:val="000000"/>
          <w:sz w:val="24"/>
        </w:rPr>
        <w:br w:type="textWrapping"/>
      </w:r>
      <w:r>
        <w:rPr>
          <w:rFonts w:ascii="宋体" w:hAnsi="宋体" w:cs="宋体"/>
          <w:color w:val="000000"/>
          <w:sz w:val="24"/>
        </w:rPr>
        <w:t xml:space="preserve">            throw new BusinessException("两次输入的密码不一致");</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检查用户名是否存在</w:t>
      </w:r>
      <w:r>
        <w:rPr>
          <w:rFonts w:ascii="宋体" w:hAnsi="宋体" w:cs="宋体"/>
          <w:color w:val="000000"/>
          <w:sz w:val="24"/>
        </w:rPr>
        <w:br w:type="textWrapping"/>
      </w:r>
      <w:r>
        <w:rPr>
          <w:rFonts w:ascii="宋体" w:hAnsi="宋体" w:cs="宋体"/>
          <w:color w:val="000000"/>
          <w:sz w:val="24"/>
        </w:rPr>
        <w:t xml:space="preserve">        LambdaQueryWrapper&lt;User&gt; usernameQuery = new LambdaQueryWrapper&lt;&gt;();</w:t>
      </w:r>
      <w:r>
        <w:rPr>
          <w:rFonts w:ascii="宋体" w:hAnsi="宋体" w:cs="宋体"/>
          <w:color w:val="000000"/>
          <w:sz w:val="24"/>
        </w:rPr>
        <w:br w:type="textWrapping"/>
      </w:r>
      <w:r>
        <w:rPr>
          <w:rFonts w:ascii="宋体" w:hAnsi="宋体" w:cs="宋体"/>
          <w:color w:val="000000"/>
          <w:sz w:val="24"/>
        </w:rPr>
        <w:t xml:space="preserve">        usernameQuery.eq(User::getUsername, registerDTO.getUsername());</w:t>
      </w:r>
      <w:r>
        <w:rPr>
          <w:rFonts w:ascii="宋体" w:hAnsi="宋体" w:cs="宋体"/>
          <w:color w:val="000000"/>
          <w:sz w:val="24"/>
        </w:rPr>
        <w:br w:type="textWrapping"/>
      </w:r>
      <w:r>
        <w:rPr>
          <w:rFonts w:ascii="宋体" w:hAnsi="宋体" w:cs="宋体"/>
          <w:color w:val="000000"/>
          <w:sz w:val="24"/>
        </w:rPr>
        <w:t xml:space="preserve">        if (userMapper.selectCount(usernameQuery) &gt; 0) {</w:t>
      </w:r>
      <w:r>
        <w:rPr>
          <w:rFonts w:ascii="宋体" w:hAnsi="宋体" w:cs="宋体"/>
          <w:color w:val="000000"/>
          <w:sz w:val="24"/>
        </w:rPr>
        <w:br w:type="textWrapping"/>
      </w:r>
      <w:r>
        <w:rPr>
          <w:rFonts w:ascii="宋体" w:hAnsi="宋体" w:cs="宋体"/>
          <w:color w:val="000000"/>
          <w:sz w:val="24"/>
        </w:rPr>
        <w:t xml:space="preserve">            throw new BusinessException("用户名已存在");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检查邮箱是否存在</w:t>
      </w:r>
      <w:r>
        <w:rPr>
          <w:rFonts w:ascii="宋体" w:hAnsi="宋体" w:cs="宋体"/>
          <w:color w:val="000000"/>
          <w:sz w:val="24"/>
        </w:rPr>
        <w:br w:type="textWrapping"/>
      </w:r>
      <w:r>
        <w:rPr>
          <w:rFonts w:ascii="宋体" w:hAnsi="宋体" w:cs="宋体"/>
          <w:color w:val="000000"/>
          <w:sz w:val="24"/>
        </w:rPr>
        <w:t xml:space="preserve">        LambdaQueryWrapper&lt;User&gt; emailQuery = new LambdaQueryWrapper&lt;&gt;();</w:t>
      </w:r>
      <w:r>
        <w:rPr>
          <w:rFonts w:ascii="宋体" w:hAnsi="宋体" w:cs="宋体"/>
          <w:color w:val="000000"/>
          <w:sz w:val="24"/>
        </w:rPr>
        <w:br w:type="textWrapping"/>
      </w:r>
      <w:r>
        <w:rPr>
          <w:rFonts w:ascii="宋体" w:hAnsi="宋体" w:cs="宋体"/>
          <w:color w:val="000000"/>
          <w:sz w:val="24"/>
        </w:rPr>
        <w:t xml:space="preserve">        emailQuery.eq(User::getEmail, registerDTO.getEmail());</w:t>
      </w:r>
      <w:r>
        <w:rPr>
          <w:rFonts w:ascii="宋体" w:hAnsi="宋体" w:cs="宋体"/>
          <w:color w:val="000000"/>
          <w:sz w:val="24"/>
        </w:rPr>
        <w:br w:type="textWrapping"/>
      </w:r>
      <w:r>
        <w:rPr>
          <w:rFonts w:ascii="宋体" w:hAnsi="宋体" w:cs="宋体"/>
          <w:color w:val="000000"/>
          <w:sz w:val="24"/>
        </w:rPr>
        <w:t xml:space="preserve">        if (userMapper.selectCount(emailQuery) &gt; 0) {</w:t>
      </w:r>
      <w:r>
        <w:rPr>
          <w:rFonts w:ascii="宋体" w:hAnsi="宋体" w:cs="宋体"/>
          <w:color w:val="000000"/>
          <w:sz w:val="24"/>
        </w:rPr>
        <w:br w:type="textWrapping"/>
      </w:r>
      <w:r>
        <w:rPr>
          <w:rFonts w:ascii="宋体" w:hAnsi="宋体" w:cs="宋体"/>
          <w:color w:val="000000"/>
          <w:sz w:val="24"/>
        </w:rPr>
        <w:t xml:space="preserve">            throw new BusinessException("邮箱已被注册");</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创建用户</w:t>
      </w:r>
      <w:r>
        <w:rPr>
          <w:rFonts w:ascii="宋体" w:hAnsi="宋体" w:cs="宋体"/>
          <w:color w:val="000000"/>
          <w:sz w:val="24"/>
        </w:rPr>
        <w:br w:type="textWrapping"/>
      </w:r>
      <w:r>
        <w:rPr>
          <w:rFonts w:ascii="宋体" w:hAnsi="宋体" w:cs="宋体"/>
          <w:color w:val="000000"/>
          <w:sz w:val="24"/>
        </w:rPr>
        <w:t xml:space="preserve">  </w:t>
      </w:r>
      <w:r>
        <w:rPr>
          <w:rFonts w:hint="eastAsia" w:ascii="宋体" w:hAnsi="宋体" w:cs="宋体"/>
          <w:color w:val="000000"/>
          <w:sz w:val="24"/>
          <w:lang w:val="en-US" w:eastAsia="zh-CN"/>
        </w:rPr>
        <w:t>(1)</w:t>
      </w:r>
      <w:r>
        <w:rPr>
          <w:rFonts w:ascii="宋体" w:hAnsi="宋体" w:cs="宋体"/>
          <w:color w:val="000000"/>
          <w:sz w:val="24"/>
        </w:rPr>
        <w:t>用户登录功能</w:t>
      </w:r>
    </w:p>
    <w:p w14:paraId="31B07EE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07392" behindDoc="0" locked="0" layoutInCell="1" allowOverlap="1">
            <wp:simplePos x="0" y="0"/>
            <wp:positionH relativeFrom="column">
              <wp:posOffset>339090</wp:posOffset>
            </wp:positionH>
            <wp:positionV relativeFrom="paragraph">
              <wp:posOffset>234950</wp:posOffset>
            </wp:positionV>
            <wp:extent cx="5264150" cy="2959735"/>
            <wp:effectExtent l="0" t="0" r="8890" b="12065"/>
            <wp:wrapTopAndBottom/>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194"/>
                    <a:stretch>
                      <a:fillRect/>
                    </a:stretch>
                  </pic:blipFill>
                  <pic:spPr>
                    <a:xfrm>
                      <a:off x="0" y="0"/>
                      <a:ext cx="5264150" cy="2959735"/>
                    </a:xfrm>
                    <a:prstGeom prst="rect">
                      <a:avLst/>
                    </a:prstGeom>
                    <a:noFill/>
                    <a:ln>
                      <a:noFill/>
                    </a:ln>
                  </pic:spPr>
                </pic:pic>
              </a:graphicData>
            </a:graphic>
          </wp:anchor>
        </w:drawing>
      </w:r>
      <w:r>
        <w:rPr>
          <w:rFonts w:hint="eastAsia" w:ascii="宋体" w:hAnsi="宋体" w:cs="宋体"/>
          <w:sz w:val="21"/>
          <w:szCs w:val="21"/>
        </w:rPr>
        <w:t>图4-2 用户登录界面</w:t>
      </w:r>
    </w:p>
    <w:p w14:paraId="77B238F1">
      <w:pPr>
        <w:spacing w:line="440" w:lineRule="exact"/>
        <w:ind w:firstLine="480" w:firstLineChars="200"/>
        <w:jc w:val="left"/>
        <w:rPr>
          <w:rFonts w:ascii="宋体" w:hAnsi="宋体" w:cs="宋体"/>
          <w:color w:val="000000"/>
          <w:sz w:val="24"/>
        </w:rPr>
      </w:pPr>
      <w:r>
        <w:rPr>
          <w:rFonts w:ascii="宋体" w:hAnsi="宋体" w:cs="宋体"/>
          <w:color w:val="000000"/>
          <w:sz w:val="24"/>
        </w:rPr>
        <w:t>以下是用户登录功能的核心代码。前端代码处理登录表单的提交,将用户输入的用户名和密码发送到后端,登录成功后保存token并跳转页面。后端代码验证用户身份,使用BCrypt验证密码,使用JWT生成令牌。</w:t>
      </w:r>
    </w:p>
    <w:p w14:paraId="4271AFD3">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后端核心代码(UserService.java):</w:t>
      </w:r>
    </w:p>
    <w:p w14:paraId="3259306E">
      <w:pPr>
        <w:spacing w:line="440" w:lineRule="exact"/>
        <w:ind w:firstLine="480" w:firstLineChars="200"/>
        <w:jc w:val="left"/>
        <w:rPr>
          <w:rFonts w:ascii="宋体" w:hAnsi="宋体" w:cs="宋体"/>
          <w:color w:val="000000"/>
          <w:sz w:val="24"/>
        </w:rPr>
      </w:pPr>
      <w:r>
        <w:rPr>
          <w:rFonts w:ascii="宋体" w:hAnsi="宋体" w:cs="宋体"/>
          <w:color w:val="000000"/>
          <w:sz w:val="24"/>
        </w:rPr>
        <w:t>public UserLoginResponseDTO login(UserLoginCommandDTO loginDTO)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根据用户名或邮箱查找用户</w:t>
      </w:r>
      <w:r>
        <w:rPr>
          <w:rFonts w:ascii="宋体" w:hAnsi="宋体" w:cs="宋体"/>
          <w:color w:val="000000"/>
          <w:sz w:val="24"/>
        </w:rPr>
        <w:br w:type="textWrapping"/>
      </w:r>
      <w:r>
        <w:rPr>
          <w:rFonts w:ascii="宋体" w:hAnsi="宋体" w:cs="宋体"/>
          <w:color w:val="000000"/>
          <w:sz w:val="24"/>
        </w:rPr>
        <w:t xml:space="preserve">        LambdaQueryWrapper&lt;User&gt; queryWrapper = new LambdaQueryWrapper&lt;&gt;();</w:t>
      </w:r>
      <w:r>
        <w:rPr>
          <w:rFonts w:ascii="宋体" w:hAnsi="宋体" w:cs="宋体"/>
          <w:color w:val="000000"/>
          <w:sz w:val="24"/>
        </w:rPr>
        <w:br w:type="textWrapping"/>
      </w:r>
      <w:r>
        <w:rPr>
          <w:rFonts w:ascii="宋体" w:hAnsi="宋体" w:cs="宋体"/>
          <w:color w:val="000000"/>
          <w:sz w:val="24"/>
        </w:rPr>
        <w:t xml:space="preserve">        queryWrapper.eq(User::getUsername, loginDTO.getUsername())</w:t>
      </w:r>
      <w:r>
        <w:rPr>
          <w:rFonts w:ascii="宋体" w:hAnsi="宋体" w:cs="宋体"/>
          <w:color w:val="000000"/>
          <w:sz w:val="24"/>
        </w:rPr>
        <w:br w:type="textWrapping"/>
      </w:r>
      <w:r>
        <w:rPr>
          <w:rFonts w:ascii="宋体" w:hAnsi="宋体" w:cs="宋体"/>
          <w:color w:val="000000"/>
          <w:sz w:val="24"/>
        </w:rPr>
        <w:t xml:space="preserve">                .or()</w:t>
      </w:r>
      <w:r>
        <w:rPr>
          <w:rFonts w:ascii="宋体" w:hAnsi="宋体" w:cs="宋体"/>
          <w:color w:val="000000"/>
          <w:sz w:val="24"/>
        </w:rPr>
        <w:br w:type="textWrapping"/>
      </w:r>
      <w:r>
        <w:rPr>
          <w:rFonts w:ascii="宋体" w:hAnsi="宋体" w:cs="宋体"/>
          <w:color w:val="000000"/>
          <w:sz w:val="24"/>
        </w:rPr>
        <w:t xml:space="preserve">                .eq(User::getEmail, loginDTO.getUsername());</w:t>
      </w:r>
      <w:r>
        <w:rPr>
          <w:rFonts w:ascii="宋体" w:hAnsi="宋体" w:cs="宋体"/>
          <w:color w:val="000000"/>
          <w:sz w:val="24"/>
        </w:rPr>
        <w:br w:type="textWrapping"/>
      </w:r>
      <w:r>
        <w:rPr>
          <w:rFonts w:ascii="宋体" w:hAnsi="宋体" w:cs="宋体"/>
          <w:color w:val="000000"/>
          <w:sz w:val="24"/>
        </w:rPr>
        <w:t xml:space="preserve">        User user = userMapper.selectOne(queryWrapper);</w:t>
      </w:r>
      <w:r>
        <w:rPr>
          <w:rFonts w:ascii="宋体" w:hAnsi="宋体" w:cs="宋体"/>
          <w:color w:val="000000"/>
          <w:sz w:val="24"/>
        </w:rPr>
        <w:br w:type="textWrapping"/>
      </w:r>
      <w:r>
        <w:rPr>
          <w:rFonts w:ascii="宋体" w:hAnsi="宋体" w:cs="宋体"/>
          <w:color w:val="000000"/>
          <w:sz w:val="24"/>
        </w:rPr>
        <w:t xml:space="preserve">        if (user == null) {</w:t>
      </w:r>
      <w:r>
        <w:rPr>
          <w:rFonts w:ascii="宋体" w:hAnsi="宋体" w:cs="宋体"/>
          <w:color w:val="000000"/>
          <w:sz w:val="24"/>
        </w:rPr>
        <w:br w:type="textWrapping"/>
      </w:r>
      <w:r>
        <w:rPr>
          <w:rFonts w:ascii="宋体" w:hAnsi="宋体" w:cs="宋体"/>
          <w:color w:val="000000"/>
          <w:sz w:val="24"/>
        </w:rPr>
        <w:t xml:space="preserve">            throw new BusinessException("用户不存在");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验证密码</w:t>
      </w:r>
      <w:r>
        <w:rPr>
          <w:rFonts w:ascii="宋体" w:hAnsi="宋体" w:cs="宋体"/>
          <w:color w:val="000000"/>
          <w:sz w:val="24"/>
        </w:rPr>
        <w:br w:type="textWrapping"/>
      </w:r>
      <w:r>
        <w:rPr>
          <w:rFonts w:ascii="宋体" w:hAnsi="宋体" w:cs="宋体"/>
          <w:color w:val="000000"/>
          <w:sz w:val="24"/>
        </w:rPr>
        <w:t xml:space="preserve">        if (!passwordEncoder.matches(loginDTO.getPassword(), user.getPassword())) {</w:t>
      </w:r>
      <w:r>
        <w:rPr>
          <w:rFonts w:ascii="宋体" w:hAnsi="宋体" w:cs="宋体"/>
          <w:color w:val="000000"/>
          <w:sz w:val="24"/>
        </w:rPr>
        <w:br w:type="textWrapping"/>
      </w:r>
      <w:r>
        <w:rPr>
          <w:rFonts w:ascii="宋体" w:hAnsi="宋体" w:cs="宋体"/>
          <w:color w:val="000000"/>
          <w:sz w:val="24"/>
        </w:rPr>
        <w:t xml:space="preserve">            throw new BusinessException("用户名或密码错误");</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检查用户状态</w:t>
      </w:r>
      <w:r>
        <w:rPr>
          <w:rFonts w:ascii="宋体" w:hAnsi="宋体" w:cs="宋体"/>
          <w:color w:val="000000"/>
          <w:sz w:val="24"/>
        </w:rPr>
        <w:br w:type="textWrapping"/>
      </w:r>
      <w:r>
        <w:rPr>
          <w:rFonts w:ascii="宋体" w:hAnsi="宋体" w:cs="宋体"/>
          <w:color w:val="000000"/>
          <w:sz w:val="24"/>
        </w:rPr>
        <w:t xml:space="preserve">        if (!user.isActive()) {</w:t>
      </w:r>
      <w:r>
        <w:rPr>
          <w:rFonts w:ascii="宋体" w:hAnsi="宋体" w:cs="宋体"/>
          <w:color w:val="000000"/>
          <w:sz w:val="24"/>
        </w:rPr>
        <w:br w:type="textWrapping"/>
      </w:r>
      <w:r>
        <w:rPr>
          <w:rFonts w:ascii="宋体" w:hAnsi="宋体" w:cs="宋体"/>
          <w:color w:val="000000"/>
          <w:sz w:val="24"/>
        </w:rPr>
        <w:t xml:space="preserve">            throw new BusinessException("账号已被禁用，请联系管理员");</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生成JWT token</w:t>
      </w:r>
      <w:r>
        <w:rPr>
          <w:rFonts w:ascii="宋体" w:hAnsi="宋体" w:cs="宋体"/>
          <w:color w:val="000000"/>
          <w:sz w:val="24"/>
        </w:rPr>
        <w:br w:type="textWrapping"/>
      </w:r>
      <w:r>
        <w:rPr>
          <w:rFonts w:ascii="宋体" w:hAnsi="宋体" w:cs="宋体"/>
          <w:color w:val="000000"/>
          <w:sz w:val="24"/>
        </w:rPr>
        <w:t xml:space="preserve">        String token = JwtTokenUtils.generateToken(user.getId(), user.getUsername(), user.getUserType());</w:t>
      </w:r>
      <w:r>
        <w:rPr>
          <w:rFonts w:ascii="宋体" w:hAnsi="宋体" w:cs="宋体"/>
          <w:color w:val="000000"/>
          <w:sz w:val="24"/>
        </w:rPr>
        <w:br w:type="textWrapping"/>
      </w:r>
      <w:r>
        <w:rPr>
          <w:rFonts w:ascii="宋体" w:hAnsi="宋体" w:cs="宋体"/>
          <w:color w:val="000000"/>
          <w:sz w:val="24"/>
        </w:rPr>
        <w:t xml:space="preserve">        // 构建响应</w:t>
      </w:r>
    </w:p>
    <w:p w14:paraId="38F7EB9C">
      <w:pPr>
        <w:spacing w:line="440" w:lineRule="exact"/>
        <w:ind w:firstLine="480" w:firstLineChars="200"/>
        <w:jc w:val="left"/>
        <w:rPr>
          <w:rFonts w:ascii="宋体" w:hAnsi="宋体" w:cs="宋体"/>
          <w:color w:val="000000"/>
          <w:sz w:val="24"/>
        </w:rPr>
      </w:pPr>
      <w:bookmarkStart w:id="521" w:name="_Toc15625"/>
      <w:r>
        <w:rPr>
          <w:rFonts w:hint="eastAsia" w:ascii="宋体" w:hAnsi="宋体" w:cs="宋体"/>
          <w:color w:val="000000"/>
          <w:sz w:val="24"/>
        </w:rPr>
        <w:t>4</w:t>
      </w:r>
      <w:r>
        <w:rPr>
          <w:rFonts w:ascii="宋体" w:hAnsi="宋体" w:cs="宋体"/>
          <w:color w:val="000000"/>
          <w:sz w:val="24"/>
        </w:rPr>
        <w:t>.2</w:t>
      </w:r>
      <w:r>
        <w:rPr>
          <w:rFonts w:hint="eastAsia" w:ascii="宋体" w:hAnsi="宋体" w:cs="宋体"/>
          <w:color w:val="000000"/>
          <w:sz w:val="24"/>
        </w:rPr>
        <w:t>.2</w:t>
      </w:r>
      <w:r>
        <w:rPr>
          <w:rFonts w:ascii="宋体" w:hAnsi="宋体" w:cs="宋体"/>
          <w:color w:val="000000"/>
          <w:sz w:val="24"/>
        </w:rPr>
        <w:t xml:space="preserve"> </w:t>
      </w:r>
      <w:r>
        <w:rPr>
          <w:rFonts w:hint="eastAsia" w:ascii="宋体" w:hAnsi="宋体" w:cs="宋体"/>
          <w:color w:val="000000"/>
          <w:sz w:val="24"/>
        </w:rPr>
        <w:t>赣绣</w:t>
      </w:r>
      <w:r>
        <w:rPr>
          <w:rFonts w:ascii="宋体" w:hAnsi="宋体" w:cs="宋体"/>
          <w:color w:val="000000"/>
          <w:sz w:val="24"/>
        </w:rPr>
        <w:t>项目管理</w:t>
      </w:r>
      <w:r>
        <w:rPr>
          <w:rFonts w:hint="eastAsia" w:ascii="宋体" w:hAnsi="宋体" w:cs="宋体"/>
          <w:color w:val="000000"/>
          <w:sz w:val="24"/>
        </w:rPr>
        <w:t>模块</w:t>
      </w:r>
      <w:r>
        <w:rPr>
          <w:rFonts w:ascii="宋体" w:hAnsi="宋体" w:cs="宋体"/>
          <w:color w:val="000000"/>
          <w:sz w:val="24"/>
        </w:rPr>
        <w:t>实现</w:t>
      </w:r>
      <w:bookmarkEnd w:id="521"/>
    </w:p>
    <w:p w14:paraId="35983DFC">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赣绣</w:t>
      </w:r>
      <w:r>
        <w:rPr>
          <w:rFonts w:ascii="宋体" w:hAnsi="宋体" w:cs="宋体"/>
          <w:color w:val="000000"/>
          <w:sz w:val="24"/>
        </w:rPr>
        <w:t>项目管理模块是系统的核心业务模块,为用户提供非遗项目的浏览、查询和管理功能。本节重点介绍项目列表查询、项目详情展示和项目创建三个关键功能的实现。</w:t>
      </w:r>
    </w:p>
    <w:p w14:paraId="4C1BCDF2">
      <w:pPr>
        <w:spacing w:line="440" w:lineRule="exact"/>
        <w:ind w:firstLine="420" w:firstLineChars="200"/>
        <w:jc w:val="left"/>
        <w:rPr>
          <w:rFonts w:ascii="宋体" w:hAnsi="宋体" w:cs="宋体"/>
          <w:color w:val="000000"/>
          <w:sz w:val="24"/>
        </w:rPr>
      </w:pPr>
      <w:r>
        <w:drawing>
          <wp:anchor distT="0" distB="0" distL="114300" distR="114300" simplePos="0" relativeHeight="251708416" behindDoc="0" locked="0" layoutInCell="1" allowOverlap="1">
            <wp:simplePos x="0" y="0"/>
            <wp:positionH relativeFrom="column">
              <wp:posOffset>224155</wp:posOffset>
            </wp:positionH>
            <wp:positionV relativeFrom="paragraph">
              <wp:posOffset>353060</wp:posOffset>
            </wp:positionV>
            <wp:extent cx="5264150" cy="2305685"/>
            <wp:effectExtent l="0" t="0" r="6350" b="5715"/>
            <wp:wrapTopAndBottom/>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195"/>
                    <a:stretch>
                      <a:fillRect/>
                    </a:stretch>
                  </pic:blipFill>
                  <pic:spPr>
                    <a:xfrm>
                      <a:off x="0" y="0"/>
                      <a:ext cx="5264150" cy="2305685"/>
                    </a:xfrm>
                    <a:prstGeom prst="rect">
                      <a:avLst/>
                    </a:prstGeom>
                    <a:noFill/>
                    <a:ln>
                      <a:noFill/>
                    </a:ln>
                  </pic:spPr>
                </pic:pic>
              </a:graphicData>
            </a:graphic>
          </wp:anchor>
        </w:drawing>
      </w:r>
      <w:r>
        <w:rPr>
          <w:rFonts w:hint="eastAsia" w:ascii="宋体" w:hAnsi="宋体" w:cs="宋体"/>
          <w:color w:val="000000"/>
          <w:sz w:val="24"/>
          <w:lang w:val="en-US" w:eastAsia="zh-CN"/>
        </w:rPr>
        <w:t xml:space="preserve">(1) </w:t>
      </w:r>
      <w:r>
        <w:rPr>
          <w:rFonts w:ascii="宋体" w:hAnsi="宋体" w:cs="宋体"/>
          <w:color w:val="000000"/>
          <w:sz w:val="24"/>
        </w:rPr>
        <w:t>项目列表查询功能</w:t>
      </w:r>
    </w:p>
    <w:p w14:paraId="0A453BBF">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图4-3 项目列表查询界面</w:t>
      </w:r>
    </w:p>
    <w:p w14:paraId="2E30AB4B">
      <w:pPr>
        <w:spacing w:line="440" w:lineRule="exact"/>
        <w:ind w:firstLine="480" w:firstLineChars="200"/>
        <w:jc w:val="left"/>
        <w:rPr>
          <w:rFonts w:ascii="宋体" w:hAnsi="宋体" w:cs="宋体"/>
          <w:color w:val="000000"/>
          <w:sz w:val="24"/>
        </w:rPr>
      </w:pPr>
      <w:r>
        <w:rPr>
          <w:rFonts w:ascii="宋体" w:hAnsi="宋体" w:cs="宋体"/>
          <w:color w:val="000000"/>
          <w:sz w:val="24"/>
        </w:rPr>
        <w:t>以下是项目列表查询功能的核心代码。前端代码使用组合式API管理状态,通过Axios请求后端接口获取项目列表。后端代码使用MyBatis-Plus的分页查询功能,根据筛选条件动态构建查询语句。</w:t>
      </w:r>
    </w:p>
    <w:p w14:paraId="1A6B8C8B">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后端核心代码(HeritageItemService.java):</w:t>
      </w:r>
      <w:r>
        <w:rPr>
          <w:rFonts w:ascii="宋体" w:hAnsi="宋体" w:cs="宋体"/>
          <w:color w:val="000000"/>
          <w:sz w:val="24"/>
        </w:rPr>
        <w:br w:type="textWrapping"/>
      </w:r>
      <w:r>
        <w:rPr>
          <w:rFonts w:ascii="宋体" w:hAnsi="宋体" w:cs="宋体"/>
          <w:color w:val="000000"/>
          <w:sz w:val="24"/>
        </w:rPr>
        <w:t xml:space="preserve">    // 标题模糊查询</w:t>
      </w:r>
      <w:r>
        <w:rPr>
          <w:rFonts w:ascii="宋体" w:hAnsi="宋体" w:cs="宋体"/>
          <w:color w:val="000000"/>
          <w:sz w:val="24"/>
        </w:rPr>
        <w:br w:type="textWrapping"/>
      </w:r>
      <w:r>
        <w:rPr>
          <w:rFonts w:ascii="宋体" w:hAnsi="宋体" w:cs="宋体"/>
          <w:color w:val="000000"/>
          <w:sz w:val="24"/>
        </w:rPr>
        <w:t xml:space="preserve">    if (StringUtils.hasText(queryDTO.getTitle())) {</w:t>
      </w:r>
      <w:r>
        <w:rPr>
          <w:rFonts w:ascii="宋体" w:hAnsi="宋体" w:cs="宋体"/>
          <w:color w:val="000000"/>
          <w:sz w:val="24"/>
        </w:rPr>
        <w:br w:type="textWrapping"/>
      </w:r>
      <w:r>
        <w:rPr>
          <w:rFonts w:ascii="宋体" w:hAnsi="宋体" w:cs="宋体"/>
          <w:color w:val="000000"/>
          <w:sz w:val="24"/>
        </w:rPr>
        <w:t xml:space="preserve">        wrapper.like(HeritageItem::getTitle, queryDTO.getTitle());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类别精确查询</w:t>
      </w:r>
      <w:r>
        <w:rPr>
          <w:rFonts w:ascii="宋体" w:hAnsi="宋体" w:cs="宋体"/>
          <w:color w:val="000000"/>
          <w:sz w:val="24"/>
        </w:rPr>
        <w:br w:type="textWrapping"/>
      </w:r>
      <w:r>
        <w:rPr>
          <w:rFonts w:ascii="宋体" w:hAnsi="宋体" w:cs="宋体"/>
          <w:color w:val="000000"/>
          <w:sz w:val="24"/>
        </w:rPr>
        <w:t xml:space="preserve">    if (StringUtils.hasText(queryDTO.getCategory())) {</w:t>
      </w:r>
      <w:r>
        <w:rPr>
          <w:rFonts w:ascii="宋体" w:hAnsi="宋体" w:cs="宋体"/>
          <w:color w:val="000000"/>
          <w:sz w:val="24"/>
        </w:rPr>
        <w:br w:type="textWrapping"/>
      </w:r>
      <w:r>
        <w:rPr>
          <w:rFonts w:ascii="宋体" w:hAnsi="宋体" w:cs="宋体"/>
          <w:color w:val="000000"/>
          <w:sz w:val="24"/>
        </w:rPr>
        <w:t xml:space="preserve">        wrapper.eq(HeritageItem::getCategory, queryDTO.getCategory());</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地区精确查询</w:t>
      </w:r>
      <w:r>
        <w:rPr>
          <w:rFonts w:ascii="宋体" w:hAnsi="宋体" w:cs="宋体"/>
          <w:color w:val="000000"/>
          <w:sz w:val="24"/>
        </w:rPr>
        <w:br w:type="textWrapping"/>
      </w:r>
      <w:r>
        <w:rPr>
          <w:rFonts w:ascii="宋体" w:hAnsi="宋体" w:cs="宋体"/>
          <w:color w:val="000000"/>
          <w:sz w:val="24"/>
        </w:rPr>
        <w:t xml:space="preserve">    if (StringUtils.hasText(queryDTO.getRegion())) {</w:t>
      </w:r>
      <w:r>
        <w:rPr>
          <w:rFonts w:ascii="宋体" w:hAnsi="宋体" w:cs="宋体"/>
          <w:color w:val="000000"/>
          <w:sz w:val="24"/>
        </w:rPr>
        <w:br w:type="textWrapping"/>
      </w:r>
      <w:r>
        <w:rPr>
          <w:rFonts w:ascii="宋体" w:hAnsi="宋体" w:cs="宋体"/>
          <w:color w:val="000000"/>
          <w:sz w:val="24"/>
        </w:rPr>
        <w:t xml:space="preserve">        wrapper.eq(HeritageItem::getRegion, queryDTO.getRegion());</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状态查询</w:t>
      </w:r>
      <w:r>
        <w:rPr>
          <w:rFonts w:ascii="宋体" w:hAnsi="宋体" w:cs="宋体"/>
          <w:color w:val="000000"/>
          <w:sz w:val="24"/>
        </w:rPr>
        <w:br w:type="textWrapping"/>
      </w:r>
      <w:r>
        <w:rPr>
          <w:rFonts w:ascii="宋体" w:hAnsi="宋体" w:cs="宋体"/>
          <w:color w:val="000000"/>
          <w:sz w:val="24"/>
        </w:rPr>
        <w:t xml:space="preserve">    if (queryDTO.getStatus() != null) {</w:t>
      </w:r>
      <w:r>
        <w:rPr>
          <w:rFonts w:ascii="宋体" w:hAnsi="宋体" w:cs="宋体"/>
          <w:color w:val="000000"/>
          <w:sz w:val="24"/>
        </w:rPr>
        <w:br w:type="textWrapping"/>
      </w:r>
      <w:r>
        <w:rPr>
          <w:rFonts w:ascii="宋体" w:hAnsi="宋体" w:cs="宋体"/>
          <w:color w:val="000000"/>
          <w:sz w:val="24"/>
        </w:rPr>
        <w:t xml:space="preserve">        wrapper.eq(HeritageItem::getStatus, queryDTO.getStatus());</w:t>
      </w:r>
      <w:r>
        <w:rPr>
          <w:rFonts w:ascii="宋体" w:hAnsi="宋体" w:cs="宋体"/>
          <w:color w:val="000000"/>
          <w:sz w:val="24"/>
        </w:rPr>
        <w:br w:type="textWrapping"/>
      </w:r>
      <w:r>
        <w:rPr>
          <w:rFonts w:ascii="宋体" w:hAnsi="宋体" w:cs="宋体"/>
          <w:color w:val="000000"/>
          <w:sz w:val="24"/>
        </w:rPr>
        <w:t xml:space="preserve">    }</w:t>
      </w:r>
    </w:p>
    <w:p w14:paraId="60F13ABD">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(2)</w:t>
      </w:r>
      <w:r>
        <w:rPr>
          <w:rFonts w:ascii="宋体" w:hAnsi="宋体" w:cs="宋体"/>
          <w:color w:val="000000"/>
          <w:sz w:val="24"/>
        </w:rPr>
        <w:t>项目详情展示功能</w:t>
      </w:r>
    </w:p>
    <w:p w14:paraId="2DF3620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09440" behindDoc="1" locked="0" layoutInCell="1" allowOverlap="1">
            <wp:simplePos x="0" y="0"/>
            <wp:positionH relativeFrom="column">
              <wp:posOffset>-15875</wp:posOffset>
            </wp:positionH>
            <wp:positionV relativeFrom="paragraph">
              <wp:posOffset>130810</wp:posOffset>
            </wp:positionV>
            <wp:extent cx="5767705" cy="2521585"/>
            <wp:effectExtent l="0" t="0" r="23495" b="5715"/>
            <wp:wrapTight wrapText="bothSides">
              <wp:wrapPolygon>
                <wp:start x="0" y="0"/>
                <wp:lineTo x="0" y="21540"/>
                <wp:lineTo x="21545" y="21540"/>
                <wp:lineTo x="21545" y="0"/>
                <wp:lineTo x="0" y="0"/>
              </wp:wrapPolygon>
            </wp:wrapTight>
            <wp:docPr id="18986488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2" name="图片 4"/>
                    <pic:cNvPicPr>
                      <a:picLocks noChangeAspect="1"/>
                    </pic:cNvPicPr>
                  </pic:nvPicPr>
                  <pic:blipFill>
                    <a:blip r:embed="rId196"/>
                    <a:stretch>
                      <a:fillRect/>
                    </a:stretch>
                  </pic:blipFill>
                  <pic:spPr>
                    <a:xfrm>
                      <a:off x="0" y="0"/>
                      <a:ext cx="5767705" cy="2521585"/>
                    </a:xfrm>
                    <a:prstGeom prst="rect">
                      <a:avLst/>
                    </a:prstGeom>
                    <a:noFill/>
                    <a:ln>
                      <a:noFill/>
                    </a:ln>
                  </pic:spPr>
                </pic:pic>
              </a:graphicData>
            </a:graphic>
          </wp:anchor>
        </w:drawing>
      </w:r>
      <w:r>
        <w:rPr>
          <w:rFonts w:hint="eastAsia" w:ascii="宋体" w:hAnsi="宋体" w:cs="宋体"/>
          <w:sz w:val="21"/>
          <w:szCs w:val="21"/>
        </w:rPr>
        <w:t>图4-4 项目详情展示界面</w:t>
      </w:r>
    </w:p>
    <w:p w14:paraId="68E6F5A7">
      <w:pPr>
        <w:spacing w:line="440" w:lineRule="exact"/>
        <w:ind w:firstLine="480" w:firstLineChars="200"/>
        <w:jc w:val="left"/>
        <w:rPr>
          <w:rFonts w:ascii="宋体" w:hAnsi="宋体" w:cs="宋体"/>
          <w:color w:val="000000"/>
          <w:sz w:val="24"/>
        </w:rPr>
      </w:pPr>
      <w:r>
        <w:rPr>
          <w:rFonts w:ascii="宋体" w:hAnsi="宋体" w:cs="宋体"/>
          <w:color w:val="000000"/>
          <w:sz w:val="24"/>
        </w:rPr>
        <w:t>以下是项目详情展示功能的核心代码。前端代码根据路由参数获取项目ID并请求详情数据,后端代码查询项目信息和关联的媒体文件、传承人信息。</w:t>
      </w:r>
    </w:p>
    <w:p w14:paraId="2CA2064F">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后端核心代码(HeritageItemService.java):</w:t>
      </w:r>
    </w:p>
    <w:p w14:paraId="3F835B1C">
      <w:pPr>
        <w:spacing w:line="440" w:lineRule="exact"/>
        <w:ind w:firstLine="480" w:firstLineChars="200"/>
        <w:jc w:val="left"/>
        <w:rPr>
          <w:rFonts w:ascii="宋体" w:hAnsi="宋体" w:cs="宋体"/>
          <w:color w:val="000000"/>
          <w:sz w:val="24"/>
        </w:rPr>
      </w:pPr>
      <w:r>
        <w:rPr>
          <w:rFonts w:ascii="宋体" w:hAnsi="宋体" w:cs="宋体"/>
          <w:color w:val="000000"/>
          <w:sz w:val="24"/>
        </w:rPr>
        <w:t>public HeritageItemDetailResponseDTO getHeritageItemById(String itemId)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HeritageItem item = heritageItemMapper.selectById(itemId);</w:t>
      </w:r>
      <w:r>
        <w:rPr>
          <w:rFonts w:ascii="宋体" w:hAnsi="宋体" w:cs="宋体"/>
          <w:color w:val="000000"/>
          <w:sz w:val="24"/>
        </w:rPr>
        <w:br w:type="textWrapping"/>
      </w:r>
      <w:r>
        <w:rPr>
          <w:rFonts w:ascii="宋体" w:hAnsi="宋体" w:cs="宋体"/>
          <w:color w:val="000000"/>
          <w:sz w:val="24"/>
        </w:rPr>
        <w:t xml:space="preserve">        if (item == null) {</w:t>
      </w:r>
      <w:r>
        <w:rPr>
          <w:rFonts w:ascii="宋体" w:hAnsi="宋体" w:cs="宋体"/>
          <w:color w:val="000000"/>
          <w:sz w:val="24"/>
        </w:rPr>
        <w:br w:type="textWrapping"/>
      </w:r>
      <w:r>
        <w:rPr>
          <w:rFonts w:ascii="宋体" w:hAnsi="宋体" w:cs="宋体"/>
          <w:color w:val="000000"/>
          <w:sz w:val="24"/>
        </w:rPr>
        <w:t xml:space="preserve">            throw new BusinessException("作品不存在");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HeritageItemDetailResponseDTO response = HeritageItemConvert.entityToDetailResponse(item);</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填充关联信息</w:t>
      </w:r>
      <w:r>
        <w:rPr>
          <w:rFonts w:ascii="宋体" w:hAnsi="宋体" w:cs="宋体"/>
          <w:color w:val="000000"/>
          <w:sz w:val="24"/>
        </w:rPr>
        <w:br w:type="textWrapping"/>
      </w:r>
      <w:r>
        <w:rPr>
          <w:rFonts w:ascii="宋体" w:hAnsi="宋体" w:cs="宋体"/>
          <w:color w:val="000000"/>
          <w:sz w:val="24"/>
        </w:rPr>
        <w:t xml:space="preserve">        fillItemInfo(response);</w:t>
      </w:r>
      <w:r>
        <w:rPr>
          <w:rFonts w:ascii="宋体" w:hAnsi="宋体" w:cs="宋体"/>
          <w:color w:val="000000"/>
          <w:sz w:val="24"/>
        </w:rPr>
        <w:br w:type="textWrapping"/>
      </w:r>
      <w:r>
        <w:rPr>
          <w:rFonts w:ascii="宋体" w:hAnsi="宋体" w:cs="宋体"/>
          <w:color w:val="000000"/>
          <w:sz w:val="24"/>
        </w:rPr>
        <w:t xml:space="preserve">        return response;</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log.error("查询作品详情失败: itemId={}", itemId, e);</w:t>
      </w:r>
      <w:r>
        <w:rPr>
          <w:rFonts w:ascii="宋体" w:hAnsi="宋体" w:cs="宋体"/>
          <w:color w:val="000000"/>
          <w:sz w:val="24"/>
        </w:rPr>
        <w:br w:type="textWrapping"/>
      </w:r>
      <w:r>
        <w:rPr>
          <w:rFonts w:ascii="宋体" w:hAnsi="宋体" w:cs="宋体"/>
          <w:color w:val="000000"/>
          <w:sz w:val="24"/>
        </w:rPr>
        <w:t xml:space="preserve">        throw new ServiceException("查询失败，请稍后重试");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private void fillItemInfo(HeritageItemDetailResponseDTO response) {</w:t>
      </w:r>
      <w:r>
        <w:rPr>
          <w:rFonts w:ascii="宋体" w:hAnsi="宋体" w:cs="宋体"/>
          <w:color w:val="000000"/>
          <w:sz w:val="24"/>
        </w:rPr>
        <w:br w:type="textWrapping"/>
      </w:r>
      <w:r>
        <w:rPr>
          <w:rFonts w:ascii="宋体" w:hAnsi="宋体" w:cs="宋体"/>
          <w:color w:val="000000"/>
          <w:sz w:val="24"/>
        </w:rPr>
        <w:t xml:space="preserve">    // 填充创建人信息</w:t>
      </w:r>
      <w:r>
        <w:rPr>
          <w:rFonts w:ascii="宋体" w:hAnsi="宋体" w:cs="宋体"/>
          <w:color w:val="000000"/>
          <w:sz w:val="24"/>
        </w:rPr>
        <w:br w:type="textWrapping"/>
      </w:r>
      <w:r>
        <w:rPr>
          <w:rFonts w:ascii="宋体" w:hAnsi="宋体" w:cs="宋体"/>
          <w:color w:val="000000"/>
          <w:sz w:val="24"/>
        </w:rPr>
        <w:t xml:space="preserve">    if (StringUtils.hasText(response.getCreatorId())) {</w:t>
      </w:r>
      <w:r>
        <w:rPr>
          <w:rFonts w:ascii="宋体" w:hAnsi="宋体" w:cs="宋体"/>
          <w:color w:val="000000"/>
          <w:sz w:val="24"/>
        </w:rPr>
        <w:br w:type="textWrapping"/>
      </w:r>
      <w:r>
        <w:rPr>
          <w:rFonts w:ascii="宋体" w:hAnsi="宋体" w:cs="宋体"/>
          <w:color w:val="000000"/>
          <w:sz w:val="24"/>
        </w:rPr>
        <w:t xml:space="preserve">        User creator = userMapper.selectById(Long.parseLong(response.getCreatorId()));</w:t>
      </w:r>
      <w:r>
        <w:rPr>
          <w:rFonts w:ascii="宋体" w:hAnsi="宋体" w:cs="宋体"/>
          <w:color w:val="000000"/>
          <w:sz w:val="24"/>
        </w:rPr>
        <w:br w:type="textWrapping"/>
      </w:r>
      <w:r>
        <w:rPr>
          <w:rFonts w:ascii="宋体" w:hAnsi="宋体" w:cs="宋体"/>
          <w:color w:val="000000"/>
          <w:sz w:val="24"/>
        </w:rPr>
        <w:t xml:space="preserve">        if (creator != null) {</w:t>
      </w:r>
      <w:r>
        <w:rPr>
          <w:rFonts w:ascii="宋体" w:hAnsi="宋体" w:cs="宋体"/>
          <w:color w:val="000000"/>
          <w:sz w:val="24"/>
        </w:rPr>
        <w:br w:type="textWrapping"/>
      </w:r>
      <w:r>
        <w:rPr>
          <w:rFonts w:ascii="宋体" w:hAnsi="宋体" w:cs="宋体"/>
          <w:color w:val="000000"/>
          <w:sz w:val="24"/>
        </w:rPr>
        <w:t xml:space="preserve">            response.setCreatorName(creator.getUsername());</w:t>
      </w:r>
      <w:r>
        <w:rPr>
          <w:rFonts w:ascii="宋体" w:hAnsi="宋体" w:cs="宋体"/>
          <w:color w:val="000000"/>
          <w:sz w:val="24"/>
        </w:rPr>
        <w:br w:type="textWrapping"/>
      </w:r>
      <w:r>
        <w:rPr>
          <w:rFonts w:ascii="宋体" w:hAnsi="宋体" w:cs="宋体"/>
          <w:color w:val="000000"/>
          <w:sz w:val="24"/>
        </w:rPr>
        <w:t xml:space="preserve">            response.setCreatorAvatar(creator.getAvatar());</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填充媒体文件信息</w:t>
      </w:r>
      <w:r>
        <w:rPr>
          <w:rFonts w:ascii="宋体" w:hAnsi="宋体" w:cs="宋体"/>
          <w:color w:val="000000"/>
          <w:sz w:val="24"/>
        </w:rPr>
        <w:br w:type="textWrapping"/>
      </w:r>
      <w:r>
        <w:rPr>
          <w:rFonts w:ascii="宋体" w:hAnsi="宋体" w:cs="宋体"/>
          <w:color w:val="000000"/>
          <w:sz w:val="24"/>
        </w:rPr>
        <w:t xml:space="preserve">    LambdaQueryWrapper&lt;SysFileInfo&gt; fileWrapper = new LambdaQueryWrapper&lt;&gt;();</w:t>
      </w:r>
      <w:r>
        <w:rPr>
          <w:rFonts w:ascii="宋体" w:hAnsi="宋体" w:cs="宋体"/>
          <w:color w:val="000000"/>
          <w:sz w:val="24"/>
        </w:rPr>
        <w:br w:type="textWrapping"/>
      </w:r>
      <w:r>
        <w:rPr>
          <w:rFonts w:ascii="宋体" w:hAnsi="宋体" w:cs="宋体"/>
          <w:color w:val="000000"/>
          <w:sz w:val="24"/>
        </w:rPr>
        <w:t xml:space="preserve">    fileWrapper.eq(SysFileInfo::getBusinessType, "HERITAGE_ITEM")</w:t>
      </w:r>
      <w:r>
        <w:rPr>
          <w:rFonts w:ascii="宋体" w:hAnsi="宋体" w:cs="宋体"/>
          <w:color w:val="000000"/>
          <w:sz w:val="24"/>
        </w:rPr>
        <w:br w:type="textWrapping"/>
      </w:r>
      <w:r>
        <w:rPr>
          <w:rFonts w:ascii="宋体" w:hAnsi="宋体" w:cs="宋体"/>
          <w:color w:val="000000"/>
          <w:sz w:val="24"/>
        </w:rPr>
        <w:t xml:space="preserve">               .eq(SysFileInfo::getBusinessId, response.getId())</w:t>
      </w:r>
      <w:r>
        <w:rPr>
          <w:rFonts w:ascii="宋体" w:hAnsi="宋体" w:cs="宋体"/>
          <w:color w:val="000000"/>
          <w:sz w:val="24"/>
        </w:rPr>
        <w:br w:type="textWrapping"/>
      </w:r>
      <w:r>
        <w:rPr>
          <w:rFonts w:ascii="宋体" w:hAnsi="宋体" w:cs="宋体"/>
          <w:color w:val="000000"/>
          <w:sz w:val="24"/>
        </w:rPr>
        <w:t xml:space="preserve">               .orderByAsc(SysFileInfo::getCreateTime);</w:t>
      </w:r>
      <w:r>
        <w:rPr>
          <w:rFonts w:ascii="宋体" w:hAnsi="宋体" w:cs="宋体"/>
          <w:color w:val="000000"/>
          <w:sz w:val="24"/>
        </w:rPr>
        <w:br w:type="textWrapping"/>
      </w:r>
      <w:r>
        <w:rPr>
          <w:rFonts w:ascii="宋体" w:hAnsi="宋体" w:cs="宋体"/>
          <w:color w:val="000000"/>
          <w:sz w:val="24"/>
        </w:rPr>
        <w:t xml:space="preserve">    List&lt;SysFileInfo&gt; mediaFiles = sysFileInfoMapper.selectList(fileWrapper);</w:t>
      </w:r>
      <w:r>
        <w:rPr>
          <w:rFonts w:ascii="宋体" w:hAnsi="宋体" w:cs="宋体"/>
          <w:color w:val="000000"/>
          <w:sz w:val="24"/>
        </w:rPr>
        <w:br w:type="textWrapping"/>
      </w:r>
      <w:r>
        <w:rPr>
          <w:rFonts w:ascii="宋体" w:hAnsi="宋体" w:cs="宋体"/>
          <w:color w:val="000000"/>
          <w:sz w:val="24"/>
        </w:rPr>
        <w:t xml:space="preserve">    response.setMediaFiles(mediaFiles);</w:t>
      </w:r>
      <w:r>
        <w:rPr>
          <w:rFonts w:ascii="宋体" w:hAnsi="宋体" w:cs="宋体"/>
          <w:color w:val="000000"/>
          <w:sz w:val="24"/>
        </w:rPr>
        <w:br w:type="textWrapping"/>
      </w:r>
      <w:r>
        <w:rPr>
          <w:rFonts w:ascii="宋体" w:hAnsi="宋体" w:cs="宋体"/>
          <w:color w:val="000000"/>
          <w:sz w:val="24"/>
        </w:rPr>
        <w:t xml:space="preserve">    // 填充传承人信息</w:t>
      </w:r>
      <w:r>
        <w:rPr>
          <w:rFonts w:ascii="宋体" w:hAnsi="宋体" w:cs="宋体"/>
          <w:color w:val="000000"/>
          <w:sz w:val="24"/>
        </w:rPr>
        <w:br w:type="textWrapping"/>
      </w:r>
      <w:r>
        <w:rPr>
          <w:rFonts w:ascii="宋体" w:hAnsi="宋体" w:cs="宋体"/>
          <w:color w:val="000000"/>
          <w:sz w:val="24"/>
        </w:rPr>
        <w:t xml:space="preserve">    LambdaQueryWrapper&lt;InheritorItem&gt; inheritorWrapper = new LambdaQueryWrapper&lt;&gt;();</w:t>
      </w:r>
      <w:r>
        <w:rPr>
          <w:rFonts w:ascii="宋体" w:hAnsi="宋体" w:cs="宋体"/>
          <w:color w:val="000000"/>
          <w:sz w:val="24"/>
        </w:rPr>
        <w:br w:type="textWrapping"/>
      </w:r>
      <w:r>
        <w:rPr>
          <w:rFonts w:ascii="宋体" w:hAnsi="宋体" w:cs="宋体"/>
          <w:color w:val="000000"/>
          <w:sz w:val="24"/>
        </w:rPr>
        <w:t xml:space="preserve">    inheritorWrapper.eq(InheritorItem::getItemId, response.getId());</w:t>
      </w:r>
      <w:r>
        <w:rPr>
          <w:rFonts w:ascii="宋体" w:hAnsi="宋体" w:cs="宋体"/>
          <w:color w:val="000000"/>
          <w:sz w:val="24"/>
        </w:rPr>
        <w:br w:type="textWrapping"/>
      </w:r>
      <w:r>
        <w:rPr>
          <w:rFonts w:ascii="宋体" w:hAnsi="宋体" w:cs="宋体"/>
          <w:color w:val="000000"/>
          <w:sz w:val="24"/>
        </w:rPr>
        <w:t xml:space="preserve">    List&lt;InheritorItem&gt; inheritorItems = inheritorItemMapper.selectList(inheritorWrapper);</w:t>
      </w:r>
      <w:r>
        <w:rPr>
          <w:rFonts w:ascii="宋体" w:hAnsi="宋体" w:cs="宋体"/>
          <w:color w:val="000000"/>
          <w:sz w:val="24"/>
        </w:rPr>
        <w:br w:type="textWrapping"/>
      </w:r>
      <w:r>
        <w:rPr>
          <w:rFonts w:ascii="宋体" w:hAnsi="宋体" w:cs="宋体"/>
          <w:color w:val="000000"/>
          <w:sz w:val="24"/>
        </w:rPr>
        <w:t xml:space="preserve">    if (!inheritorItems.isEmpty()) {</w:t>
      </w:r>
      <w:r>
        <w:rPr>
          <w:rFonts w:ascii="宋体" w:hAnsi="宋体" w:cs="宋体"/>
          <w:color w:val="000000"/>
          <w:sz w:val="24"/>
        </w:rPr>
        <w:br w:type="textWrapping"/>
      </w:r>
      <w:r>
        <w:rPr>
          <w:rFonts w:ascii="宋体" w:hAnsi="宋体" w:cs="宋体"/>
          <w:color w:val="000000"/>
          <w:sz w:val="24"/>
        </w:rPr>
        <w:t xml:space="preserve">        List&lt;String&gt; inheritorIds = inheritorItems.stream()</w:t>
      </w:r>
      <w:r>
        <w:rPr>
          <w:rFonts w:ascii="宋体" w:hAnsi="宋体" w:cs="宋体"/>
          <w:color w:val="000000"/>
          <w:sz w:val="24"/>
        </w:rPr>
        <w:br w:type="textWrapping"/>
      </w:r>
      <w:r>
        <w:rPr>
          <w:rFonts w:ascii="宋体" w:hAnsi="宋体" w:cs="宋体"/>
          <w:color w:val="000000"/>
          <w:sz w:val="24"/>
        </w:rPr>
        <w:t xml:space="preserve">            .map(InheritorItem::getInheritorId)</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 xml:space="preserve">        List&lt;Inheritor&gt; inheritors = inheritorMapper.selectBatchIds(inheritorIds);</w:t>
      </w:r>
      <w:r>
        <w:rPr>
          <w:rFonts w:ascii="宋体" w:hAnsi="宋体" w:cs="宋体"/>
          <w:color w:val="000000"/>
          <w:sz w:val="24"/>
        </w:rPr>
        <w:br w:type="textWrapping"/>
      </w:r>
      <w:r>
        <w:rPr>
          <w:rFonts w:ascii="宋体" w:hAnsi="宋体" w:cs="宋体"/>
          <w:color w:val="000000"/>
          <w:sz w:val="24"/>
        </w:rPr>
        <w:t xml:space="preserve">        response.setInheritors(inheritors);</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0D0F58B7">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(3)</w:t>
      </w:r>
      <w:r>
        <w:rPr>
          <w:rFonts w:ascii="宋体" w:hAnsi="宋体" w:cs="宋体"/>
          <w:color w:val="000000"/>
          <w:sz w:val="24"/>
        </w:rPr>
        <w:t>项目创建功能</w:t>
      </w:r>
    </w:p>
    <w:p w14:paraId="47EE89B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10464" behindDoc="0" locked="0" layoutInCell="1" allowOverlap="1">
            <wp:simplePos x="0" y="0"/>
            <wp:positionH relativeFrom="column">
              <wp:posOffset>12065</wp:posOffset>
            </wp:positionH>
            <wp:positionV relativeFrom="paragraph">
              <wp:posOffset>276225</wp:posOffset>
            </wp:positionV>
            <wp:extent cx="5264150" cy="2959735"/>
            <wp:effectExtent l="0" t="0" r="8890" b="12065"/>
            <wp:wrapTopAndBottom/>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97"/>
                    <a:stretch>
                      <a:fillRect/>
                    </a:stretch>
                  </pic:blipFill>
                  <pic:spPr>
                    <a:xfrm>
                      <a:off x="0" y="0"/>
                      <a:ext cx="5264150" cy="2959735"/>
                    </a:xfrm>
                    <a:prstGeom prst="rect">
                      <a:avLst/>
                    </a:prstGeom>
                    <a:noFill/>
                    <a:ln>
                      <a:noFill/>
                    </a:ln>
                  </pic:spPr>
                </pic:pic>
              </a:graphicData>
            </a:graphic>
          </wp:anchor>
        </w:drawing>
      </w:r>
      <w:r>
        <w:rPr>
          <w:rFonts w:hint="eastAsia" w:ascii="宋体" w:hAnsi="宋体" w:cs="宋体"/>
          <w:sz w:val="21"/>
          <w:szCs w:val="21"/>
        </w:rPr>
        <w:t>图4-5 项目创建界面</w:t>
      </w:r>
    </w:p>
    <w:p w14:paraId="60D7E739">
      <w:pPr>
        <w:spacing w:line="440" w:lineRule="exact"/>
        <w:ind w:firstLine="480" w:firstLineChars="200"/>
        <w:jc w:val="left"/>
        <w:rPr>
          <w:rFonts w:ascii="宋体" w:hAnsi="宋体" w:cs="宋体"/>
          <w:color w:val="000000"/>
          <w:sz w:val="24"/>
        </w:rPr>
      </w:pPr>
      <w:r>
        <w:rPr>
          <w:rFonts w:ascii="宋体" w:hAnsi="宋体" w:cs="宋体"/>
          <w:color w:val="000000"/>
          <w:sz w:val="24"/>
        </w:rPr>
        <w:t>以下是项目创建功能的核心代码。前端代码使用UUID生成项目ID,收集表单数据提交到后端。后端代码验证数据有效性,使用事务确保数据一致性。</w:t>
      </w:r>
    </w:p>
    <w:p w14:paraId="665370F5">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（2）</w:t>
      </w:r>
      <w:r>
        <w:rPr>
          <w:rFonts w:ascii="宋体" w:hAnsi="宋体" w:cs="宋体"/>
          <w:color w:val="000000"/>
          <w:sz w:val="24"/>
        </w:rPr>
        <w:t>后端核心代码(HeritageItemService.java):</w:t>
      </w:r>
    </w:p>
    <w:p w14:paraId="5A4BCCD8">
      <w:pPr>
        <w:spacing w:line="440" w:lineRule="exact"/>
        <w:jc w:val="left"/>
        <w:rPr>
          <w:rFonts w:ascii="宋体" w:hAnsi="宋体" w:cs="宋体"/>
          <w:color w:val="000000"/>
          <w:sz w:val="24"/>
        </w:rPr>
      </w:pPr>
      <w:r>
        <w:rPr>
          <w:rFonts w:ascii="宋体" w:hAnsi="宋体" w:cs="宋体"/>
          <w:color w:val="000000"/>
          <w:sz w:val="24"/>
        </w:rPr>
        <w:t>@Transactional(rollbackFor = Exception.class)</w:t>
      </w:r>
      <w:r>
        <w:rPr>
          <w:rFonts w:ascii="宋体" w:hAnsi="宋体" w:cs="宋体"/>
          <w:color w:val="000000"/>
          <w:sz w:val="24"/>
        </w:rPr>
        <w:br w:type="textWrapping"/>
      </w:r>
      <w:r>
        <w:rPr>
          <w:rFonts w:ascii="宋体" w:hAnsi="宋体" w:cs="宋体"/>
          <w:color w:val="000000"/>
          <w:sz w:val="24"/>
        </w:rPr>
        <w:t>public HeritageItemDetailResponseDTO createHeritageItem(HeritageItemCreateCommandDTO createDTO)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获取当前用户ID</w:t>
      </w:r>
      <w:r>
        <w:rPr>
          <w:rFonts w:ascii="宋体" w:hAnsi="宋体" w:cs="宋体"/>
          <w:color w:val="000000"/>
          <w:sz w:val="24"/>
        </w:rPr>
        <w:br w:type="textWrapping"/>
      </w:r>
      <w:r>
        <w:rPr>
          <w:rFonts w:ascii="宋体" w:hAnsi="宋体" w:cs="宋体"/>
          <w:color w:val="000000"/>
          <w:sz w:val="24"/>
        </w:rPr>
        <w:t xml:space="preserve">        String currentUserId = JwtTokenUtils.getCurrentUserIdAsString();</w:t>
      </w:r>
      <w:r>
        <w:rPr>
          <w:rFonts w:ascii="宋体" w:hAnsi="宋体" w:cs="宋体"/>
          <w:color w:val="000000"/>
          <w:sz w:val="24"/>
        </w:rPr>
        <w:br w:type="textWrapping"/>
      </w:r>
      <w:r>
        <w:rPr>
          <w:rFonts w:ascii="宋体" w:hAnsi="宋体" w:cs="宋体"/>
          <w:color w:val="000000"/>
          <w:sz w:val="24"/>
        </w:rPr>
        <w:t xml:space="preserve">        if (!StringUtils.hasText(currentUserId)) {</w:t>
      </w:r>
      <w:r>
        <w:rPr>
          <w:rFonts w:ascii="宋体" w:hAnsi="宋体" w:cs="宋体"/>
          <w:color w:val="000000"/>
          <w:sz w:val="24"/>
        </w:rPr>
        <w:br w:type="textWrapping"/>
      </w:r>
      <w:r>
        <w:rPr>
          <w:rFonts w:ascii="宋体" w:hAnsi="宋体" w:cs="宋体"/>
          <w:color w:val="000000"/>
          <w:sz w:val="24"/>
        </w:rPr>
        <w:t xml:space="preserve">            throw new BusinessException("用户未登录");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验证UUID是否提供</w:t>
      </w:r>
      <w:r>
        <w:rPr>
          <w:rFonts w:ascii="宋体" w:hAnsi="宋体" w:cs="宋体"/>
          <w:color w:val="000000"/>
          <w:sz w:val="24"/>
        </w:rPr>
        <w:br w:type="textWrapping"/>
      </w:r>
      <w:r>
        <w:rPr>
          <w:rFonts w:ascii="宋体" w:hAnsi="宋体" w:cs="宋体"/>
          <w:color w:val="000000"/>
          <w:sz w:val="24"/>
        </w:rPr>
        <w:t xml:space="preserve">        if (!StringUtils.hasText(createDTO.getId())) {</w:t>
      </w:r>
      <w:r>
        <w:rPr>
          <w:rFonts w:ascii="宋体" w:hAnsi="宋体" w:cs="宋体"/>
          <w:color w:val="000000"/>
          <w:sz w:val="24"/>
        </w:rPr>
        <w:br w:type="textWrapping"/>
      </w:r>
      <w:r>
        <w:rPr>
          <w:rFonts w:ascii="宋体" w:hAnsi="宋体" w:cs="宋体"/>
          <w:color w:val="000000"/>
          <w:sz w:val="24"/>
        </w:rPr>
        <w:t xml:space="preserve">            throw new BusinessException("作品ID不能为空，请使用UUID预生成策略");</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验证UUID是否已存在</w:t>
      </w:r>
      <w:r>
        <w:rPr>
          <w:rFonts w:ascii="宋体" w:hAnsi="宋体" w:cs="宋体"/>
          <w:color w:val="000000"/>
          <w:sz w:val="24"/>
        </w:rPr>
        <w:br w:type="textWrapping"/>
      </w:r>
      <w:r>
        <w:rPr>
          <w:rFonts w:ascii="宋体" w:hAnsi="宋体" w:cs="宋体"/>
          <w:color w:val="000000"/>
          <w:sz w:val="24"/>
        </w:rPr>
        <w:t xml:space="preserve">        HeritageItem existingItem = heritageItemMapper.selectById(createDTO.getId());</w:t>
      </w:r>
      <w:r>
        <w:rPr>
          <w:rFonts w:ascii="宋体" w:hAnsi="宋体" w:cs="宋体"/>
          <w:color w:val="000000"/>
          <w:sz w:val="24"/>
        </w:rPr>
        <w:br w:type="textWrapping"/>
      </w:r>
      <w:r>
        <w:rPr>
          <w:rFonts w:ascii="宋体" w:hAnsi="宋体" w:cs="宋体"/>
          <w:color w:val="000000"/>
          <w:sz w:val="24"/>
        </w:rPr>
        <w:t xml:space="preserve">        if (existingItem != null) {</w:t>
      </w:r>
      <w:r>
        <w:rPr>
          <w:rFonts w:ascii="宋体" w:hAnsi="宋体" w:cs="宋体"/>
          <w:color w:val="000000"/>
          <w:sz w:val="24"/>
        </w:rPr>
        <w:br w:type="textWrapping"/>
      </w:r>
      <w:r>
        <w:rPr>
          <w:rFonts w:ascii="宋体" w:hAnsi="宋体" w:cs="宋体"/>
          <w:color w:val="000000"/>
          <w:sz w:val="24"/>
        </w:rPr>
        <w:t xml:space="preserve">            throw new BusinessException("作品ID已存在，请重新生成UUID");</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验证状态</w:t>
      </w:r>
      <w:r>
        <w:rPr>
          <w:rFonts w:ascii="宋体" w:hAnsi="宋体" w:cs="宋体"/>
          <w:color w:val="000000"/>
          <w:sz w:val="24"/>
        </w:rPr>
        <w:br w:type="textWrapping"/>
      </w:r>
      <w:r>
        <w:rPr>
          <w:rFonts w:ascii="宋体" w:hAnsi="宋体" w:cs="宋体"/>
          <w:color w:val="000000"/>
          <w:sz w:val="24"/>
        </w:rPr>
        <w:t xml:space="preserve">        if (createDTO.getStatus() != null &amp;&amp; !HeritageItemStatus.isValidCode(createDTO.getStatus())) {</w:t>
      </w:r>
      <w:r>
        <w:rPr>
          <w:rFonts w:ascii="宋体" w:hAnsi="宋体" w:cs="宋体"/>
          <w:color w:val="000000"/>
          <w:sz w:val="24"/>
        </w:rPr>
        <w:br w:type="textWrapping"/>
      </w:r>
      <w:r>
        <w:rPr>
          <w:rFonts w:ascii="宋体" w:hAnsi="宋体" w:cs="宋体"/>
          <w:color w:val="000000"/>
          <w:sz w:val="24"/>
        </w:rPr>
        <w:t xml:space="preserve">            throw new BusinessException("无效的作品状态");</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创建作品实体</w:t>
      </w:r>
      <w:r>
        <w:rPr>
          <w:rFonts w:ascii="宋体" w:hAnsi="宋体" w:cs="宋体"/>
          <w:color w:val="000000"/>
          <w:sz w:val="24"/>
        </w:rPr>
        <w:br w:type="textWrapping"/>
      </w:r>
      <w:r>
        <w:rPr>
          <w:rFonts w:ascii="宋体" w:hAnsi="宋体" w:cs="宋体"/>
          <w:color w:val="000000"/>
          <w:sz w:val="24"/>
        </w:rPr>
        <w:t xml:space="preserve">        HeritageItem item = HeritageItemConvert.createCommandToEntity(createDTO, currentUserId);</w:t>
      </w:r>
      <w:r>
        <w:rPr>
          <w:rFonts w:ascii="宋体" w:hAnsi="宋体" w:cs="宋体"/>
          <w:color w:val="000000"/>
          <w:sz w:val="24"/>
        </w:rPr>
        <w:br w:type="textWrapping"/>
      </w:r>
      <w:r>
        <w:rPr>
          <w:rFonts w:ascii="宋体" w:hAnsi="宋体" w:cs="宋体"/>
          <w:color w:val="000000"/>
          <w:sz w:val="24"/>
        </w:rPr>
        <w:t xml:space="preserve">        heritageItemMapper.insert(item);</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log.info("非遗作品创建成功: id={}, title={}, creator={}", </w:t>
      </w:r>
      <w:r>
        <w:rPr>
          <w:rFonts w:ascii="宋体" w:hAnsi="宋体" w:cs="宋体"/>
          <w:color w:val="000000"/>
          <w:sz w:val="24"/>
        </w:rPr>
        <w:br w:type="textWrapping"/>
      </w:r>
      <w:r>
        <w:rPr>
          <w:rFonts w:ascii="宋体" w:hAnsi="宋体" w:cs="宋体"/>
          <w:color w:val="000000"/>
          <w:sz w:val="24"/>
        </w:rPr>
        <w:t xml:space="preserve">                item.getId(), item.getTitle(), currentUserId);</w:t>
      </w:r>
      <w:r>
        <w:rPr>
          <w:rFonts w:ascii="宋体" w:hAnsi="宋体" w:cs="宋体"/>
          <w:color w:val="000000"/>
          <w:sz w:val="24"/>
        </w:rPr>
        <w:br w:type="textWrapping"/>
      </w:r>
      <w:r>
        <w:rPr>
          <w:rFonts w:ascii="宋体" w:hAnsi="宋体" w:cs="宋体"/>
          <w:color w:val="000000"/>
          <w:sz w:val="24"/>
        </w:rPr>
        <w:t xml:space="preserve">        // 查询并返回详情</w:t>
      </w:r>
    </w:p>
    <w:p w14:paraId="3315D209">
      <w:pPr>
        <w:spacing w:line="440" w:lineRule="exact"/>
        <w:ind w:firstLine="480" w:firstLineChars="200"/>
        <w:jc w:val="left"/>
        <w:rPr>
          <w:rFonts w:ascii="宋体" w:hAnsi="宋体" w:cs="宋体"/>
          <w:color w:val="000000"/>
          <w:sz w:val="24"/>
        </w:rPr>
      </w:pPr>
      <w:bookmarkStart w:id="522" w:name="_Toc32570"/>
      <w:r>
        <w:rPr>
          <w:rFonts w:hint="eastAsia" w:ascii="宋体" w:hAnsi="宋体" w:cs="宋体"/>
          <w:color w:val="000000"/>
          <w:sz w:val="24"/>
        </w:rPr>
        <w:t>4.2.3 传承人管理模块实现</w:t>
      </w:r>
      <w:bookmarkEnd w:id="522"/>
    </w:p>
    <w:p w14:paraId="555A99D6">
      <w:pPr>
        <w:spacing w:line="440" w:lineRule="exact"/>
        <w:ind w:firstLine="480" w:firstLineChars="200"/>
        <w:jc w:val="left"/>
        <w:rPr>
          <w:rFonts w:ascii="宋体" w:hAnsi="宋体" w:cs="宋体"/>
          <w:color w:val="000000"/>
          <w:sz w:val="24"/>
        </w:rPr>
      </w:pPr>
      <w:r>
        <w:rPr>
          <w:rFonts w:ascii="宋体" w:hAnsi="宋体" w:cs="宋体"/>
          <w:color w:val="000000"/>
          <w:sz w:val="24"/>
        </w:rPr>
        <w:t>传承人管理模块用于展示和管理非遗传承人的信息,让用户了解传承人的技艺水平和传承故事。本节重点介绍传承人列表查询、传承人详情展示和传承人作品关联三个关键功能的实现。</w:t>
      </w:r>
    </w:p>
    <w:p w14:paraId="4D4BFF0C">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(1)</w:t>
      </w:r>
      <w:r>
        <w:rPr>
          <w:rFonts w:ascii="宋体" w:hAnsi="宋体" w:cs="宋体"/>
          <w:color w:val="000000"/>
          <w:sz w:val="24"/>
        </w:rPr>
        <w:t>传承人列表查询功能</w:t>
      </w:r>
    </w:p>
    <w:p w14:paraId="5E53AC42">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11488" behindDoc="0" locked="0" layoutInCell="1" allowOverlap="1">
            <wp:simplePos x="0" y="0"/>
            <wp:positionH relativeFrom="column">
              <wp:posOffset>-31750</wp:posOffset>
            </wp:positionH>
            <wp:positionV relativeFrom="paragraph">
              <wp:posOffset>273685</wp:posOffset>
            </wp:positionV>
            <wp:extent cx="5264150" cy="2959735"/>
            <wp:effectExtent l="0" t="0" r="8890" b="12065"/>
            <wp:wrapTopAndBottom/>
            <wp:docPr id="18986488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3" name="图片 6"/>
                    <pic:cNvPicPr>
                      <a:picLocks noChangeAspect="1"/>
                    </pic:cNvPicPr>
                  </pic:nvPicPr>
                  <pic:blipFill>
                    <a:blip r:embed="rId198"/>
                    <a:stretch>
                      <a:fillRect/>
                    </a:stretch>
                  </pic:blipFill>
                  <pic:spPr>
                    <a:xfrm>
                      <a:off x="0" y="0"/>
                      <a:ext cx="5264150" cy="2959735"/>
                    </a:xfrm>
                    <a:prstGeom prst="rect">
                      <a:avLst/>
                    </a:prstGeom>
                    <a:noFill/>
                    <a:ln>
                      <a:noFill/>
                    </a:ln>
                  </pic:spPr>
                </pic:pic>
              </a:graphicData>
            </a:graphic>
          </wp:anchor>
        </w:drawing>
      </w:r>
      <w:r>
        <w:rPr>
          <w:rFonts w:hint="eastAsia" w:ascii="宋体" w:hAnsi="宋体" w:cs="宋体"/>
          <w:sz w:val="21"/>
          <w:szCs w:val="21"/>
        </w:rPr>
        <w:t>图4-6 传承人列表查询界面</w:t>
      </w:r>
    </w:p>
    <w:p w14:paraId="69938F77">
      <w:pPr>
        <w:spacing w:line="440" w:lineRule="exact"/>
        <w:ind w:firstLine="480" w:firstLineChars="200"/>
        <w:jc w:val="left"/>
        <w:rPr>
          <w:rFonts w:ascii="宋体" w:hAnsi="宋体" w:cs="宋体"/>
          <w:color w:val="000000"/>
          <w:sz w:val="24"/>
        </w:rPr>
      </w:pPr>
      <w:r>
        <w:rPr>
          <w:rFonts w:ascii="宋体" w:hAnsi="宋体" w:cs="宋体"/>
          <w:color w:val="000000"/>
          <w:sz w:val="24"/>
        </w:rPr>
        <w:t>以下是传承人列表查询功能的核心代码。后端代码使用MyBatis-Plus的分页查询功能,根据筛选条件动态构建查询语句,并批量填充头像信息。</w:t>
      </w:r>
    </w:p>
    <w:p w14:paraId="4F639F3D">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（1）</w:t>
      </w:r>
      <w:r>
        <w:rPr>
          <w:rFonts w:ascii="宋体" w:hAnsi="宋体" w:cs="宋体"/>
          <w:color w:val="000000"/>
          <w:sz w:val="24"/>
        </w:rPr>
        <w:t>后端核心代码(InheritorService.java):</w:t>
      </w:r>
    </w:p>
    <w:p w14:paraId="63CB53B4">
      <w:pPr>
        <w:spacing w:line="440" w:lineRule="exact"/>
        <w:jc w:val="left"/>
        <w:rPr>
          <w:rFonts w:ascii="宋体" w:hAnsi="宋体" w:cs="宋体"/>
          <w:color w:val="000000"/>
          <w:sz w:val="24"/>
        </w:rPr>
      </w:pPr>
      <w:r>
        <w:rPr>
          <w:rFonts w:ascii="宋体" w:hAnsi="宋体" w:cs="宋体"/>
          <w:color w:val="000000"/>
          <w:sz w:val="24"/>
        </w:rPr>
        <w:t xml:space="preserve">                                                      // 转换为响应DTO</w:t>
      </w:r>
      <w:r>
        <w:rPr>
          <w:rFonts w:ascii="宋体" w:hAnsi="宋体" w:cs="宋体"/>
          <w:color w:val="000000"/>
          <w:sz w:val="24"/>
        </w:rPr>
        <w:br w:type="textWrapping"/>
      </w:r>
      <w:r>
        <w:rPr>
          <w:rFonts w:ascii="宋体" w:hAnsi="宋体" w:cs="宋体"/>
          <w:color w:val="000000"/>
          <w:sz w:val="24"/>
        </w:rPr>
        <w:t xml:space="preserve">        Page&lt;InheritorResponseDTO&gt; resultPage = new Page&lt;&gt;(</w:t>
      </w:r>
      <w:r>
        <w:rPr>
          <w:rFonts w:ascii="宋体" w:hAnsi="宋体" w:cs="宋体"/>
          <w:color w:val="000000"/>
          <w:sz w:val="24"/>
        </w:rPr>
        <w:br w:type="textWrapping"/>
      </w:r>
      <w:r>
        <w:rPr>
          <w:rFonts w:ascii="宋体" w:hAnsi="宋体" w:cs="宋体"/>
          <w:color w:val="000000"/>
          <w:sz w:val="24"/>
        </w:rPr>
        <w:t xml:space="preserve">                inheritorPage.getCurrent(), inheritorPage.getSize(), inheritorPage.getTotal());</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List&lt;InheritorResponseDTO&gt; records = inheritorPage.getRecords().stream()</w:t>
      </w:r>
      <w:r>
        <w:rPr>
          <w:rFonts w:ascii="宋体" w:hAnsi="宋体" w:cs="宋体"/>
          <w:color w:val="000000"/>
          <w:sz w:val="24"/>
        </w:rPr>
        <w:br w:type="textWrapping"/>
      </w:r>
      <w:r>
        <w:rPr>
          <w:rFonts w:ascii="宋体" w:hAnsi="宋体" w:cs="宋体"/>
          <w:color w:val="000000"/>
          <w:sz w:val="24"/>
        </w:rPr>
        <w:t xml:space="preserve">                .map(InheritorConvert::entityToResponse)</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批量填充头像路径</w:t>
      </w:r>
      <w:r>
        <w:rPr>
          <w:rFonts w:ascii="宋体" w:hAnsi="宋体" w:cs="宋体"/>
          <w:color w:val="000000"/>
          <w:sz w:val="24"/>
        </w:rPr>
        <w:br w:type="textWrapping"/>
      </w:r>
      <w:r>
        <w:rPr>
          <w:rFonts w:ascii="宋体" w:hAnsi="宋体" w:cs="宋体"/>
          <w:color w:val="000000"/>
          <w:sz w:val="24"/>
        </w:rPr>
        <w:t xml:space="preserve">        fillAvatarPathBatch(records);</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resultPage.setRecords(records);</w:t>
      </w:r>
      <w:r>
        <w:rPr>
          <w:rFonts w:ascii="宋体" w:hAnsi="宋体" w:cs="宋体"/>
          <w:color w:val="000000"/>
          <w:sz w:val="24"/>
        </w:rPr>
        <w:br w:type="textWrapping"/>
      </w:r>
      <w:r>
        <w:rPr>
          <w:rFonts w:ascii="宋体" w:hAnsi="宋体" w:cs="宋体"/>
          <w:color w:val="000000"/>
          <w:sz w:val="24"/>
        </w:rPr>
        <w:t xml:space="preserve">        return resultPage;</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log.error("查询传承人列表失败", e);</w:t>
      </w:r>
      <w:r>
        <w:rPr>
          <w:rFonts w:ascii="宋体" w:hAnsi="宋体" w:cs="宋体"/>
          <w:color w:val="000000"/>
          <w:sz w:val="24"/>
        </w:rPr>
        <w:br w:type="textWrapping"/>
      </w:r>
      <w:r>
        <w:rPr>
          <w:rFonts w:ascii="宋体" w:hAnsi="宋体" w:cs="宋体"/>
          <w:color w:val="000000"/>
          <w:sz w:val="24"/>
        </w:rPr>
        <w:t xml:space="preserve">        throw new ServiceException("查询失败，请稍后重试");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private void fillAvatarPathBatch(List&lt;InheritorResponseDTO&gt; records) {</w:t>
      </w:r>
      <w:r>
        <w:rPr>
          <w:rFonts w:ascii="宋体" w:hAnsi="宋体" w:cs="宋体"/>
          <w:color w:val="000000"/>
          <w:sz w:val="24"/>
        </w:rPr>
        <w:br w:type="textWrapping"/>
      </w:r>
      <w:r>
        <w:rPr>
          <w:rFonts w:ascii="宋体" w:hAnsi="宋体" w:cs="宋体"/>
          <w:color w:val="000000"/>
          <w:sz w:val="24"/>
        </w:rPr>
        <w:t xml:space="preserve">    if (records.isEmpty()) {</w:t>
      </w:r>
      <w:r>
        <w:rPr>
          <w:rFonts w:ascii="宋体" w:hAnsi="宋体" w:cs="宋体"/>
          <w:color w:val="000000"/>
          <w:sz w:val="24"/>
        </w:rPr>
        <w:br w:type="textWrapping"/>
      </w:r>
      <w:r>
        <w:rPr>
          <w:rFonts w:ascii="宋体" w:hAnsi="宋体" w:cs="宋体"/>
          <w:color w:val="000000"/>
          <w:sz w:val="24"/>
        </w:rPr>
        <w:t xml:space="preserve">        return;</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收集所有头像文件ID</w:t>
      </w:r>
      <w:r>
        <w:rPr>
          <w:rFonts w:ascii="宋体" w:hAnsi="宋体" w:cs="宋体"/>
          <w:color w:val="000000"/>
          <w:sz w:val="24"/>
        </w:rPr>
        <w:br w:type="textWrapping"/>
      </w:r>
      <w:r>
        <w:rPr>
          <w:rFonts w:ascii="宋体" w:hAnsi="宋体" w:cs="宋体"/>
          <w:color w:val="000000"/>
          <w:sz w:val="24"/>
        </w:rPr>
        <w:t xml:space="preserve">    List&lt;Long&gt; avatarFileIds = records.stream()</w:t>
      </w:r>
      <w:r>
        <w:rPr>
          <w:rFonts w:ascii="宋体" w:hAnsi="宋体" w:cs="宋体"/>
          <w:color w:val="000000"/>
          <w:sz w:val="24"/>
        </w:rPr>
        <w:br w:type="textWrapping"/>
      </w:r>
      <w:r>
        <w:rPr>
          <w:rFonts w:ascii="宋体" w:hAnsi="宋体" w:cs="宋体"/>
          <w:color w:val="000000"/>
          <w:sz w:val="24"/>
        </w:rPr>
        <w:t xml:space="preserve">            .map(InheritorResponseDTO::getAvatarFileId)</w:t>
      </w:r>
      <w:r>
        <w:rPr>
          <w:rFonts w:ascii="宋体" w:hAnsi="宋体" w:cs="宋体"/>
          <w:color w:val="000000"/>
          <w:sz w:val="24"/>
        </w:rPr>
        <w:br w:type="textWrapping"/>
      </w:r>
      <w:r>
        <w:rPr>
          <w:rFonts w:ascii="宋体" w:hAnsi="宋体" w:cs="宋体"/>
          <w:color w:val="000000"/>
          <w:sz w:val="24"/>
        </w:rPr>
        <w:t xml:space="preserve">            .filter(id -&gt; id != null &amp;&amp; id &gt; 0)</w:t>
      </w:r>
      <w:r>
        <w:rPr>
          <w:rFonts w:ascii="宋体" w:hAnsi="宋体" w:cs="宋体"/>
          <w:color w:val="000000"/>
          <w:sz w:val="24"/>
        </w:rPr>
        <w:br w:type="textWrapping"/>
      </w:r>
      <w:r>
        <w:rPr>
          <w:rFonts w:ascii="宋体" w:hAnsi="宋体" w:cs="宋体"/>
          <w:color w:val="000000"/>
          <w:sz w:val="24"/>
        </w:rPr>
        <w:t xml:space="preserve">            .distinct()</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 xml:space="preserve">    if (avatarFileIds.isEmpty()) {</w:t>
      </w:r>
      <w:r>
        <w:rPr>
          <w:rFonts w:ascii="宋体" w:hAnsi="宋体" w:cs="宋体"/>
          <w:color w:val="000000"/>
          <w:sz w:val="24"/>
        </w:rPr>
        <w:br w:type="textWrapping"/>
      </w:r>
      <w:r>
        <w:rPr>
          <w:rFonts w:ascii="宋体" w:hAnsi="宋体" w:cs="宋体"/>
          <w:color w:val="000000"/>
          <w:sz w:val="24"/>
        </w:rPr>
        <w:t xml:space="preserve">        return;</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批量查询文件信息</w:t>
      </w:r>
      <w:r>
        <w:rPr>
          <w:rFonts w:ascii="宋体" w:hAnsi="宋体" w:cs="宋体"/>
          <w:color w:val="000000"/>
          <w:sz w:val="24"/>
        </w:rPr>
        <w:br w:type="textWrapping"/>
      </w:r>
      <w:r>
        <w:rPr>
          <w:rFonts w:ascii="宋体" w:hAnsi="宋体" w:cs="宋体"/>
          <w:color w:val="000000"/>
          <w:sz w:val="24"/>
        </w:rPr>
        <w:t xml:space="preserve">    List&lt;SysFileInfo&gt; fileInfos = sysFileInfoMapper.selectBatchIds(avatarFileIds);</w:t>
      </w:r>
      <w:r>
        <w:rPr>
          <w:rFonts w:ascii="宋体" w:hAnsi="宋体" w:cs="宋体"/>
          <w:color w:val="000000"/>
          <w:sz w:val="24"/>
        </w:rPr>
        <w:br w:type="textWrapping"/>
      </w:r>
      <w:r>
        <w:rPr>
          <w:rFonts w:ascii="宋体" w:hAnsi="宋体" w:cs="宋体"/>
          <w:color w:val="000000"/>
          <w:sz w:val="24"/>
        </w:rPr>
        <w:t xml:space="preserve">    Map&lt;Long, String&gt; filePathMap = fileInfos.stream()</w:t>
      </w:r>
      <w:r>
        <w:rPr>
          <w:rFonts w:ascii="宋体" w:hAnsi="宋体" w:cs="宋体"/>
          <w:color w:val="000000"/>
          <w:sz w:val="24"/>
        </w:rPr>
        <w:br w:type="textWrapping"/>
      </w:r>
      <w:r>
        <w:rPr>
          <w:rFonts w:ascii="宋体" w:hAnsi="宋体" w:cs="宋体"/>
          <w:color w:val="000000"/>
          <w:sz w:val="24"/>
        </w:rPr>
        <w:t xml:space="preserve">            .collect(Collectors.toMap(SysFileInfo::getId, SysFileInfo::getFilePath));</w:t>
      </w:r>
      <w:r>
        <w:rPr>
          <w:rFonts w:ascii="宋体" w:hAnsi="宋体" w:cs="宋体"/>
          <w:color w:val="000000"/>
          <w:sz w:val="24"/>
        </w:rPr>
        <w:br w:type="textWrapping"/>
      </w:r>
      <w:r>
        <w:rPr>
          <w:rFonts w:ascii="宋体" w:hAnsi="宋体" w:cs="宋体"/>
          <w:color w:val="000000"/>
          <w:sz w:val="24"/>
        </w:rPr>
        <w:t xml:space="preserve">    // 填充头像路径</w:t>
      </w:r>
      <w:r>
        <w:rPr>
          <w:rFonts w:ascii="宋体" w:hAnsi="宋体" w:cs="宋体"/>
          <w:color w:val="000000"/>
          <w:sz w:val="24"/>
        </w:rPr>
        <w:br w:type="textWrapping"/>
      </w:r>
      <w:r>
        <w:rPr>
          <w:rFonts w:ascii="宋体" w:hAnsi="宋体" w:cs="宋体"/>
          <w:color w:val="000000"/>
          <w:sz w:val="24"/>
        </w:rPr>
        <w:t xml:space="preserve">    records.forEach(record -&gt; {</w:t>
      </w:r>
      <w:r>
        <w:rPr>
          <w:rFonts w:ascii="宋体" w:hAnsi="宋体" w:cs="宋体"/>
          <w:color w:val="000000"/>
          <w:sz w:val="24"/>
        </w:rPr>
        <w:br w:type="textWrapping"/>
      </w:r>
      <w:r>
        <w:rPr>
          <w:rFonts w:ascii="宋体" w:hAnsi="宋体" w:cs="宋体"/>
          <w:color w:val="000000"/>
          <w:sz w:val="24"/>
        </w:rPr>
        <w:t xml:space="preserve">        if (record.getAvatarFileId() != null &amp;&amp; filePathMap.containsKey(record.getAvatarFileId())) {</w:t>
      </w:r>
      <w:r>
        <w:rPr>
          <w:rFonts w:ascii="宋体" w:hAnsi="宋体" w:cs="宋体"/>
          <w:color w:val="000000"/>
          <w:sz w:val="24"/>
        </w:rPr>
        <w:br w:type="textWrapping"/>
      </w:r>
      <w:r>
        <w:rPr>
          <w:rFonts w:ascii="宋体" w:hAnsi="宋体" w:cs="宋体"/>
          <w:color w:val="000000"/>
          <w:sz w:val="24"/>
        </w:rPr>
        <w:t xml:space="preserve">            record.setAvatarPath(filePathMap.get(record.getAvatarFileId()));</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2E43E552">
      <w:pPr>
        <w:spacing w:line="440" w:lineRule="exact"/>
        <w:ind w:firstLine="420" w:firstLineChars="200"/>
        <w:jc w:val="left"/>
        <w:rPr>
          <w:rFonts w:ascii="宋体" w:hAnsi="宋体" w:cs="宋体"/>
          <w:color w:val="000000"/>
          <w:sz w:val="24"/>
        </w:rPr>
      </w:pPr>
      <w:r>
        <w:rPr>
          <w:rFonts w:hint="default"/>
          <w:lang w:val="en-US"/>
        </w:rPr>
        <w:drawing>
          <wp:anchor distT="0" distB="0" distL="114300" distR="114300" simplePos="0" relativeHeight="251712512" behindDoc="0" locked="0" layoutInCell="1" allowOverlap="1">
            <wp:simplePos x="0" y="0"/>
            <wp:positionH relativeFrom="column">
              <wp:posOffset>127635</wp:posOffset>
            </wp:positionH>
            <wp:positionV relativeFrom="paragraph">
              <wp:posOffset>384810</wp:posOffset>
            </wp:positionV>
            <wp:extent cx="5264150" cy="2959735"/>
            <wp:effectExtent l="0" t="0" r="8890" b="12065"/>
            <wp:wrapTopAndBottom/>
            <wp:docPr id="18986488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4" name="图片 7"/>
                    <pic:cNvPicPr>
                      <a:picLocks noChangeAspect="1"/>
                    </pic:cNvPicPr>
                  </pic:nvPicPr>
                  <pic:blipFill>
                    <a:blip r:embed="rId199"/>
                    <a:stretch>
                      <a:fillRect/>
                    </a:stretch>
                  </pic:blipFill>
                  <pic:spPr>
                    <a:xfrm>
                      <a:off x="0" y="0"/>
                      <a:ext cx="5264150" cy="2959735"/>
                    </a:xfrm>
                    <a:prstGeom prst="rect">
                      <a:avLst/>
                    </a:prstGeom>
                    <a:noFill/>
                    <a:ln>
                      <a:noFill/>
                    </a:ln>
                  </pic:spPr>
                </pic:pic>
              </a:graphicData>
            </a:graphic>
          </wp:anchor>
        </w:drawing>
      </w:r>
      <w:r>
        <w:rPr>
          <w:rFonts w:hint="eastAsia"/>
          <w:lang w:val="en-US" w:eastAsia="zh-CN"/>
        </w:rPr>
        <w:t>(2)</w:t>
      </w:r>
      <w:r>
        <w:rPr>
          <w:rFonts w:ascii="宋体" w:hAnsi="宋体" w:cs="宋体"/>
          <w:color w:val="000000"/>
          <w:sz w:val="24"/>
        </w:rPr>
        <w:t>传承人详情展示功能</w:t>
      </w:r>
    </w:p>
    <w:p w14:paraId="753391CB">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图4-7 传承人详情展示界面</w:t>
      </w:r>
    </w:p>
    <w:p w14:paraId="31DF0BF0">
      <w:pPr>
        <w:spacing w:line="440" w:lineRule="exact"/>
        <w:ind w:firstLine="480" w:firstLineChars="200"/>
        <w:jc w:val="left"/>
        <w:rPr>
          <w:rFonts w:ascii="宋体" w:hAnsi="宋体" w:cs="宋体"/>
          <w:color w:val="000000"/>
          <w:sz w:val="24"/>
        </w:rPr>
      </w:pPr>
      <w:r>
        <w:rPr>
          <w:rFonts w:ascii="宋体" w:hAnsi="宋体" w:cs="宋体"/>
          <w:color w:val="000000"/>
          <w:sz w:val="24"/>
        </w:rPr>
        <w:t>以下是传承人详情展示功能的核心代码。后端代码查询传承人信息和关联的头像文件、代表作品信息。</w:t>
      </w:r>
    </w:p>
    <w:p w14:paraId="389AB381">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（1）</w:t>
      </w:r>
      <w:r>
        <w:rPr>
          <w:rFonts w:ascii="宋体" w:hAnsi="宋体" w:cs="宋体"/>
          <w:color w:val="000000"/>
          <w:sz w:val="24"/>
        </w:rPr>
        <w:t>后端核心代码(InheritorService.java):</w:t>
      </w:r>
    </w:p>
    <w:p w14:paraId="71B6C761">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填充关联信息</w:t>
      </w:r>
      <w:r>
        <w:rPr>
          <w:rFonts w:ascii="宋体" w:hAnsi="宋体" w:cs="宋体"/>
          <w:color w:val="000000"/>
          <w:sz w:val="24"/>
        </w:rPr>
        <w:br w:type="textWrapping"/>
      </w:r>
      <w:r>
        <w:rPr>
          <w:rFonts w:ascii="宋体" w:hAnsi="宋体" w:cs="宋体"/>
          <w:color w:val="000000"/>
          <w:sz w:val="24"/>
        </w:rPr>
        <w:t xml:space="preserve">        fillInheritorInfo(response);</w:t>
      </w:r>
      <w:r>
        <w:rPr>
          <w:rFonts w:ascii="宋体" w:hAnsi="宋体" w:cs="宋体"/>
          <w:color w:val="000000"/>
          <w:sz w:val="24"/>
        </w:rPr>
        <w:br w:type="textWrapping"/>
      </w:r>
      <w:r>
        <w:rPr>
          <w:rFonts w:ascii="宋体" w:hAnsi="宋体" w:cs="宋体"/>
          <w:color w:val="000000"/>
          <w:sz w:val="24"/>
        </w:rPr>
        <w:t xml:space="preserve">        return response;</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log.error("查询传承人详情失败: inheritorId={}", inheritorId, e);</w:t>
      </w:r>
      <w:r>
        <w:rPr>
          <w:rFonts w:ascii="宋体" w:hAnsi="宋体" w:cs="宋体"/>
          <w:color w:val="000000"/>
          <w:sz w:val="24"/>
        </w:rPr>
        <w:br w:type="textWrapping"/>
      </w:r>
      <w:r>
        <w:rPr>
          <w:rFonts w:ascii="宋体" w:hAnsi="宋体" w:cs="宋体"/>
          <w:color w:val="000000"/>
          <w:sz w:val="24"/>
        </w:rPr>
        <w:t xml:space="preserve">        throw new ServiceException("查询失败，请稍后重试");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private void fillInheritorInfo(InheritorDetailResponseDTO response) {</w:t>
      </w:r>
      <w:r>
        <w:rPr>
          <w:rFonts w:ascii="宋体" w:hAnsi="宋体" w:cs="宋体"/>
          <w:color w:val="000000"/>
          <w:sz w:val="24"/>
        </w:rPr>
        <w:br w:type="textWrapping"/>
      </w:r>
      <w:r>
        <w:rPr>
          <w:rFonts w:ascii="宋体" w:hAnsi="宋体" w:cs="宋体"/>
          <w:color w:val="000000"/>
          <w:sz w:val="24"/>
        </w:rPr>
        <w:t xml:space="preserve">    // 填充头像路径</w:t>
      </w:r>
      <w:r>
        <w:rPr>
          <w:rFonts w:ascii="宋体" w:hAnsi="宋体" w:cs="宋体"/>
          <w:color w:val="000000"/>
          <w:sz w:val="24"/>
        </w:rPr>
        <w:br w:type="textWrapping"/>
      </w:r>
      <w:r>
        <w:rPr>
          <w:rFonts w:ascii="宋体" w:hAnsi="宋体" w:cs="宋体"/>
          <w:color w:val="000000"/>
          <w:sz w:val="24"/>
        </w:rPr>
        <w:t xml:space="preserve">    if (response.getAvatarFileId() != null &amp;&amp; response.getAvatarFileId() &gt; 0) {</w:t>
      </w:r>
      <w:r>
        <w:rPr>
          <w:rFonts w:ascii="宋体" w:hAnsi="宋体" w:cs="宋体"/>
          <w:color w:val="000000"/>
          <w:sz w:val="24"/>
        </w:rPr>
        <w:br w:type="textWrapping"/>
      </w:r>
      <w:r>
        <w:rPr>
          <w:rFonts w:ascii="宋体" w:hAnsi="宋体" w:cs="宋体"/>
          <w:color w:val="000000"/>
          <w:sz w:val="24"/>
        </w:rPr>
        <w:t xml:space="preserve">        SysFileInfo avatarFile = sysFileInfoMapper.selectById(response.getAvatarFileId());</w:t>
      </w:r>
      <w:r>
        <w:rPr>
          <w:rFonts w:ascii="宋体" w:hAnsi="宋体" w:cs="宋体"/>
          <w:color w:val="000000"/>
          <w:sz w:val="24"/>
        </w:rPr>
        <w:br w:type="textWrapping"/>
      </w:r>
      <w:r>
        <w:rPr>
          <w:rFonts w:ascii="宋体" w:hAnsi="宋体" w:cs="宋体"/>
          <w:color w:val="000000"/>
          <w:sz w:val="24"/>
        </w:rPr>
        <w:t xml:space="preserve">        if (avatarFile != null) {</w:t>
      </w:r>
      <w:r>
        <w:rPr>
          <w:rFonts w:ascii="宋体" w:hAnsi="宋体" w:cs="宋体"/>
          <w:color w:val="000000"/>
          <w:sz w:val="24"/>
        </w:rPr>
        <w:br w:type="textWrapping"/>
      </w:r>
      <w:r>
        <w:rPr>
          <w:rFonts w:ascii="宋体" w:hAnsi="宋体" w:cs="宋体"/>
          <w:color w:val="000000"/>
          <w:sz w:val="24"/>
        </w:rPr>
        <w:t xml:space="preserve">            response.setAvatarPath(avatarFile.getFilePath());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填充关联作品列表</w:t>
      </w:r>
      <w:r>
        <w:rPr>
          <w:rFonts w:ascii="宋体" w:hAnsi="宋体" w:cs="宋体"/>
          <w:color w:val="000000"/>
          <w:sz w:val="24"/>
        </w:rPr>
        <w:br w:type="textWrapping"/>
      </w:r>
      <w:r>
        <w:rPr>
          <w:rFonts w:ascii="宋体" w:hAnsi="宋体" w:cs="宋体"/>
          <w:color w:val="000000"/>
          <w:sz w:val="24"/>
        </w:rPr>
        <w:t xml:space="preserve">    LambdaQueryWrapper&lt;InheritorItem&gt; wrapper = new LambdaQueryWrapper&lt;&gt;();</w:t>
      </w:r>
      <w:r>
        <w:rPr>
          <w:rFonts w:ascii="宋体" w:hAnsi="宋体" w:cs="宋体"/>
          <w:color w:val="000000"/>
          <w:sz w:val="24"/>
        </w:rPr>
        <w:br w:type="textWrapping"/>
      </w:r>
      <w:r>
        <w:rPr>
          <w:rFonts w:ascii="宋体" w:hAnsi="宋体" w:cs="宋体"/>
          <w:color w:val="000000"/>
          <w:sz w:val="24"/>
        </w:rPr>
        <w:t xml:space="preserve">    wrapper.eq(InheritorItem::getInheritorId, response.getId());</w:t>
      </w:r>
      <w:r>
        <w:rPr>
          <w:rFonts w:ascii="宋体" w:hAnsi="宋体" w:cs="宋体"/>
          <w:color w:val="000000"/>
          <w:sz w:val="24"/>
        </w:rPr>
        <w:br w:type="textWrapping"/>
      </w:r>
      <w:r>
        <w:rPr>
          <w:rFonts w:ascii="宋体" w:hAnsi="宋体" w:cs="宋体"/>
          <w:color w:val="000000"/>
          <w:sz w:val="24"/>
        </w:rPr>
        <w:t xml:space="preserve">    List&lt;InheritorItem&gt; inheritorItems = inheritorItemMapper.selectList(wrapper);</w:t>
      </w:r>
      <w:r>
        <w:rPr>
          <w:rFonts w:ascii="宋体" w:hAnsi="宋体" w:cs="宋体"/>
          <w:color w:val="000000"/>
          <w:sz w:val="24"/>
        </w:rPr>
        <w:br w:type="textWrapping"/>
      </w:r>
      <w:r>
        <w:rPr>
          <w:rFonts w:ascii="宋体" w:hAnsi="宋体" w:cs="宋体"/>
          <w:color w:val="000000"/>
          <w:sz w:val="24"/>
        </w:rPr>
        <w:t xml:space="preserve">    if (!inheritorItems.isEmpty()) {</w:t>
      </w:r>
      <w:r>
        <w:rPr>
          <w:rFonts w:ascii="宋体" w:hAnsi="宋体" w:cs="宋体"/>
          <w:color w:val="000000"/>
          <w:sz w:val="24"/>
        </w:rPr>
        <w:br w:type="textWrapping"/>
      </w:r>
      <w:r>
        <w:rPr>
          <w:rFonts w:ascii="宋体" w:hAnsi="宋体" w:cs="宋体"/>
          <w:color w:val="000000"/>
          <w:sz w:val="24"/>
        </w:rPr>
        <w:t xml:space="preserve">        List&lt;String&gt; itemIds = inheritorItems.stream()</w:t>
      </w:r>
      <w:r>
        <w:rPr>
          <w:rFonts w:ascii="宋体" w:hAnsi="宋体" w:cs="宋体"/>
          <w:color w:val="000000"/>
          <w:sz w:val="24"/>
        </w:rPr>
        <w:br w:type="textWrapping"/>
      </w:r>
      <w:r>
        <w:rPr>
          <w:rFonts w:ascii="宋体" w:hAnsi="宋体" w:cs="宋体"/>
          <w:color w:val="000000"/>
          <w:sz w:val="24"/>
        </w:rPr>
        <w:t xml:space="preserve">                .map(InheritorItem::getItemId)</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查询作品详情（只查询已发布的作品）</w:t>
      </w:r>
      <w:r>
        <w:rPr>
          <w:rFonts w:ascii="宋体" w:hAnsi="宋体" w:cs="宋体"/>
          <w:color w:val="000000"/>
          <w:sz w:val="24"/>
        </w:rPr>
        <w:br w:type="textWrapping"/>
      </w:r>
      <w:r>
        <w:rPr>
          <w:rFonts w:ascii="宋体" w:hAnsi="宋体" w:cs="宋体"/>
          <w:color w:val="000000"/>
          <w:sz w:val="24"/>
        </w:rPr>
        <w:t xml:space="preserve">        LambdaQueryWrapper&lt;HeritageItem&gt; itemWrapper = new LambdaQueryWrapper&lt;&gt;();</w:t>
      </w:r>
      <w:r>
        <w:rPr>
          <w:rFonts w:ascii="宋体" w:hAnsi="宋体" w:cs="宋体"/>
          <w:color w:val="000000"/>
          <w:sz w:val="24"/>
        </w:rPr>
        <w:br w:type="textWrapping"/>
      </w:r>
      <w:r>
        <w:rPr>
          <w:rFonts w:ascii="宋体" w:hAnsi="宋体" w:cs="宋体"/>
          <w:color w:val="000000"/>
          <w:sz w:val="24"/>
        </w:rPr>
        <w:t xml:space="preserve">        itemWrapper.in(HeritageItem::getId, itemIds)</w:t>
      </w:r>
      <w:r>
        <w:rPr>
          <w:rFonts w:ascii="宋体" w:hAnsi="宋体" w:cs="宋体"/>
          <w:color w:val="000000"/>
          <w:sz w:val="24"/>
        </w:rPr>
        <w:br w:type="textWrapping"/>
      </w:r>
      <w:r>
        <w:rPr>
          <w:rFonts w:ascii="宋体" w:hAnsi="宋体" w:cs="宋体"/>
          <w:color w:val="000000"/>
          <w:sz w:val="24"/>
        </w:rPr>
        <w:t xml:space="preserve">                   .eq(HeritageItem::getStatus, 2); // 2-已发布</w:t>
      </w:r>
      <w:r>
        <w:rPr>
          <w:rFonts w:ascii="宋体" w:hAnsi="宋体" w:cs="宋体"/>
          <w:color w:val="000000"/>
          <w:sz w:val="24"/>
        </w:rPr>
        <w:br w:type="textWrapping"/>
      </w:r>
      <w:r>
        <w:rPr>
          <w:rFonts w:ascii="宋体" w:hAnsi="宋体" w:cs="宋体"/>
          <w:color w:val="000000"/>
          <w:sz w:val="24"/>
        </w:rPr>
        <w:t xml:space="preserve">        List&lt;HeritageItem&gt; items = heritageItemMapper.selectList(itemWrapper);</w:t>
      </w:r>
      <w:r>
        <w:rPr>
          <w:rFonts w:ascii="宋体" w:hAnsi="宋体" w:cs="宋体"/>
          <w:color w:val="000000"/>
          <w:sz w:val="24"/>
        </w:rPr>
        <w:br w:type="textWrapping"/>
      </w:r>
      <w:r>
        <w:rPr>
          <w:rFonts w:ascii="宋体" w:hAnsi="宋体" w:cs="宋体"/>
          <w:color w:val="000000"/>
          <w:sz w:val="24"/>
        </w:rPr>
        <w:t xml:space="preserve">        response.setItems(items);</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783AD0F8">
      <w:pPr>
        <w:spacing w:line="440" w:lineRule="exact"/>
        <w:ind w:firstLine="420" w:firstLineChars="200"/>
        <w:jc w:val="left"/>
        <w:rPr>
          <w:rFonts w:ascii="宋体" w:hAnsi="宋体" w:cs="宋体"/>
          <w:color w:val="000000"/>
          <w:sz w:val="24"/>
        </w:rPr>
      </w:pPr>
      <w:r>
        <w:rPr>
          <w:rFonts w:hint="default"/>
          <w:lang w:val="en-US"/>
        </w:rPr>
        <w:drawing>
          <wp:anchor distT="0" distB="0" distL="114300" distR="114300" simplePos="0" relativeHeight="251713536" behindDoc="0" locked="0" layoutInCell="1" allowOverlap="1">
            <wp:simplePos x="0" y="0"/>
            <wp:positionH relativeFrom="column">
              <wp:posOffset>10795</wp:posOffset>
            </wp:positionH>
            <wp:positionV relativeFrom="paragraph">
              <wp:posOffset>353695</wp:posOffset>
            </wp:positionV>
            <wp:extent cx="5264150" cy="2957195"/>
            <wp:effectExtent l="0" t="0" r="8890" b="14605"/>
            <wp:wrapTopAndBottom/>
            <wp:docPr id="18986488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5" name="图片 8"/>
                    <pic:cNvPicPr>
                      <a:picLocks noChangeAspect="1"/>
                    </pic:cNvPicPr>
                  </pic:nvPicPr>
                  <pic:blipFill>
                    <a:blip r:embed="rId200"/>
                    <a:stretch>
                      <a:fillRect/>
                    </a:stretch>
                  </pic:blipFill>
                  <pic:spPr>
                    <a:xfrm>
                      <a:off x="0" y="0"/>
                      <a:ext cx="5264150" cy="2957195"/>
                    </a:xfrm>
                    <a:prstGeom prst="rect">
                      <a:avLst/>
                    </a:prstGeom>
                    <a:noFill/>
                    <a:ln>
                      <a:noFill/>
                    </a:ln>
                  </pic:spPr>
                </pic:pic>
              </a:graphicData>
            </a:graphic>
          </wp:anchor>
        </w:drawing>
      </w:r>
      <w:r>
        <w:rPr>
          <w:rFonts w:hint="eastAsia"/>
          <w:lang w:val="en-US" w:eastAsia="zh-CN"/>
        </w:rPr>
        <w:t>(3)</w:t>
      </w:r>
      <w:r>
        <w:rPr>
          <w:rFonts w:ascii="宋体" w:hAnsi="宋体" w:cs="宋体"/>
          <w:color w:val="000000"/>
          <w:sz w:val="24"/>
        </w:rPr>
        <w:t>传承人作品关联功能</w:t>
      </w:r>
    </w:p>
    <w:p w14:paraId="2785890C">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图4-8 传承人作品关联界面</w:t>
      </w:r>
    </w:p>
    <w:p w14:paraId="66FCD1FE">
      <w:pPr>
        <w:spacing w:line="440" w:lineRule="exact"/>
        <w:ind w:firstLine="480" w:firstLineChars="200"/>
        <w:jc w:val="left"/>
        <w:rPr>
          <w:rFonts w:ascii="宋体" w:hAnsi="宋体" w:cs="宋体"/>
          <w:color w:val="000000"/>
          <w:sz w:val="24"/>
        </w:rPr>
      </w:pPr>
      <w:r>
        <w:rPr>
          <w:rFonts w:ascii="宋体" w:hAnsi="宋体" w:cs="宋体"/>
          <w:color w:val="000000"/>
          <w:sz w:val="24"/>
        </w:rPr>
        <w:t>以下是传承人作品关联功能的核心代码。后端代码验证数据有效性,使用事务确保关联操作的原子性。</w:t>
      </w:r>
    </w:p>
    <w:p w14:paraId="2B7CC519">
      <w:pPr>
        <w:spacing w:line="440" w:lineRule="exact"/>
        <w:ind w:firstLine="480" w:firstLineChars="200"/>
        <w:jc w:val="left"/>
        <w:rPr>
          <w:rFonts w:ascii="宋体" w:hAnsi="宋体" w:cs="宋体"/>
          <w:color w:val="000000"/>
          <w:sz w:val="24"/>
        </w:rPr>
      </w:pPr>
      <w:r>
        <w:rPr>
          <w:rFonts w:hint="eastAsia" w:ascii="宋体" w:hAnsi="宋体" w:cs="宋体"/>
          <w:color w:val="000000"/>
          <w:sz w:val="24"/>
        </w:rPr>
        <w:t>（1）</w:t>
      </w:r>
      <w:r>
        <w:rPr>
          <w:rFonts w:ascii="宋体" w:hAnsi="宋体" w:cs="宋体"/>
          <w:color w:val="000000"/>
          <w:sz w:val="24"/>
        </w:rPr>
        <w:t>后端核心代码(InheritorService.java):</w:t>
      </w:r>
    </w:p>
    <w:p w14:paraId="658C635C">
      <w:pPr>
        <w:spacing w:line="440" w:lineRule="exact"/>
        <w:ind w:firstLine="480" w:firstLineChars="200"/>
        <w:jc w:val="left"/>
        <w:rPr>
          <w:rFonts w:ascii="宋体" w:hAnsi="宋体" w:cs="宋体"/>
          <w:color w:val="000000"/>
          <w:sz w:val="24"/>
        </w:rPr>
      </w:pPr>
      <w:r>
        <w:rPr>
          <w:rFonts w:ascii="宋体" w:hAnsi="宋体" w:cs="宋体"/>
          <w:color w:val="000000"/>
          <w:sz w:val="24"/>
        </w:rPr>
        <w:t>@Transactional(rollbackFor = Exception.class)</w:t>
      </w:r>
      <w:r>
        <w:rPr>
          <w:rFonts w:ascii="宋体" w:hAnsi="宋体" w:cs="宋体"/>
          <w:color w:val="000000"/>
          <w:sz w:val="24"/>
        </w:rPr>
        <w:br w:type="textWrapping"/>
      </w:r>
      <w:r>
        <w:rPr>
          <w:rFonts w:ascii="宋体" w:hAnsi="宋体" w:cs="宋体"/>
          <w:color w:val="000000"/>
          <w:sz w:val="24"/>
        </w:rPr>
        <w:t>public void addItemRelation(String inheritorId, String itemId)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验证传承人是否存在</w:t>
      </w:r>
      <w:r>
        <w:rPr>
          <w:rFonts w:ascii="宋体" w:hAnsi="宋体" w:cs="宋体"/>
          <w:color w:val="000000"/>
          <w:sz w:val="24"/>
        </w:rPr>
        <w:br w:type="textWrapping"/>
      </w:r>
      <w:r>
        <w:rPr>
          <w:rFonts w:ascii="宋体" w:hAnsi="宋体" w:cs="宋体"/>
          <w:color w:val="000000"/>
          <w:sz w:val="24"/>
        </w:rPr>
        <w:t xml:space="preserve">        Inheritor inheritor = inheritorMapper.selectById(inheritorId);</w:t>
      </w:r>
      <w:r>
        <w:rPr>
          <w:rFonts w:ascii="宋体" w:hAnsi="宋体" w:cs="宋体"/>
          <w:color w:val="000000"/>
          <w:sz w:val="24"/>
        </w:rPr>
        <w:br w:type="textWrapping"/>
      </w:r>
      <w:r>
        <w:rPr>
          <w:rFonts w:ascii="宋体" w:hAnsi="宋体" w:cs="宋体"/>
          <w:color w:val="000000"/>
          <w:sz w:val="24"/>
        </w:rPr>
        <w:t xml:space="preserve">        if (inheritor == null) {</w:t>
      </w:r>
      <w:r>
        <w:rPr>
          <w:rFonts w:ascii="宋体" w:hAnsi="宋体" w:cs="宋体"/>
          <w:color w:val="000000"/>
          <w:sz w:val="24"/>
        </w:rPr>
        <w:br w:type="textWrapping"/>
      </w:r>
      <w:r>
        <w:rPr>
          <w:rFonts w:ascii="宋体" w:hAnsi="宋体" w:cs="宋体"/>
          <w:color w:val="000000"/>
          <w:sz w:val="24"/>
        </w:rPr>
        <w:t xml:space="preserve">            throw new BusinessException("传承人不存在");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验证作品是否存在</w:t>
      </w:r>
      <w:r>
        <w:rPr>
          <w:rFonts w:ascii="宋体" w:hAnsi="宋体" w:cs="宋体"/>
          <w:color w:val="000000"/>
          <w:sz w:val="24"/>
        </w:rPr>
        <w:br w:type="textWrapping"/>
      </w:r>
      <w:r>
        <w:rPr>
          <w:rFonts w:ascii="宋体" w:hAnsi="宋体" w:cs="宋体"/>
          <w:color w:val="000000"/>
          <w:sz w:val="24"/>
        </w:rPr>
        <w:t xml:space="preserve">        HeritageItem item = heritageItemMapper.selectById(itemId);</w:t>
      </w:r>
      <w:r>
        <w:rPr>
          <w:rFonts w:ascii="宋体" w:hAnsi="宋体" w:cs="宋体"/>
          <w:color w:val="000000"/>
          <w:sz w:val="24"/>
        </w:rPr>
        <w:br w:type="textWrapping"/>
      </w:r>
      <w:r>
        <w:rPr>
          <w:rFonts w:ascii="宋体" w:hAnsi="宋体" w:cs="宋体"/>
          <w:color w:val="000000"/>
          <w:sz w:val="24"/>
        </w:rPr>
        <w:t xml:space="preserve">        if (item == null) {</w:t>
      </w:r>
      <w:r>
        <w:rPr>
          <w:rFonts w:ascii="宋体" w:hAnsi="宋体" w:cs="宋体"/>
          <w:color w:val="000000"/>
          <w:sz w:val="24"/>
        </w:rPr>
        <w:br w:type="textWrapping"/>
      </w:r>
      <w:r>
        <w:rPr>
          <w:rFonts w:ascii="宋体" w:hAnsi="宋体" w:cs="宋体"/>
          <w:color w:val="000000"/>
          <w:sz w:val="24"/>
        </w:rPr>
        <w:t xml:space="preserve">            throw new BusinessException("作品不存在");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检查关联是否已存在</w:t>
      </w:r>
      <w:r>
        <w:rPr>
          <w:rFonts w:ascii="宋体" w:hAnsi="宋体" w:cs="宋体"/>
          <w:color w:val="000000"/>
          <w:sz w:val="24"/>
        </w:rPr>
        <w:br w:type="textWrapping"/>
      </w:r>
      <w:r>
        <w:rPr>
          <w:rFonts w:ascii="宋体" w:hAnsi="宋体" w:cs="宋体"/>
          <w:color w:val="000000"/>
          <w:sz w:val="24"/>
        </w:rPr>
        <w:t xml:space="preserve">        LambdaQueryWrapper&lt;InheritorItem&gt; wrapper = new LambdaQueryWrapper&lt;&gt;();</w:t>
      </w:r>
      <w:r>
        <w:rPr>
          <w:rFonts w:ascii="宋体" w:hAnsi="宋体" w:cs="宋体"/>
          <w:color w:val="000000"/>
          <w:sz w:val="24"/>
        </w:rPr>
        <w:br w:type="textWrapping"/>
      </w:r>
      <w:r>
        <w:rPr>
          <w:rFonts w:ascii="宋体" w:hAnsi="宋体" w:cs="宋体"/>
          <w:color w:val="000000"/>
          <w:sz w:val="24"/>
        </w:rPr>
        <w:t xml:space="preserve">        wrapper.eq(InheritorItem::getInheritorId, inheritorId)</w:t>
      </w:r>
      <w:r>
        <w:rPr>
          <w:rFonts w:ascii="宋体" w:hAnsi="宋体" w:cs="宋体"/>
          <w:color w:val="000000"/>
          <w:sz w:val="24"/>
        </w:rPr>
        <w:br w:type="textWrapping"/>
      </w:r>
      <w:r>
        <w:rPr>
          <w:rFonts w:ascii="宋体" w:hAnsi="宋体" w:cs="宋体"/>
          <w:color w:val="000000"/>
          <w:sz w:val="24"/>
        </w:rPr>
        <w:t xml:space="preserve">               .eq(InheritorItem::getItemId, itemId);</w:t>
      </w:r>
      <w:r>
        <w:rPr>
          <w:rFonts w:ascii="宋体" w:hAnsi="宋体" w:cs="宋体"/>
          <w:color w:val="000000"/>
          <w:sz w:val="24"/>
        </w:rPr>
        <w:br w:type="textWrapping"/>
      </w:r>
      <w:r>
        <w:rPr>
          <w:rFonts w:ascii="宋体" w:hAnsi="宋体" w:cs="宋体"/>
          <w:color w:val="000000"/>
          <w:sz w:val="24"/>
        </w:rPr>
        <w:t xml:space="preserve">        InheritorItem existingRelation = inheritorItemMapper.selectOne(wrapper);</w:t>
      </w:r>
      <w:r>
        <w:rPr>
          <w:rFonts w:ascii="宋体" w:hAnsi="宋体" w:cs="宋体"/>
          <w:color w:val="000000"/>
          <w:sz w:val="24"/>
        </w:rPr>
        <w:br w:type="textWrapping"/>
      </w:r>
      <w:r>
        <w:rPr>
          <w:rFonts w:ascii="宋体" w:hAnsi="宋体" w:cs="宋体"/>
          <w:color w:val="000000"/>
          <w:sz w:val="24"/>
        </w:rPr>
        <w:t xml:space="preserve">        if (existingRelation != null) {</w:t>
      </w:r>
      <w:r>
        <w:rPr>
          <w:rFonts w:ascii="宋体" w:hAnsi="宋体" w:cs="宋体"/>
          <w:color w:val="000000"/>
          <w:sz w:val="24"/>
        </w:rPr>
        <w:br w:type="textWrapping"/>
      </w:r>
      <w:r>
        <w:rPr>
          <w:rFonts w:ascii="宋体" w:hAnsi="宋体" w:cs="宋体"/>
          <w:color w:val="000000"/>
          <w:sz w:val="24"/>
        </w:rPr>
        <w:t xml:space="preserve">            throw new BusinessException("关联已存在");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验证传承人是否存在</w:t>
      </w:r>
      <w:r>
        <w:rPr>
          <w:rFonts w:ascii="宋体" w:hAnsi="宋体" w:cs="宋体"/>
          <w:color w:val="000000"/>
          <w:sz w:val="24"/>
        </w:rPr>
        <w:br w:type="textWrapping"/>
      </w:r>
      <w:r>
        <w:rPr>
          <w:rFonts w:ascii="宋体" w:hAnsi="宋体" w:cs="宋体"/>
          <w:color w:val="000000"/>
          <w:sz w:val="24"/>
        </w:rPr>
        <w:t xml:space="preserve">        Inheritor inheritor = inheritorMapper.selectById(inheritorId);</w:t>
      </w:r>
      <w:r>
        <w:rPr>
          <w:rFonts w:ascii="宋体" w:hAnsi="宋体" w:cs="宋体"/>
          <w:color w:val="000000"/>
          <w:sz w:val="24"/>
        </w:rPr>
        <w:br w:type="textWrapping"/>
      </w:r>
      <w:r>
        <w:rPr>
          <w:rFonts w:ascii="宋体" w:hAnsi="宋体" w:cs="宋体"/>
          <w:color w:val="000000"/>
          <w:sz w:val="24"/>
        </w:rPr>
        <w:t xml:space="preserve">        if (inheritor == null) {</w:t>
      </w:r>
      <w:r>
        <w:rPr>
          <w:rFonts w:ascii="宋体" w:hAnsi="宋体" w:cs="宋体"/>
          <w:color w:val="000000"/>
          <w:sz w:val="24"/>
        </w:rPr>
        <w:br w:type="textWrapping"/>
      </w:r>
      <w:r>
        <w:rPr>
          <w:rFonts w:ascii="宋体" w:hAnsi="宋体" w:cs="宋体"/>
          <w:color w:val="000000"/>
          <w:sz w:val="24"/>
        </w:rPr>
        <w:t xml:space="preserve">            throw new BusinessException("传承人不存在");</w:t>
      </w:r>
      <w:r>
        <w:rPr>
          <w:rFonts w:ascii="宋体" w:hAnsi="宋体" w:cs="宋体"/>
          <w:color w:val="000000"/>
          <w:sz w:val="24"/>
        </w:rPr>
        <w:br w:type="textWrapping"/>
      </w:r>
      <w:r>
        <w:rPr>
          <w:rFonts w:ascii="宋体" w:hAnsi="宋体" w:cs="宋体"/>
          <w:color w:val="000000"/>
          <w:sz w:val="24"/>
        </w:rPr>
        <w:t xml:space="preserve">        // 验证作品是否存在</w:t>
      </w:r>
      <w:r>
        <w:rPr>
          <w:rFonts w:ascii="宋体" w:hAnsi="宋体" w:cs="宋体"/>
          <w:color w:val="000000"/>
          <w:sz w:val="24"/>
        </w:rPr>
        <w:br w:type="textWrapping"/>
      </w:r>
      <w:r>
        <w:rPr>
          <w:rFonts w:ascii="宋体" w:hAnsi="宋体" w:cs="宋体"/>
          <w:color w:val="000000"/>
          <w:sz w:val="24"/>
        </w:rPr>
        <w:t xml:space="preserve">        HeritageItem item = heritageItemMapper.selectById(itemId);</w:t>
      </w:r>
      <w:r>
        <w:rPr>
          <w:rFonts w:ascii="宋体" w:hAnsi="宋体" w:cs="宋体"/>
          <w:color w:val="000000"/>
          <w:sz w:val="24"/>
        </w:rPr>
        <w:br w:type="textWrapping"/>
      </w:r>
      <w:r>
        <w:rPr>
          <w:rFonts w:ascii="宋体" w:hAnsi="宋体" w:cs="宋体"/>
          <w:color w:val="000000"/>
          <w:sz w:val="24"/>
        </w:rPr>
        <w:t xml:space="preserve">        if (item == null) {</w:t>
      </w:r>
      <w:r>
        <w:rPr>
          <w:rFonts w:ascii="宋体" w:hAnsi="宋体" w:cs="宋体"/>
          <w:color w:val="000000"/>
          <w:sz w:val="24"/>
        </w:rPr>
        <w:br w:type="textWrapping"/>
      </w:r>
      <w:r>
        <w:rPr>
          <w:rFonts w:ascii="宋体" w:hAnsi="宋体" w:cs="宋体"/>
          <w:color w:val="000000"/>
          <w:sz w:val="24"/>
        </w:rPr>
        <w:t xml:space="preserve">            throw new BusinessException("作品不存在");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查找关联记录</w:t>
      </w:r>
      <w:r>
        <w:rPr>
          <w:rFonts w:ascii="宋体" w:hAnsi="宋体" w:cs="宋体"/>
          <w:color w:val="000000"/>
          <w:sz w:val="24"/>
        </w:rPr>
        <w:br w:type="textWrapping"/>
      </w:r>
      <w:r>
        <w:rPr>
          <w:rFonts w:ascii="宋体" w:hAnsi="宋体" w:cs="宋体"/>
          <w:color w:val="000000"/>
          <w:sz w:val="24"/>
        </w:rPr>
        <w:t xml:space="preserve">        LambdaQueryWrapper&lt;InheritorItem&gt; wrapper = new LambdaQueryWrapper&lt;&gt;();</w:t>
      </w:r>
      <w:r>
        <w:rPr>
          <w:rFonts w:ascii="宋体" w:hAnsi="宋体" w:cs="宋体"/>
          <w:color w:val="000000"/>
          <w:sz w:val="24"/>
        </w:rPr>
        <w:br w:type="textWrapping"/>
      </w:r>
      <w:r>
        <w:rPr>
          <w:rFonts w:ascii="宋体" w:hAnsi="宋体" w:cs="宋体"/>
          <w:color w:val="000000"/>
          <w:sz w:val="24"/>
        </w:rPr>
        <w:t xml:space="preserve">        wrapper.eq(InheritorItem::getInheritorId, inheritorId)</w:t>
      </w:r>
      <w:r>
        <w:rPr>
          <w:rFonts w:ascii="宋体" w:hAnsi="宋体" w:cs="宋体"/>
          <w:color w:val="000000"/>
          <w:sz w:val="24"/>
        </w:rPr>
        <w:br w:type="textWrapping"/>
      </w:r>
      <w:r>
        <w:rPr>
          <w:rFonts w:ascii="宋体" w:hAnsi="宋体" w:cs="宋体"/>
          <w:color w:val="000000"/>
          <w:sz w:val="24"/>
        </w:rPr>
        <w:t xml:space="preserve">               .eq(InheritorItem::getItemId, itemId);</w:t>
      </w:r>
      <w:r>
        <w:rPr>
          <w:rFonts w:ascii="宋体" w:hAnsi="宋体" w:cs="宋体"/>
          <w:color w:val="000000"/>
          <w:sz w:val="24"/>
        </w:rPr>
        <w:br w:type="textWrapping"/>
      </w:r>
      <w:r>
        <w:rPr>
          <w:rFonts w:ascii="宋体" w:hAnsi="宋体" w:cs="宋体"/>
          <w:color w:val="000000"/>
          <w:sz w:val="24"/>
        </w:rPr>
        <w:t xml:space="preserve">        InheritorItem relation = inheritorItemMapper.selectOne(wrapper);</w:t>
      </w:r>
      <w:r>
        <w:rPr>
          <w:rFonts w:ascii="宋体" w:hAnsi="宋体" w:cs="宋体"/>
          <w:color w:val="000000"/>
          <w:sz w:val="24"/>
        </w:rPr>
        <w:br w:type="textWrapping"/>
      </w:r>
      <w:r>
        <w:rPr>
          <w:rFonts w:ascii="宋体" w:hAnsi="宋体" w:cs="宋体"/>
          <w:color w:val="000000"/>
          <w:sz w:val="24"/>
        </w:rPr>
        <w:t xml:space="preserve">        if (relation == null) {</w:t>
      </w:r>
      <w:r>
        <w:rPr>
          <w:rFonts w:ascii="宋体" w:hAnsi="宋体" w:cs="宋体"/>
          <w:color w:val="000000"/>
          <w:sz w:val="24"/>
        </w:rPr>
        <w:br w:type="textWrapping"/>
      </w:r>
      <w:r>
        <w:rPr>
          <w:rFonts w:ascii="宋体" w:hAnsi="宋体" w:cs="宋体"/>
          <w:color w:val="000000"/>
          <w:sz w:val="24"/>
        </w:rPr>
        <w:t xml:space="preserve">            throw new BusinessException("关联不存在");</w:t>
      </w:r>
      <w:r>
        <w:rPr>
          <w:rFonts w:ascii="宋体" w:hAnsi="宋体" w:cs="宋体"/>
          <w:color w:val="000000"/>
          <w:sz w:val="24"/>
        </w:rPr>
        <w:br w:type="textWrapping"/>
      </w:r>
      <w:r>
        <w:rPr>
          <w:rFonts w:ascii="宋体" w:hAnsi="宋体" w:cs="宋体"/>
          <w:color w:val="000000"/>
          <w:sz w:val="24"/>
        </w:rPr>
        <w:t xml:space="preserve">        }</w:t>
      </w:r>
    </w:p>
    <w:p w14:paraId="262E027E">
      <w:pPr>
        <w:spacing w:line="440" w:lineRule="exact"/>
        <w:ind w:firstLine="480" w:firstLineChars="200"/>
        <w:jc w:val="left"/>
        <w:rPr>
          <w:rFonts w:ascii="宋体" w:hAnsi="宋体" w:cs="宋体"/>
          <w:color w:val="000000"/>
          <w:sz w:val="24"/>
        </w:rPr>
      </w:pPr>
      <w:bookmarkStart w:id="523" w:name="_Toc17240"/>
      <w:r>
        <w:rPr>
          <w:rFonts w:hint="eastAsia" w:ascii="宋体" w:hAnsi="宋体" w:cs="宋体"/>
          <w:color w:val="000000"/>
          <w:sz w:val="24"/>
        </w:rPr>
        <w:t>4.2.4 课程管理模块实现</w:t>
      </w:r>
      <w:bookmarkEnd w:id="523"/>
    </w:p>
    <w:p w14:paraId="793330C0">
      <w:pPr>
        <w:spacing w:line="440" w:lineRule="exact"/>
        <w:ind w:firstLine="480" w:firstLineChars="200"/>
        <w:jc w:val="left"/>
        <w:rPr>
          <w:rFonts w:ascii="宋体" w:hAnsi="宋体" w:cs="宋体"/>
          <w:color w:val="000000"/>
          <w:sz w:val="24"/>
        </w:rPr>
      </w:pPr>
      <w:r>
        <w:rPr>
          <w:rFonts w:ascii="宋体" w:hAnsi="宋体" w:cs="宋体"/>
          <w:color w:val="000000"/>
          <w:sz w:val="24"/>
        </w:rPr>
        <w:t>课程管理模块为用户提供在线学习非遗技艺的平台,支持课程的发布、浏览和学习功能。本节重点介绍课程列表查询、课程详情展示和课程章节管理三个关键功能的实现。</w:t>
      </w:r>
    </w:p>
    <w:p w14:paraId="29121F3C">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(1)</w:t>
      </w:r>
      <w:r>
        <w:rPr>
          <w:rFonts w:ascii="宋体" w:hAnsi="宋体" w:cs="宋体"/>
          <w:color w:val="000000"/>
          <w:sz w:val="24"/>
        </w:rPr>
        <w:t>课程列表查询功能</w:t>
      </w:r>
    </w:p>
    <w:p w14:paraId="5B297C2E">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14560" behindDoc="0" locked="0" layoutInCell="1" allowOverlap="1">
            <wp:simplePos x="0" y="0"/>
            <wp:positionH relativeFrom="column">
              <wp:posOffset>-51435</wp:posOffset>
            </wp:positionH>
            <wp:positionV relativeFrom="paragraph">
              <wp:posOffset>95250</wp:posOffset>
            </wp:positionV>
            <wp:extent cx="5458460" cy="2364740"/>
            <wp:effectExtent l="0" t="0" r="2540" b="10160"/>
            <wp:wrapTopAndBottom/>
            <wp:docPr id="18986488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6" name="图片 9"/>
                    <pic:cNvPicPr>
                      <a:picLocks noChangeAspect="1"/>
                    </pic:cNvPicPr>
                  </pic:nvPicPr>
                  <pic:blipFill>
                    <a:blip r:embed="rId201"/>
                    <a:stretch>
                      <a:fillRect/>
                    </a:stretch>
                  </pic:blipFill>
                  <pic:spPr>
                    <a:xfrm>
                      <a:off x="0" y="0"/>
                      <a:ext cx="5458460" cy="2364740"/>
                    </a:xfrm>
                    <a:prstGeom prst="rect">
                      <a:avLst/>
                    </a:prstGeom>
                    <a:noFill/>
                    <a:ln>
                      <a:noFill/>
                    </a:ln>
                  </pic:spPr>
                </pic:pic>
              </a:graphicData>
            </a:graphic>
          </wp:anchor>
        </w:drawing>
      </w:r>
      <w:r>
        <w:rPr>
          <w:rFonts w:hint="eastAsia" w:ascii="宋体" w:hAnsi="宋体" w:cs="宋体"/>
          <w:sz w:val="21"/>
          <w:szCs w:val="21"/>
        </w:rPr>
        <w:t>图4-9 课程列表查询界面</w:t>
      </w:r>
    </w:p>
    <w:p w14:paraId="68EBA785">
      <w:pPr>
        <w:spacing w:line="440" w:lineRule="exact"/>
        <w:ind w:firstLine="480" w:firstLineChars="200"/>
        <w:jc w:val="left"/>
        <w:rPr>
          <w:rFonts w:ascii="宋体" w:hAnsi="宋体" w:cs="宋体"/>
          <w:color w:val="000000"/>
          <w:sz w:val="24"/>
        </w:rPr>
      </w:pPr>
      <w:r>
        <w:rPr>
          <w:rFonts w:ascii="宋体" w:hAnsi="宋体" w:cs="宋体"/>
          <w:color w:val="000000"/>
          <w:sz w:val="24"/>
        </w:rPr>
        <w:t>以下是课程列表查询功能的核心代码。后端代码使用MyBatis-Plus的分页查询功能,根据筛选条件动态构建查询语句,并填充封面图片信息。</w:t>
      </w:r>
    </w:p>
    <w:p w14:paraId="23EB5885">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后端核心代码(CourseService.java):</w:t>
      </w:r>
    </w:p>
    <w:p w14:paraId="392C78AA">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按创建时间倒序</w:t>
      </w:r>
      <w:r>
        <w:rPr>
          <w:rFonts w:ascii="宋体" w:hAnsi="宋体" w:cs="宋体"/>
          <w:color w:val="000000"/>
          <w:sz w:val="24"/>
        </w:rPr>
        <w:br w:type="textWrapping"/>
      </w:r>
      <w:r>
        <w:rPr>
          <w:rFonts w:ascii="宋体" w:hAnsi="宋体" w:cs="宋体"/>
          <w:color w:val="000000"/>
          <w:sz w:val="24"/>
        </w:rPr>
        <w:t xml:space="preserve">        wrapper.orderByDesc(Course::getCreateTime);</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Page&lt;Course&gt; coursePage = courseMapper.selectPage(page, wrapper);</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转换为响应DTO</w:t>
      </w:r>
      <w:r>
        <w:rPr>
          <w:rFonts w:ascii="宋体" w:hAnsi="宋体" w:cs="宋体"/>
          <w:color w:val="000000"/>
          <w:sz w:val="24"/>
        </w:rPr>
        <w:br w:type="textWrapping"/>
      </w:r>
      <w:r>
        <w:rPr>
          <w:rFonts w:ascii="宋体" w:hAnsi="宋体" w:cs="宋体"/>
          <w:color w:val="000000"/>
          <w:sz w:val="24"/>
        </w:rPr>
        <w:t xml:space="preserve">        List&lt;CourseResponseDTO&gt; responseDTOList = coursePage.getRecords().stream()</w:t>
      </w:r>
      <w:r>
        <w:rPr>
          <w:rFonts w:ascii="宋体" w:hAnsi="宋体" w:cs="宋体"/>
          <w:color w:val="000000"/>
          <w:sz w:val="24"/>
        </w:rPr>
        <w:br w:type="textWrapping"/>
      </w:r>
      <w:r>
        <w:rPr>
          <w:rFonts w:ascii="宋体" w:hAnsi="宋体" w:cs="宋体"/>
          <w:color w:val="000000"/>
          <w:sz w:val="24"/>
        </w:rPr>
        <w:t xml:space="preserve">                .map(course -&gt; {</w:t>
      </w:r>
      <w:r>
        <w:rPr>
          <w:rFonts w:ascii="宋体" w:hAnsi="宋体" w:cs="宋体"/>
          <w:color w:val="000000"/>
          <w:sz w:val="24"/>
        </w:rPr>
        <w:br w:type="textWrapping"/>
      </w:r>
      <w:r>
        <w:rPr>
          <w:rFonts w:ascii="宋体" w:hAnsi="宋体" w:cs="宋体"/>
          <w:color w:val="000000"/>
          <w:sz w:val="24"/>
        </w:rPr>
        <w:t xml:space="preserve">                    CourseResponseDTO dto = CourseConvert.entityToResponse(course);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填充封面文件路径</w:t>
      </w:r>
      <w:r>
        <w:rPr>
          <w:rFonts w:ascii="宋体" w:hAnsi="宋体" w:cs="宋体"/>
          <w:color w:val="000000"/>
          <w:sz w:val="24"/>
        </w:rPr>
        <w:br w:type="textWrapping"/>
      </w:r>
      <w:r>
        <w:rPr>
          <w:rFonts w:ascii="宋体" w:hAnsi="宋体" w:cs="宋体"/>
          <w:color w:val="000000"/>
          <w:sz w:val="24"/>
        </w:rPr>
        <w:t xml:space="preserve">                    if (course.getCoverFileId() != null) {</w:t>
      </w:r>
      <w:r>
        <w:rPr>
          <w:rFonts w:ascii="宋体" w:hAnsi="宋体" w:cs="宋体"/>
          <w:color w:val="000000"/>
          <w:sz w:val="24"/>
        </w:rPr>
        <w:br w:type="textWrapping"/>
      </w:r>
      <w:r>
        <w:rPr>
          <w:rFonts w:ascii="宋体" w:hAnsi="宋体" w:cs="宋体"/>
          <w:color w:val="000000"/>
          <w:sz w:val="24"/>
        </w:rPr>
        <w:t xml:space="preserve">                        SysFileInfo coverFile = sysFileInfoMapper.selectById(course.getCoverFileId());</w:t>
      </w:r>
      <w:r>
        <w:rPr>
          <w:rFonts w:ascii="宋体" w:hAnsi="宋体" w:cs="宋体"/>
          <w:color w:val="000000"/>
          <w:sz w:val="24"/>
        </w:rPr>
        <w:br w:type="textWrapping"/>
      </w:r>
      <w:r>
        <w:rPr>
          <w:rFonts w:ascii="宋体" w:hAnsi="宋体" w:cs="宋体"/>
          <w:color w:val="000000"/>
          <w:sz w:val="24"/>
        </w:rPr>
        <w:t xml:space="preserve">                        if (coverFile != null) {</w:t>
      </w:r>
      <w:r>
        <w:rPr>
          <w:rFonts w:ascii="宋体" w:hAnsi="宋体" w:cs="宋体"/>
          <w:color w:val="000000"/>
          <w:sz w:val="24"/>
        </w:rPr>
        <w:br w:type="textWrapping"/>
      </w:r>
      <w:r>
        <w:rPr>
          <w:rFonts w:ascii="宋体" w:hAnsi="宋体" w:cs="宋体"/>
          <w:color w:val="000000"/>
          <w:sz w:val="24"/>
        </w:rPr>
        <w:t xml:space="preserve">                            dto.setCoverFilePath(coverFile.getFilePath());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return dto;</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p>
    <w:p w14:paraId="06FE6E80">
      <w:pPr>
        <w:spacing w:line="440" w:lineRule="exact"/>
        <w:ind w:firstLine="420" w:firstLineChars="200"/>
        <w:jc w:val="left"/>
        <w:rPr>
          <w:rFonts w:ascii="宋体" w:hAnsi="宋体" w:cs="宋体"/>
          <w:color w:val="000000"/>
          <w:sz w:val="24"/>
        </w:rPr>
      </w:pPr>
      <w:r>
        <w:rPr>
          <w:rFonts w:hint="default"/>
          <w:lang w:val="en-US"/>
        </w:rPr>
        <w:drawing>
          <wp:anchor distT="0" distB="0" distL="114300" distR="114300" simplePos="0" relativeHeight="251715584" behindDoc="0" locked="0" layoutInCell="1" allowOverlap="1">
            <wp:simplePos x="0" y="0"/>
            <wp:positionH relativeFrom="column">
              <wp:posOffset>-211455</wp:posOffset>
            </wp:positionH>
            <wp:positionV relativeFrom="paragraph">
              <wp:posOffset>404495</wp:posOffset>
            </wp:positionV>
            <wp:extent cx="5264150" cy="2959735"/>
            <wp:effectExtent l="0" t="0" r="8890" b="12065"/>
            <wp:wrapTopAndBottom/>
            <wp:docPr id="18986488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7" name="图片 10"/>
                    <pic:cNvPicPr>
                      <a:picLocks noChangeAspect="1"/>
                    </pic:cNvPicPr>
                  </pic:nvPicPr>
                  <pic:blipFill>
                    <a:blip r:embed="rId202"/>
                    <a:stretch>
                      <a:fillRect/>
                    </a:stretch>
                  </pic:blipFill>
                  <pic:spPr>
                    <a:xfrm>
                      <a:off x="0" y="0"/>
                      <a:ext cx="5264150" cy="2959735"/>
                    </a:xfrm>
                    <a:prstGeom prst="rect">
                      <a:avLst/>
                    </a:prstGeom>
                    <a:noFill/>
                    <a:ln>
                      <a:noFill/>
                    </a:ln>
                  </pic:spPr>
                </pic:pic>
              </a:graphicData>
            </a:graphic>
          </wp:anchor>
        </w:drawing>
      </w:r>
      <w:r>
        <w:rPr>
          <w:rFonts w:hint="eastAsia"/>
          <w:lang w:val="en-US" w:eastAsia="zh-CN"/>
        </w:rPr>
        <w:t>(2)</w:t>
      </w:r>
      <w:r>
        <w:rPr>
          <w:rFonts w:ascii="宋体" w:hAnsi="宋体" w:cs="宋体"/>
          <w:color w:val="000000"/>
          <w:sz w:val="24"/>
        </w:rPr>
        <w:t>课程详情展示功能</w:t>
      </w:r>
    </w:p>
    <w:p w14:paraId="10C8E2AC">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图4-10课程详情展示界面</w:t>
      </w:r>
    </w:p>
    <w:p w14:paraId="0F532F1D">
      <w:pPr>
        <w:spacing w:line="440" w:lineRule="exact"/>
        <w:ind w:firstLine="480" w:firstLineChars="200"/>
        <w:jc w:val="left"/>
        <w:rPr>
          <w:rFonts w:ascii="宋体" w:hAnsi="宋体" w:cs="宋体"/>
          <w:color w:val="000000"/>
          <w:sz w:val="24"/>
        </w:rPr>
      </w:pPr>
      <w:r>
        <w:rPr>
          <w:rFonts w:ascii="宋体" w:hAnsi="宋体" w:cs="宋体"/>
          <w:color w:val="000000"/>
          <w:sz w:val="24"/>
        </w:rPr>
        <w:t>以下是课程详情展示功能的核心代码。后端代码查询课程信息和关联的封面文件、章节列表信息。</w:t>
      </w:r>
    </w:p>
    <w:p w14:paraId="028FBCED">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后端核心代码(CourseService.java):</w:t>
      </w:r>
    </w:p>
    <w:p w14:paraId="5DB2A96E">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查询封面文件路径</w:t>
      </w:r>
      <w:r>
        <w:rPr>
          <w:rFonts w:ascii="宋体" w:hAnsi="宋体" w:cs="宋体"/>
          <w:color w:val="000000"/>
          <w:sz w:val="24"/>
        </w:rPr>
        <w:br w:type="textWrapping"/>
      </w:r>
      <w:r>
        <w:rPr>
          <w:rFonts w:ascii="宋体" w:hAnsi="宋体" w:cs="宋体"/>
          <w:color w:val="000000"/>
          <w:sz w:val="24"/>
        </w:rPr>
        <w:t xml:space="preserve">        if (course.getCoverFileId() != null) {</w:t>
      </w:r>
      <w:r>
        <w:rPr>
          <w:rFonts w:ascii="宋体" w:hAnsi="宋体" w:cs="宋体"/>
          <w:color w:val="000000"/>
          <w:sz w:val="24"/>
        </w:rPr>
        <w:br w:type="textWrapping"/>
      </w:r>
      <w:r>
        <w:rPr>
          <w:rFonts w:ascii="宋体" w:hAnsi="宋体" w:cs="宋体"/>
          <w:color w:val="000000"/>
          <w:sz w:val="24"/>
        </w:rPr>
        <w:t xml:space="preserve">            SysFileInfo coverFile = sysFileInfoMapper.selectById(course.getCoverFileId());</w:t>
      </w:r>
      <w:r>
        <w:rPr>
          <w:rFonts w:ascii="宋体" w:hAnsi="宋体" w:cs="宋体"/>
          <w:color w:val="000000"/>
          <w:sz w:val="24"/>
        </w:rPr>
        <w:br w:type="textWrapping"/>
      </w:r>
      <w:r>
        <w:rPr>
          <w:rFonts w:ascii="宋体" w:hAnsi="宋体" w:cs="宋体"/>
          <w:color w:val="000000"/>
          <w:sz w:val="24"/>
        </w:rPr>
        <w:t xml:space="preserve">            if (coverFile != null) {</w:t>
      </w:r>
      <w:r>
        <w:rPr>
          <w:rFonts w:ascii="宋体" w:hAnsi="宋体" w:cs="宋体"/>
          <w:color w:val="000000"/>
          <w:sz w:val="24"/>
        </w:rPr>
        <w:br w:type="textWrapping"/>
      </w:r>
      <w:r>
        <w:rPr>
          <w:rFonts w:ascii="宋体" w:hAnsi="宋体" w:cs="宋体"/>
          <w:color w:val="000000"/>
          <w:sz w:val="24"/>
        </w:rPr>
        <w:t xml:space="preserve">                response.setCoverFilePath(coverFile.getFilePath());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查询章节列表</w:t>
      </w:r>
      <w:r>
        <w:rPr>
          <w:rFonts w:ascii="宋体" w:hAnsi="宋体" w:cs="宋体"/>
          <w:color w:val="000000"/>
          <w:sz w:val="24"/>
        </w:rPr>
        <w:br w:type="textWrapping"/>
      </w:r>
      <w:r>
        <w:rPr>
          <w:rFonts w:ascii="宋体" w:hAnsi="宋体" w:cs="宋体"/>
          <w:color w:val="000000"/>
          <w:sz w:val="24"/>
        </w:rPr>
        <w:t xml:space="preserve">        LambdaQueryWrapper&lt;CourseChapter&gt; wrapper = new LambdaQueryWrapper&lt;&gt;();</w:t>
      </w:r>
      <w:r>
        <w:rPr>
          <w:rFonts w:ascii="宋体" w:hAnsi="宋体" w:cs="宋体"/>
          <w:color w:val="000000"/>
          <w:sz w:val="24"/>
        </w:rPr>
        <w:br w:type="textWrapping"/>
      </w:r>
      <w:r>
        <w:rPr>
          <w:rFonts w:ascii="宋体" w:hAnsi="宋体" w:cs="宋体"/>
          <w:color w:val="000000"/>
          <w:sz w:val="24"/>
        </w:rPr>
        <w:t xml:space="preserve">        wrapper.eq(CourseChapter::getCourseId, courseId)</w:t>
      </w:r>
      <w:r>
        <w:rPr>
          <w:rFonts w:ascii="宋体" w:hAnsi="宋体" w:cs="宋体"/>
          <w:color w:val="000000"/>
          <w:sz w:val="24"/>
        </w:rPr>
        <w:br w:type="textWrapping"/>
      </w:r>
      <w:r>
        <w:rPr>
          <w:rFonts w:ascii="宋体" w:hAnsi="宋体" w:cs="宋体"/>
          <w:color w:val="000000"/>
          <w:sz w:val="24"/>
        </w:rPr>
        <w:t xml:space="preserve">               .orderByAsc(CourseChapter::getSort);</w:t>
      </w:r>
      <w:r>
        <w:rPr>
          <w:rFonts w:ascii="宋体" w:hAnsi="宋体" w:cs="宋体"/>
          <w:color w:val="000000"/>
          <w:sz w:val="24"/>
        </w:rPr>
        <w:br w:type="textWrapping"/>
      </w:r>
      <w:r>
        <w:rPr>
          <w:rFonts w:ascii="宋体" w:hAnsi="宋体" w:cs="宋体"/>
          <w:color w:val="000000"/>
          <w:sz w:val="24"/>
        </w:rPr>
        <w:t xml:space="preserve">        List&lt;CourseChapter&gt; chapters = courseChapterMapper.selectList(wrapper);</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List&lt;CourseChapterResponseDTO&gt; chapterDTOs = chapters.stream()</w:t>
      </w:r>
      <w:r>
        <w:rPr>
          <w:rFonts w:ascii="宋体" w:hAnsi="宋体" w:cs="宋体"/>
          <w:color w:val="000000"/>
          <w:sz w:val="24"/>
        </w:rPr>
        <w:br w:type="textWrapping"/>
      </w:r>
      <w:r>
        <w:rPr>
          <w:rFonts w:ascii="宋体" w:hAnsi="宋体" w:cs="宋体"/>
          <w:color w:val="000000"/>
          <w:sz w:val="24"/>
        </w:rPr>
        <w:t xml:space="preserve">                .map(chapter -&gt; {</w:t>
      </w:r>
      <w:r>
        <w:rPr>
          <w:rFonts w:ascii="宋体" w:hAnsi="宋体" w:cs="宋体"/>
          <w:color w:val="000000"/>
          <w:sz w:val="24"/>
        </w:rPr>
        <w:br w:type="textWrapping"/>
      </w:r>
      <w:r>
        <w:rPr>
          <w:rFonts w:ascii="宋体" w:hAnsi="宋体" w:cs="宋体"/>
          <w:color w:val="000000"/>
          <w:sz w:val="24"/>
        </w:rPr>
        <w:t xml:space="preserve">                    CourseChapterResponseDTO dto = CourseChapterConvert.entityToResponse(chapter);</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通过文件系统关联查询视频文件</w:t>
      </w:r>
      <w:r>
        <w:rPr>
          <w:rFonts w:ascii="宋体" w:hAnsi="宋体" w:cs="宋体"/>
          <w:color w:val="000000"/>
          <w:sz w:val="24"/>
        </w:rPr>
        <w:br w:type="textWrapping"/>
      </w:r>
      <w:r>
        <w:rPr>
          <w:rFonts w:ascii="宋体" w:hAnsi="宋体" w:cs="宋体"/>
          <w:color w:val="000000"/>
          <w:sz w:val="24"/>
        </w:rPr>
        <w:t xml:space="preserve">                    dto.setVideoFiles(fileService.getFilesByBusinessField(</w:t>
      </w:r>
      <w:r>
        <w:rPr>
          <w:rFonts w:ascii="宋体" w:hAnsi="宋体" w:cs="宋体"/>
          <w:color w:val="000000"/>
          <w:sz w:val="24"/>
        </w:rPr>
        <w:br w:type="textWrapping"/>
      </w:r>
      <w:r>
        <w:rPr>
          <w:rFonts w:ascii="宋体" w:hAnsi="宋体" w:cs="宋体"/>
          <w:color w:val="000000"/>
          <w:sz w:val="24"/>
        </w:rPr>
        <w:t xml:space="preserve">                        "COURSE_CHAPTER", </w:t>
      </w:r>
      <w:r>
        <w:rPr>
          <w:rFonts w:ascii="宋体" w:hAnsi="宋体" w:cs="宋体"/>
          <w:color w:val="000000"/>
          <w:sz w:val="24"/>
        </w:rPr>
        <w:br w:type="textWrapping"/>
      </w:r>
      <w:r>
        <w:rPr>
          <w:rFonts w:ascii="宋体" w:hAnsi="宋体" w:cs="宋体"/>
          <w:color w:val="000000"/>
          <w:sz w:val="24"/>
        </w:rPr>
        <w:t xml:space="preserve">                        String.valueOf(chapter.getId()), </w:t>
      </w:r>
      <w:r>
        <w:rPr>
          <w:rFonts w:ascii="宋体" w:hAnsi="宋体" w:cs="宋体"/>
          <w:color w:val="000000"/>
          <w:sz w:val="24"/>
        </w:rPr>
        <w:br w:type="textWrapping"/>
      </w:r>
      <w:r>
        <w:rPr>
          <w:rFonts w:ascii="宋体" w:hAnsi="宋体" w:cs="宋体"/>
          <w:color w:val="000000"/>
          <w:sz w:val="24"/>
        </w:rPr>
        <w:t xml:space="preserve">                        "video"</w:t>
      </w:r>
      <w:r>
        <w:rPr>
          <w:rFonts w:ascii="宋体" w:hAnsi="宋体" w:cs="宋体"/>
          <w:color w:val="000000"/>
          <w:sz w:val="24"/>
        </w:rPr>
        <w:br w:type="textWrapping"/>
      </w:r>
      <w:r>
        <w:rPr>
          <w:rFonts w:ascii="宋体" w:hAnsi="宋体" w:cs="宋体"/>
          <w:color w:val="000000"/>
          <w:sz w:val="24"/>
        </w:rPr>
        <w:t xml:space="preserve">                    ));   </w:t>
      </w:r>
      <w:r>
        <w:rPr>
          <w:rFonts w:ascii="宋体" w:hAnsi="宋体" w:cs="宋体"/>
          <w:color w:val="000000"/>
          <w:sz w:val="24"/>
        </w:rPr>
        <w:br w:type="textWrapping"/>
      </w:r>
      <w:r>
        <w:rPr>
          <w:rFonts w:ascii="宋体" w:hAnsi="宋体" w:cs="宋体"/>
          <w:color w:val="000000"/>
          <w:sz w:val="24"/>
        </w:rPr>
        <w:t xml:space="preserve">                    return dto;</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 xml:space="preserve">        response.setChapters(chapterDTOs);</w:t>
      </w:r>
      <w:r>
        <w:rPr>
          <w:rFonts w:ascii="宋体" w:hAnsi="宋体" w:cs="宋体"/>
          <w:color w:val="000000"/>
          <w:sz w:val="24"/>
        </w:rPr>
        <w:br w:type="textWrapping"/>
      </w:r>
      <w:r>
        <w:rPr>
          <w:rFonts w:ascii="宋体" w:hAnsi="宋体" w:cs="宋体"/>
          <w:color w:val="000000"/>
          <w:sz w:val="24"/>
        </w:rPr>
        <w:t xml:space="preserve">        return response;</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log.error("获取课程详情失败: courseId={}", courseId, e);</w:t>
      </w:r>
      <w:r>
        <w:rPr>
          <w:rFonts w:ascii="宋体" w:hAnsi="宋体" w:cs="宋体"/>
          <w:color w:val="000000"/>
          <w:sz w:val="24"/>
        </w:rPr>
        <w:br w:type="textWrapping"/>
      </w:r>
      <w:r>
        <w:rPr>
          <w:rFonts w:ascii="宋体" w:hAnsi="宋体" w:cs="宋体"/>
          <w:color w:val="000000"/>
          <w:sz w:val="24"/>
        </w:rPr>
        <w:t xml:space="preserve">        throw new ServiceException("获取课程详情失败，请稍后重试");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5649C011">
      <w:pPr>
        <w:spacing w:line="440" w:lineRule="exact"/>
        <w:ind w:firstLine="420" w:firstLineChars="200"/>
        <w:jc w:val="left"/>
        <w:rPr>
          <w:rFonts w:ascii="宋体" w:hAnsi="宋体" w:cs="宋体"/>
          <w:color w:val="000000"/>
          <w:sz w:val="24"/>
        </w:rPr>
      </w:pPr>
      <w:r>
        <w:rPr>
          <w:rFonts w:hint="default"/>
          <w:lang w:val="en-US"/>
        </w:rPr>
        <w:drawing>
          <wp:anchor distT="0" distB="0" distL="114300" distR="114300" simplePos="0" relativeHeight="251716608" behindDoc="0" locked="0" layoutInCell="1" allowOverlap="1">
            <wp:simplePos x="0" y="0"/>
            <wp:positionH relativeFrom="column">
              <wp:posOffset>-141605</wp:posOffset>
            </wp:positionH>
            <wp:positionV relativeFrom="paragraph">
              <wp:posOffset>496570</wp:posOffset>
            </wp:positionV>
            <wp:extent cx="5264150" cy="2816860"/>
            <wp:effectExtent l="0" t="0" r="8890" b="2540"/>
            <wp:wrapTopAndBottom/>
            <wp:docPr id="18986488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38" name="图片 11"/>
                    <pic:cNvPicPr>
                      <a:picLocks noChangeAspect="1"/>
                    </pic:cNvPicPr>
                  </pic:nvPicPr>
                  <pic:blipFill>
                    <a:blip r:embed="rId203"/>
                    <a:stretch>
                      <a:fillRect/>
                    </a:stretch>
                  </pic:blipFill>
                  <pic:spPr>
                    <a:xfrm>
                      <a:off x="0" y="0"/>
                      <a:ext cx="5264150" cy="2816860"/>
                    </a:xfrm>
                    <a:prstGeom prst="rect">
                      <a:avLst/>
                    </a:prstGeom>
                    <a:noFill/>
                    <a:ln>
                      <a:noFill/>
                    </a:ln>
                  </pic:spPr>
                </pic:pic>
              </a:graphicData>
            </a:graphic>
          </wp:anchor>
        </w:drawing>
      </w:r>
      <w:r>
        <w:rPr>
          <w:rFonts w:hint="eastAsia"/>
          <w:lang w:val="en-US" w:eastAsia="zh-CN"/>
        </w:rPr>
        <w:t>(3)</w:t>
      </w:r>
      <w:r>
        <w:rPr>
          <w:rFonts w:ascii="宋体" w:hAnsi="宋体" w:cs="宋体"/>
          <w:color w:val="000000"/>
          <w:sz w:val="24"/>
        </w:rPr>
        <w:t>课程章节管理功能</w:t>
      </w:r>
    </w:p>
    <w:p w14:paraId="6DB65334">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图4-11课程章节管理界面</w:t>
      </w:r>
    </w:p>
    <w:p w14:paraId="3CE402F7">
      <w:pPr>
        <w:spacing w:line="440" w:lineRule="exact"/>
        <w:ind w:firstLine="480" w:firstLineChars="200"/>
        <w:jc w:val="left"/>
        <w:rPr>
          <w:rFonts w:ascii="宋体" w:hAnsi="宋体" w:cs="宋体"/>
          <w:color w:val="000000"/>
          <w:sz w:val="24"/>
        </w:rPr>
      </w:pPr>
      <w:r>
        <w:rPr>
          <w:rFonts w:ascii="宋体" w:hAnsi="宋体" w:cs="宋体"/>
          <w:color w:val="000000"/>
          <w:sz w:val="24"/>
        </w:rPr>
        <w:t>以下是课程章节管理功能的核心代码。后端代码验证数据有效性,使用事务确保章节操作的原子性。</w:t>
      </w:r>
    </w:p>
    <w:p w14:paraId="0ECFC0AB">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后端核心代码(CourseChapterService.java):</w:t>
      </w:r>
    </w:p>
    <w:p w14:paraId="6E1D58A3">
      <w:pPr>
        <w:spacing w:line="440" w:lineRule="exact"/>
        <w:ind w:firstLine="480" w:firstLineChars="200"/>
        <w:jc w:val="left"/>
        <w:rPr>
          <w:rFonts w:ascii="宋体" w:hAnsi="宋体" w:cs="宋体"/>
          <w:color w:val="000000"/>
          <w:sz w:val="24"/>
        </w:rPr>
      </w:pPr>
      <w:r>
        <w:rPr>
          <w:rFonts w:ascii="宋体" w:hAnsi="宋体" w:cs="宋体"/>
          <w:color w:val="000000"/>
          <w:sz w:val="24"/>
        </w:rPr>
        <w:t>@Transactional(rollbackFor = Exception.class)</w:t>
      </w:r>
      <w:r>
        <w:rPr>
          <w:rFonts w:ascii="宋体" w:hAnsi="宋体" w:cs="宋体"/>
          <w:color w:val="000000"/>
          <w:sz w:val="24"/>
        </w:rPr>
        <w:br w:type="textWrapping"/>
      </w:r>
      <w:r>
        <w:rPr>
          <w:rFonts w:ascii="宋体" w:hAnsi="宋体" w:cs="宋体"/>
          <w:color w:val="000000"/>
          <w:sz w:val="24"/>
        </w:rPr>
        <w:t>public CourseChapterResponseDTO createChapter(CourseChapterCreateCommandDTO createDTO)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验证课程是否存在</w:t>
      </w:r>
      <w:r>
        <w:rPr>
          <w:rFonts w:ascii="宋体" w:hAnsi="宋体" w:cs="宋体"/>
          <w:color w:val="000000"/>
          <w:sz w:val="24"/>
        </w:rPr>
        <w:br w:type="textWrapping"/>
      </w:r>
      <w:r>
        <w:rPr>
          <w:rFonts w:ascii="宋体" w:hAnsi="宋体" w:cs="宋体"/>
          <w:color w:val="000000"/>
          <w:sz w:val="24"/>
        </w:rPr>
        <w:t xml:space="preserve">        Course course = courseMapper.selectById(createDTO.getCourseId());</w:t>
      </w:r>
      <w:r>
        <w:rPr>
          <w:rFonts w:ascii="宋体" w:hAnsi="宋体" w:cs="宋体"/>
          <w:color w:val="000000"/>
          <w:sz w:val="24"/>
        </w:rPr>
        <w:br w:type="textWrapping"/>
      </w:r>
      <w:r>
        <w:rPr>
          <w:rFonts w:ascii="宋体" w:hAnsi="宋体" w:cs="宋体"/>
          <w:color w:val="000000"/>
          <w:sz w:val="24"/>
        </w:rPr>
        <w:t xml:space="preserve">        if (course == null) {</w:t>
      </w:r>
      <w:r>
        <w:rPr>
          <w:rFonts w:ascii="宋体" w:hAnsi="宋体" w:cs="宋体"/>
          <w:color w:val="000000"/>
          <w:sz w:val="24"/>
        </w:rPr>
        <w:br w:type="textWrapping"/>
      </w:r>
      <w:r>
        <w:rPr>
          <w:rFonts w:ascii="宋体" w:hAnsi="宋体" w:cs="宋体"/>
          <w:color w:val="000000"/>
          <w:sz w:val="24"/>
        </w:rPr>
        <w:t xml:space="preserve">            throw new BusinessException("课程不存在");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验证排序号是否重复</w:t>
      </w:r>
      <w:r>
        <w:rPr>
          <w:rFonts w:ascii="宋体" w:hAnsi="宋体" w:cs="宋体"/>
          <w:color w:val="000000"/>
          <w:sz w:val="24"/>
        </w:rPr>
        <w:br w:type="textWrapping"/>
      </w:r>
      <w:r>
        <w:rPr>
          <w:rFonts w:ascii="宋体" w:hAnsi="宋体" w:cs="宋体"/>
          <w:color w:val="000000"/>
          <w:sz w:val="24"/>
        </w:rPr>
        <w:t xml:space="preserve">        LambdaQueryWrapper&lt;CourseChapter&gt; wrapper = new LambdaQueryWrapper&lt;&gt;();</w:t>
      </w:r>
      <w:r>
        <w:rPr>
          <w:rFonts w:ascii="宋体" w:hAnsi="宋体" w:cs="宋体"/>
          <w:color w:val="000000"/>
          <w:sz w:val="24"/>
        </w:rPr>
        <w:br w:type="textWrapping"/>
      </w:r>
      <w:r>
        <w:rPr>
          <w:rFonts w:ascii="宋体" w:hAnsi="宋体" w:cs="宋体"/>
          <w:color w:val="000000"/>
          <w:sz w:val="24"/>
        </w:rPr>
        <w:t xml:space="preserve">        wrapper.eq(CourseChapter::getCourseId, createDTO.getCourseId())</w:t>
      </w:r>
      <w:r>
        <w:rPr>
          <w:rFonts w:ascii="宋体" w:hAnsi="宋体" w:cs="宋体"/>
          <w:color w:val="000000"/>
          <w:sz w:val="24"/>
        </w:rPr>
        <w:br w:type="textWrapping"/>
      </w:r>
      <w:r>
        <w:rPr>
          <w:rFonts w:ascii="宋体" w:hAnsi="宋体" w:cs="宋体"/>
          <w:color w:val="000000"/>
          <w:sz w:val="24"/>
        </w:rPr>
        <w:t xml:space="preserve">               .eq(CourseChapter::getSort, createDTO.getSort());</w:t>
      </w:r>
      <w:r>
        <w:rPr>
          <w:rFonts w:ascii="宋体" w:hAnsi="宋体" w:cs="宋体"/>
          <w:color w:val="000000"/>
          <w:sz w:val="24"/>
        </w:rPr>
        <w:br w:type="textWrapping"/>
      </w:r>
      <w:r>
        <w:rPr>
          <w:rFonts w:ascii="宋体" w:hAnsi="宋体" w:cs="宋体"/>
          <w:color w:val="000000"/>
          <w:sz w:val="24"/>
        </w:rPr>
        <w:t xml:space="preserve">        CourseChapter existingChapter = courseChapterMapper.selectOne(wrapper);</w:t>
      </w:r>
      <w:r>
        <w:rPr>
          <w:rFonts w:ascii="宋体" w:hAnsi="宋体" w:cs="宋体"/>
          <w:color w:val="000000"/>
          <w:sz w:val="24"/>
        </w:rPr>
        <w:br w:type="textWrapping"/>
      </w:r>
      <w:r>
        <w:rPr>
          <w:rFonts w:ascii="宋体" w:hAnsi="宋体" w:cs="宋体"/>
          <w:color w:val="000000"/>
          <w:sz w:val="24"/>
        </w:rPr>
        <w:t xml:space="preserve">        if (existingChapter != null) {</w:t>
      </w:r>
      <w:r>
        <w:rPr>
          <w:rFonts w:ascii="宋体" w:hAnsi="宋体" w:cs="宋体"/>
          <w:color w:val="000000"/>
          <w:sz w:val="24"/>
        </w:rPr>
        <w:br w:type="textWrapping"/>
      </w:r>
      <w:r>
        <w:rPr>
          <w:rFonts w:ascii="宋体" w:hAnsi="宋体" w:cs="宋体"/>
          <w:color w:val="000000"/>
          <w:sz w:val="24"/>
        </w:rPr>
        <w:t xml:space="preserve">            throw new BusinessException("该排序号已存在，请使用其他排序号");</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创建章节实体</w:t>
      </w:r>
      <w:r>
        <w:rPr>
          <w:rFonts w:ascii="宋体" w:hAnsi="宋体" w:cs="宋体"/>
          <w:color w:val="000000"/>
          <w:sz w:val="24"/>
        </w:rPr>
        <w:br w:type="textWrapping"/>
      </w:r>
      <w:r>
        <w:rPr>
          <w:rFonts w:ascii="宋体" w:hAnsi="宋体" w:cs="宋体"/>
          <w:color w:val="000000"/>
          <w:sz w:val="24"/>
        </w:rPr>
        <w:t xml:space="preserve">        CourseChapter chapter = CourseChapterConvert.createCommandToEntity(createDTO);</w:t>
      </w:r>
      <w:r>
        <w:rPr>
          <w:rFonts w:ascii="宋体" w:hAnsi="宋体" w:cs="宋体"/>
          <w:color w:val="000000"/>
          <w:sz w:val="24"/>
        </w:rPr>
        <w:br w:type="textWrapping"/>
      </w:r>
      <w:r>
        <w:rPr>
          <w:rFonts w:ascii="宋体" w:hAnsi="宋体" w:cs="宋体"/>
          <w:color w:val="000000"/>
          <w:sz w:val="24"/>
        </w:rPr>
        <w:t xml:space="preserve">        courseChapterMapper.insert(chapter);</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log.info("课程章节创建成功: id={}, courseId={}, title={}", </w:t>
      </w:r>
      <w:r>
        <w:rPr>
          <w:rFonts w:ascii="宋体" w:hAnsi="宋体" w:cs="宋体"/>
          <w:color w:val="000000"/>
          <w:sz w:val="24"/>
        </w:rPr>
        <w:br w:type="textWrapping"/>
      </w:r>
      <w:r>
        <w:rPr>
          <w:rFonts w:ascii="宋体" w:hAnsi="宋体" w:cs="宋体"/>
          <w:color w:val="000000"/>
          <w:sz w:val="24"/>
        </w:rPr>
        <w:t xml:space="preserve">                chapter.getId(), chapter.getCourseId(), chapter.getTitle());</w:t>
      </w:r>
      <w:r>
        <w:rPr>
          <w:rFonts w:ascii="宋体" w:hAnsi="宋体" w:cs="宋体"/>
          <w:color w:val="000000"/>
          <w:sz w:val="24"/>
        </w:rPr>
        <w:br w:type="textWrapping"/>
      </w:r>
      <w:r>
        <w:rPr>
          <w:rFonts w:ascii="宋体" w:hAnsi="宋体" w:cs="宋体"/>
          <w:color w:val="000000"/>
          <w:sz w:val="24"/>
        </w:rPr>
        <w:t xml:space="preserve">        // 查询并返回详情</w:t>
      </w:r>
      <w:r>
        <w:rPr>
          <w:rFonts w:ascii="宋体" w:hAnsi="宋体" w:cs="宋体"/>
          <w:color w:val="000000"/>
          <w:sz w:val="24"/>
        </w:rPr>
        <w:br w:type="textWrapping"/>
      </w:r>
      <w:r>
        <w:rPr>
          <w:rFonts w:ascii="宋体" w:hAnsi="宋体" w:cs="宋体"/>
          <w:color w:val="000000"/>
          <w:sz w:val="24"/>
        </w:rPr>
        <w:t xml:space="preserve">        return getChapterById(chapter.getId());</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log.error("课程章节创建失败", e);</w:t>
      </w:r>
      <w:r>
        <w:rPr>
          <w:rFonts w:ascii="宋体" w:hAnsi="宋体" w:cs="宋体"/>
          <w:color w:val="000000"/>
          <w:sz w:val="24"/>
        </w:rPr>
        <w:br w:type="textWrapping"/>
      </w:r>
      <w:r>
        <w:rPr>
          <w:rFonts w:ascii="宋体" w:hAnsi="宋体" w:cs="宋体"/>
          <w:color w:val="000000"/>
          <w:sz w:val="24"/>
        </w:rPr>
        <w:t xml:space="preserve">        throw new ServiceException("课程章节创建失败，请稍后重试");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37BA71AE">
      <w:pPr>
        <w:spacing w:line="440" w:lineRule="exact"/>
        <w:ind w:firstLine="480" w:firstLineChars="200"/>
        <w:jc w:val="left"/>
        <w:rPr>
          <w:rFonts w:ascii="宋体" w:hAnsi="宋体" w:cs="宋体"/>
          <w:color w:val="000000"/>
          <w:sz w:val="24"/>
        </w:rPr>
      </w:pPr>
      <w:bookmarkStart w:id="524" w:name="_Toc27891"/>
      <w:r>
        <w:rPr>
          <w:rFonts w:hint="eastAsia" w:ascii="宋体" w:hAnsi="宋体" w:cs="宋体"/>
          <w:color w:val="000000"/>
          <w:sz w:val="24"/>
        </w:rPr>
        <w:t>4.2.5 活动管理模块实现</w:t>
      </w:r>
      <w:bookmarkEnd w:id="524"/>
    </w:p>
    <w:p w14:paraId="5771AF4C">
      <w:pPr>
        <w:spacing w:line="440" w:lineRule="exact"/>
        <w:ind w:firstLine="420" w:firstLineChars="200"/>
        <w:jc w:val="left"/>
        <w:rPr>
          <w:rFonts w:ascii="宋体" w:hAnsi="宋体" w:cs="宋体"/>
          <w:color w:val="000000"/>
          <w:sz w:val="24"/>
        </w:rPr>
      </w:pPr>
      <w:r>
        <w:drawing>
          <wp:anchor distT="0" distB="0" distL="114300" distR="114300" simplePos="0" relativeHeight="251717632" behindDoc="0" locked="0" layoutInCell="1" allowOverlap="1">
            <wp:simplePos x="0" y="0"/>
            <wp:positionH relativeFrom="column">
              <wp:posOffset>195580</wp:posOffset>
            </wp:positionH>
            <wp:positionV relativeFrom="paragraph">
              <wp:posOffset>1388110</wp:posOffset>
            </wp:positionV>
            <wp:extent cx="5264150" cy="2959735"/>
            <wp:effectExtent l="0" t="0" r="8890" b="12065"/>
            <wp:wrapTopAndBottom/>
            <wp:docPr id="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pic:cNvPicPr>
                      <a:picLocks noChangeAspect="1"/>
                    </pic:cNvPicPr>
                  </pic:nvPicPr>
                  <pic:blipFill>
                    <a:blip r:embed="rId204"/>
                    <a:stretch>
                      <a:fillRect/>
                    </a:stretch>
                  </pic:blipFill>
                  <pic:spPr>
                    <a:xfrm>
                      <a:off x="0" y="0"/>
                      <a:ext cx="5264150" cy="2959735"/>
                    </a:xfrm>
                    <a:prstGeom prst="rect">
                      <a:avLst/>
                    </a:prstGeom>
                    <a:noFill/>
                    <a:ln>
                      <a:noFill/>
                    </a:ln>
                  </pic:spPr>
                </pic:pic>
              </a:graphicData>
            </a:graphic>
          </wp:anchor>
        </w:drawing>
      </w:r>
      <w:r>
        <w:rPr>
          <w:rFonts w:ascii="宋体" w:hAnsi="宋体" w:cs="宋体"/>
          <w:color w:val="000000"/>
          <w:sz w:val="24"/>
        </w:rPr>
        <w:t>活动管理模块用于发布和管理各类非遗活动,包括展演、展览、培训、比赛等多种活动类型,促进线上线下的互动交流。本节重点介绍活动列表查询、活动报名和报名审核三个关键功能的实现。</w:t>
      </w:r>
    </w:p>
    <w:p w14:paraId="2C39B8B2">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(1)</w:t>
      </w:r>
      <w:r>
        <w:rPr>
          <w:rFonts w:ascii="宋体" w:hAnsi="宋体" w:cs="宋体"/>
          <w:color w:val="000000"/>
          <w:sz w:val="24"/>
        </w:rPr>
        <w:t>活动列表查询功能</w:t>
      </w:r>
    </w:p>
    <w:p w14:paraId="6CB8C11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图4-12 活动列表查询界面</w:t>
      </w:r>
    </w:p>
    <w:p w14:paraId="2B4AAD9F">
      <w:pPr>
        <w:spacing w:line="440" w:lineRule="exact"/>
        <w:ind w:firstLine="480" w:firstLineChars="200"/>
        <w:jc w:val="left"/>
        <w:rPr>
          <w:rFonts w:ascii="宋体" w:hAnsi="宋体" w:cs="宋体"/>
          <w:color w:val="000000"/>
          <w:sz w:val="24"/>
        </w:rPr>
      </w:pPr>
      <w:r>
        <w:rPr>
          <w:rFonts w:ascii="宋体" w:hAnsi="宋体" w:cs="宋体"/>
          <w:color w:val="000000"/>
          <w:sz w:val="24"/>
        </w:rPr>
        <w:t>以下是活动列表查询功能的核心代码。后端代码使用MyBatis-Plus的分页查询功能,根据筛选条件动态构建查询语句,并填充封面图片信息。</w:t>
      </w:r>
    </w:p>
    <w:p w14:paraId="5D67C503">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后端核心代码(ActivityService.java):</w:t>
      </w:r>
    </w:p>
    <w:p w14:paraId="0F3079C8">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按创建时间倒序</w:t>
      </w:r>
      <w:r>
        <w:rPr>
          <w:rFonts w:ascii="宋体" w:hAnsi="宋体" w:cs="宋体"/>
          <w:color w:val="000000"/>
          <w:sz w:val="24"/>
        </w:rPr>
        <w:br w:type="textWrapping"/>
      </w:r>
      <w:r>
        <w:rPr>
          <w:rFonts w:ascii="宋体" w:hAnsi="宋体" w:cs="宋体"/>
          <w:color w:val="000000"/>
          <w:sz w:val="24"/>
        </w:rPr>
        <w:t xml:space="preserve">        wrapper.orderByDesc(Activity::getCreateTime);</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Page&lt;Activity&gt; activityPage = activityMapper.selectPage(page, wrapper);</w:t>
      </w:r>
      <w:r>
        <w:rPr>
          <w:rFonts w:ascii="宋体" w:hAnsi="宋体" w:cs="宋体"/>
          <w:color w:val="000000"/>
          <w:sz w:val="24"/>
        </w:rPr>
        <w:br w:type="textWrapping"/>
      </w:r>
      <w:r>
        <w:rPr>
          <w:rFonts w:ascii="宋体" w:hAnsi="宋体" w:cs="宋体"/>
          <w:color w:val="000000"/>
          <w:sz w:val="24"/>
        </w:rPr>
        <w:t xml:space="preserve">        // 转换为响应DTO</w:t>
      </w:r>
      <w:r>
        <w:rPr>
          <w:rFonts w:ascii="宋体" w:hAnsi="宋体" w:cs="宋体"/>
          <w:color w:val="000000"/>
          <w:sz w:val="24"/>
        </w:rPr>
        <w:br w:type="textWrapping"/>
      </w:r>
      <w:r>
        <w:rPr>
          <w:rFonts w:ascii="宋体" w:hAnsi="宋体" w:cs="宋体"/>
          <w:color w:val="000000"/>
          <w:sz w:val="24"/>
        </w:rPr>
        <w:t xml:space="preserve">        List&lt;ActivityResponseDTO&gt; responseDTOList = activityPage.getRecords().stream()</w:t>
      </w:r>
      <w:r>
        <w:rPr>
          <w:rFonts w:ascii="宋体" w:hAnsi="宋体" w:cs="宋体"/>
          <w:color w:val="000000"/>
          <w:sz w:val="24"/>
        </w:rPr>
        <w:br w:type="textWrapping"/>
      </w:r>
      <w:r>
        <w:rPr>
          <w:rFonts w:ascii="宋体" w:hAnsi="宋体" w:cs="宋体"/>
          <w:color w:val="000000"/>
          <w:sz w:val="24"/>
        </w:rPr>
        <w:t xml:space="preserve">                .map(activity -&gt; {</w:t>
      </w:r>
      <w:r>
        <w:rPr>
          <w:rFonts w:ascii="宋体" w:hAnsi="宋体" w:cs="宋体"/>
          <w:color w:val="000000"/>
          <w:sz w:val="24"/>
        </w:rPr>
        <w:br w:type="textWrapping"/>
      </w:r>
      <w:r>
        <w:rPr>
          <w:rFonts w:ascii="宋体" w:hAnsi="宋体" w:cs="宋体"/>
          <w:color w:val="000000"/>
          <w:sz w:val="24"/>
        </w:rPr>
        <w:t xml:space="preserve">                    ActivityResponseDTO dto = ActivityConvert.entityToResponse(activity);</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查询封面文件路径（只查询未删除的文件）</w:t>
      </w:r>
      <w:r>
        <w:rPr>
          <w:rFonts w:ascii="宋体" w:hAnsi="宋体" w:cs="宋体"/>
          <w:color w:val="000000"/>
          <w:sz w:val="24"/>
        </w:rPr>
        <w:br w:type="textWrapping"/>
      </w:r>
      <w:r>
        <w:rPr>
          <w:rFonts w:ascii="宋体" w:hAnsi="宋体" w:cs="宋体"/>
          <w:color w:val="000000"/>
          <w:sz w:val="24"/>
        </w:rPr>
        <w:t xml:space="preserve">                    if (activity.getCoverFileId() != null) {</w:t>
      </w:r>
      <w:r>
        <w:rPr>
          <w:rFonts w:ascii="宋体" w:hAnsi="宋体" w:cs="宋体"/>
          <w:color w:val="000000"/>
          <w:sz w:val="24"/>
        </w:rPr>
        <w:br w:type="textWrapping"/>
      </w:r>
      <w:r>
        <w:rPr>
          <w:rFonts w:ascii="宋体" w:hAnsi="宋体" w:cs="宋体"/>
          <w:color w:val="000000"/>
          <w:sz w:val="24"/>
        </w:rPr>
        <w:t xml:space="preserve">                        SysFileInfo coverFile = sysFileInfoMapper.selectById(activity.getCoverFileId());</w:t>
      </w:r>
      <w:r>
        <w:rPr>
          <w:rFonts w:ascii="宋体" w:hAnsi="宋体" w:cs="宋体"/>
          <w:color w:val="000000"/>
          <w:sz w:val="24"/>
        </w:rPr>
        <w:br w:type="textWrapping"/>
      </w:r>
      <w:r>
        <w:rPr>
          <w:rFonts w:ascii="宋体" w:hAnsi="宋体" w:cs="宋体"/>
          <w:color w:val="000000"/>
          <w:sz w:val="24"/>
        </w:rPr>
        <w:t xml:space="preserve">                        if (coverFile != null &amp;&amp; coverFile.getStatus() != null &amp;&amp; coverFile.getStatus() == 1) {</w:t>
      </w:r>
      <w:r>
        <w:rPr>
          <w:rFonts w:ascii="宋体" w:hAnsi="宋体" w:cs="宋体"/>
          <w:color w:val="000000"/>
          <w:sz w:val="24"/>
        </w:rPr>
        <w:br w:type="textWrapping"/>
      </w:r>
      <w:r>
        <w:rPr>
          <w:rFonts w:ascii="宋体" w:hAnsi="宋体" w:cs="宋体"/>
          <w:color w:val="000000"/>
          <w:sz w:val="24"/>
        </w:rPr>
        <w:t xml:space="preserve">                            dto.setCoverFilePath(coverFile.getFilePath());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return dto;</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w:t>
      </w:r>
      <w:r>
        <w:rPr>
          <w:rFonts w:hint="eastAsia" w:ascii="宋体" w:hAnsi="宋体" w:cs="宋体"/>
          <w:color w:val="000000"/>
          <w:sz w:val="24"/>
          <w:lang w:val="en-US" w:eastAsia="zh-CN"/>
        </w:rPr>
        <w:t>(2)</w:t>
      </w:r>
      <w:r>
        <w:rPr>
          <w:rFonts w:ascii="宋体" w:hAnsi="宋体" w:cs="宋体"/>
          <w:color w:val="000000"/>
          <w:sz w:val="24"/>
        </w:rPr>
        <w:t>活动报名功能实现</w:t>
      </w:r>
    </w:p>
    <w:p w14:paraId="68CA08FD">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18656" behindDoc="0" locked="0" layoutInCell="1" allowOverlap="1">
            <wp:simplePos x="0" y="0"/>
            <wp:positionH relativeFrom="column">
              <wp:posOffset>343535</wp:posOffset>
            </wp:positionH>
            <wp:positionV relativeFrom="paragraph">
              <wp:posOffset>187960</wp:posOffset>
            </wp:positionV>
            <wp:extent cx="5261610" cy="2959735"/>
            <wp:effectExtent l="0" t="0" r="11430" b="12065"/>
            <wp:wrapTopAndBottom/>
            <wp:docPr id="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3"/>
                    <pic:cNvPicPr>
                      <a:picLocks noChangeAspect="1"/>
                    </pic:cNvPicPr>
                  </pic:nvPicPr>
                  <pic:blipFill>
                    <a:blip r:embed="rId205"/>
                    <a:stretch>
                      <a:fillRect/>
                    </a:stretch>
                  </pic:blipFill>
                  <pic:spPr>
                    <a:xfrm>
                      <a:off x="0" y="0"/>
                      <a:ext cx="5261610" cy="2959735"/>
                    </a:xfrm>
                    <a:prstGeom prst="rect">
                      <a:avLst/>
                    </a:prstGeom>
                    <a:noFill/>
                    <a:ln>
                      <a:noFill/>
                    </a:ln>
                  </pic:spPr>
                </pic:pic>
              </a:graphicData>
            </a:graphic>
          </wp:anchor>
        </w:drawing>
      </w:r>
      <w:r>
        <w:rPr>
          <w:rFonts w:hint="eastAsia" w:ascii="宋体" w:hAnsi="宋体" w:cs="宋体"/>
          <w:sz w:val="21"/>
          <w:szCs w:val="21"/>
        </w:rPr>
        <w:t>图4-13 活动报名界面</w:t>
      </w:r>
    </w:p>
    <w:p w14:paraId="089A957E">
      <w:pPr>
        <w:spacing w:line="440" w:lineRule="exact"/>
        <w:ind w:firstLine="480" w:firstLineChars="200"/>
        <w:jc w:val="left"/>
        <w:rPr>
          <w:rFonts w:ascii="宋体" w:hAnsi="宋体" w:cs="宋体"/>
          <w:color w:val="000000"/>
          <w:sz w:val="24"/>
        </w:rPr>
      </w:pPr>
      <w:r>
        <w:rPr>
          <w:rFonts w:ascii="宋体" w:hAnsi="宋体" w:cs="宋体"/>
          <w:color w:val="000000"/>
          <w:sz w:val="24"/>
        </w:rPr>
        <w:t>以下是活动报名功能的核心代码。后端代码验证活动状态和用户资格,使用事务确保报名操作的原子性。</w:t>
      </w:r>
    </w:p>
    <w:p w14:paraId="2B25FB8D">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后端核心代码(ActivitySignupService.java):</w:t>
      </w:r>
    </w:p>
    <w:p w14:paraId="71FAB0DF">
      <w:pPr>
        <w:spacing w:line="440" w:lineRule="exact"/>
        <w:ind w:firstLine="480" w:firstLineChars="200"/>
        <w:jc w:val="left"/>
        <w:rPr>
          <w:rFonts w:ascii="宋体" w:hAnsi="宋体" w:cs="宋体"/>
          <w:color w:val="000000"/>
          <w:sz w:val="24"/>
        </w:rPr>
      </w:pPr>
      <w:r>
        <w:rPr>
          <w:rFonts w:ascii="宋体" w:hAnsi="宋体" w:cs="宋体"/>
          <w:color w:val="000000"/>
          <w:sz w:val="24"/>
        </w:rPr>
        <w:t>@Transactional(rollbackFor = Exception.class)</w:t>
      </w:r>
      <w:r>
        <w:rPr>
          <w:rFonts w:ascii="宋体" w:hAnsi="宋体" w:cs="宋体"/>
          <w:color w:val="000000"/>
          <w:sz w:val="24"/>
        </w:rPr>
        <w:br w:type="textWrapping"/>
      </w:r>
      <w:r>
        <w:rPr>
          <w:rFonts w:ascii="宋体" w:hAnsi="宋体" w:cs="宋体"/>
          <w:color w:val="000000"/>
          <w:sz w:val="24"/>
        </w:rPr>
        <w:t>public ActivitySignupResponseDTO createSignup(ActivitySignupCreateCommandDTO createDTO) {</w:t>
      </w:r>
      <w:r>
        <w:rPr>
          <w:rFonts w:ascii="宋体" w:hAnsi="宋体" w:cs="宋体"/>
          <w:color w:val="000000"/>
          <w:sz w:val="24"/>
        </w:rPr>
        <w:br w:type="textWrapping"/>
      </w:r>
      <w:r>
        <w:rPr>
          <w:rFonts w:ascii="宋体" w:hAnsi="宋体" w:cs="宋体"/>
          <w:color w:val="000000"/>
          <w:sz w:val="24"/>
        </w:rPr>
        <w:t xml:space="preserve">    try {</w:t>
      </w:r>
      <w:r>
        <w:rPr>
          <w:rFonts w:ascii="宋体" w:hAnsi="宋体" w:cs="宋体"/>
          <w:color w:val="000000"/>
          <w:sz w:val="24"/>
        </w:rPr>
        <w:br w:type="textWrapping"/>
      </w:r>
      <w:r>
        <w:rPr>
          <w:rFonts w:ascii="宋体" w:hAnsi="宋体" w:cs="宋体"/>
          <w:color w:val="000000"/>
          <w:sz w:val="24"/>
        </w:rPr>
        <w:t xml:space="preserve">        // 验证活动是否存在</w:t>
      </w:r>
      <w:r>
        <w:rPr>
          <w:rFonts w:ascii="宋体" w:hAnsi="宋体" w:cs="宋体"/>
          <w:color w:val="000000"/>
          <w:sz w:val="24"/>
        </w:rPr>
        <w:br w:type="textWrapping"/>
      </w:r>
      <w:r>
        <w:rPr>
          <w:rFonts w:ascii="宋体" w:hAnsi="宋体" w:cs="宋体"/>
          <w:color w:val="000000"/>
          <w:sz w:val="24"/>
        </w:rPr>
        <w:t xml:space="preserve">        Activity activity = activityMapper.selectById(createDTO.getActivityId());</w:t>
      </w:r>
      <w:r>
        <w:rPr>
          <w:rFonts w:ascii="宋体" w:hAnsi="宋体" w:cs="宋体"/>
          <w:color w:val="000000"/>
          <w:sz w:val="24"/>
        </w:rPr>
        <w:br w:type="textWrapping"/>
      </w:r>
      <w:r>
        <w:rPr>
          <w:rFonts w:ascii="宋体" w:hAnsi="宋体" w:cs="宋体"/>
          <w:color w:val="000000"/>
          <w:sz w:val="24"/>
        </w:rPr>
        <w:t xml:space="preserve">        if (activity == null) {</w:t>
      </w:r>
      <w:r>
        <w:rPr>
          <w:rFonts w:ascii="宋体" w:hAnsi="宋体" w:cs="宋体"/>
          <w:color w:val="000000"/>
          <w:sz w:val="24"/>
        </w:rPr>
        <w:br w:type="textWrapping"/>
      </w:r>
      <w:r>
        <w:rPr>
          <w:rFonts w:ascii="宋体" w:hAnsi="宋体" w:cs="宋体"/>
          <w:color w:val="000000"/>
          <w:sz w:val="24"/>
        </w:rPr>
        <w:t xml:space="preserve">            throw new BusinessException("活动不存在");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 验证活动状态是否可以报名</w:t>
      </w:r>
      <w:r>
        <w:rPr>
          <w:rFonts w:ascii="宋体" w:hAnsi="宋体" w:cs="宋体"/>
          <w:color w:val="000000"/>
          <w:sz w:val="24"/>
        </w:rPr>
        <w:br w:type="textWrapping"/>
      </w:r>
      <w:r>
        <w:rPr>
          <w:rFonts w:ascii="宋体" w:hAnsi="宋体" w:cs="宋体"/>
          <w:color w:val="000000"/>
          <w:sz w:val="24"/>
        </w:rPr>
        <w:t xml:space="preserve">        if (!activity.canSignup()) {</w:t>
      </w:r>
      <w:r>
        <w:rPr>
          <w:rFonts w:ascii="宋体" w:hAnsi="宋体" w:cs="宋体"/>
          <w:color w:val="000000"/>
          <w:sz w:val="24"/>
        </w:rPr>
        <w:br w:type="textWrapping"/>
      </w:r>
      <w:r>
        <w:rPr>
          <w:rFonts w:ascii="宋体" w:hAnsi="宋体" w:cs="宋体"/>
          <w:color w:val="000000"/>
          <w:sz w:val="24"/>
        </w:rPr>
        <w:t xml:space="preserve">            String activityStatusName = activity.getStatusDisplayName();</w:t>
      </w:r>
      <w:r>
        <w:rPr>
          <w:rFonts w:ascii="宋体" w:hAnsi="宋体" w:cs="宋体"/>
          <w:color w:val="000000"/>
          <w:sz w:val="24"/>
        </w:rPr>
        <w:br w:type="textWrapping"/>
      </w:r>
      <w:r>
        <w:rPr>
          <w:rFonts w:ascii="宋体" w:hAnsi="宋体" w:cs="宋体"/>
          <w:color w:val="000000"/>
          <w:sz w:val="24"/>
        </w:rPr>
        <w:t xml:space="preserve">            if (activity.isDraft()) {</w:t>
      </w:r>
      <w:r>
        <w:rPr>
          <w:rFonts w:ascii="宋体" w:hAnsi="宋体" w:cs="宋体"/>
          <w:color w:val="000000"/>
          <w:sz w:val="24"/>
        </w:rPr>
        <w:br w:type="textWrapping"/>
      </w:r>
      <w:r>
        <w:rPr>
          <w:rFonts w:ascii="宋体" w:hAnsi="宋体" w:cs="宋体"/>
          <w:color w:val="000000"/>
          <w:sz w:val="24"/>
        </w:rPr>
        <w:t xml:space="preserve">                throw new BusinessException("活动还在筹备中(状态: " + activityStatusName + ")，暂时不接受报名");</w:t>
      </w:r>
      <w:r>
        <w:rPr>
          <w:rFonts w:ascii="宋体" w:hAnsi="宋体" w:cs="宋体"/>
          <w:color w:val="000000"/>
          <w:sz w:val="24"/>
        </w:rPr>
        <w:br w:type="textWrapping"/>
      </w:r>
      <w:r>
        <w:rPr>
          <w:rFonts w:ascii="宋体" w:hAnsi="宋体" w:cs="宋体"/>
          <w:color w:val="000000"/>
          <w:sz w:val="24"/>
        </w:rPr>
        <w:t xml:space="preserve">            } else if (activity.isInProgress()) {</w:t>
      </w:r>
      <w:r>
        <w:rPr>
          <w:rFonts w:ascii="宋体" w:hAnsi="宋体" w:cs="宋体"/>
          <w:color w:val="000000"/>
          <w:sz w:val="24"/>
        </w:rPr>
        <w:br w:type="textWrapping"/>
      </w:r>
      <w:r>
        <w:rPr>
          <w:rFonts w:ascii="宋体" w:hAnsi="宋体" w:cs="宋体"/>
          <w:color w:val="000000"/>
          <w:sz w:val="24"/>
        </w:rPr>
        <w:t xml:space="preserve">                throw new BusinessException("活动已经开始(状态: " + activityStatusName + ")，报名时间已过");</w:t>
      </w:r>
      <w:r>
        <w:rPr>
          <w:rFonts w:ascii="宋体" w:hAnsi="宋体" w:cs="宋体"/>
          <w:color w:val="000000"/>
          <w:sz w:val="24"/>
        </w:rPr>
        <w:br w:type="textWrapping"/>
      </w:r>
      <w:r>
        <w:rPr>
          <w:rFonts w:ascii="宋体" w:hAnsi="宋体" w:cs="宋体"/>
          <w:color w:val="000000"/>
          <w:sz w:val="24"/>
        </w:rPr>
        <w:t xml:space="preserve">            } else if (activity.isFinished()) {</w:t>
      </w:r>
      <w:r>
        <w:rPr>
          <w:rFonts w:ascii="宋体" w:hAnsi="宋体" w:cs="宋体"/>
          <w:color w:val="000000"/>
          <w:sz w:val="24"/>
        </w:rPr>
        <w:br w:type="textWrapping"/>
      </w:r>
      <w:r>
        <w:rPr>
          <w:rFonts w:ascii="宋体" w:hAnsi="宋体" w:cs="宋体"/>
          <w:color w:val="000000"/>
          <w:sz w:val="24"/>
        </w:rPr>
        <w:t xml:space="preserve">                throw new BusinessException("活动已经结束(状态: " + activityStatusName + ")，无法报名");</w:t>
      </w:r>
      <w:r>
        <w:rPr>
          <w:rFonts w:ascii="宋体" w:hAnsi="宋体" w:cs="宋体"/>
          <w:color w:val="000000"/>
          <w:sz w:val="24"/>
        </w:rPr>
        <w:br w:type="textWrapping"/>
      </w:r>
      <w:r>
        <w:rPr>
          <w:rFonts w:ascii="宋体" w:hAnsi="宋体" w:cs="宋体"/>
          <w:color w:val="000000"/>
          <w:sz w:val="24"/>
        </w:rPr>
        <w:t xml:space="preserve">            } else {</w:t>
      </w:r>
      <w:r>
        <w:rPr>
          <w:rFonts w:ascii="宋体" w:hAnsi="宋体" w:cs="宋体"/>
          <w:color w:val="000000"/>
          <w:sz w:val="24"/>
        </w:rPr>
        <w:br w:type="textWrapping"/>
      </w:r>
      <w:r>
        <w:rPr>
          <w:rFonts w:ascii="宋体" w:hAnsi="宋体" w:cs="宋体"/>
          <w:color w:val="000000"/>
          <w:sz w:val="24"/>
        </w:rPr>
        <w:t xml:space="preserve">                throw new BusinessException("活动当前状态(" + activityStatusName + ")不接受报名");</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验证用户是否存在</w:t>
      </w:r>
      <w:r>
        <w:rPr>
          <w:rFonts w:ascii="宋体" w:hAnsi="宋体" w:cs="宋体"/>
          <w:color w:val="000000"/>
          <w:sz w:val="24"/>
        </w:rPr>
        <w:br w:type="textWrapping"/>
      </w:r>
      <w:r>
        <w:rPr>
          <w:rFonts w:ascii="宋体" w:hAnsi="宋体" w:cs="宋体"/>
          <w:color w:val="000000"/>
          <w:sz w:val="24"/>
        </w:rPr>
        <w:t xml:space="preserve">        User user = userMapper.selectById(createDTO.getUserId());</w:t>
      </w:r>
      <w:r>
        <w:rPr>
          <w:rFonts w:ascii="宋体" w:hAnsi="宋体" w:cs="宋体"/>
          <w:color w:val="000000"/>
          <w:sz w:val="24"/>
        </w:rPr>
        <w:br w:type="textWrapping"/>
      </w:r>
      <w:r>
        <w:rPr>
          <w:rFonts w:ascii="宋体" w:hAnsi="宋体" w:cs="宋体"/>
          <w:color w:val="000000"/>
          <w:sz w:val="24"/>
        </w:rPr>
        <w:t xml:space="preserve">        if (user == null) {</w:t>
      </w:r>
      <w:r>
        <w:rPr>
          <w:rFonts w:ascii="宋体" w:hAnsi="宋体" w:cs="宋体"/>
          <w:color w:val="000000"/>
          <w:sz w:val="24"/>
        </w:rPr>
        <w:br w:type="textWrapping"/>
      </w:r>
      <w:r>
        <w:rPr>
          <w:rFonts w:ascii="宋体" w:hAnsi="宋体" w:cs="宋体"/>
          <w:color w:val="000000"/>
          <w:sz w:val="24"/>
        </w:rPr>
        <w:t xml:space="preserve">            throw new BusinessException("用户不存在");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检查是否已经报名</w:t>
      </w:r>
      <w:r>
        <w:rPr>
          <w:rFonts w:ascii="宋体" w:hAnsi="宋体" w:cs="宋体"/>
          <w:color w:val="000000"/>
          <w:sz w:val="24"/>
        </w:rPr>
        <w:br w:type="textWrapping"/>
      </w:r>
      <w:r>
        <w:rPr>
          <w:rFonts w:ascii="宋体" w:hAnsi="宋体" w:cs="宋体"/>
          <w:color w:val="000000"/>
          <w:sz w:val="24"/>
        </w:rPr>
        <w:t xml:space="preserve">        LambdaQueryWrapper&lt;ActivitySignup&gt; wrapper = new LambdaQueryWrapper&lt;&gt;();</w:t>
      </w:r>
      <w:r>
        <w:rPr>
          <w:rFonts w:ascii="宋体" w:hAnsi="宋体" w:cs="宋体"/>
          <w:color w:val="000000"/>
          <w:sz w:val="24"/>
        </w:rPr>
        <w:br w:type="textWrapping"/>
      </w:r>
      <w:r>
        <w:rPr>
          <w:rFonts w:ascii="宋体" w:hAnsi="宋体" w:cs="宋体"/>
          <w:color w:val="000000"/>
          <w:sz w:val="24"/>
        </w:rPr>
        <w:t xml:space="preserve">        wrapper.eq(ActivitySignup::getActivityId, createDTO.getActivityId())</w:t>
      </w:r>
      <w:r>
        <w:rPr>
          <w:rFonts w:ascii="宋体" w:hAnsi="宋体" w:cs="宋体"/>
          <w:color w:val="000000"/>
          <w:sz w:val="24"/>
        </w:rPr>
        <w:br w:type="textWrapping"/>
      </w:r>
      <w:r>
        <w:rPr>
          <w:rFonts w:ascii="宋体" w:hAnsi="宋体" w:cs="宋体"/>
          <w:color w:val="000000"/>
          <w:sz w:val="24"/>
        </w:rPr>
        <w:t xml:space="preserve">               .eq(ActivitySignup::getUserId, createDTO.getUserId());</w:t>
      </w:r>
      <w:r>
        <w:rPr>
          <w:rFonts w:ascii="宋体" w:hAnsi="宋体" w:cs="宋体"/>
          <w:color w:val="000000"/>
          <w:sz w:val="24"/>
        </w:rPr>
        <w:br w:type="textWrapping"/>
      </w:r>
      <w:r>
        <w:rPr>
          <w:rFonts w:ascii="宋体" w:hAnsi="宋体" w:cs="宋体"/>
          <w:color w:val="000000"/>
          <w:sz w:val="24"/>
        </w:rPr>
        <w:t xml:space="preserve">        ActivitySignup existingSignup = activitySignupMapper.selectOne(wrapper);</w:t>
      </w:r>
      <w:r>
        <w:rPr>
          <w:rFonts w:ascii="宋体" w:hAnsi="宋体" w:cs="宋体"/>
          <w:color w:val="000000"/>
          <w:sz w:val="24"/>
        </w:rPr>
        <w:br w:type="textWrapping"/>
      </w:r>
      <w:r>
        <w:rPr>
          <w:rFonts w:ascii="宋体" w:hAnsi="宋体" w:cs="宋体"/>
          <w:color w:val="000000"/>
          <w:sz w:val="24"/>
        </w:rPr>
        <w:t xml:space="preserve">        if (existingSignup != null) {</w:t>
      </w:r>
      <w:r>
        <w:rPr>
          <w:rFonts w:ascii="宋体" w:hAnsi="宋体" w:cs="宋体"/>
          <w:color w:val="000000"/>
          <w:sz w:val="24"/>
        </w:rPr>
        <w:br w:type="textWrapping"/>
      </w:r>
      <w:r>
        <w:rPr>
          <w:rFonts w:ascii="宋体" w:hAnsi="宋体" w:cs="宋体"/>
          <w:color w:val="000000"/>
          <w:sz w:val="24"/>
        </w:rPr>
        <w:t xml:space="preserve">            throw new BusinessException("您已经报名该活动");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创建报名记录</w:t>
      </w:r>
      <w:r>
        <w:rPr>
          <w:rFonts w:ascii="宋体" w:hAnsi="宋体" w:cs="宋体"/>
          <w:color w:val="000000"/>
          <w:sz w:val="24"/>
        </w:rPr>
        <w:br w:type="textWrapping"/>
      </w:r>
      <w:r>
        <w:rPr>
          <w:rFonts w:ascii="宋体" w:hAnsi="宋体" w:cs="宋体"/>
          <w:color w:val="000000"/>
          <w:sz w:val="24"/>
        </w:rPr>
        <w:t xml:space="preserve">        ActivitySignup signup = ActivitySignupConvert.createCommandToEntity(createDTO);</w:t>
      </w:r>
      <w:r>
        <w:rPr>
          <w:rFonts w:ascii="宋体" w:hAnsi="宋体" w:cs="宋体"/>
          <w:color w:val="000000"/>
          <w:sz w:val="24"/>
        </w:rPr>
        <w:br w:type="textWrapping"/>
      </w:r>
      <w:r>
        <w:rPr>
          <w:rFonts w:ascii="宋体" w:hAnsi="宋体" w:cs="宋体"/>
          <w:color w:val="000000"/>
          <w:sz w:val="24"/>
        </w:rPr>
        <w:t xml:space="preserve">        activitySignupMapper.insert(signup);</w:t>
      </w:r>
      <w:r>
        <w:rPr>
          <w:rFonts w:ascii="宋体" w:hAnsi="宋体" w:cs="宋体"/>
          <w:color w:val="000000"/>
          <w:sz w:val="24"/>
        </w:rPr>
        <w:br w:type="textWrapping"/>
      </w:r>
      <w:r>
        <w:rPr>
          <w:rFonts w:ascii="宋体" w:hAnsi="宋体" w:cs="宋体"/>
          <w:color w:val="000000"/>
          <w:sz w:val="24"/>
        </w:rPr>
        <w:t xml:space="preserve">        log.info("活动报名成功: activityId={}, userId={}", createDTO.getActivityId(), createDTO.getUserId());</w:t>
      </w:r>
      <w:r>
        <w:rPr>
          <w:rFonts w:ascii="宋体" w:hAnsi="宋体" w:cs="宋体"/>
          <w:color w:val="000000"/>
          <w:sz w:val="24"/>
        </w:rPr>
        <w:br w:type="textWrapping"/>
      </w:r>
      <w:r>
        <w:rPr>
          <w:rFonts w:ascii="宋体" w:hAnsi="宋体" w:cs="宋体"/>
          <w:color w:val="000000"/>
          <w:sz w:val="24"/>
        </w:rPr>
        <w:t xml:space="preserve">        // 查询并返回详情</w:t>
      </w:r>
      <w:r>
        <w:rPr>
          <w:rFonts w:ascii="宋体" w:hAnsi="宋体" w:cs="宋体"/>
          <w:color w:val="000000"/>
          <w:sz w:val="24"/>
        </w:rPr>
        <w:br w:type="textWrapping"/>
      </w:r>
      <w:r>
        <w:rPr>
          <w:rFonts w:ascii="宋体" w:hAnsi="宋体" w:cs="宋体"/>
          <w:color w:val="000000"/>
          <w:sz w:val="24"/>
        </w:rPr>
        <w:t xml:space="preserve">        return getSignupById(signup.getId());</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log.error("活动报名失败", e);</w:t>
      </w:r>
      <w:r>
        <w:rPr>
          <w:rFonts w:ascii="宋体" w:hAnsi="宋体" w:cs="宋体"/>
          <w:color w:val="000000"/>
          <w:sz w:val="24"/>
        </w:rPr>
        <w:br w:type="textWrapping"/>
      </w:r>
      <w:r>
        <w:rPr>
          <w:rFonts w:ascii="宋体" w:hAnsi="宋体" w:cs="宋体"/>
          <w:color w:val="000000"/>
          <w:sz w:val="24"/>
        </w:rPr>
        <w:t xml:space="preserve">        throw new ServiceException("活动报名失败，请稍后重试");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0D7E2A2C">
      <w:pPr>
        <w:spacing w:line="440" w:lineRule="exact"/>
        <w:ind w:firstLine="420" w:firstLineChars="200"/>
        <w:jc w:val="left"/>
        <w:rPr>
          <w:rFonts w:ascii="宋体" w:hAnsi="宋体" w:cs="宋体"/>
          <w:color w:val="000000"/>
          <w:sz w:val="24"/>
        </w:rPr>
      </w:pPr>
      <w:r>
        <w:rPr>
          <w:rFonts w:hint="default"/>
          <w:lang w:val="en-US"/>
        </w:rPr>
        <w:drawing>
          <wp:anchor distT="0" distB="0" distL="114300" distR="114300" simplePos="0" relativeHeight="251719680" behindDoc="0" locked="0" layoutInCell="1" allowOverlap="1">
            <wp:simplePos x="0" y="0"/>
            <wp:positionH relativeFrom="column">
              <wp:posOffset>219710</wp:posOffset>
            </wp:positionH>
            <wp:positionV relativeFrom="paragraph">
              <wp:posOffset>361315</wp:posOffset>
            </wp:positionV>
            <wp:extent cx="5099685" cy="2878455"/>
            <wp:effectExtent l="0" t="0" r="5715" b="17145"/>
            <wp:wrapTopAndBottom/>
            <wp:docPr id="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4"/>
                    <pic:cNvPicPr>
                      <a:picLocks noChangeAspect="1"/>
                    </pic:cNvPicPr>
                  </pic:nvPicPr>
                  <pic:blipFill>
                    <a:blip r:embed="rId206"/>
                    <a:stretch>
                      <a:fillRect/>
                    </a:stretch>
                  </pic:blipFill>
                  <pic:spPr>
                    <a:xfrm>
                      <a:off x="0" y="0"/>
                      <a:ext cx="5099685" cy="2878455"/>
                    </a:xfrm>
                    <a:prstGeom prst="rect">
                      <a:avLst/>
                    </a:prstGeom>
                    <a:noFill/>
                    <a:ln>
                      <a:noFill/>
                    </a:ln>
                  </pic:spPr>
                </pic:pic>
              </a:graphicData>
            </a:graphic>
          </wp:anchor>
        </w:drawing>
      </w:r>
      <w:r>
        <w:rPr>
          <w:rFonts w:hint="eastAsia"/>
          <w:lang w:val="en-US" w:eastAsia="zh-CN"/>
        </w:rPr>
        <w:t>(3)</w:t>
      </w:r>
      <w:r>
        <w:rPr>
          <w:rFonts w:ascii="宋体" w:hAnsi="宋体" w:cs="宋体"/>
          <w:color w:val="000000"/>
          <w:sz w:val="24"/>
        </w:rPr>
        <w:t>报名审核功能</w:t>
      </w:r>
    </w:p>
    <w:p w14:paraId="6EBA1FA0">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图4-14 报名审核界面</w:t>
      </w:r>
    </w:p>
    <w:p w14:paraId="21A214CF">
      <w:pPr>
        <w:spacing w:line="440" w:lineRule="exact"/>
        <w:ind w:firstLine="480" w:firstLineChars="200"/>
        <w:jc w:val="left"/>
        <w:rPr>
          <w:rFonts w:ascii="宋体" w:hAnsi="宋体" w:cs="宋体"/>
          <w:color w:val="000000"/>
          <w:sz w:val="24"/>
        </w:rPr>
      </w:pPr>
      <w:r>
        <w:rPr>
          <w:rFonts w:ascii="宋体" w:hAnsi="宋体" w:cs="宋体"/>
          <w:color w:val="000000"/>
          <w:sz w:val="24"/>
        </w:rPr>
        <w:t>以下是报名审核功能的核心代码。后端代码验证报名状态,使用事务确保审核操作的原子性。</w:t>
      </w:r>
    </w:p>
    <w:p w14:paraId="15BC2DA3">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后端核心代码(ActivitySignupService.java):</w:t>
      </w:r>
    </w:p>
    <w:p w14:paraId="781B567E">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验证当前状态是否为待审核</w:t>
      </w:r>
      <w:r>
        <w:rPr>
          <w:rFonts w:ascii="宋体" w:hAnsi="宋体" w:cs="宋体"/>
          <w:color w:val="000000"/>
          <w:sz w:val="24"/>
        </w:rPr>
        <w:br w:type="textWrapping"/>
      </w:r>
      <w:r>
        <w:rPr>
          <w:rFonts w:ascii="宋体" w:hAnsi="宋体" w:cs="宋体"/>
          <w:color w:val="000000"/>
          <w:sz w:val="24"/>
        </w:rPr>
        <w:t xml:space="preserve">        if (!ActivitySignupStatus.PENDING.getCode().equals(signup.getStatus())) {</w:t>
      </w:r>
      <w:r>
        <w:rPr>
          <w:rFonts w:ascii="宋体" w:hAnsi="宋体" w:cs="宋体"/>
          <w:color w:val="000000"/>
          <w:sz w:val="24"/>
        </w:rPr>
        <w:br w:type="textWrapping"/>
      </w:r>
      <w:r>
        <w:rPr>
          <w:rFonts w:ascii="宋体" w:hAnsi="宋体" w:cs="宋体"/>
          <w:color w:val="000000"/>
          <w:sz w:val="24"/>
        </w:rPr>
        <w:t xml:space="preserve">            throw new BusinessException("当前状态不允许审核");</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更新状态为审核通过</w:t>
      </w:r>
      <w:r>
        <w:rPr>
          <w:rFonts w:ascii="宋体" w:hAnsi="宋体" w:cs="宋体"/>
          <w:color w:val="000000"/>
          <w:sz w:val="24"/>
        </w:rPr>
        <w:br w:type="textWrapping"/>
      </w:r>
      <w:r>
        <w:rPr>
          <w:rFonts w:ascii="宋体" w:hAnsi="宋体" w:cs="宋体"/>
          <w:color w:val="000000"/>
          <w:sz w:val="24"/>
        </w:rPr>
        <w:t xml:space="preserve">        signup.setStatus(ActivitySignupStatus.APPROVED.getCode());</w:t>
      </w:r>
      <w:r>
        <w:rPr>
          <w:rFonts w:ascii="宋体" w:hAnsi="宋体" w:cs="宋体"/>
          <w:color w:val="000000"/>
          <w:sz w:val="24"/>
        </w:rPr>
        <w:br w:type="textWrapping"/>
      </w:r>
      <w:r>
        <w:rPr>
          <w:rFonts w:ascii="宋体" w:hAnsi="宋体" w:cs="宋体"/>
          <w:color w:val="000000"/>
          <w:sz w:val="24"/>
        </w:rPr>
        <w:t xml:space="preserve">        activitySignupMapper.updateById(signup);</w:t>
      </w:r>
      <w:r>
        <w:rPr>
          <w:rFonts w:ascii="宋体" w:hAnsi="宋体" w:cs="宋体"/>
          <w:color w:val="000000"/>
          <w:sz w:val="24"/>
        </w:rPr>
        <w:br w:type="textWrapping"/>
      </w:r>
      <w:r>
        <w:rPr>
          <w:rFonts w:ascii="宋体" w:hAnsi="宋体" w:cs="宋体"/>
          <w:color w:val="000000"/>
          <w:sz w:val="24"/>
        </w:rPr>
        <w:t xml:space="preserve">        log.info("报名审核通过: signupId={}", signupId);</w:t>
      </w:r>
      <w:r>
        <w:rPr>
          <w:rFonts w:ascii="宋体" w:hAnsi="宋体" w:cs="宋体"/>
          <w:color w:val="000000"/>
          <w:sz w:val="24"/>
        </w:rPr>
        <w:br w:type="textWrapping"/>
      </w:r>
      <w:r>
        <w:rPr>
          <w:rFonts w:ascii="宋体" w:hAnsi="宋体" w:cs="宋体"/>
          <w:color w:val="000000"/>
          <w:sz w:val="24"/>
        </w:rPr>
        <w:t xml:space="preserve">        return getSignupById(signupId);</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log.error("报名审核失败: signupId={}", signupId, e);</w:t>
      </w:r>
      <w:r>
        <w:rPr>
          <w:rFonts w:ascii="宋体" w:hAnsi="宋体" w:cs="宋体"/>
          <w:color w:val="000000"/>
          <w:sz w:val="24"/>
        </w:rPr>
        <w:br w:type="textWrapping"/>
      </w:r>
      <w:r>
        <w:rPr>
          <w:rFonts w:ascii="宋体" w:hAnsi="宋体" w:cs="宋体"/>
          <w:color w:val="000000"/>
          <w:sz w:val="24"/>
        </w:rPr>
        <w:t xml:space="preserve">        throw new ServiceException("审核失败，请稍后重试");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if !ActivitySignupStatus.PENDING.getCode().equals(signup.getStatus())) {</w:t>
      </w:r>
      <w:r>
        <w:rPr>
          <w:rFonts w:ascii="宋体" w:hAnsi="宋体" w:cs="宋体"/>
          <w:color w:val="000000"/>
          <w:sz w:val="24"/>
        </w:rPr>
        <w:br w:type="textWrapping"/>
      </w:r>
      <w:r>
        <w:rPr>
          <w:rFonts w:ascii="宋体" w:hAnsi="宋体" w:cs="宋体"/>
          <w:color w:val="000000"/>
          <w:sz w:val="24"/>
        </w:rPr>
        <w:t xml:space="preserve">            throw new BusinessException("当前状态不允许审核");</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更新状态为审核拒绝</w:t>
      </w:r>
      <w:r>
        <w:rPr>
          <w:rFonts w:ascii="宋体" w:hAnsi="宋体" w:cs="宋体"/>
          <w:color w:val="000000"/>
          <w:sz w:val="24"/>
        </w:rPr>
        <w:br w:type="textWrapping"/>
      </w:r>
      <w:r>
        <w:rPr>
          <w:rFonts w:ascii="宋体" w:hAnsi="宋体" w:cs="宋体"/>
          <w:color w:val="000000"/>
          <w:sz w:val="24"/>
        </w:rPr>
        <w:t xml:space="preserve">        signup.setStatus(ActivitySignupStatus.REJECTED.getCode());</w:t>
      </w:r>
      <w:r>
        <w:rPr>
          <w:rFonts w:ascii="宋体" w:hAnsi="宋体" w:cs="宋体"/>
          <w:color w:val="000000"/>
          <w:sz w:val="24"/>
        </w:rPr>
        <w:br w:type="textWrapping"/>
      </w:r>
      <w:r>
        <w:rPr>
          <w:rFonts w:ascii="宋体" w:hAnsi="宋体" w:cs="宋体"/>
          <w:color w:val="000000"/>
          <w:sz w:val="24"/>
        </w:rPr>
        <w:t xml:space="preserve">        activitySignupMapper.updateById(signup);</w:t>
      </w:r>
      <w:r>
        <w:rPr>
          <w:rFonts w:ascii="宋体" w:hAnsi="宋体" w:cs="宋体"/>
          <w:color w:val="000000"/>
          <w:sz w:val="24"/>
        </w:rPr>
        <w:br w:type="textWrapping"/>
      </w:r>
      <w:r>
        <w:rPr>
          <w:rFonts w:ascii="宋体" w:hAnsi="宋体" w:cs="宋体"/>
          <w:color w:val="000000"/>
          <w:sz w:val="24"/>
        </w:rPr>
        <w:t xml:space="preserve">        log.info("报名审核拒绝: signupId={}", signupId);</w:t>
      </w:r>
      <w:r>
        <w:rPr>
          <w:rFonts w:ascii="宋体" w:hAnsi="宋体" w:cs="宋体"/>
          <w:color w:val="000000"/>
          <w:sz w:val="24"/>
        </w:rPr>
        <w:br w:type="textWrapping"/>
      </w:r>
      <w:r>
        <w:rPr>
          <w:rFonts w:ascii="宋体" w:hAnsi="宋体" w:cs="宋体"/>
          <w:color w:val="000000"/>
          <w:sz w:val="24"/>
        </w:rPr>
        <w:t xml:space="preserve">        return getSignupById(signupId);</w:t>
      </w:r>
      <w:r>
        <w:rPr>
          <w:rFonts w:ascii="宋体" w:hAnsi="宋体" w:cs="宋体"/>
          <w:color w:val="000000"/>
          <w:sz w:val="24"/>
        </w:rPr>
        <w:br w:type="textWrapping"/>
      </w:r>
      <w:r>
        <w:rPr>
          <w:rFonts w:ascii="宋体" w:hAnsi="宋体" w:cs="宋体"/>
          <w:color w:val="000000"/>
          <w:sz w:val="24"/>
        </w:rPr>
        <w:t xml:space="preserve">    } catch (BusinessException e) {</w:t>
      </w:r>
      <w:r>
        <w:rPr>
          <w:rFonts w:ascii="宋体" w:hAnsi="宋体" w:cs="宋体"/>
          <w:color w:val="000000"/>
          <w:sz w:val="24"/>
        </w:rPr>
        <w:br w:type="textWrapping"/>
      </w:r>
      <w:r>
        <w:rPr>
          <w:rFonts w:ascii="宋体" w:hAnsi="宋体" w:cs="宋体"/>
          <w:color w:val="000000"/>
          <w:sz w:val="24"/>
        </w:rPr>
        <w:t xml:space="preserve">        throw e;</w:t>
      </w:r>
      <w:r>
        <w:rPr>
          <w:rFonts w:ascii="宋体" w:hAnsi="宋体" w:cs="宋体"/>
          <w:color w:val="000000"/>
          <w:sz w:val="24"/>
        </w:rPr>
        <w:br w:type="textWrapping"/>
      </w:r>
      <w:r>
        <w:rPr>
          <w:rFonts w:ascii="宋体" w:hAnsi="宋体" w:cs="宋体"/>
          <w:color w:val="000000"/>
          <w:sz w:val="24"/>
        </w:rPr>
        <w:t xml:space="preserve">    } catch (Exception e) {</w:t>
      </w:r>
      <w:r>
        <w:rPr>
          <w:rFonts w:ascii="宋体" w:hAnsi="宋体" w:cs="宋体"/>
          <w:color w:val="000000"/>
          <w:sz w:val="24"/>
        </w:rPr>
        <w:br w:type="textWrapping"/>
      </w:r>
      <w:r>
        <w:rPr>
          <w:rFonts w:ascii="宋体" w:hAnsi="宋体" w:cs="宋体"/>
          <w:color w:val="000000"/>
          <w:sz w:val="24"/>
        </w:rPr>
        <w:t xml:space="preserve">        log.error("报名审核失败: signupId={}", signupId, e);</w:t>
      </w:r>
      <w:r>
        <w:rPr>
          <w:rFonts w:ascii="宋体" w:hAnsi="宋体" w:cs="宋体"/>
          <w:color w:val="000000"/>
          <w:sz w:val="24"/>
        </w:rPr>
        <w:br w:type="textWrapping"/>
      </w:r>
      <w:r>
        <w:rPr>
          <w:rFonts w:ascii="宋体" w:hAnsi="宋体" w:cs="宋体"/>
          <w:color w:val="000000"/>
          <w:sz w:val="24"/>
        </w:rPr>
        <w:t xml:space="preserve">        throw new ServiceException("审核失败，请稍后重试");</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p>
    <w:p w14:paraId="5A416692">
      <w:pPr>
        <w:spacing w:line="440" w:lineRule="exact"/>
        <w:ind w:firstLine="480" w:firstLineChars="200"/>
        <w:jc w:val="left"/>
        <w:rPr>
          <w:rFonts w:ascii="宋体" w:hAnsi="宋体" w:cs="宋体"/>
          <w:color w:val="000000"/>
          <w:sz w:val="24"/>
        </w:rPr>
      </w:pPr>
      <w:bookmarkStart w:id="525" w:name="_Toc5976"/>
      <w:r>
        <w:rPr>
          <w:rFonts w:hint="eastAsia" w:ascii="宋体" w:hAnsi="宋体" w:cs="宋体"/>
          <w:color w:val="000000"/>
          <w:sz w:val="24"/>
        </w:rPr>
        <w:t>4.2.6 商城管理模块实现</w:t>
      </w:r>
      <w:bookmarkEnd w:id="525"/>
    </w:p>
    <w:p w14:paraId="77CA5DDF">
      <w:pPr>
        <w:spacing w:line="440" w:lineRule="exact"/>
        <w:ind w:firstLine="480" w:firstLineChars="200"/>
        <w:jc w:val="left"/>
        <w:rPr>
          <w:rFonts w:ascii="宋体" w:hAnsi="宋体" w:cs="宋体"/>
          <w:color w:val="000000"/>
          <w:sz w:val="24"/>
        </w:rPr>
      </w:pPr>
      <w:r>
        <w:rPr>
          <w:rFonts w:ascii="宋体" w:hAnsi="宋体" w:cs="宋体"/>
          <w:color w:val="000000"/>
          <w:sz w:val="24"/>
        </w:rPr>
        <w:t>商城管理模块为非遗文创产品的销售提供电子商务平台,支持商品展示、购物车、订单管理等完整的购物流程。本节重点介绍商品列表查询、商品详情展示和订单创建三个关键功能的实现。</w:t>
      </w:r>
    </w:p>
    <w:p w14:paraId="3089E4A0">
      <w:pPr>
        <w:spacing w:line="440" w:lineRule="exact"/>
        <w:ind w:firstLine="480" w:firstLineChars="200"/>
        <w:jc w:val="left"/>
      </w:pPr>
      <w:r>
        <w:rPr>
          <w:rFonts w:hint="eastAsia" w:ascii="宋体" w:hAnsi="宋体" w:cs="宋体"/>
          <w:color w:val="000000"/>
          <w:sz w:val="24"/>
          <w:lang w:val="en-US" w:eastAsia="zh-CN"/>
        </w:rPr>
        <w:t>(1)</w:t>
      </w:r>
      <w:r>
        <w:rPr>
          <w:rFonts w:ascii="宋体" w:hAnsi="宋体" w:cs="宋体"/>
          <w:color w:val="000000"/>
          <w:sz w:val="24"/>
        </w:rPr>
        <w:t>商品列表查询功能</w:t>
      </w:r>
    </w:p>
    <w:p w14:paraId="7EFC9F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pPr>
      <w:r>
        <w:drawing>
          <wp:inline distT="0" distB="0" distL="114300" distR="114300">
            <wp:extent cx="4218305" cy="2371725"/>
            <wp:effectExtent l="0" t="0" r="10795" b="3175"/>
            <wp:docPr id="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5"/>
                    <pic:cNvPicPr>
                      <a:picLocks noChangeAspect="1"/>
                    </pic:cNvPicPr>
                  </pic:nvPicPr>
                  <pic:blipFill>
                    <a:blip r:embed="rId207"/>
                    <a:stretch>
                      <a:fillRect/>
                    </a:stretch>
                  </pic:blipFill>
                  <pic:spPr>
                    <a:xfrm>
                      <a:off x="0" y="0"/>
                      <a:ext cx="4218305" cy="2371725"/>
                    </a:xfrm>
                    <a:prstGeom prst="rect">
                      <a:avLst/>
                    </a:prstGeom>
                    <a:noFill/>
                    <a:ln>
                      <a:noFill/>
                    </a:ln>
                  </pic:spPr>
                </pic:pic>
              </a:graphicData>
            </a:graphic>
          </wp:inline>
        </w:drawing>
      </w:r>
    </w:p>
    <w:p w14:paraId="2C51D22A">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t>图4-15 商品列表查询界面</w:t>
      </w:r>
    </w:p>
    <w:p w14:paraId="11E21BC9">
      <w:pPr>
        <w:spacing w:line="440" w:lineRule="exact"/>
        <w:ind w:firstLine="480" w:firstLineChars="200"/>
        <w:jc w:val="left"/>
        <w:rPr>
          <w:rFonts w:ascii="宋体" w:hAnsi="宋体" w:cs="宋体"/>
          <w:color w:val="000000"/>
          <w:sz w:val="24"/>
        </w:rPr>
      </w:pPr>
      <w:r>
        <w:rPr>
          <w:rFonts w:ascii="宋体" w:hAnsi="宋体" w:cs="宋体"/>
          <w:color w:val="000000"/>
          <w:sz w:val="24"/>
        </w:rPr>
        <w:t>以下是商品列表查询功能的核心代码。后端代码使用MyBatis-Plus的分页查询功能,根据筛选条件动态构建查询语句,并填充商品图片和分类信息。</w:t>
      </w:r>
    </w:p>
    <w:p w14:paraId="62FF3908">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后端核心代码(ShopProductService.java):</w:t>
      </w:r>
    </w:p>
    <w:p w14:paraId="2EBD50BD">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标题模糊查询</w:t>
      </w:r>
      <w:r>
        <w:rPr>
          <w:rFonts w:ascii="宋体" w:hAnsi="宋体" w:cs="宋体"/>
          <w:color w:val="000000"/>
          <w:sz w:val="24"/>
        </w:rPr>
        <w:br w:type="textWrapping"/>
      </w:r>
      <w:r>
        <w:rPr>
          <w:rFonts w:ascii="宋体" w:hAnsi="宋体" w:cs="宋体"/>
          <w:color w:val="000000"/>
          <w:sz w:val="24"/>
        </w:rPr>
        <w:t xml:space="preserve">    if (queryDTO.getTitle() != null &amp;&amp; !queryDTO.getTitle().isEmpty()) {</w:t>
      </w:r>
      <w:r>
        <w:rPr>
          <w:rFonts w:ascii="宋体" w:hAnsi="宋体" w:cs="宋体"/>
          <w:color w:val="000000"/>
          <w:sz w:val="24"/>
        </w:rPr>
        <w:br w:type="textWrapping"/>
      </w:r>
      <w:r>
        <w:rPr>
          <w:rFonts w:ascii="宋体" w:hAnsi="宋体" w:cs="宋体"/>
          <w:color w:val="000000"/>
          <w:sz w:val="24"/>
        </w:rPr>
        <w:t xml:space="preserve">        wrapper.like(ShopProduct::getTitle, queryDTO.getTitle());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分类查询</w:t>
      </w:r>
      <w:r>
        <w:rPr>
          <w:rFonts w:ascii="宋体" w:hAnsi="宋体" w:cs="宋体"/>
          <w:color w:val="000000"/>
          <w:sz w:val="24"/>
        </w:rPr>
        <w:br w:type="textWrapping"/>
      </w:r>
      <w:r>
        <w:rPr>
          <w:rFonts w:ascii="宋体" w:hAnsi="宋体" w:cs="宋体"/>
          <w:color w:val="000000"/>
          <w:sz w:val="24"/>
        </w:rPr>
        <w:t xml:space="preserve">    if (queryDTO.getCategoryId() != null) {</w:t>
      </w:r>
      <w:r>
        <w:rPr>
          <w:rFonts w:ascii="宋体" w:hAnsi="宋体" w:cs="宋体"/>
          <w:color w:val="000000"/>
          <w:sz w:val="24"/>
        </w:rPr>
        <w:br w:type="textWrapping"/>
      </w:r>
      <w:r>
        <w:rPr>
          <w:rFonts w:ascii="宋体" w:hAnsi="宋体" w:cs="宋体"/>
          <w:color w:val="000000"/>
          <w:sz w:val="24"/>
        </w:rPr>
        <w:t xml:space="preserve">        wrapper.eq(ShopProduct::getCategoryId, queryDTO.getCategoryId());</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价格区间查询</w:t>
      </w:r>
      <w:r>
        <w:rPr>
          <w:rFonts w:ascii="宋体" w:hAnsi="宋体" w:cs="宋体"/>
          <w:color w:val="000000"/>
          <w:sz w:val="24"/>
        </w:rPr>
        <w:br w:type="textWrapping"/>
      </w:r>
      <w:r>
        <w:rPr>
          <w:rFonts w:ascii="宋体" w:hAnsi="宋体" w:cs="宋体"/>
          <w:color w:val="000000"/>
          <w:sz w:val="24"/>
        </w:rPr>
        <w:t xml:space="preserve">    if (queryDTO.getMinPrice() != null) {</w:t>
      </w:r>
      <w:r>
        <w:rPr>
          <w:rFonts w:ascii="宋体" w:hAnsi="宋体" w:cs="宋体"/>
          <w:color w:val="000000"/>
          <w:sz w:val="24"/>
        </w:rPr>
        <w:br w:type="textWrapping"/>
      </w:r>
      <w:r>
        <w:rPr>
          <w:rFonts w:ascii="宋体" w:hAnsi="宋体" w:cs="宋体"/>
          <w:color w:val="000000"/>
          <w:sz w:val="24"/>
        </w:rPr>
        <w:t xml:space="preserve">        wrapper.ge(ShopProduct::getPrice, queryDTO.getMinPrice());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if (queryDTO.getMaxPrice() != null) {</w:t>
      </w:r>
      <w:r>
        <w:rPr>
          <w:rFonts w:ascii="宋体" w:hAnsi="宋体" w:cs="宋体"/>
          <w:color w:val="000000"/>
          <w:sz w:val="24"/>
        </w:rPr>
        <w:br w:type="textWrapping"/>
      </w:r>
      <w:r>
        <w:rPr>
          <w:rFonts w:ascii="宋体" w:hAnsi="宋体" w:cs="宋体"/>
          <w:color w:val="000000"/>
          <w:sz w:val="24"/>
        </w:rPr>
        <w:t xml:space="preserve">        wrapper.le(ShopProduct::getPrice, queryDTO.getMaxPrice());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只查询上架商品</w:t>
      </w:r>
      <w:r>
        <w:rPr>
          <w:rFonts w:ascii="宋体" w:hAnsi="宋体" w:cs="宋体"/>
          <w:color w:val="000000"/>
          <w:sz w:val="24"/>
        </w:rPr>
        <w:br w:type="textWrapping"/>
      </w:r>
      <w:r>
        <w:rPr>
          <w:rFonts w:ascii="宋体" w:hAnsi="宋体" w:cs="宋体"/>
          <w:color w:val="000000"/>
          <w:sz w:val="24"/>
        </w:rPr>
        <w:t xml:space="preserve">    wrapper.eq(ShopProduct::getStatus, 1);</w:t>
      </w:r>
      <w:r>
        <w:rPr>
          <w:rFonts w:ascii="宋体" w:hAnsi="宋体" w:cs="宋体"/>
          <w:color w:val="000000"/>
          <w:sz w:val="24"/>
        </w:rPr>
        <w:br w:type="textWrapping"/>
      </w:r>
      <w:r>
        <w:rPr>
          <w:rFonts w:ascii="宋体" w:hAnsi="宋体" w:cs="宋体"/>
          <w:color w:val="000000"/>
          <w:sz w:val="24"/>
        </w:rPr>
        <w:t xml:space="preserve">    // 排序</w:t>
      </w:r>
      <w:r>
        <w:rPr>
          <w:rFonts w:ascii="宋体" w:hAnsi="宋体" w:cs="宋体"/>
          <w:color w:val="000000"/>
          <w:sz w:val="24"/>
        </w:rPr>
        <w:br w:type="textWrapping"/>
      </w:r>
      <w:r>
        <w:rPr>
          <w:rFonts w:ascii="宋体" w:hAnsi="宋体" w:cs="宋体"/>
          <w:color w:val="000000"/>
          <w:sz w:val="24"/>
        </w:rPr>
        <w:t xml:space="preserve">    if ("price".equals(queryDTO.getOrderBy())) {</w:t>
      </w:r>
      <w:r>
        <w:rPr>
          <w:rFonts w:ascii="宋体" w:hAnsi="宋体" w:cs="宋体"/>
          <w:color w:val="000000"/>
          <w:sz w:val="24"/>
        </w:rPr>
        <w:br w:type="textWrapping"/>
      </w:r>
      <w:r>
        <w:rPr>
          <w:rFonts w:ascii="宋体" w:hAnsi="宋体" w:cs="宋体"/>
          <w:color w:val="000000"/>
          <w:sz w:val="24"/>
        </w:rPr>
        <w:t xml:space="preserve">        wrapper.orderByAsc(ShopProduct::getPrice);</w:t>
      </w:r>
      <w:r>
        <w:rPr>
          <w:rFonts w:ascii="宋体" w:hAnsi="宋体" w:cs="宋体"/>
          <w:color w:val="000000"/>
          <w:sz w:val="24"/>
        </w:rPr>
        <w:br w:type="textWrapping"/>
      </w:r>
      <w:r>
        <w:rPr>
          <w:rFonts w:ascii="宋体" w:hAnsi="宋体" w:cs="宋体"/>
          <w:color w:val="000000"/>
          <w:sz w:val="24"/>
        </w:rPr>
        <w:t xml:space="preserve">    } else if ("sales".equals(queryDTO.getOrderBy())) {</w:t>
      </w:r>
      <w:r>
        <w:rPr>
          <w:rFonts w:ascii="宋体" w:hAnsi="宋体" w:cs="宋体"/>
          <w:color w:val="000000"/>
          <w:sz w:val="24"/>
        </w:rPr>
        <w:br w:type="textWrapping"/>
      </w:r>
      <w:r>
        <w:rPr>
          <w:rFonts w:ascii="宋体" w:hAnsi="宋体" w:cs="宋体"/>
          <w:color w:val="000000"/>
          <w:sz w:val="24"/>
        </w:rPr>
        <w:t xml:space="preserve">        wrapper.orderByDesc(ShopProduct::getSales);</w:t>
      </w:r>
      <w:r>
        <w:rPr>
          <w:rFonts w:ascii="宋体" w:hAnsi="宋体" w:cs="宋体"/>
          <w:color w:val="000000"/>
          <w:sz w:val="24"/>
        </w:rPr>
        <w:br w:type="textWrapping"/>
      </w:r>
      <w:r>
        <w:rPr>
          <w:rFonts w:ascii="宋体" w:hAnsi="宋体" w:cs="宋体"/>
          <w:color w:val="000000"/>
          <w:sz w:val="24"/>
        </w:rPr>
        <w:t xml:space="preserve">    } else {</w:t>
      </w:r>
      <w:r>
        <w:rPr>
          <w:rFonts w:ascii="宋体" w:hAnsi="宋体" w:cs="宋体"/>
          <w:color w:val="000000"/>
          <w:sz w:val="24"/>
        </w:rPr>
        <w:br w:type="textWrapping"/>
      </w:r>
      <w:r>
        <w:rPr>
          <w:rFonts w:ascii="宋体" w:hAnsi="宋体" w:cs="宋体"/>
          <w:color w:val="000000"/>
          <w:sz w:val="24"/>
        </w:rPr>
        <w:t xml:space="preserve">        wrapper.orderByDesc(ShopProduct::getCreateTime);</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Page&lt;ShopProduct&gt; productPage = this.page(page, wrapper);</w:t>
      </w:r>
      <w:r>
        <w:rPr>
          <w:rFonts w:ascii="宋体" w:hAnsi="宋体" w:cs="宋体"/>
          <w:color w:val="000000"/>
          <w:sz w:val="24"/>
        </w:rPr>
        <w:br w:type="textWrapping"/>
      </w:r>
      <w:r>
        <w:rPr>
          <w:rFonts w:ascii="宋体" w:hAnsi="宋体" w:cs="宋体"/>
          <w:color w:val="000000"/>
          <w:sz w:val="24"/>
        </w:rPr>
        <w:t xml:space="preserve">    // 转换为响应DTO</w:t>
      </w:r>
      <w:r>
        <w:rPr>
          <w:rFonts w:ascii="宋体" w:hAnsi="宋体" w:cs="宋体"/>
          <w:color w:val="000000"/>
          <w:sz w:val="24"/>
        </w:rPr>
        <w:br w:type="textWrapping"/>
      </w:r>
      <w:r>
        <w:rPr>
          <w:rFonts w:ascii="宋体" w:hAnsi="宋体" w:cs="宋体"/>
          <w:color w:val="000000"/>
          <w:sz w:val="24"/>
        </w:rPr>
        <w:t xml:space="preserve">    List&lt;ShopProductListResponseDTO&gt; responseDTOList = productPage.getRecords().stream()</w:t>
      </w:r>
      <w:r>
        <w:rPr>
          <w:rFonts w:ascii="宋体" w:hAnsi="宋体" w:cs="宋体"/>
          <w:color w:val="000000"/>
          <w:sz w:val="24"/>
        </w:rPr>
        <w:br w:type="textWrapping"/>
      </w:r>
      <w:r>
        <w:rPr>
          <w:rFonts w:ascii="宋体" w:hAnsi="宋体" w:cs="宋体"/>
          <w:color w:val="000000"/>
          <w:sz w:val="24"/>
        </w:rPr>
        <w:t xml:space="preserve">            .map(product -&gt; {</w:t>
      </w:r>
      <w:r>
        <w:rPr>
          <w:rFonts w:ascii="宋体" w:hAnsi="宋体" w:cs="宋体"/>
          <w:color w:val="000000"/>
          <w:sz w:val="24"/>
        </w:rPr>
        <w:br w:type="textWrapping"/>
      </w:r>
      <w:r>
        <w:rPr>
          <w:rFonts w:ascii="宋体" w:hAnsi="宋体" w:cs="宋体"/>
          <w:color w:val="000000"/>
          <w:sz w:val="24"/>
        </w:rPr>
        <w:t xml:space="preserve">                ShopProductListResponseDTO dto = ShopProductConvert.entityToListResponse(product);</w:t>
      </w:r>
      <w:r>
        <w:rPr>
          <w:rFonts w:ascii="宋体" w:hAnsi="宋体" w:cs="宋体"/>
          <w:color w:val="000000"/>
          <w:sz w:val="24"/>
        </w:rPr>
        <w:br w:type="textWrapping"/>
      </w:r>
      <w:r>
        <w:rPr>
          <w:rFonts w:ascii="宋体" w:hAnsi="宋体" w:cs="宋体"/>
          <w:color w:val="000000"/>
          <w:sz w:val="24"/>
        </w:rPr>
        <w:t xml:space="preserve">                // 填充主图路径</w:t>
      </w:r>
      <w:r>
        <w:rPr>
          <w:rFonts w:ascii="宋体" w:hAnsi="宋体" w:cs="宋体"/>
          <w:color w:val="000000"/>
          <w:sz w:val="24"/>
        </w:rPr>
        <w:br w:type="textWrapping"/>
      </w:r>
      <w:r>
        <w:rPr>
          <w:rFonts w:ascii="宋体" w:hAnsi="宋体" w:cs="宋体"/>
          <w:color w:val="000000"/>
          <w:sz w:val="24"/>
        </w:rPr>
        <w:t xml:space="preserve">                if (product.getMainImageId() != null) {</w:t>
      </w:r>
      <w:r>
        <w:rPr>
          <w:rFonts w:ascii="宋体" w:hAnsi="宋体" w:cs="宋体"/>
          <w:color w:val="000000"/>
          <w:sz w:val="24"/>
        </w:rPr>
        <w:br w:type="textWrapping"/>
      </w:r>
      <w:r>
        <w:rPr>
          <w:rFonts w:ascii="宋体" w:hAnsi="宋体" w:cs="宋体"/>
          <w:color w:val="000000"/>
          <w:sz w:val="24"/>
        </w:rPr>
        <w:t xml:space="preserve">                    SysFileInfo mainImage = sysFileInfoMapper.selectById(product.getMainImageId());</w:t>
      </w:r>
      <w:r>
        <w:rPr>
          <w:rFonts w:ascii="宋体" w:hAnsi="宋体" w:cs="宋体"/>
          <w:color w:val="000000"/>
          <w:sz w:val="24"/>
        </w:rPr>
        <w:br w:type="textWrapping"/>
      </w:r>
      <w:r>
        <w:rPr>
          <w:rFonts w:ascii="宋体" w:hAnsi="宋体" w:cs="宋体"/>
          <w:color w:val="000000"/>
          <w:sz w:val="24"/>
        </w:rPr>
        <w:t xml:space="preserve">                    if (mainImage != null) {</w:t>
      </w:r>
      <w:r>
        <w:rPr>
          <w:rFonts w:ascii="宋体" w:hAnsi="宋体" w:cs="宋体"/>
          <w:color w:val="000000"/>
          <w:sz w:val="24"/>
        </w:rPr>
        <w:br w:type="textWrapping"/>
      </w:r>
      <w:r>
        <w:rPr>
          <w:rFonts w:ascii="宋体" w:hAnsi="宋体" w:cs="宋体"/>
          <w:color w:val="000000"/>
          <w:sz w:val="24"/>
        </w:rPr>
        <w:t xml:space="preserve">                        dto.setMainImagePath(mainImage.getFilePath());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填充分类名称</w:t>
      </w:r>
      <w:r>
        <w:rPr>
          <w:rFonts w:ascii="宋体" w:hAnsi="宋体" w:cs="宋体"/>
          <w:color w:val="000000"/>
          <w:sz w:val="24"/>
        </w:rPr>
        <w:br w:type="textWrapping"/>
      </w:r>
      <w:r>
        <w:rPr>
          <w:rFonts w:ascii="宋体" w:hAnsi="宋体" w:cs="宋体"/>
          <w:color w:val="000000"/>
          <w:sz w:val="24"/>
        </w:rPr>
        <w:t xml:space="preserve">                ShopCategory category = shopCategoryService.getById(product.getCategoryId());</w:t>
      </w:r>
      <w:r>
        <w:rPr>
          <w:rFonts w:ascii="宋体" w:hAnsi="宋体" w:cs="宋体"/>
          <w:color w:val="000000"/>
          <w:sz w:val="24"/>
        </w:rPr>
        <w:br w:type="textWrapping"/>
      </w:r>
      <w:r>
        <w:rPr>
          <w:rFonts w:ascii="宋体" w:hAnsi="宋体" w:cs="宋体"/>
          <w:color w:val="000000"/>
          <w:sz w:val="24"/>
        </w:rPr>
        <w:t xml:space="preserve">                if (category != null) {</w:t>
      </w:r>
      <w:r>
        <w:rPr>
          <w:rFonts w:ascii="宋体" w:hAnsi="宋体" w:cs="宋体"/>
          <w:color w:val="000000"/>
          <w:sz w:val="24"/>
        </w:rPr>
        <w:br w:type="textWrapping"/>
      </w:r>
      <w:r>
        <w:rPr>
          <w:rFonts w:ascii="宋体" w:hAnsi="宋体" w:cs="宋体"/>
          <w:color w:val="000000"/>
          <w:sz w:val="24"/>
        </w:rPr>
        <w:t xml:space="preserve">                    dto.setCategoryName(category.getName());</w:t>
      </w:r>
      <w:r>
        <w:rPr>
          <w:rFonts w:ascii="宋体" w:hAnsi="宋体" w:cs="宋体"/>
          <w:color w:val="000000"/>
          <w:sz w:val="24"/>
        </w:rPr>
        <w:br w:type="textWrapping"/>
      </w:r>
      <w:r>
        <w:rPr>
          <w:rFonts w:ascii="宋体" w:hAnsi="宋体" w:cs="宋体"/>
          <w:color w:val="000000"/>
          <w:sz w:val="24"/>
        </w:rPr>
        <w:t xml:space="preserve">                }           </w:t>
      </w:r>
      <w:r>
        <w:rPr>
          <w:rFonts w:ascii="宋体" w:hAnsi="宋体" w:cs="宋体"/>
          <w:color w:val="000000"/>
          <w:sz w:val="24"/>
        </w:rPr>
        <w:br w:type="textWrapping"/>
      </w:r>
      <w:r>
        <w:rPr>
          <w:rFonts w:ascii="宋体" w:hAnsi="宋体" w:cs="宋体"/>
          <w:color w:val="000000"/>
          <w:sz w:val="24"/>
        </w:rPr>
        <w:t xml:space="preserve">                return dto;</w:t>
      </w:r>
    </w:p>
    <w:p w14:paraId="7B829AA0">
      <w:pPr>
        <w:spacing w:line="440" w:lineRule="exact"/>
        <w:ind w:firstLine="480" w:firstLineChars="200"/>
        <w:jc w:val="left"/>
        <w:rPr>
          <w:rFonts w:ascii="宋体" w:hAnsi="宋体" w:cs="宋体"/>
          <w:color w:val="000000"/>
          <w:sz w:val="24"/>
        </w:rPr>
      </w:pPr>
      <w:r>
        <w:rPr>
          <w:rFonts w:ascii="宋体" w:hAnsi="宋体" w:cs="宋体"/>
          <w:color w:val="000000"/>
          <w:sz w:val="24"/>
        </w:rPr>
        <w:t>   }  </w:t>
      </w:r>
    </w:p>
    <w:p w14:paraId="7DE03AF8">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(2)</w:t>
      </w:r>
      <w:r>
        <w:rPr>
          <w:rFonts w:ascii="宋体" w:hAnsi="宋体" w:cs="宋体"/>
          <w:color w:val="000000"/>
          <w:sz w:val="24"/>
        </w:rPr>
        <w:t>商品详情展示功能实现</w:t>
      </w:r>
    </w:p>
    <w:p w14:paraId="6F509711">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20704" behindDoc="0" locked="0" layoutInCell="1" allowOverlap="1">
            <wp:simplePos x="0" y="0"/>
            <wp:positionH relativeFrom="column">
              <wp:posOffset>245745</wp:posOffset>
            </wp:positionH>
            <wp:positionV relativeFrom="paragraph">
              <wp:posOffset>262890</wp:posOffset>
            </wp:positionV>
            <wp:extent cx="5267960" cy="2940685"/>
            <wp:effectExtent l="0" t="0" r="5080" b="635"/>
            <wp:wrapTopAndBottom/>
            <wp:docPr id="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6"/>
                    <pic:cNvPicPr>
                      <a:picLocks noChangeAspect="1"/>
                    </pic:cNvPicPr>
                  </pic:nvPicPr>
                  <pic:blipFill>
                    <a:blip r:embed="rId208"/>
                    <a:stretch>
                      <a:fillRect/>
                    </a:stretch>
                  </pic:blipFill>
                  <pic:spPr>
                    <a:xfrm>
                      <a:off x="0" y="0"/>
                      <a:ext cx="5267960" cy="2940685"/>
                    </a:xfrm>
                    <a:prstGeom prst="rect">
                      <a:avLst/>
                    </a:prstGeom>
                    <a:noFill/>
                    <a:ln>
                      <a:noFill/>
                    </a:ln>
                  </pic:spPr>
                </pic:pic>
              </a:graphicData>
            </a:graphic>
          </wp:anchor>
        </w:drawing>
      </w:r>
      <w:r>
        <w:rPr>
          <w:rFonts w:hint="eastAsia" w:ascii="宋体" w:hAnsi="宋体" w:cs="宋体"/>
          <w:sz w:val="21"/>
          <w:szCs w:val="21"/>
        </w:rPr>
        <w:t>图4-16 商品详情展示界面</w:t>
      </w:r>
    </w:p>
    <w:p w14:paraId="2851599B">
      <w:pPr>
        <w:spacing w:line="440" w:lineRule="exact"/>
        <w:ind w:firstLine="480" w:firstLineChars="200"/>
        <w:jc w:val="left"/>
        <w:rPr>
          <w:rFonts w:ascii="宋体" w:hAnsi="宋体" w:cs="宋体"/>
          <w:color w:val="000000"/>
          <w:sz w:val="24"/>
        </w:rPr>
      </w:pPr>
      <w:r>
        <w:rPr>
          <w:rFonts w:ascii="宋体" w:hAnsi="宋体" w:cs="宋体"/>
          <w:color w:val="000000"/>
          <w:sz w:val="24"/>
        </w:rPr>
        <w:t>以下是商品详情展示功能的核心代码。后端代码查询商品信息和关联的图片列表、分类信息。</w:t>
      </w:r>
    </w:p>
    <w:p w14:paraId="0F4744FD">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后端核心代码(ShopProductService.java):</w:t>
      </w:r>
    </w:p>
    <w:p w14:paraId="6804794A">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查询商品图片列表</w:t>
      </w:r>
      <w:r>
        <w:rPr>
          <w:rFonts w:ascii="宋体" w:hAnsi="宋体" w:cs="宋体"/>
          <w:color w:val="000000"/>
          <w:sz w:val="24"/>
        </w:rPr>
        <w:br w:type="textWrapping"/>
      </w:r>
      <w:r>
        <w:rPr>
          <w:rFonts w:ascii="宋体" w:hAnsi="宋体" w:cs="宋体"/>
          <w:color w:val="000000"/>
          <w:sz w:val="24"/>
        </w:rPr>
        <w:t xml:space="preserve">    LambdaQueryWrapper&lt;SysFileInfo&gt; fileWrapper = new LambdaQueryWrapper&lt;&gt;();</w:t>
      </w:r>
      <w:r>
        <w:rPr>
          <w:rFonts w:ascii="宋体" w:hAnsi="宋体" w:cs="宋体"/>
          <w:color w:val="000000"/>
          <w:sz w:val="24"/>
        </w:rPr>
        <w:br w:type="textWrapping"/>
      </w:r>
      <w:r>
        <w:rPr>
          <w:rFonts w:ascii="宋体" w:hAnsi="宋体" w:cs="宋体"/>
          <w:color w:val="000000"/>
          <w:sz w:val="24"/>
        </w:rPr>
        <w:t xml:space="preserve">    fileWrapper.eq(SysFileInfo::getBusinessType, FileBusinessTypeEnum.SHOP_PRODUCT.getCode())</w:t>
      </w:r>
      <w:r>
        <w:rPr>
          <w:rFonts w:ascii="宋体" w:hAnsi="宋体" w:cs="宋体"/>
          <w:color w:val="000000"/>
          <w:sz w:val="24"/>
        </w:rPr>
        <w:br w:type="textWrapping"/>
      </w:r>
      <w:r>
        <w:rPr>
          <w:rFonts w:ascii="宋体" w:hAnsi="宋体" w:cs="宋体"/>
          <w:color w:val="000000"/>
          <w:sz w:val="24"/>
        </w:rPr>
        <w:t xml:space="preserve">               .eq(SysFileInfo::getBusinessId, id)</w:t>
      </w:r>
      <w:r>
        <w:rPr>
          <w:rFonts w:ascii="宋体" w:hAnsi="宋体" w:cs="宋体"/>
          <w:color w:val="000000"/>
          <w:sz w:val="24"/>
        </w:rPr>
        <w:br w:type="textWrapping"/>
      </w:r>
      <w:r>
        <w:rPr>
          <w:rFonts w:ascii="宋体" w:hAnsi="宋体" w:cs="宋体"/>
          <w:color w:val="000000"/>
          <w:sz w:val="24"/>
        </w:rPr>
        <w:t xml:space="preserve">               .eq(SysFileInfo::getBusinessField, "images")</w:t>
      </w:r>
      <w:r>
        <w:rPr>
          <w:rFonts w:ascii="宋体" w:hAnsi="宋体" w:cs="宋体"/>
          <w:color w:val="000000"/>
          <w:sz w:val="24"/>
        </w:rPr>
        <w:br w:type="textWrapping"/>
      </w:r>
      <w:r>
        <w:rPr>
          <w:rFonts w:ascii="宋体" w:hAnsi="宋体" w:cs="宋体"/>
          <w:color w:val="000000"/>
          <w:sz w:val="24"/>
        </w:rPr>
        <w:t xml:space="preserve">               .eq(SysFileInfo::getStatus, 1)</w:t>
      </w:r>
      <w:r>
        <w:rPr>
          <w:rFonts w:ascii="宋体" w:hAnsi="宋体" w:cs="宋体"/>
          <w:color w:val="000000"/>
          <w:sz w:val="24"/>
        </w:rPr>
        <w:br w:type="textWrapping"/>
      </w:r>
      <w:r>
        <w:rPr>
          <w:rFonts w:ascii="宋体" w:hAnsi="宋体" w:cs="宋体"/>
          <w:color w:val="000000"/>
          <w:sz w:val="24"/>
        </w:rPr>
        <w:t xml:space="preserve">               .orderByAsc(SysFileInfo::getCreateTime);</w:t>
      </w:r>
      <w:r>
        <w:rPr>
          <w:rFonts w:ascii="宋体" w:hAnsi="宋体" w:cs="宋体"/>
          <w:color w:val="000000"/>
          <w:sz w:val="24"/>
        </w:rPr>
        <w:br w:type="textWrapping"/>
      </w:r>
      <w:r>
        <w:rPr>
          <w:rFonts w:ascii="宋体" w:hAnsi="宋体" w:cs="宋体"/>
          <w:color w:val="000000"/>
          <w:sz w:val="24"/>
        </w:rPr>
        <w:t xml:space="preserve">    List&lt;SysFileInfo&gt; imageFiles = sysFileInfoMapper.selectList(fileWrapper);</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List&lt;ShopProductImageResponseDTO&gt; images = imageFiles.stream()</w:t>
      </w:r>
      <w:r>
        <w:rPr>
          <w:rFonts w:ascii="宋体" w:hAnsi="宋体" w:cs="宋体"/>
          <w:color w:val="000000"/>
          <w:sz w:val="24"/>
        </w:rPr>
        <w:br w:type="textWrapping"/>
      </w:r>
      <w:r>
        <w:rPr>
          <w:rFonts w:ascii="宋体" w:hAnsi="宋体" w:cs="宋体"/>
          <w:color w:val="000000"/>
          <w:sz w:val="24"/>
        </w:rPr>
        <w:t xml:space="preserve">            .map(file -&gt; ShopProductImageResponseDTO.builder()</w:t>
      </w:r>
      <w:r>
        <w:rPr>
          <w:rFonts w:ascii="宋体" w:hAnsi="宋体" w:cs="宋体"/>
          <w:color w:val="000000"/>
          <w:sz w:val="24"/>
        </w:rPr>
        <w:br w:type="textWrapping"/>
      </w:r>
      <w:r>
        <w:rPr>
          <w:rFonts w:ascii="宋体" w:hAnsi="宋体" w:cs="宋体"/>
          <w:color w:val="000000"/>
          <w:sz w:val="24"/>
        </w:rPr>
        <w:t xml:space="preserve">                    .id(file.getId())</w:t>
      </w:r>
      <w:r>
        <w:rPr>
          <w:rFonts w:ascii="宋体" w:hAnsi="宋体" w:cs="宋体"/>
          <w:color w:val="000000"/>
          <w:sz w:val="24"/>
        </w:rPr>
        <w:br w:type="textWrapping"/>
      </w:r>
      <w:r>
        <w:rPr>
          <w:rFonts w:ascii="宋体" w:hAnsi="宋体" w:cs="宋体"/>
          <w:color w:val="000000"/>
          <w:sz w:val="24"/>
        </w:rPr>
        <w:t xml:space="preserve">                    .url(file.getFilePath())</w:t>
      </w:r>
      <w:r>
        <w:rPr>
          <w:rFonts w:ascii="宋体" w:hAnsi="宋体" w:cs="宋体"/>
          <w:color w:val="000000"/>
          <w:sz w:val="24"/>
        </w:rPr>
        <w:br w:type="textWrapping"/>
      </w:r>
      <w:r>
        <w:rPr>
          <w:rFonts w:ascii="宋体" w:hAnsi="宋体" w:cs="宋体"/>
          <w:color w:val="000000"/>
          <w:sz w:val="24"/>
        </w:rPr>
        <w:t xml:space="preserve">                    .build())</w:t>
      </w:r>
      <w:r>
        <w:rPr>
          <w:rFonts w:ascii="宋体" w:hAnsi="宋体" w:cs="宋体"/>
          <w:color w:val="000000"/>
          <w:sz w:val="24"/>
        </w:rPr>
        <w:br w:type="textWrapping"/>
      </w:r>
      <w:r>
        <w:rPr>
          <w:rFonts w:ascii="宋体" w:hAnsi="宋体" w:cs="宋体"/>
          <w:color w:val="000000"/>
          <w:sz w:val="24"/>
        </w:rPr>
        <w:t xml:space="preserve">            .collect(Collectors.toList());</w:t>
      </w:r>
      <w:r>
        <w:rPr>
          <w:rFonts w:ascii="宋体" w:hAnsi="宋体" w:cs="宋体"/>
          <w:color w:val="000000"/>
          <w:sz w:val="24"/>
        </w:rPr>
        <w:br w:type="textWrapping"/>
      </w:r>
      <w:r>
        <w:rPr>
          <w:rFonts w:ascii="宋体" w:hAnsi="宋体" w:cs="宋体"/>
          <w:color w:val="000000"/>
          <w:sz w:val="24"/>
        </w:rPr>
        <w:t xml:space="preserve">    response.setImages(images);</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 查询分类信息</w:t>
      </w:r>
      <w:r>
        <w:rPr>
          <w:rFonts w:ascii="宋体" w:hAnsi="宋体" w:cs="宋体"/>
          <w:color w:val="000000"/>
          <w:sz w:val="24"/>
        </w:rPr>
        <w:br w:type="textWrapping"/>
      </w:r>
      <w:r>
        <w:rPr>
          <w:rFonts w:ascii="宋体" w:hAnsi="宋体" w:cs="宋体"/>
          <w:color w:val="000000"/>
          <w:sz w:val="24"/>
        </w:rPr>
        <w:t xml:space="preserve">    ShopCategory category = shopCategoryService.getById(product.getCategoryId());</w:t>
      </w:r>
      <w:r>
        <w:rPr>
          <w:rFonts w:ascii="宋体" w:hAnsi="宋体" w:cs="宋体"/>
          <w:color w:val="000000"/>
          <w:sz w:val="24"/>
        </w:rPr>
        <w:br w:type="textWrapping"/>
      </w:r>
      <w:r>
        <w:rPr>
          <w:rFonts w:ascii="宋体" w:hAnsi="宋体" w:cs="宋体"/>
          <w:color w:val="000000"/>
          <w:sz w:val="24"/>
        </w:rPr>
        <w:t xml:space="preserve">    if (category != null) {</w:t>
      </w:r>
      <w:r>
        <w:rPr>
          <w:rFonts w:ascii="宋体" w:hAnsi="宋体" w:cs="宋体"/>
          <w:color w:val="000000"/>
          <w:sz w:val="24"/>
        </w:rPr>
        <w:br w:type="textWrapping"/>
      </w:r>
      <w:r>
        <w:rPr>
          <w:rFonts w:ascii="宋体" w:hAnsi="宋体" w:cs="宋体"/>
          <w:color w:val="000000"/>
          <w:sz w:val="24"/>
        </w:rPr>
        <w:t xml:space="preserve">        response.setCategoryName(category.getName());</w:t>
      </w:r>
      <w:r>
        <w:rPr>
          <w:rFonts w:ascii="宋体" w:hAnsi="宋体" w:cs="宋体"/>
          <w:color w:val="000000"/>
          <w:sz w:val="24"/>
        </w:rPr>
        <w:br w:type="textWrapping"/>
      </w:r>
      <w:r>
        <w:rPr>
          <w:rFonts w:ascii="宋体" w:hAnsi="宋体" w:cs="宋体"/>
          <w:color w:val="000000"/>
          <w:sz w:val="24"/>
        </w:rPr>
        <w:t xml:space="preserve">        response.setCategoryPath(category.getPath());</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w:t>
      </w:r>
      <w:r>
        <w:rPr>
          <w:rFonts w:ascii="宋体" w:hAnsi="宋体" w:cs="宋体"/>
          <w:color w:val="000000"/>
          <w:sz w:val="24"/>
        </w:rPr>
        <w:br w:type="textWrapping"/>
      </w:r>
      <w:r>
        <w:rPr>
          <w:rFonts w:ascii="宋体" w:hAnsi="宋体" w:cs="宋体"/>
          <w:color w:val="000000"/>
          <w:sz w:val="24"/>
        </w:rPr>
        <w:t xml:space="preserve">    log.info("商品详情获取成功，ID: {}", id);</w:t>
      </w:r>
      <w:r>
        <w:rPr>
          <w:rFonts w:ascii="宋体" w:hAnsi="宋体" w:cs="宋体"/>
          <w:color w:val="000000"/>
          <w:sz w:val="24"/>
        </w:rPr>
        <w:br w:type="textWrapping"/>
      </w:r>
      <w:r>
        <w:rPr>
          <w:rFonts w:ascii="宋体" w:hAnsi="宋体" w:cs="宋体"/>
          <w:color w:val="000000"/>
          <w:sz w:val="24"/>
        </w:rPr>
        <w:t xml:space="preserve">    return response;</w:t>
      </w:r>
      <w:r>
        <w:rPr>
          <w:rFonts w:ascii="宋体" w:hAnsi="宋体" w:cs="宋体"/>
          <w:color w:val="000000"/>
          <w:sz w:val="24"/>
        </w:rPr>
        <w:br w:type="textWrapping"/>
      </w:r>
      <w:r>
        <w:rPr>
          <w:rFonts w:ascii="宋体" w:hAnsi="宋体" w:cs="宋体"/>
          <w:color w:val="000000"/>
          <w:sz w:val="24"/>
        </w:rPr>
        <w:t>}</w:t>
      </w:r>
    </w:p>
    <w:p w14:paraId="75A4110D">
      <w:pPr>
        <w:spacing w:line="440" w:lineRule="exact"/>
        <w:ind w:firstLine="480" w:firstLineChars="200"/>
        <w:jc w:val="left"/>
        <w:rPr>
          <w:rFonts w:ascii="宋体" w:hAnsi="宋体" w:cs="宋体"/>
          <w:color w:val="000000"/>
          <w:sz w:val="24"/>
        </w:rPr>
      </w:pPr>
      <w:r>
        <w:rPr>
          <w:rFonts w:hint="eastAsia" w:ascii="宋体" w:hAnsi="宋体" w:cs="宋体"/>
          <w:color w:val="000000"/>
          <w:sz w:val="24"/>
          <w:lang w:val="en-US" w:eastAsia="zh-CN"/>
        </w:rPr>
        <w:t>(3)</w:t>
      </w:r>
      <w:r>
        <w:rPr>
          <w:rFonts w:ascii="宋体" w:hAnsi="宋体" w:cs="宋体"/>
          <w:color w:val="000000"/>
          <w:sz w:val="24"/>
        </w:rPr>
        <w:t>订单创建功能实现</w:t>
      </w:r>
    </w:p>
    <w:p w14:paraId="4459635A">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cs="宋体"/>
          <w:sz w:val="21"/>
          <w:szCs w:val="21"/>
        </w:rPr>
      </w:pPr>
      <w:r>
        <w:rPr>
          <w:rFonts w:hint="eastAsia" w:ascii="宋体" w:hAnsi="宋体" w:cs="宋体"/>
          <w:sz w:val="21"/>
          <w:szCs w:val="21"/>
        </w:rPr>
        <w:drawing>
          <wp:anchor distT="0" distB="0" distL="114300" distR="114300" simplePos="0" relativeHeight="251721728" behindDoc="0" locked="0" layoutInCell="1" allowOverlap="1">
            <wp:simplePos x="0" y="0"/>
            <wp:positionH relativeFrom="column">
              <wp:posOffset>158115</wp:posOffset>
            </wp:positionH>
            <wp:positionV relativeFrom="paragraph">
              <wp:posOffset>17145</wp:posOffset>
            </wp:positionV>
            <wp:extent cx="5264150" cy="2959735"/>
            <wp:effectExtent l="0" t="0" r="8890" b="12065"/>
            <wp:wrapTopAndBottom/>
            <wp:docPr id="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
                    <pic:cNvPicPr>
                      <a:picLocks noChangeAspect="1"/>
                    </pic:cNvPicPr>
                  </pic:nvPicPr>
                  <pic:blipFill>
                    <a:blip r:embed="rId209"/>
                    <a:stretch>
                      <a:fillRect/>
                    </a:stretch>
                  </pic:blipFill>
                  <pic:spPr>
                    <a:xfrm>
                      <a:off x="0" y="0"/>
                      <a:ext cx="5264150" cy="2959735"/>
                    </a:xfrm>
                    <a:prstGeom prst="rect">
                      <a:avLst/>
                    </a:prstGeom>
                    <a:noFill/>
                    <a:ln>
                      <a:noFill/>
                    </a:ln>
                  </pic:spPr>
                </pic:pic>
              </a:graphicData>
            </a:graphic>
          </wp:anchor>
        </w:drawing>
      </w:r>
      <w:r>
        <w:rPr>
          <w:rFonts w:hint="eastAsia" w:ascii="宋体" w:hAnsi="宋体" w:cs="宋体"/>
          <w:sz w:val="21"/>
          <w:szCs w:val="21"/>
        </w:rPr>
        <w:t>图4-17 商品添加界面</w:t>
      </w:r>
    </w:p>
    <w:p w14:paraId="21069C82">
      <w:pPr>
        <w:spacing w:line="440" w:lineRule="exact"/>
        <w:ind w:firstLine="480" w:firstLineChars="200"/>
        <w:jc w:val="left"/>
        <w:rPr>
          <w:rFonts w:ascii="宋体" w:hAnsi="宋体" w:cs="宋体"/>
          <w:color w:val="000000"/>
          <w:sz w:val="24"/>
        </w:rPr>
      </w:pPr>
      <w:r>
        <w:rPr>
          <w:rFonts w:ascii="宋体" w:hAnsi="宋体" w:cs="宋体"/>
          <w:color w:val="000000"/>
          <w:sz w:val="24"/>
        </w:rPr>
        <w:t>以下是订单创建功能的核心代码。后端代码验证商品和地址,计算金额,使用事务确保订单创建的原子性。</w:t>
      </w:r>
    </w:p>
    <w:p w14:paraId="20B92A74">
      <w:pPr>
        <w:spacing w:line="440" w:lineRule="exact"/>
        <w:ind w:firstLine="480" w:firstLineChars="200"/>
        <w:jc w:val="left"/>
        <w:rPr>
          <w:rFonts w:ascii="宋体" w:hAnsi="宋体" w:cs="宋体"/>
          <w:color w:val="000000"/>
          <w:sz w:val="24"/>
        </w:rPr>
      </w:pPr>
      <w:r>
        <w:rPr>
          <w:rFonts w:ascii="宋体" w:hAnsi="宋体" w:cs="宋体"/>
          <w:color w:val="000000"/>
          <w:sz w:val="24"/>
        </w:rPr>
        <w:t>后端核心代码(OrderService.java):</w:t>
      </w:r>
    </w:p>
    <w:p w14:paraId="5DAFF630">
      <w:pPr>
        <w:spacing w:line="440" w:lineRule="exact"/>
        <w:ind w:firstLine="480" w:firstLineChars="200"/>
        <w:jc w:val="left"/>
        <w:rPr>
          <w:rFonts w:ascii="宋体" w:hAnsi="宋体" w:cs="宋体"/>
          <w:color w:val="000000"/>
          <w:sz w:val="24"/>
        </w:rPr>
      </w:pPr>
      <w:r>
        <w:rPr>
          <w:rFonts w:ascii="宋体" w:hAnsi="宋体" w:cs="宋体"/>
          <w:color w:val="000000"/>
          <w:sz w:val="24"/>
        </w:rPr>
        <w:t xml:space="preserve">    // 1. 验证商品</w:t>
      </w:r>
      <w:r>
        <w:rPr>
          <w:rFonts w:ascii="宋体" w:hAnsi="宋体" w:cs="宋体"/>
          <w:color w:val="000000"/>
          <w:sz w:val="24"/>
        </w:rPr>
        <w:br w:type="textWrapping"/>
      </w:r>
      <w:r>
        <w:rPr>
          <w:rFonts w:ascii="宋体" w:hAnsi="宋体" w:cs="宋体"/>
          <w:color w:val="000000"/>
          <w:sz w:val="24"/>
        </w:rPr>
        <w:t xml:space="preserve">    ShopProduct product = shopProductMapper.selectById(dto.getProductId());</w:t>
      </w:r>
      <w:r>
        <w:rPr>
          <w:rFonts w:ascii="宋体" w:hAnsi="宋体" w:cs="宋体"/>
          <w:color w:val="000000"/>
          <w:sz w:val="24"/>
        </w:rPr>
        <w:br w:type="textWrapping"/>
      </w:r>
      <w:r>
        <w:rPr>
          <w:rFonts w:ascii="宋体" w:hAnsi="宋体" w:cs="宋体"/>
          <w:color w:val="000000"/>
          <w:sz w:val="24"/>
        </w:rPr>
        <w:t xml:space="preserve">    if (product == null) {</w:t>
      </w:r>
      <w:r>
        <w:rPr>
          <w:rFonts w:ascii="宋体" w:hAnsi="宋体" w:cs="宋体"/>
          <w:color w:val="000000"/>
          <w:sz w:val="24"/>
        </w:rPr>
        <w:br w:type="textWrapping"/>
      </w:r>
      <w:r>
        <w:rPr>
          <w:rFonts w:ascii="宋体" w:hAnsi="宋体" w:cs="宋体"/>
          <w:color w:val="000000"/>
          <w:sz w:val="24"/>
        </w:rPr>
        <w:t xml:space="preserve">        throw new BusinessException("商品不存在");</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if (!product.canPurchase()) {</w:t>
      </w:r>
      <w:r>
        <w:rPr>
          <w:rFonts w:ascii="宋体" w:hAnsi="宋体" w:cs="宋体"/>
          <w:color w:val="000000"/>
          <w:sz w:val="24"/>
        </w:rPr>
        <w:br w:type="textWrapping"/>
      </w:r>
      <w:r>
        <w:rPr>
          <w:rFonts w:ascii="宋体" w:hAnsi="宋体" w:cs="宋体"/>
          <w:color w:val="000000"/>
          <w:sz w:val="24"/>
        </w:rPr>
        <w:t xml:space="preserve">        throw new BusinessException("商品已下架或库存不足");</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if (!product.checkStock(dto.getQuantity())) {</w:t>
      </w:r>
      <w:r>
        <w:rPr>
          <w:rFonts w:ascii="宋体" w:hAnsi="宋体" w:cs="宋体"/>
          <w:color w:val="000000"/>
          <w:sz w:val="24"/>
        </w:rPr>
        <w:br w:type="textWrapping"/>
      </w:r>
      <w:r>
        <w:rPr>
          <w:rFonts w:ascii="宋体" w:hAnsi="宋体" w:cs="宋体"/>
          <w:color w:val="000000"/>
          <w:sz w:val="24"/>
        </w:rPr>
        <w:t xml:space="preserve">        throw new BusinessException("商品库存不足");</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2. 验证收货地址</w:t>
      </w:r>
      <w:r>
        <w:rPr>
          <w:rFonts w:ascii="宋体" w:hAnsi="宋体" w:cs="宋体"/>
          <w:color w:val="000000"/>
          <w:sz w:val="24"/>
        </w:rPr>
        <w:br w:type="textWrapping"/>
      </w:r>
      <w:r>
        <w:rPr>
          <w:rFonts w:ascii="宋体" w:hAnsi="宋体" w:cs="宋体"/>
          <w:color w:val="000000"/>
          <w:sz w:val="24"/>
        </w:rPr>
        <w:t xml:space="preserve">    UserAddress address = userAddressService.getAddressEntityById(dto.getAddressId());</w:t>
      </w:r>
      <w:r>
        <w:rPr>
          <w:rFonts w:ascii="宋体" w:hAnsi="宋体" w:cs="宋体"/>
          <w:color w:val="000000"/>
          <w:sz w:val="24"/>
        </w:rPr>
        <w:br w:type="textWrapping"/>
      </w:r>
      <w:r>
        <w:rPr>
          <w:rFonts w:ascii="宋体" w:hAnsi="宋体" w:cs="宋体"/>
          <w:color w:val="000000"/>
          <w:sz w:val="24"/>
        </w:rPr>
        <w:t xml:space="preserve">    if (!address.getUserId().equals(userId)) {</w:t>
      </w:r>
      <w:r>
        <w:rPr>
          <w:rFonts w:ascii="宋体" w:hAnsi="宋体" w:cs="宋体"/>
          <w:color w:val="000000"/>
          <w:sz w:val="24"/>
        </w:rPr>
        <w:br w:type="textWrapping"/>
      </w:r>
      <w:r>
        <w:rPr>
          <w:rFonts w:ascii="宋体" w:hAnsi="宋体" w:cs="宋体"/>
          <w:color w:val="000000"/>
          <w:sz w:val="24"/>
        </w:rPr>
        <w:t xml:space="preserve">        throw new BusinessException("无权使用该收货地址");</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 3. 计算订单金额</w:t>
      </w:r>
      <w:r>
        <w:rPr>
          <w:rFonts w:ascii="宋体" w:hAnsi="宋体" w:cs="宋体"/>
          <w:color w:val="000000"/>
          <w:sz w:val="24"/>
        </w:rPr>
        <w:br w:type="textWrapping"/>
      </w:r>
      <w:r>
        <w:rPr>
          <w:rFonts w:ascii="宋体" w:hAnsi="宋体" w:cs="宋体"/>
          <w:color w:val="000000"/>
          <w:sz w:val="24"/>
        </w:rPr>
        <w:t xml:space="preserve">    BigDecimal totalAmount = product.getPrice().multiply(BigDecimal.valueOf(dto.getQuantity()));</w:t>
      </w:r>
      <w:r>
        <w:rPr>
          <w:rFonts w:ascii="宋体" w:hAnsi="宋体" w:cs="宋体"/>
          <w:color w:val="000000"/>
          <w:sz w:val="24"/>
        </w:rPr>
        <w:br w:type="textWrapping"/>
      </w:r>
      <w:r>
        <w:rPr>
          <w:rFonts w:ascii="宋体" w:hAnsi="宋体" w:cs="宋体"/>
          <w:color w:val="000000"/>
          <w:sz w:val="24"/>
        </w:rPr>
        <w:t xml:space="preserve">    BigDecimal payAmount = totalAmount;</w:t>
      </w:r>
      <w:r>
        <w:rPr>
          <w:rFonts w:ascii="宋体" w:hAnsi="宋体" w:cs="宋体"/>
          <w:color w:val="000000"/>
          <w:sz w:val="24"/>
        </w:rPr>
        <w:br w:type="textWrapping"/>
      </w:r>
      <w:r>
        <w:rPr>
          <w:rFonts w:ascii="宋体" w:hAnsi="宋体" w:cs="宋体"/>
          <w:color w:val="000000"/>
          <w:sz w:val="24"/>
        </w:rPr>
        <w:t xml:space="preserve">    // 4. 生成订单号</w:t>
      </w:r>
      <w:r>
        <w:rPr>
          <w:rFonts w:ascii="宋体" w:hAnsi="宋体" w:cs="宋体"/>
          <w:color w:val="000000"/>
          <w:sz w:val="24"/>
        </w:rPr>
        <w:br w:type="textWrapping"/>
      </w:r>
      <w:r>
        <w:rPr>
          <w:rFonts w:ascii="宋体" w:hAnsi="宋体" w:cs="宋体"/>
          <w:color w:val="000000"/>
          <w:sz w:val="24"/>
        </w:rPr>
        <w:t xml:space="preserve">    String orderNo = generateOrderNo(userId);</w:t>
      </w:r>
      <w:r>
        <w:rPr>
          <w:rFonts w:ascii="宋体" w:hAnsi="宋体" w:cs="宋体"/>
          <w:color w:val="000000"/>
          <w:sz w:val="24"/>
        </w:rPr>
        <w:br w:type="textWrapping"/>
      </w:r>
      <w:r>
        <w:rPr>
          <w:rFonts w:ascii="宋体" w:hAnsi="宋体" w:cs="宋体"/>
          <w:color w:val="000000"/>
          <w:sz w:val="24"/>
        </w:rPr>
        <w:t xml:space="preserve">    // 5. 创建订单主表</w:t>
      </w:r>
      <w:r>
        <w:rPr>
          <w:rFonts w:ascii="宋体" w:hAnsi="宋体" w:cs="宋体"/>
          <w:color w:val="000000"/>
          <w:sz w:val="24"/>
        </w:rPr>
        <w:br w:type="textWrapping"/>
      </w:r>
      <w:r>
        <w:rPr>
          <w:rFonts w:ascii="宋体" w:hAnsi="宋体" w:cs="宋体"/>
          <w:color w:val="000000"/>
          <w:sz w:val="24"/>
        </w:rPr>
        <w:t xml:space="preserve">    ShopOrder order = ShopOrder.builder()</w:t>
      </w:r>
      <w:r>
        <w:rPr>
          <w:rFonts w:ascii="宋体" w:hAnsi="宋体" w:cs="宋体"/>
          <w:color w:val="000000"/>
          <w:sz w:val="24"/>
        </w:rPr>
        <w:br w:type="textWrapping"/>
      </w:r>
      <w:r>
        <w:rPr>
          <w:rFonts w:ascii="宋体" w:hAnsi="宋体" w:cs="宋体"/>
          <w:color w:val="000000"/>
          <w:sz w:val="24"/>
        </w:rPr>
        <w:t xml:space="preserve">            .orderNo(orderNo)</w:t>
      </w:r>
      <w:r>
        <w:rPr>
          <w:rFonts w:ascii="宋体" w:hAnsi="宋体" w:cs="宋体"/>
          <w:color w:val="000000"/>
          <w:sz w:val="24"/>
        </w:rPr>
        <w:br w:type="textWrapping"/>
      </w:r>
      <w:r>
        <w:rPr>
          <w:rFonts w:ascii="宋体" w:hAnsi="宋体" w:cs="宋体"/>
          <w:color w:val="000000"/>
          <w:sz w:val="24"/>
        </w:rPr>
        <w:t xml:space="preserve">            .userId(userId)</w:t>
      </w:r>
      <w:r>
        <w:rPr>
          <w:rFonts w:ascii="宋体" w:hAnsi="宋体" w:cs="宋体"/>
          <w:color w:val="000000"/>
          <w:sz w:val="24"/>
        </w:rPr>
        <w:br w:type="textWrapping"/>
      </w:r>
      <w:r>
        <w:rPr>
          <w:rFonts w:ascii="宋体" w:hAnsi="宋体" w:cs="宋体"/>
          <w:color w:val="000000"/>
          <w:sz w:val="24"/>
        </w:rPr>
        <w:t xml:space="preserve">            .totalAmount(totalAmount)</w:t>
      </w:r>
      <w:r>
        <w:rPr>
          <w:rFonts w:ascii="宋体" w:hAnsi="宋体" w:cs="宋体"/>
          <w:color w:val="000000"/>
          <w:sz w:val="24"/>
        </w:rPr>
        <w:br w:type="textWrapping"/>
      </w:r>
      <w:r>
        <w:rPr>
          <w:rFonts w:ascii="宋体" w:hAnsi="宋体" w:cs="宋体"/>
          <w:color w:val="000000"/>
          <w:sz w:val="24"/>
        </w:rPr>
        <w:t xml:space="preserve">            .payAmount(payAmount)</w:t>
      </w:r>
      <w:r>
        <w:rPr>
          <w:rFonts w:ascii="宋体" w:hAnsi="宋体" w:cs="宋体"/>
          <w:color w:val="000000"/>
          <w:sz w:val="24"/>
        </w:rPr>
        <w:br w:type="textWrapping"/>
      </w:r>
      <w:r>
        <w:rPr>
          <w:rFonts w:ascii="宋体" w:hAnsi="宋体" w:cs="宋体"/>
          <w:color w:val="000000"/>
          <w:sz w:val="24"/>
        </w:rPr>
        <w:t xml:space="preserve">            .status(OrderStatus.PENDING.getCode())</w:t>
      </w:r>
      <w:r>
        <w:rPr>
          <w:rFonts w:ascii="宋体" w:hAnsi="宋体" w:cs="宋体"/>
          <w:color w:val="000000"/>
          <w:sz w:val="24"/>
        </w:rPr>
        <w:br w:type="textWrapping"/>
      </w:r>
      <w:r>
        <w:rPr>
          <w:rFonts w:ascii="宋体" w:hAnsi="宋体" w:cs="宋体"/>
          <w:color w:val="000000"/>
          <w:sz w:val="24"/>
        </w:rPr>
        <w:t xml:space="preserve">            .receiverAddressId(address.getId())</w:t>
      </w:r>
      <w:r>
        <w:rPr>
          <w:rFonts w:ascii="宋体" w:hAnsi="宋体" w:cs="宋体"/>
          <w:color w:val="000000"/>
          <w:sz w:val="24"/>
        </w:rPr>
        <w:br w:type="textWrapping"/>
      </w:r>
      <w:r>
        <w:rPr>
          <w:rFonts w:ascii="宋体" w:hAnsi="宋体" w:cs="宋体"/>
          <w:color w:val="000000"/>
          <w:sz w:val="24"/>
        </w:rPr>
        <w:t xml:space="preserve">            .remark(dto.getRemark())</w:t>
      </w:r>
      <w:r>
        <w:rPr>
          <w:rFonts w:ascii="宋体" w:hAnsi="宋体" w:cs="宋体"/>
          <w:color w:val="000000"/>
          <w:sz w:val="24"/>
        </w:rPr>
        <w:br w:type="textWrapping"/>
      </w:r>
      <w:r>
        <w:rPr>
          <w:rFonts w:ascii="宋体" w:hAnsi="宋体" w:cs="宋体"/>
          <w:color w:val="000000"/>
          <w:sz w:val="24"/>
        </w:rPr>
        <w:t xml:space="preserve">            .build();</w:t>
      </w:r>
      <w:r>
        <w:rPr>
          <w:rFonts w:ascii="宋体" w:hAnsi="宋体" w:cs="宋体"/>
          <w:color w:val="000000"/>
          <w:sz w:val="24"/>
        </w:rPr>
        <w:br w:type="textWrapping"/>
      </w:r>
      <w:r>
        <w:rPr>
          <w:rFonts w:ascii="宋体" w:hAnsi="宋体" w:cs="宋体"/>
          <w:color w:val="000000"/>
          <w:sz w:val="24"/>
        </w:rPr>
        <w:t xml:space="preserve">    shopOrderMapper.insert(order);</w:t>
      </w:r>
      <w:r>
        <w:rPr>
          <w:rFonts w:ascii="宋体" w:hAnsi="宋体" w:cs="宋体"/>
          <w:color w:val="000000"/>
          <w:sz w:val="24"/>
        </w:rPr>
        <w:br w:type="textWrapping"/>
      </w:r>
      <w:r>
        <w:rPr>
          <w:rFonts w:ascii="宋体" w:hAnsi="宋体" w:cs="宋体"/>
          <w:color w:val="000000"/>
          <w:sz w:val="24"/>
        </w:rPr>
        <w:t xml:space="preserve">    // 6. 创建订单明细</w:t>
      </w:r>
      <w:r>
        <w:rPr>
          <w:rFonts w:ascii="宋体" w:hAnsi="宋体" w:cs="宋体"/>
          <w:color w:val="000000"/>
          <w:sz w:val="24"/>
        </w:rPr>
        <w:br w:type="textWrapping"/>
      </w:r>
      <w:r>
        <w:rPr>
          <w:rFonts w:ascii="宋体" w:hAnsi="宋体" w:cs="宋体"/>
          <w:color w:val="000000"/>
          <w:sz w:val="24"/>
        </w:rPr>
        <w:t xml:space="preserve">    ShopOrderItem orderItem = ShopOrderItem.builder()</w:t>
      </w:r>
      <w:r>
        <w:rPr>
          <w:rFonts w:ascii="宋体" w:hAnsi="宋体" w:cs="宋体"/>
          <w:color w:val="000000"/>
          <w:sz w:val="24"/>
        </w:rPr>
        <w:br w:type="textWrapping"/>
      </w:r>
      <w:r>
        <w:rPr>
          <w:rFonts w:ascii="宋体" w:hAnsi="宋体" w:cs="宋体"/>
          <w:color w:val="000000"/>
          <w:sz w:val="24"/>
        </w:rPr>
        <w:t xml:space="preserve">            .orderId(order.getId())</w:t>
      </w:r>
      <w:r>
        <w:rPr>
          <w:rFonts w:ascii="宋体" w:hAnsi="宋体" w:cs="宋体"/>
          <w:color w:val="000000"/>
          <w:sz w:val="24"/>
        </w:rPr>
        <w:br w:type="textWrapping"/>
      </w:r>
      <w:r>
        <w:rPr>
          <w:rFonts w:ascii="宋体" w:hAnsi="宋体" w:cs="宋体"/>
          <w:color w:val="000000"/>
          <w:sz w:val="24"/>
        </w:rPr>
        <w:t xml:space="preserve">            .productId(product.getId())</w:t>
      </w:r>
      <w:r>
        <w:rPr>
          <w:rFonts w:ascii="宋体" w:hAnsi="宋体" w:cs="宋体"/>
          <w:color w:val="000000"/>
          <w:sz w:val="24"/>
        </w:rPr>
        <w:br w:type="textWrapping"/>
      </w:r>
      <w:r>
        <w:rPr>
          <w:rFonts w:ascii="宋体" w:hAnsi="宋体" w:cs="宋体"/>
          <w:color w:val="000000"/>
          <w:sz w:val="24"/>
        </w:rPr>
        <w:t xml:space="preserve">            .title(product.getTitle())</w:t>
      </w:r>
      <w:r>
        <w:rPr>
          <w:rFonts w:ascii="宋体" w:hAnsi="宋体" w:cs="宋体"/>
          <w:color w:val="000000"/>
          <w:sz w:val="24"/>
        </w:rPr>
        <w:br w:type="textWrapping"/>
      </w:r>
      <w:r>
        <w:rPr>
          <w:rFonts w:ascii="宋体" w:hAnsi="宋体" w:cs="宋体"/>
          <w:color w:val="000000"/>
          <w:sz w:val="24"/>
        </w:rPr>
        <w:t xml:space="preserve">            .price(product.getPrice())</w:t>
      </w:r>
      <w:r>
        <w:rPr>
          <w:rFonts w:ascii="宋体" w:hAnsi="宋体" w:cs="宋体"/>
          <w:color w:val="000000"/>
          <w:sz w:val="24"/>
        </w:rPr>
        <w:br w:type="textWrapping"/>
      </w:r>
      <w:r>
        <w:rPr>
          <w:rFonts w:ascii="宋体" w:hAnsi="宋体" w:cs="宋体"/>
          <w:color w:val="000000"/>
          <w:sz w:val="24"/>
        </w:rPr>
        <w:t xml:space="preserve">            .quantity(dto.getQuantity())</w:t>
      </w:r>
      <w:r>
        <w:rPr>
          <w:rFonts w:ascii="宋体" w:hAnsi="宋体" w:cs="宋体"/>
          <w:color w:val="000000"/>
          <w:sz w:val="24"/>
        </w:rPr>
        <w:br w:type="textWrapping"/>
      </w:r>
      <w:r>
        <w:rPr>
          <w:rFonts w:ascii="宋体" w:hAnsi="宋体" w:cs="宋体"/>
          <w:color w:val="000000"/>
          <w:sz w:val="24"/>
        </w:rPr>
        <w:t xml:space="preserve">            .subtotal(totalAmount)</w:t>
      </w:r>
      <w:r>
        <w:rPr>
          <w:rFonts w:ascii="宋体" w:hAnsi="宋体" w:cs="宋体"/>
          <w:color w:val="000000"/>
          <w:sz w:val="24"/>
        </w:rPr>
        <w:br w:type="textWrapping"/>
      </w:r>
      <w:r>
        <w:rPr>
          <w:rFonts w:ascii="宋体" w:hAnsi="宋体" w:cs="宋体"/>
          <w:color w:val="000000"/>
          <w:sz w:val="24"/>
        </w:rPr>
        <w:t xml:space="preserve">            .build();</w:t>
      </w:r>
      <w:r>
        <w:rPr>
          <w:rFonts w:ascii="宋体" w:hAnsi="宋体" w:cs="宋体"/>
          <w:color w:val="000000"/>
          <w:sz w:val="24"/>
        </w:rPr>
        <w:br w:type="textWrapping"/>
      </w:r>
      <w:r>
        <w:rPr>
          <w:rFonts w:ascii="宋体" w:hAnsi="宋体" w:cs="宋体"/>
          <w:color w:val="000000"/>
          <w:sz w:val="24"/>
        </w:rPr>
        <w:t xml:space="preserve">    shopOrderItemMapper.insert(orderItem);</w:t>
      </w:r>
      <w:r>
        <w:rPr>
          <w:rFonts w:ascii="宋体" w:hAnsi="宋体" w:cs="宋体"/>
          <w:color w:val="000000"/>
          <w:sz w:val="24"/>
        </w:rPr>
        <w:br w:type="textWrapping"/>
      </w:r>
      <w:r>
        <w:rPr>
          <w:rFonts w:ascii="宋体" w:hAnsi="宋体" w:cs="宋体"/>
          <w:color w:val="000000"/>
          <w:sz w:val="24"/>
        </w:rPr>
        <w:t xml:space="preserve">    // 7. 扣减库存</w:t>
      </w:r>
      <w:r>
        <w:rPr>
          <w:rFonts w:ascii="宋体" w:hAnsi="宋体" w:cs="宋体"/>
          <w:color w:val="000000"/>
          <w:sz w:val="24"/>
        </w:rPr>
        <w:br w:type="textWrapping"/>
      </w:r>
      <w:r>
        <w:rPr>
          <w:rFonts w:ascii="宋体" w:hAnsi="宋体" w:cs="宋体"/>
          <w:color w:val="000000"/>
          <w:sz w:val="24"/>
        </w:rPr>
        <w:t xml:space="preserve">    boolean stockReduced = product.reduceStock(dto.getQuantity());</w:t>
      </w:r>
      <w:r>
        <w:rPr>
          <w:rFonts w:ascii="宋体" w:hAnsi="宋体" w:cs="宋体"/>
          <w:color w:val="000000"/>
          <w:sz w:val="24"/>
        </w:rPr>
        <w:br w:type="textWrapping"/>
      </w:r>
      <w:r>
        <w:rPr>
          <w:rFonts w:ascii="宋体" w:hAnsi="宋体" w:cs="宋体"/>
          <w:color w:val="000000"/>
          <w:sz w:val="24"/>
        </w:rPr>
        <w:t xml:space="preserve">    if (!stockReduced) {</w:t>
      </w:r>
      <w:r>
        <w:rPr>
          <w:rFonts w:ascii="宋体" w:hAnsi="宋体" w:cs="宋体"/>
          <w:color w:val="000000"/>
          <w:sz w:val="24"/>
        </w:rPr>
        <w:br w:type="textWrapping"/>
      </w:r>
      <w:r>
        <w:rPr>
          <w:rFonts w:ascii="宋体" w:hAnsi="宋体" w:cs="宋体"/>
          <w:color w:val="000000"/>
          <w:sz w:val="24"/>
        </w:rPr>
        <w:t xml:space="preserve">        throw new BusinessException("库存扣减失败");</w:t>
      </w:r>
      <w:r>
        <w:rPr>
          <w:rFonts w:ascii="宋体" w:hAnsi="宋体" w:cs="宋体"/>
          <w:color w:val="000000"/>
          <w:sz w:val="24"/>
        </w:rPr>
        <w:br w:type="textWrapping"/>
      </w:r>
      <w:r>
        <w:rPr>
          <w:rFonts w:ascii="宋体" w:hAnsi="宋体" w:cs="宋体"/>
          <w:color w:val="000000"/>
          <w:sz w:val="24"/>
        </w:rPr>
        <w:t xml:space="preserve">    }</w:t>
      </w:r>
      <w:r>
        <w:rPr>
          <w:rFonts w:ascii="宋体" w:hAnsi="宋体" w:cs="宋体"/>
          <w:color w:val="000000"/>
          <w:sz w:val="24"/>
        </w:rPr>
        <w:br w:type="textWrapping"/>
      </w:r>
      <w:r>
        <w:rPr>
          <w:rFonts w:ascii="宋体" w:hAnsi="宋体" w:cs="宋体"/>
          <w:color w:val="000000"/>
          <w:sz w:val="24"/>
        </w:rPr>
        <w:t xml:space="preserve">    shopProductMapper.updateById(product);</w:t>
      </w:r>
      <w:r>
        <w:rPr>
          <w:rFonts w:ascii="宋体" w:hAnsi="宋体" w:cs="宋体"/>
          <w:color w:val="000000"/>
          <w:sz w:val="24"/>
        </w:rPr>
        <w:br w:type="textWrapping"/>
      </w:r>
      <w:r>
        <w:rPr>
          <w:rFonts w:ascii="宋体" w:hAnsi="宋体" w:cs="宋体"/>
          <w:color w:val="000000"/>
          <w:sz w:val="24"/>
        </w:rPr>
        <w:t xml:space="preserve">    log.info("订单创建成功，订单号: {}", orderNo);</w:t>
      </w:r>
      <w:r>
        <w:rPr>
          <w:rFonts w:ascii="宋体" w:hAnsi="宋体" w:cs="宋体"/>
          <w:color w:val="000000"/>
          <w:sz w:val="24"/>
        </w:rPr>
        <w:br w:type="textWrapping"/>
      </w:r>
      <w:r>
        <w:rPr>
          <w:rFonts w:ascii="宋体" w:hAnsi="宋体" w:cs="宋体"/>
          <w:color w:val="000000"/>
          <w:sz w:val="24"/>
        </w:rPr>
        <w:t xml:space="preserve">    // 8. 返回订单详情</w:t>
      </w:r>
      <w:r>
        <w:rPr>
          <w:rFonts w:ascii="宋体" w:hAnsi="宋体" w:cs="宋体"/>
          <w:color w:val="000000"/>
          <w:sz w:val="24"/>
        </w:rPr>
        <w:br w:type="textWrapping"/>
      </w:r>
      <w:r>
        <w:rPr>
          <w:rFonts w:ascii="宋体" w:hAnsi="宋体" w:cs="宋体"/>
          <w:color w:val="000000"/>
          <w:sz w:val="24"/>
        </w:rPr>
        <w:t xml:space="preserve">    return getOrderDetail(order.getId(), userId, false);</w:t>
      </w:r>
      <w:r>
        <w:rPr>
          <w:rFonts w:ascii="宋体" w:hAnsi="宋体" w:cs="宋体"/>
          <w:color w:val="000000"/>
          <w:sz w:val="24"/>
        </w:rPr>
        <w:br w:type="textWrapping"/>
      </w:r>
      <w:r>
        <w:rPr>
          <w:rFonts w:ascii="宋体" w:hAnsi="宋体" w:cs="宋体"/>
          <w:color w:val="000000"/>
          <w:sz w:val="24"/>
        </w:rPr>
        <w:t>}​</w:t>
      </w:r>
    </w:p>
    <w:p w14:paraId="7DA525D8">
      <w:pPr>
        <w:spacing w:line="440" w:lineRule="exact"/>
        <w:outlineLvl w:val="9"/>
        <w:rPr>
          <w:b/>
          <w:bCs/>
          <w:sz w:val="28"/>
          <w:szCs w:val="28"/>
        </w:rPr>
      </w:pPr>
      <w:bookmarkStart w:id="526" w:name="_Toc31924"/>
      <w:bookmarkStart w:id="527" w:name="_Toc15275"/>
      <w:bookmarkStart w:id="528" w:name="_Toc30484"/>
      <w:bookmarkStart w:id="529" w:name="_Toc16941"/>
      <w:r>
        <w:rPr>
          <w:rFonts w:hint="eastAsia" w:cs="Times New Roman"/>
          <w:b/>
          <w:bCs/>
          <w:sz w:val="28"/>
          <w:szCs w:val="28"/>
        </w:rPr>
        <w:t>5 系统测试</w:t>
      </w:r>
      <w:bookmarkEnd w:id="526"/>
      <w:bookmarkEnd w:id="527"/>
      <w:bookmarkEnd w:id="528"/>
      <w:bookmarkEnd w:id="529"/>
    </w:p>
    <w:p w14:paraId="1883D17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outlineLvl w:val="9"/>
        <w:rPr>
          <w:rFonts w:hint="eastAsia" w:ascii="宋体" w:hAnsi="宋体" w:cs="宋体"/>
          <w:b w:val="0"/>
          <w:bCs w:val="0"/>
          <w:color w:val="000000"/>
          <w:sz w:val="24"/>
          <w:szCs w:val="24"/>
          <w:lang w:val="en-US" w:eastAsia="zh-CN"/>
        </w:rPr>
      </w:pPr>
      <w:bookmarkStart w:id="530" w:name="_Toc5544"/>
      <w:bookmarkStart w:id="531" w:name="_Toc25151"/>
      <w:bookmarkStart w:id="532" w:name="_Toc14575"/>
      <w:bookmarkStart w:id="533" w:name="_Toc25959"/>
      <w:bookmarkStart w:id="534" w:name="_Toc17975"/>
      <w:bookmarkStart w:id="535" w:name="_Toc14564"/>
      <w:r>
        <w:rPr>
          <w:rFonts w:hint="eastAsia" w:ascii="宋体" w:hAnsi="宋体" w:cs="宋体"/>
          <w:b w:val="0"/>
          <w:bCs w:val="0"/>
          <w:color w:val="000000"/>
          <w:sz w:val="24"/>
          <w:szCs w:val="24"/>
          <w:lang w:val="en-US" w:eastAsia="zh-CN"/>
        </w:rPr>
        <w:t>5.1测试目的</w:t>
      </w:r>
      <w:bookmarkEnd w:id="530"/>
      <w:bookmarkEnd w:id="531"/>
      <w:bookmarkEnd w:id="532"/>
      <w:bookmarkEnd w:id="533"/>
      <w:bookmarkEnd w:id="534"/>
      <w:bookmarkEnd w:id="535"/>
    </w:p>
    <w:p w14:paraId="78E0CB3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系统测试是软件开发过程中的重要环节,其目的是验证系统是否满足需求规格说明书中规定的功能和性能要求,确保系统在实际运行环境中能够稳定可靠地工作。通过系统测试可以发现系统中存在的缺陷和问题,为系统的优化和改进提供依据。本系统的测试目的主要包括以下几个方面。首先是验证系统功能的完整性和正确性,确保用户管理、非遗项目管理、传承人管理、课程管理、活动管理、商城管理和AI智能客服等七个核心模块的功能都能正常运行。其次是检验系统的性能指标,包括响应时间、并发处理能力、数据库查询效率等,确保系统能够满足预期的性能要求。第三是评估系统的安全性,验证用户认证、权限控制、数据加密等安全机制是否有效。第四是测试系统的易用性,检查用户界面是否友好、操作流程是否合理、错误提示是否清晰。通过全面系统的测试,可以提高系统的质量和可靠性,为系统的正式上线提供保障</w:t>
      </w:r>
    </w:p>
    <w:p w14:paraId="4B7264E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outlineLvl w:val="9"/>
        <w:rPr>
          <w:rFonts w:hint="eastAsia" w:ascii="宋体" w:hAnsi="宋体" w:cs="宋体"/>
          <w:b w:val="0"/>
          <w:bCs w:val="0"/>
          <w:color w:val="000000"/>
          <w:sz w:val="24"/>
          <w:szCs w:val="24"/>
          <w:lang w:val="en-US" w:eastAsia="zh-CN"/>
        </w:rPr>
      </w:pPr>
      <w:bookmarkStart w:id="536" w:name="_Toc3436"/>
      <w:bookmarkStart w:id="537" w:name="_Toc13145"/>
      <w:bookmarkStart w:id="538" w:name="_Toc28332"/>
      <w:bookmarkStart w:id="539" w:name="_Toc32551"/>
      <w:bookmarkStart w:id="540" w:name="_Toc31090"/>
      <w:bookmarkStart w:id="541" w:name="_Toc28748"/>
      <w:r>
        <w:rPr>
          <w:rFonts w:hint="eastAsia" w:ascii="宋体" w:hAnsi="宋体" w:cs="宋体"/>
          <w:b w:val="0"/>
          <w:bCs w:val="0"/>
          <w:color w:val="000000"/>
          <w:sz w:val="24"/>
          <w:szCs w:val="24"/>
          <w:lang w:val="en-US" w:eastAsia="zh-CN"/>
        </w:rPr>
        <w:t>5.2测试方法</w:t>
      </w:r>
      <w:bookmarkEnd w:id="536"/>
      <w:bookmarkEnd w:id="537"/>
      <w:bookmarkEnd w:id="538"/>
      <w:bookmarkEnd w:id="539"/>
      <w:bookmarkEnd w:id="540"/>
      <w:bookmarkEnd w:id="541"/>
    </w:p>
    <w:p w14:paraId="5D197C6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本系统采用多种测试方法相结合的方式进行全面测试,确保系统各方面的质量。测试方法主要包括功能测试、安全性测试和易用性测试四个方面。</w:t>
      </w:r>
    </w:p>
    <w:p w14:paraId="145512A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功能测试是最基本的测试方法,用于验证系统的各项功能是否按照需求规格说明书的要求正常工作。功能测试采用黑盒测试的方法,不关注系统内部的实现细节,只关注输入和输出的对应关系。测试人员根据需求文档设计测试用例,覆盖正常场景和异常场景,验证系统在各种情况下的行为是否符合预期。功能测试使用Postman工具进行API接口测试,通过构造不同的请求参数,验证后端接口的响应结果是否正确。同时使用浏览器进行前端功能测试,模拟用户的实际操作,检查页面显示和交互是否正常。</w:t>
      </w:r>
    </w:p>
    <w:p w14:paraId="48F7626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安全性测试用于验证系统的安全机制是否有效,包括用户认证、权限控制、数据加密、SQL注入防护等方面。安全性测试采用渗透测试的方法,模拟攻击者的行为,尝试绕过系统的安全防护机制。测试内容包括验证JWT令牌的有效性和过期机制,测试未授权访问是否被正确拦截,检查密码是否使用BCrypt加密存储,验证SQL注入和XSS攻击是否被有效防御。安全性测试使用Postman工具构造恶意请求,使用浏览器开发者工具检查前端的安全措施。</w:t>
      </w:r>
    </w:p>
    <w:p w14:paraId="09749B3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易用性测试用于评估系统的用户体验,包括界面设计、操作流程、错误提示等方面。易用性测试采用用户测试的方法,邀请实际用户使用系统,观察用户的操作过程,收集用户的反馈意见。测试内容包括检查界面布局是否合理,按钮和链接是否易于识别,表单验证提示是否清晰,错误信息是否友好,操作流程是否符合用户习惯。易用性测试通过用户访谈和问卷调查的方式收集数据,分析用户的满意度和改进建议</w:t>
      </w:r>
    </w:p>
    <w:p w14:paraId="32D91CF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lang w:val="en-US" w:eastAsia="zh-CN"/>
        </w:rPr>
      </w:pPr>
      <w:bookmarkStart w:id="542" w:name="_Toc8129"/>
      <w:bookmarkStart w:id="543" w:name="_Toc12341"/>
      <w:bookmarkStart w:id="544" w:name="_Toc9805"/>
      <w:bookmarkStart w:id="545" w:name="_Toc8900"/>
      <w:bookmarkStart w:id="546" w:name="_Toc5937"/>
      <w:bookmarkStart w:id="547" w:name="_Toc29077"/>
      <w:r>
        <w:rPr>
          <w:rFonts w:hint="eastAsia" w:ascii="宋体" w:hAnsi="宋体" w:eastAsia="宋体" w:cs="宋体"/>
          <w:sz w:val="24"/>
          <w:szCs w:val="24"/>
          <w:lang w:val="en-US" w:eastAsia="zh-CN"/>
        </w:rPr>
        <w:t>5.3 测试过程</w:t>
      </w:r>
      <w:bookmarkEnd w:id="542"/>
      <w:bookmarkEnd w:id="543"/>
      <w:bookmarkEnd w:id="544"/>
      <w:bookmarkEnd w:id="545"/>
      <w:bookmarkEnd w:id="546"/>
      <w:bookmarkEnd w:id="547"/>
    </w:p>
    <w:p w14:paraId="4497319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5.3.1 功能测试</w:t>
      </w:r>
    </w:p>
    <w:p w14:paraId="3DCA67E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功能测试按照系统的七个核心模块进行,每个模块选取关键功能设计测试用例,验证功能的正确性和完整性。测试用例包括正常场景和异常场景,覆盖各种可能的输入情况。</w:t>
      </w:r>
    </w:p>
    <w:p w14:paraId="0536351F">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default" w:ascii="宋体" w:hAnsi="宋体" w:cs="宋体"/>
          <w:sz w:val="21"/>
          <w:szCs w:val="21"/>
          <w:lang w:val="en-US" w:eastAsia="zh-CN"/>
        </w:rPr>
      </w:pPr>
      <w:r>
        <w:rPr>
          <w:rFonts w:hint="default" w:ascii="宋体" w:hAnsi="宋体" w:cs="宋体"/>
          <w:sz w:val="21"/>
          <w:szCs w:val="21"/>
          <w:lang w:val="en-US" w:eastAsia="zh-CN"/>
        </w:rPr>
        <w:t>表 6-1 系统功能测试</w:t>
      </w:r>
    </w:p>
    <w:tbl>
      <w:tblPr>
        <w:tblStyle w:val="35"/>
        <w:tblW w:w="8684"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292"/>
        <w:gridCol w:w="1409"/>
        <w:gridCol w:w="2100"/>
        <w:gridCol w:w="1925"/>
        <w:gridCol w:w="1958"/>
      </w:tblGrid>
      <w:tr w14:paraId="43A20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5" w:hRule="atLeast"/>
        </w:trPr>
        <w:tc>
          <w:tcPr>
            <w:tcW w:w="1292" w:type="dxa"/>
            <w:shd w:val="clear" w:color="auto" w:fill="auto"/>
            <w:vAlign w:val="center"/>
          </w:tcPr>
          <w:p w14:paraId="570E05B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功能模块</w:t>
            </w:r>
          </w:p>
        </w:tc>
        <w:tc>
          <w:tcPr>
            <w:tcW w:w="1409" w:type="dxa"/>
            <w:shd w:val="clear" w:color="auto" w:fill="auto"/>
            <w:vAlign w:val="center"/>
          </w:tcPr>
          <w:p w14:paraId="7E5C0A9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测试用例</w:t>
            </w:r>
          </w:p>
        </w:tc>
        <w:tc>
          <w:tcPr>
            <w:tcW w:w="2100" w:type="dxa"/>
            <w:shd w:val="clear" w:color="auto" w:fill="auto"/>
            <w:vAlign w:val="center"/>
          </w:tcPr>
          <w:p w14:paraId="04A18AE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输入数据</w:t>
            </w:r>
          </w:p>
        </w:tc>
        <w:tc>
          <w:tcPr>
            <w:tcW w:w="1925" w:type="dxa"/>
            <w:shd w:val="clear" w:color="auto" w:fill="auto"/>
            <w:vAlign w:val="center"/>
          </w:tcPr>
          <w:p w14:paraId="0D5F406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预期结果</w:t>
            </w:r>
          </w:p>
        </w:tc>
        <w:tc>
          <w:tcPr>
            <w:tcW w:w="1958" w:type="dxa"/>
            <w:shd w:val="clear" w:color="auto" w:fill="auto"/>
            <w:vAlign w:val="center"/>
          </w:tcPr>
          <w:p w14:paraId="64F6271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实际结果</w:t>
            </w:r>
          </w:p>
        </w:tc>
      </w:tr>
      <w:tr w14:paraId="39E54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292" w:type="dxa"/>
            <w:shd w:val="clear" w:color="auto" w:fill="auto"/>
            <w:vAlign w:val="center"/>
          </w:tcPr>
          <w:p w14:paraId="55D507F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用户登录</w:t>
            </w:r>
          </w:p>
        </w:tc>
        <w:tc>
          <w:tcPr>
            <w:tcW w:w="1409" w:type="dxa"/>
            <w:shd w:val="clear" w:color="auto" w:fill="auto"/>
            <w:vAlign w:val="center"/>
          </w:tcPr>
          <w:p w14:paraId="7CA0A5E0">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正确账号密码登录</w:t>
            </w:r>
          </w:p>
        </w:tc>
        <w:tc>
          <w:tcPr>
            <w:tcW w:w="2100" w:type="dxa"/>
            <w:shd w:val="clear" w:color="auto" w:fill="auto"/>
            <w:vAlign w:val="center"/>
          </w:tcPr>
          <w:p w14:paraId="2EDAEF60">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已注册的正确用户名和密码</w:t>
            </w:r>
          </w:p>
        </w:tc>
        <w:tc>
          <w:tcPr>
            <w:tcW w:w="1925" w:type="dxa"/>
            <w:shd w:val="clear" w:color="auto" w:fill="auto"/>
            <w:vAlign w:val="center"/>
          </w:tcPr>
          <w:p w14:paraId="2B12976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成功登录，进入系统主界面</w:t>
            </w:r>
          </w:p>
        </w:tc>
        <w:tc>
          <w:tcPr>
            <w:tcW w:w="1958" w:type="dxa"/>
            <w:shd w:val="clear" w:color="auto" w:fill="auto"/>
            <w:vAlign w:val="center"/>
          </w:tcPr>
          <w:p w14:paraId="3E44E0F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进入主界面，无报错</w:t>
            </w:r>
          </w:p>
        </w:tc>
      </w:tr>
      <w:tr w14:paraId="0D977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5" w:hRule="atLeast"/>
        </w:trPr>
        <w:tc>
          <w:tcPr>
            <w:tcW w:w="1292" w:type="dxa"/>
            <w:shd w:val="clear" w:color="auto" w:fill="auto"/>
            <w:vAlign w:val="center"/>
          </w:tcPr>
          <w:p w14:paraId="7E0D410E">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5321AA9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错误密码登录</w:t>
            </w:r>
          </w:p>
        </w:tc>
        <w:tc>
          <w:tcPr>
            <w:tcW w:w="2100" w:type="dxa"/>
            <w:shd w:val="clear" w:color="auto" w:fill="auto"/>
            <w:vAlign w:val="center"/>
          </w:tcPr>
          <w:p w14:paraId="52FFF450">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正确用户名，错误密码</w:t>
            </w:r>
          </w:p>
        </w:tc>
        <w:tc>
          <w:tcPr>
            <w:tcW w:w="1925" w:type="dxa"/>
            <w:shd w:val="clear" w:color="auto" w:fill="auto"/>
            <w:vAlign w:val="center"/>
          </w:tcPr>
          <w:p w14:paraId="47581EC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提示密码错误，无法登录</w:t>
            </w:r>
          </w:p>
        </w:tc>
        <w:tc>
          <w:tcPr>
            <w:tcW w:w="1958" w:type="dxa"/>
            <w:shd w:val="clear" w:color="auto" w:fill="auto"/>
            <w:vAlign w:val="center"/>
          </w:tcPr>
          <w:p w14:paraId="3DB19A4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显示密码错误提示</w:t>
            </w:r>
          </w:p>
        </w:tc>
      </w:tr>
      <w:tr w14:paraId="0C44C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68063947">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2409352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登录已禁用账号</w:t>
            </w:r>
          </w:p>
        </w:tc>
        <w:tc>
          <w:tcPr>
            <w:tcW w:w="2100" w:type="dxa"/>
            <w:shd w:val="clear" w:color="auto" w:fill="auto"/>
            <w:vAlign w:val="center"/>
          </w:tcPr>
          <w:p w14:paraId="66BCE99F">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已被管理员禁用的账号和正确密码</w:t>
            </w:r>
          </w:p>
        </w:tc>
        <w:tc>
          <w:tcPr>
            <w:tcW w:w="1925" w:type="dxa"/>
            <w:shd w:val="clear" w:color="auto" w:fill="auto"/>
            <w:vAlign w:val="center"/>
          </w:tcPr>
          <w:p w14:paraId="03FE1F8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提示账号已禁用，无法登录</w:t>
            </w:r>
          </w:p>
        </w:tc>
        <w:tc>
          <w:tcPr>
            <w:tcW w:w="1958" w:type="dxa"/>
            <w:shd w:val="clear" w:color="auto" w:fill="auto"/>
            <w:vAlign w:val="center"/>
          </w:tcPr>
          <w:p w14:paraId="5A405B0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显示账号禁用提示</w:t>
            </w:r>
          </w:p>
        </w:tc>
      </w:tr>
      <w:tr w14:paraId="7FE09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15" w:hRule="atLeast"/>
        </w:trPr>
        <w:tc>
          <w:tcPr>
            <w:tcW w:w="1292" w:type="dxa"/>
            <w:shd w:val="clear" w:color="auto" w:fill="auto"/>
            <w:vAlign w:val="center"/>
          </w:tcPr>
          <w:p w14:paraId="69DC16C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用户注册</w:t>
            </w:r>
          </w:p>
        </w:tc>
        <w:tc>
          <w:tcPr>
            <w:tcW w:w="1409" w:type="dxa"/>
            <w:shd w:val="clear" w:color="auto" w:fill="auto"/>
            <w:vAlign w:val="center"/>
          </w:tcPr>
          <w:p w14:paraId="1FD4BDA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完整信息注册</w:t>
            </w:r>
          </w:p>
        </w:tc>
        <w:tc>
          <w:tcPr>
            <w:tcW w:w="2100" w:type="dxa"/>
            <w:shd w:val="clear" w:color="auto" w:fill="auto"/>
            <w:vAlign w:val="center"/>
          </w:tcPr>
          <w:p w14:paraId="15B658E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符合格式要求的用户名、密码、确认密码、手机号、邮箱等</w:t>
            </w:r>
          </w:p>
        </w:tc>
        <w:tc>
          <w:tcPr>
            <w:tcW w:w="1925" w:type="dxa"/>
            <w:shd w:val="clear" w:color="auto" w:fill="auto"/>
            <w:vAlign w:val="center"/>
          </w:tcPr>
          <w:p w14:paraId="1132F0F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注册成功，可登录</w:t>
            </w:r>
          </w:p>
        </w:tc>
        <w:tc>
          <w:tcPr>
            <w:tcW w:w="1958" w:type="dxa"/>
            <w:shd w:val="clear" w:color="auto" w:fill="auto"/>
            <w:vAlign w:val="center"/>
          </w:tcPr>
          <w:p w14:paraId="37A4C37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注册后能正常登录</w:t>
            </w:r>
          </w:p>
        </w:tc>
      </w:tr>
      <w:tr w14:paraId="3104A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trPr>
        <w:tc>
          <w:tcPr>
            <w:tcW w:w="1292" w:type="dxa"/>
            <w:shd w:val="clear" w:color="auto" w:fill="auto"/>
            <w:vAlign w:val="center"/>
          </w:tcPr>
          <w:p w14:paraId="4DA949CC">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1BDCFC4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信息格式不符注册</w:t>
            </w:r>
          </w:p>
        </w:tc>
        <w:tc>
          <w:tcPr>
            <w:tcW w:w="2100" w:type="dxa"/>
            <w:shd w:val="clear" w:color="auto" w:fill="auto"/>
            <w:vAlign w:val="center"/>
          </w:tcPr>
          <w:p w14:paraId="59AF966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不符合格式要求的手机号（如少位）、邮箱（无</w:t>
            </w:r>
            <w:r>
              <w:rPr>
                <w:rStyle w:val="165"/>
                <w:rFonts w:hint="eastAsia" w:ascii="宋体" w:hAnsi="宋体" w:eastAsia="宋体" w:cs="宋体"/>
                <w:sz w:val="21"/>
                <w:szCs w:val="21"/>
                <w:lang w:val="en-US" w:eastAsia="zh-CN" w:bidi="ar"/>
              </w:rPr>
              <w:t xml:space="preserve"> @</w:t>
            </w:r>
            <w:r>
              <w:rPr>
                <w:rStyle w:val="166"/>
                <w:rFonts w:hint="eastAsia" w:ascii="宋体" w:hAnsi="宋体" w:eastAsia="宋体" w:cs="宋体"/>
                <w:sz w:val="21"/>
                <w:szCs w:val="21"/>
                <w:lang w:val="en-US" w:eastAsia="zh-CN" w:bidi="ar"/>
              </w:rPr>
              <w:t>）等</w:t>
            </w:r>
          </w:p>
        </w:tc>
        <w:tc>
          <w:tcPr>
            <w:tcW w:w="1925" w:type="dxa"/>
            <w:shd w:val="clear" w:color="auto" w:fill="auto"/>
            <w:vAlign w:val="center"/>
          </w:tcPr>
          <w:p w14:paraId="52989F8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提示信息格式错误，注册失败</w:t>
            </w:r>
          </w:p>
        </w:tc>
        <w:tc>
          <w:tcPr>
            <w:tcW w:w="1958" w:type="dxa"/>
            <w:shd w:val="clear" w:color="auto" w:fill="auto"/>
            <w:vAlign w:val="center"/>
          </w:tcPr>
          <w:p w14:paraId="601BCA8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显示对应格式错误提示</w:t>
            </w:r>
          </w:p>
        </w:tc>
      </w:tr>
      <w:tr w14:paraId="13968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6A211802">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123C737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重复信息注册</w:t>
            </w:r>
          </w:p>
        </w:tc>
        <w:tc>
          <w:tcPr>
            <w:tcW w:w="2100" w:type="dxa"/>
            <w:shd w:val="clear" w:color="auto" w:fill="auto"/>
            <w:vAlign w:val="center"/>
          </w:tcPr>
          <w:p w14:paraId="562B9CB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已存在的用户名或邮箱</w:t>
            </w:r>
          </w:p>
        </w:tc>
        <w:tc>
          <w:tcPr>
            <w:tcW w:w="1925" w:type="dxa"/>
            <w:shd w:val="clear" w:color="auto" w:fill="auto"/>
            <w:vAlign w:val="center"/>
          </w:tcPr>
          <w:p w14:paraId="000496F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提示信息已被占用，注册失败</w:t>
            </w:r>
          </w:p>
        </w:tc>
        <w:tc>
          <w:tcPr>
            <w:tcW w:w="1958" w:type="dxa"/>
            <w:shd w:val="clear" w:color="auto" w:fill="auto"/>
            <w:vAlign w:val="center"/>
          </w:tcPr>
          <w:p w14:paraId="1B673B30">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显示对应占用提示</w:t>
            </w:r>
          </w:p>
        </w:tc>
      </w:tr>
      <w:tr w14:paraId="1F0D4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5" w:hRule="atLeast"/>
        </w:trPr>
        <w:tc>
          <w:tcPr>
            <w:tcW w:w="1292" w:type="dxa"/>
            <w:shd w:val="clear" w:color="auto" w:fill="auto"/>
            <w:vAlign w:val="center"/>
          </w:tcPr>
          <w:p w14:paraId="1B086D3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赣绣项目管理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添加项目</w:t>
            </w:r>
          </w:p>
        </w:tc>
        <w:tc>
          <w:tcPr>
            <w:tcW w:w="1409" w:type="dxa"/>
            <w:shd w:val="clear" w:color="auto" w:fill="auto"/>
            <w:vAlign w:val="center"/>
          </w:tcPr>
          <w:p w14:paraId="7A71683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添加完整信息项目</w:t>
            </w:r>
          </w:p>
        </w:tc>
        <w:tc>
          <w:tcPr>
            <w:tcW w:w="2100" w:type="dxa"/>
            <w:shd w:val="clear" w:color="auto" w:fill="auto"/>
            <w:vAlign w:val="center"/>
          </w:tcPr>
          <w:p w14:paraId="40B8E1A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项目标题、类别、地区、摘要、详细描述、</w:t>
            </w:r>
            <w:r>
              <w:rPr>
                <w:rStyle w:val="165"/>
                <w:rFonts w:hint="eastAsia" w:ascii="宋体" w:hAnsi="宋体" w:eastAsia="宋体" w:cs="宋体"/>
                <w:sz w:val="21"/>
                <w:szCs w:val="21"/>
                <w:lang w:val="en-US" w:eastAsia="zh-CN" w:bidi="ar"/>
              </w:rPr>
              <w:t xml:space="preserve">UUID </w:t>
            </w:r>
            <w:r>
              <w:rPr>
                <w:rStyle w:val="166"/>
                <w:rFonts w:hint="eastAsia" w:ascii="宋体" w:hAnsi="宋体" w:eastAsia="宋体" w:cs="宋体"/>
                <w:sz w:val="21"/>
                <w:szCs w:val="21"/>
                <w:lang w:val="en-US" w:eastAsia="zh-CN" w:bidi="ar"/>
              </w:rPr>
              <w:t>等</w:t>
            </w:r>
          </w:p>
        </w:tc>
        <w:tc>
          <w:tcPr>
            <w:tcW w:w="1925" w:type="dxa"/>
            <w:shd w:val="clear" w:color="auto" w:fill="auto"/>
            <w:vAlign w:val="center"/>
          </w:tcPr>
          <w:p w14:paraId="669CB6D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项目在列表中显示</w:t>
            </w:r>
          </w:p>
        </w:tc>
        <w:tc>
          <w:tcPr>
            <w:tcW w:w="1958" w:type="dxa"/>
            <w:shd w:val="clear" w:color="auto" w:fill="auto"/>
            <w:vAlign w:val="center"/>
          </w:tcPr>
          <w:p w14:paraId="3240987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项目成功添加到列表</w:t>
            </w:r>
          </w:p>
        </w:tc>
      </w:tr>
      <w:tr w14:paraId="35C80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292" w:type="dxa"/>
            <w:shd w:val="clear" w:color="auto" w:fill="auto"/>
            <w:vAlign w:val="center"/>
          </w:tcPr>
          <w:p w14:paraId="2596A288">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649798A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添加信息不完整项目</w:t>
            </w:r>
          </w:p>
        </w:tc>
        <w:tc>
          <w:tcPr>
            <w:tcW w:w="2100" w:type="dxa"/>
            <w:shd w:val="clear" w:color="auto" w:fill="auto"/>
            <w:vAlign w:val="center"/>
          </w:tcPr>
          <w:p w14:paraId="746711D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缺少类别或地区等必填信息</w:t>
            </w:r>
          </w:p>
        </w:tc>
        <w:tc>
          <w:tcPr>
            <w:tcW w:w="1925" w:type="dxa"/>
            <w:shd w:val="clear" w:color="auto" w:fill="auto"/>
            <w:vAlign w:val="center"/>
          </w:tcPr>
          <w:p w14:paraId="46A6137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提示信息不完整，添加失败</w:t>
            </w:r>
          </w:p>
        </w:tc>
        <w:tc>
          <w:tcPr>
            <w:tcW w:w="1958" w:type="dxa"/>
            <w:shd w:val="clear" w:color="auto" w:fill="auto"/>
            <w:vAlign w:val="center"/>
          </w:tcPr>
          <w:p w14:paraId="1B6EA59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显示信息不完整提示</w:t>
            </w:r>
          </w:p>
        </w:tc>
      </w:tr>
      <w:tr w14:paraId="494E8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trPr>
        <w:tc>
          <w:tcPr>
            <w:tcW w:w="1292" w:type="dxa"/>
            <w:shd w:val="clear" w:color="auto" w:fill="auto"/>
            <w:vAlign w:val="center"/>
          </w:tcPr>
          <w:p w14:paraId="2E7E9633">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1564C67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未提供</w:t>
            </w:r>
            <w:r>
              <w:rPr>
                <w:rStyle w:val="165"/>
                <w:rFonts w:hint="eastAsia" w:ascii="宋体" w:hAnsi="宋体" w:eastAsia="宋体" w:cs="宋体"/>
                <w:sz w:val="21"/>
                <w:szCs w:val="21"/>
                <w:lang w:val="en-US" w:eastAsia="zh-CN" w:bidi="ar"/>
              </w:rPr>
              <w:t xml:space="preserve"> UUID </w:t>
            </w:r>
            <w:r>
              <w:rPr>
                <w:rStyle w:val="166"/>
                <w:rFonts w:hint="eastAsia" w:ascii="宋体" w:hAnsi="宋体" w:eastAsia="宋体" w:cs="宋体"/>
                <w:sz w:val="21"/>
                <w:szCs w:val="21"/>
                <w:lang w:val="en-US" w:eastAsia="zh-CN" w:bidi="ar"/>
              </w:rPr>
              <w:t>添加</w:t>
            </w:r>
          </w:p>
        </w:tc>
        <w:tc>
          <w:tcPr>
            <w:tcW w:w="2100" w:type="dxa"/>
            <w:shd w:val="clear" w:color="auto" w:fill="auto"/>
            <w:vAlign w:val="center"/>
          </w:tcPr>
          <w:p w14:paraId="52646BB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未生成</w:t>
            </w:r>
            <w:r>
              <w:rPr>
                <w:rStyle w:val="165"/>
                <w:rFonts w:hint="eastAsia" w:ascii="宋体" w:hAnsi="宋体" w:eastAsia="宋体" w:cs="宋体"/>
                <w:sz w:val="21"/>
                <w:szCs w:val="21"/>
                <w:lang w:val="en-US" w:eastAsia="zh-CN" w:bidi="ar"/>
              </w:rPr>
              <w:t xml:space="preserve"> UUID </w:t>
            </w:r>
            <w:r>
              <w:rPr>
                <w:rStyle w:val="166"/>
                <w:rFonts w:hint="eastAsia" w:ascii="宋体" w:hAnsi="宋体" w:eastAsia="宋体" w:cs="宋体"/>
                <w:sz w:val="21"/>
                <w:szCs w:val="21"/>
                <w:lang w:val="en-US" w:eastAsia="zh-CN" w:bidi="ar"/>
              </w:rPr>
              <w:t>直接提交</w:t>
            </w:r>
          </w:p>
        </w:tc>
        <w:tc>
          <w:tcPr>
            <w:tcW w:w="1925" w:type="dxa"/>
            <w:shd w:val="clear" w:color="auto" w:fill="auto"/>
            <w:vAlign w:val="center"/>
          </w:tcPr>
          <w:p w14:paraId="4BC1FCA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提示需使用</w:t>
            </w:r>
            <w:r>
              <w:rPr>
                <w:rStyle w:val="165"/>
                <w:rFonts w:hint="eastAsia" w:ascii="宋体" w:hAnsi="宋体" w:eastAsia="宋体" w:cs="宋体"/>
                <w:sz w:val="21"/>
                <w:szCs w:val="21"/>
                <w:lang w:val="en-US" w:eastAsia="zh-CN" w:bidi="ar"/>
              </w:rPr>
              <w:t xml:space="preserve"> UUID </w:t>
            </w:r>
            <w:r>
              <w:rPr>
                <w:rStyle w:val="166"/>
                <w:rFonts w:hint="eastAsia" w:ascii="宋体" w:hAnsi="宋体" w:eastAsia="宋体" w:cs="宋体"/>
                <w:sz w:val="21"/>
                <w:szCs w:val="21"/>
                <w:lang w:val="en-US" w:eastAsia="zh-CN" w:bidi="ar"/>
              </w:rPr>
              <w:t>预生成策略，添加失败</w:t>
            </w:r>
          </w:p>
        </w:tc>
        <w:tc>
          <w:tcPr>
            <w:tcW w:w="1958" w:type="dxa"/>
            <w:shd w:val="clear" w:color="auto" w:fill="auto"/>
            <w:vAlign w:val="center"/>
          </w:tcPr>
          <w:p w14:paraId="37C44E8F">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w:t>
            </w:r>
            <w:r>
              <w:rPr>
                <w:rStyle w:val="165"/>
                <w:rFonts w:hint="eastAsia" w:ascii="宋体" w:hAnsi="宋体" w:eastAsia="宋体" w:cs="宋体"/>
                <w:sz w:val="21"/>
                <w:szCs w:val="21"/>
                <w:lang w:val="en-US" w:eastAsia="zh-CN" w:bidi="ar"/>
              </w:rPr>
              <w:t xml:space="preserve"> UUID </w:t>
            </w:r>
            <w:r>
              <w:rPr>
                <w:rStyle w:val="166"/>
                <w:rFonts w:hint="eastAsia" w:ascii="宋体" w:hAnsi="宋体" w:eastAsia="宋体" w:cs="宋体"/>
                <w:sz w:val="21"/>
                <w:szCs w:val="21"/>
                <w:lang w:val="en-US" w:eastAsia="zh-CN" w:bidi="ar"/>
              </w:rPr>
              <w:t>相关提示</w:t>
            </w:r>
          </w:p>
        </w:tc>
      </w:tr>
      <w:tr w14:paraId="099E3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4B6029E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赣绣项目管理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修改项目</w:t>
            </w:r>
          </w:p>
        </w:tc>
        <w:tc>
          <w:tcPr>
            <w:tcW w:w="1409" w:type="dxa"/>
            <w:shd w:val="clear" w:color="auto" w:fill="auto"/>
            <w:vAlign w:val="center"/>
          </w:tcPr>
          <w:p w14:paraId="0D5F960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修改项目详情</w:t>
            </w:r>
          </w:p>
        </w:tc>
        <w:tc>
          <w:tcPr>
            <w:tcW w:w="2100" w:type="dxa"/>
            <w:shd w:val="clear" w:color="auto" w:fill="auto"/>
            <w:vAlign w:val="center"/>
          </w:tcPr>
          <w:p w14:paraId="43AFF0D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选择项目，修改描述、图片等信息</w:t>
            </w:r>
          </w:p>
        </w:tc>
        <w:tc>
          <w:tcPr>
            <w:tcW w:w="1925" w:type="dxa"/>
            <w:shd w:val="clear" w:color="auto" w:fill="auto"/>
            <w:vAlign w:val="center"/>
          </w:tcPr>
          <w:p w14:paraId="6AA7354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项目详情更新，其他信息不变</w:t>
            </w:r>
          </w:p>
        </w:tc>
        <w:tc>
          <w:tcPr>
            <w:tcW w:w="1958" w:type="dxa"/>
            <w:shd w:val="clear" w:color="auto" w:fill="auto"/>
            <w:vAlign w:val="center"/>
          </w:tcPr>
          <w:p w14:paraId="42D3B44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详情更新成功，无其他变动</w:t>
            </w:r>
          </w:p>
        </w:tc>
      </w:tr>
      <w:tr w14:paraId="4FA51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52C8E61C">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0EFD3A6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修改项目状态</w:t>
            </w:r>
          </w:p>
        </w:tc>
        <w:tc>
          <w:tcPr>
            <w:tcW w:w="2100" w:type="dxa"/>
            <w:shd w:val="clear" w:color="auto" w:fill="auto"/>
            <w:vAlign w:val="center"/>
          </w:tcPr>
          <w:p w14:paraId="6F60947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选择项目，将草稿状态改为已发布</w:t>
            </w:r>
          </w:p>
        </w:tc>
        <w:tc>
          <w:tcPr>
            <w:tcW w:w="1925" w:type="dxa"/>
            <w:shd w:val="clear" w:color="auto" w:fill="auto"/>
            <w:vAlign w:val="center"/>
          </w:tcPr>
          <w:p w14:paraId="1502089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项目状态更新，前端可浏览</w:t>
            </w:r>
          </w:p>
        </w:tc>
        <w:tc>
          <w:tcPr>
            <w:tcW w:w="1958" w:type="dxa"/>
            <w:shd w:val="clear" w:color="auto" w:fill="auto"/>
            <w:vAlign w:val="center"/>
          </w:tcPr>
          <w:p w14:paraId="39CE34F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状态更新成功，前端正常展示</w:t>
            </w:r>
          </w:p>
        </w:tc>
      </w:tr>
      <w:tr w14:paraId="0C10A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5" w:hRule="atLeast"/>
        </w:trPr>
        <w:tc>
          <w:tcPr>
            <w:tcW w:w="1292" w:type="dxa"/>
            <w:shd w:val="clear" w:color="auto" w:fill="auto"/>
            <w:vAlign w:val="center"/>
          </w:tcPr>
          <w:p w14:paraId="3DEC7D1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赣绣项目管理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查询项目</w:t>
            </w:r>
          </w:p>
        </w:tc>
        <w:tc>
          <w:tcPr>
            <w:tcW w:w="1409" w:type="dxa"/>
            <w:shd w:val="clear" w:color="auto" w:fill="auto"/>
            <w:vAlign w:val="center"/>
          </w:tcPr>
          <w:p w14:paraId="42876FA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无筛选条件查询</w:t>
            </w:r>
          </w:p>
        </w:tc>
        <w:tc>
          <w:tcPr>
            <w:tcW w:w="2100" w:type="dxa"/>
            <w:shd w:val="clear" w:color="auto" w:fill="auto"/>
            <w:vAlign w:val="center"/>
          </w:tcPr>
          <w:p w14:paraId="70F506F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不输入筛选关键词，默认查询第</w:t>
            </w:r>
            <w:r>
              <w:rPr>
                <w:rStyle w:val="165"/>
                <w:rFonts w:hint="eastAsia" w:ascii="宋体" w:hAnsi="宋体" w:eastAsia="宋体" w:cs="宋体"/>
                <w:sz w:val="21"/>
                <w:szCs w:val="21"/>
                <w:lang w:val="en-US" w:eastAsia="zh-CN" w:bidi="ar"/>
              </w:rPr>
              <w:t xml:space="preserve"> 1 </w:t>
            </w:r>
            <w:r>
              <w:rPr>
                <w:rStyle w:val="166"/>
                <w:rFonts w:hint="eastAsia" w:ascii="宋体" w:hAnsi="宋体" w:eastAsia="宋体" w:cs="宋体"/>
                <w:sz w:val="21"/>
                <w:szCs w:val="21"/>
                <w:lang w:val="en-US" w:eastAsia="zh-CN" w:bidi="ar"/>
              </w:rPr>
              <w:t>页</w:t>
            </w:r>
          </w:p>
        </w:tc>
        <w:tc>
          <w:tcPr>
            <w:tcW w:w="1925" w:type="dxa"/>
            <w:shd w:val="clear" w:color="auto" w:fill="auto"/>
            <w:vAlign w:val="center"/>
          </w:tcPr>
          <w:p w14:paraId="16415EA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返回已发布项目列表及分页信息</w:t>
            </w:r>
          </w:p>
        </w:tc>
        <w:tc>
          <w:tcPr>
            <w:tcW w:w="1958" w:type="dxa"/>
            <w:shd w:val="clear" w:color="auto" w:fill="auto"/>
            <w:vAlign w:val="center"/>
          </w:tcPr>
          <w:p w14:paraId="4057CE4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成功返回项目列表和分页数据</w:t>
            </w:r>
          </w:p>
        </w:tc>
      </w:tr>
      <w:tr w14:paraId="4AA49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1292" w:type="dxa"/>
            <w:shd w:val="clear" w:color="auto" w:fill="auto"/>
            <w:vAlign w:val="center"/>
          </w:tcPr>
          <w:p w14:paraId="2056ED98">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204C815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按类别筛选查询</w:t>
            </w:r>
          </w:p>
        </w:tc>
        <w:tc>
          <w:tcPr>
            <w:tcW w:w="2100" w:type="dxa"/>
            <w:shd w:val="clear" w:color="auto" w:fill="auto"/>
            <w:vAlign w:val="center"/>
          </w:tcPr>
          <w:p w14:paraId="65EE2F0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w:t>
            </w:r>
            <w:r>
              <w:rPr>
                <w:rStyle w:val="165"/>
                <w:rFonts w:hint="eastAsia" w:ascii="宋体" w:hAnsi="宋体" w:eastAsia="宋体" w:cs="宋体"/>
                <w:sz w:val="21"/>
                <w:szCs w:val="21"/>
                <w:lang w:val="en-US" w:eastAsia="zh-CN" w:bidi="ar"/>
              </w:rPr>
              <w:t xml:space="preserve"> “</w:t>
            </w:r>
            <w:r>
              <w:rPr>
                <w:rStyle w:val="166"/>
                <w:rFonts w:hint="eastAsia" w:ascii="宋体" w:hAnsi="宋体" w:eastAsia="宋体" w:cs="宋体"/>
                <w:sz w:val="21"/>
                <w:szCs w:val="21"/>
                <w:lang w:val="en-US" w:eastAsia="zh-CN" w:bidi="ar"/>
              </w:rPr>
              <w:t>传统美术</w:t>
            </w:r>
            <w:r>
              <w:rPr>
                <w:rStyle w:val="165"/>
                <w:rFonts w:hint="eastAsia" w:ascii="宋体" w:hAnsi="宋体" w:eastAsia="宋体" w:cs="宋体"/>
                <w:sz w:val="21"/>
                <w:szCs w:val="21"/>
                <w:lang w:val="en-US" w:eastAsia="zh-CN" w:bidi="ar"/>
              </w:rPr>
              <w:t xml:space="preserve">” </w:t>
            </w:r>
            <w:r>
              <w:rPr>
                <w:rStyle w:val="166"/>
                <w:rFonts w:hint="eastAsia" w:ascii="宋体" w:hAnsi="宋体" w:eastAsia="宋体" w:cs="宋体"/>
                <w:sz w:val="21"/>
                <w:szCs w:val="21"/>
                <w:lang w:val="en-US" w:eastAsia="zh-CN" w:bidi="ar"/>
              </w:rPr>
              <w:t>类别筛选</w:t>
            </w:r>
          </w:p>
        </w:tc>
        <w:tc>
          <w:tcPr>
            <w:tcW w:w="1925" w:type="dxa"/>
            <w:shd w:val="clear" w:color="auto" w:fill="auto"/>
            <w:vAlign w:val="center"/>
          </w:tcPr>
          <w:p w14:paraId="604E8FD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返回该类别的赣绣项目列表</w:t>
            </w:r>
          </w:p>
        </w:tc>
        <w:tc>
          <w:tcPr>
            <w:tcW w:w="1958" w:type="dxa"/>
            <w:shd w:val="clear" w:color="auto" w:fill="auto"/>
            <w:vAlign w:val="center"/>
          </w:tcPr>
          <w:p w14:paraId="6F0C1D5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精准筛选出对应类别项目</w:t>
            </w:r>
          </w:p>
        </w:tc>
      </w:tr>
      <w:tr w14:paraId="322C1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292" w:type="dxa"/>
            <w:shd w:val="clear" w:color="auto" w:fill="auto"/>
            <w:vAlign w:val="center"/>
          </w:tcPr>
          <w:p w14:paraId="35A4EFCF">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传承人管理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添加传承人</w:t>
            </w:r>
          </w:p>
        </w:tc>
        <w:tc>
          <w:tcPr>
            <w:tcW w:w="1409" w:type="dxa"/>
            <w:shd w:val="clear" w:color="auto" w:fill="auto"/>
            <w:vAlign w:val="center"/>
          </w:tcPr>
          <w:p w14:paraId="3868CC8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添加完整信息传承人</w:t>
            </w:r>
          </w:p>
        </w:tc>
        <w:tc>
          <w:tcPr>
            <w:tcW w:w="2100" w:type="dxa"/>
            <w:shd w:val="clear" w:color="auto" w:fill="auto"/>
            <w:vAlign w:val="center"/>
          </w:tcPr>
          <w:p w14:paraId="62EDD7B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姓名、称号、地区、简介、头像等</w:t>
            </w:r>
          </w:p>
        </w:tc>
        <w:tc>
          <w:tcPr>
            <w:tcW w:w="1925" w:type="dxa"/>
            <w:shd w:val="clear" w:color="auto" w:fill="auto"/>
            <w:vAlign w:val="center"/>
          </w:tcPr>
          <w:p w14:paraId="4C6241E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传承人在列表中显示</w:t>
            </w:r>
          </w:p>
        </w:tc>
        <w:tc>
          <w:tcPr>
            <w:tcW w:w="1958" w:type="dxa"/>
            <w:shd w:val="clear" w:color="auto" w:fill="auto"/>
            <w:vAlign w:val="center"/>
          </w:tcPr>
          <w:p w14:paraId="68C649B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传承人成功添加到列表</w:t>
            </w:r>
          </w:p>
        </w:tc>
      </w:tr>
      <w:tr w14:paraId="50D2D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5" w:hRule="atLeast"/>
        </w:trPr>
        <w:tc>
          <w:tcPr>
            <w:tcW w:w="1292" w:type="dxa"/>
            <w:shd w:val="clear" w:color="auto" w:fill="auto"/>
            <w:vAlign w:val="center"/>
          </w:tcPr>
          <w:p w14:paraId="3DF25709">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35D9064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添加信息不完整传承人</w:t>
            </w:r>
          </w:p>
        </w:tc>
        <w:tc>
          <w:tcPr>
            <w:tcW w:w="2100" w:type="dxa"/>
            <w:shd w:val="clear" w:color="auto" w:fill="auto"/>
            <w:vAlign w:val="center"/>
          </w:tcPr>
          <w:p w14:paraId="0391DA3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缺少称号或简介等信息</w:t>
            </w:r>
          </w:p>
        </w:tc>
        <w:tc>
          <w:tcPr>
            <w:tcW w:w="1925" w:type="dxa"/>
            <w:shd w:val="clear" w:color="auto" w:fill="auto"/>
            <w:vAlign w:val="center"/>
          </w:tcPr>
          <w:p w14:paraId="4EA554A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提示信息不完整，添加失败</w:t>
            </w:r>
          </w:p>
        </w:tc>
        <w:tc>
          <w:tcPr>
            <w:tcW w:w="1958" w:type="dxa"/>
            <w:shd w:val="clear" w:color="auto" w:fill="auto"/>
            <w:vAlign w:val="center"/>
          </w:tcPr>
          <w:p w14:paraId="5F183DB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显示信息不完整提示</w:t>
            </w:r>
          </w:p>
        </w:tc>
      </w:tr>
      <w:tr w14:paraId="3A490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1292" w:type="dxa"/>
            <w:shd w:val="clear" w:color="auto" w:fill="auto"/>
            <w:vAlign w:val="center"/>
          </w:tcPr>
          <w:p w14:paraId="0581917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传承人管理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关联项目</w:t>
            </w:r>
          </w:p>
        </w:tc>
        <w:tc>
          <w:tcPr>
            <w:tcW w:w="1409" w:type="dxa"/>
            <w:shd w:val="clear" w:color="auto" w:fill="auto"/>
            <w:vAlign w:val="center"/>
          </w:tcPr>
          <w:p w14:paraId="21E11780">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正常关联项目</w:t>
            </w:r>
          </w:p>
        </w:tc>
        <w:tc>
          <w:tcPr>
            <w:tcW w:w="2100" w:type="dxa"/>
            <w:shd w:val="clear" w:color="auto" w:fill="auto"/>
            <w:vAlign w:val="center"/>
          </w:tcPr>
          <w:p w14:paraId="6994BD8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选择传承人及对应赣绣项目</w:t>
            </w:r>
          </w:p>
        </w:tc>
        <w:tc>
          <w:tcPr>
            <w:tcW w:w="1925" w:type="dxa"/>
            <w:shd w:val="clear" w:color="auto" w:fill="auto"/>
            <w:vAlign w:val="center"/>
          </w:tcPr>
          <w:p w14:paraId="11A91C1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传承人详情中显示关联项目</w:t>
            </w:r>
          </w:p>
        </w:tc>
        <w:tc>
          <w:tcPr>
            <w:tcW w:w="1958" w:type="dxa"/>
            <w:shd w:val="clear" w:color="auto" w:fill="auto"/>
            <w:vAlign w:val="center"/>
          </w:tcPr>
          <w:p w14:paraId="2DE05E7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关联成功，详情页正常展示</w:t>
            </w:r>
          </w:p>
        </w:tc>
      </w:tr>
      <w:tr w14:paraId="77D0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292" w:type="dxa"/>
            <w:shd w:val="clear" w:color="auto" w:fill="auto"/>
            <w:vAlign w:val="center"/>
          </w:tcPr>
          <w:p w14:paraId="7EEAE3D5">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61D402D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重复关联项目</w:t>
            </w:r>
          </w:p>
        </w:tc>
        <w:tc>
          <w:tcPr>
            <w:tcW w:w="2100" w:type="dxa"/>
            <w:shd w:val="clear" w:color="auto" w:fill="auto"/>
            <w:vAlign w:val="center"/>
          </w:tcPr>
          <w:p w14:paraId="6946950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对已关联的项目再次关联</w:t>
            </w:r>
          </w:p>
        </w:tc>
        <w:tc>
          <w:tcPr>
            <w:tcW w:w="1925" w:type="dxa"/>
            <w:shd w:val="clear" w:color="auto" w:fill="auto"/>
            <w:vAlign w:val="center"/>
          </w:tcPr>
          <w:p w14:paraId="0D0D2D0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提示关联已存在，关联失败</w:t>
            </w:r>
          </w:p>
        </w:tc>
        <w:tc>
          <w:tcPr>
            <w:tcW w:w="1958" w:type="dxa"/>
            <w:shd w:val="clear" w:color="auto" w:fill="auto"/>
            <w:vAlign w:val="center"/>
          </w:tcPr>
          <w:p w14:paraId="662B808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显示关联重复提示</w:t>
            </w:r>
          </w:p>
        </w:tc>
      </w:tr>
      <w:tr w14:paraId="40446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0533D71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课程管理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添加课程</w:t>
            </w:r>
          </w:p>
        </w:tc>
        <w:tc>
          <w:tcPr>
            <w:tcW w:w="1409" w:type="dxa"/>
            <w:shd w:val="clear" w:color="auto" w:fill="auto"/>
            <w:vAlign w:val="center"/>
          </w:tcPr>
          <w:p w14:paraId="6C4A117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添加完整信息课程</w:t>
            </w:r>
          </w:p>
        </w:tc>
        <w:tc>
          <w:tcPr>
            <w:tcW w:w="2100" w:type="dxa"/>
            <w:shd w:val="clear" w:color="auto" w:fill="auto"/>
            <w:vAlign w:val="center"/>
          </w:tcPr>
          <w:p w14:paraId="7A6F48D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课程标题、难度等级、描述、章节内容等</w:t>
            </w:r>
          </w:p>
        </w:tc>
        <w:tc>
          <w:tcPr>
            <w:tcW w:w="1925" w:type="dxa"/>
            <w:shd w:val="clear" w:color="auto" w:fill="auto"/>
            <w:vAlign w:val="center"/>
          </w:tcPr>
          <w:p w14:paraId="6F9D18D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课程在列表中显示</w:t>
            </w:r>
          </w:p>
        </w:tc>
        <w:tc>
          <w:tcPr>
            <w:tcW w:w="1958" w:type="dxa"/>
            <w:shd w:val="clear" w:color="auto" w:fill="auto"/>
            <w:vAlign w:val="center"/>
          </w:tcPr>
          <w:p w14:paraId="3286AF2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课程成功添加到列表</w:t>
            </w:r>
          </w:p>
        </w:tc>
      </w:tr>
      <w:tr w14:paraId="05A89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292" w:type="dxa"/>
            <w:shd w:val="clear" w:color="auto" w:fill="auto"/>
            <w:vAlign w:val="center"/>
          </w:tcPr>
          <w:p w14:paraId="5F952BFB">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37E8A11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添加重复排序号章节</w:t>
            </w:r>
          </w:p>
        </w:tc>
        <w:tc>
          <w:tcPr>
            <w:tcW w:w="2100" w:type="dxa"/>
            <w:shd w:val="clear" w:color="auto" w:fill="auto"/>
            <w:vAlign w:val="center"/>
          </w:tcPr>
          <w:p w14:paraId="4049B921">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同一课程下添加排序号重复的章节</w:t>
            </w:r>
          </w:p>
        </w:tc>
        <w:tc>
          <w:tcPr>
            <w:tcW w:w="1925" w:type="dxa"/>
            <w:shd w:val="clear" w:color="auto" w:fill="auto"/>
            <w:vAlign w:val="center"/>
          </w:tcPr>
          <w:p w14:paraId="668B9C6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提示排序号已存在，添加失败</w:t>
            </w:r>
          </w:p>
        </w:tc>
        <w:tc>
          <w:tcPr>
            <w:tcW w:w="1958" w:type="dxa"/>
            <w:shd w:val="clear" w:color="auto" w:fill="auto"/>
            <w:vAlign w:val="center"/>
          </w:tcPr>
          <w:p w14:paraId="02FC51C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显示排序号重复提示</w:t>
            </w:r>
          </w:p>
        </w:tc>
      </w:tr>
      <w:tr w14:paraId="0CD55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1292" w:type="dxa"/>
            <w:shd w:val="clear" w:color="auto" w:fill="auto"/>
            <w:vAlign w:val="center"/>
          </w:tcPr>
          <w:p w14:paraId="5F21945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课程管理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学习课程</w:t>
            </w:r>
          </w:p>
        </w:tc>
        <w:tc>
          <w:tcPr>
            <w:tcW w:w="1409" w:type="dxa"/>
            <w:shd w:val="clear" w:color="auto" w:fill="auto"/>
            <w:vAlign w:val="center"/>
          </w:tcPr>
          <w:p w14:paraId="4C167AA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正常学习课程</w:t>
            </w:r>
          </w:p>
        </w:tc>
        <w:tc>
          <w:tcPr>
            <w:tcW w:w="2100" w:type="dxa"/>
            <w:shd w:val="clear" w:color="auto" w:fill="auto"/>
            <w:vAlign w:val="center"/>
          </w:tcPr>
          <w:p w14:paraId="745FA5F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选择课程，按章节顺序学习</w:t>
            </w:r>
          </w:p>
        </w:tc>
        <w:tc>
          <w:tcPr>
            <w:tcW w:w="1925" w:type="dxa"/>
            <w:shd w:val="clear" w:color="auto" w:fill="auto"/>
            <w:vAlign w:val="center"/>
          </w:tcPr>
          <w:p w14:paraId="5632373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记录学习进度，可续学</w:t>
            </w:r>
          </w:p>
        </w:tc>
        <w:tc>
          <w:tcPr>
            <w:tcW w:w="1958" w:type="dxa"/>
            <w:shd w:val="clear" w:color="auto" w:fill="auto"/>
            <w:vAlign w:val="center"/>
          </w:tcPr>
          <w:p w14:paraId="3C42C5E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进度记录正常，支持续学</w:t>
            </w:r>
          </w:p>
        </w:tc>
      </w:tr>
      <w:tr w14:paraId="2BD1E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292" w:type="dxa"/>
            <w:shd w:val="clear" w:color="auto" w:fill="auto"/>
            <w:vAlign w:val="center"/>
          </w:tcPr>
          <w:p w14:paraId="40683F7F">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活动管理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发布活动</w:t>
            </w:r>
          </w:p>
        </w:tc>
        <w:tc>
          <w:tcPr>
            <w:tcW w:w="1409" w:type="dxa"/>
            <w:shd w:val="clear" w:color="auto" w:fill="auto"/>
            <w:vAlign w:val="center"/>
          </w:tcPr>
          <w:p w14:paraId="6D3B22E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发布完整信息活动</w:t>
            </w:r>
          </w:p>
        </w:tc>
        <w:tc>
          <w:tcPr>
            <w:tcW w:w="2100" w:type="dxa"/>
            <w:shd w:val="clear" w:color="auto" w:fill="auto"/>
            <w:vAlign w:val="center"/>
          </w:tcPr>
          <w:p w14:paraId="2A6C33B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活动标题、类型、时间、地点、描述等</w:t>
            </w:r>
          </w:p>
        </w:tc>
        <w:tc>
          <w:tcPr>
            <w:tcW w:w="1925" w:type="dxa"/>
            <w:shd w:val="clear" w:color="auto" w:fill="auto"/>
            <w:vAlign w:val="center"/>
          </w:tcPr>
          <w:p w14:paraId="29A4987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活动在列表中显示，支持报名</w:t>
            </w:r>
          </w:p>
        </w:tc>
        <w:tc>
          <w:tcPr>
            <w:tcW w:w="1958" w:type="dxa"/>
            <w:shd w:val="clear" w:color="auto" w:fill="auto"/>
            <w:vAlign w:val="center"/>
          </w:tcPr>
          <w:p w14:paraId="3705987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活动成功发布，报名功能可用</w:t>
            </w:r>
          </w:p>
        </w:tc>
      </w:tr>
      <w:tr w14:paraId="6B45A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292" w:type="dxa"/>
            <w:shd w:val="clear" w:color="auto" w:fill="auto"/>
            <w:vAlign w:val="center"/>
          </w:tcPr>
          <w:p w14:paraId="152A0456">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2849C2F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发布信息不完整活动</w:t>
            </w:r>
          </w:p>
        </w:tc>
        <w:tc>
          <w:tcPr>
            <w:tcW w:w="2100" w:type="dxa"/>
            <w:shd w:val="clear" w:color="auto" w:fill="auto"/>
            <w:vAlign w:val="center"/>
          </w:tcPr>
          <w:p w14:paraId="0A8217D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缺少时间或地点等必填信息</w:t>
            </w:r>
          </w:p>
        </w:tc>
        <w:tc>
          <w:tcPr>
            <w:tcW w:w="1925" w:type="dxa"/>
            <w:shd w:val="clear" w:color="auto" w:fill="auto"/>
            <w:vAlign w:val="center"/>
          </w:tcPr>
          <w:p w14:paraId="690E8C7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提示信息不完整，发布失败</w:t>
            </w:r>
          </w:p>
        </w:tc>
        <w:tc>
          <w:tcPr>
            <w:tcW w:w="1958" w:type="dxa"/>
            <w:shd w:val="clear" w:color="auto" w:fill="auto"/>
            <w:vAlign w:val="center"/>
          </w:tcPr>
          <w:p w14:paraId="59D21F9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显示信息不完整提示</w:t>
            </w:r>
          </w:p>
        </w:tc>
      </w:tr>
      <w:tr w14:paraId="24423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3513376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活动管理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报名审核</w:t>
            </w:r>
          </w:p>
        </w:tc>
        <w:tc>
          <w:tcPr>
            <w:tcW w:w="1409" w:type="dxa"/>
            <w:shd w:val="clear" w:color="auto" w:fill="auto"/>
            <w:vAlign w:val="center"/>
          </w:tcPr>
          <w:p w14:paraId="08E02F5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审核通过报名</w:t>
            </w:r>
          </w:p>
        </w:tc>
        <w:tc>
          <w:tcPr>
            <w:tcW w:w="2100" w:type="dxa"/>
            <w:shd w:val="clear" w:color="auto" w:fill="auto"/>
            <w:vAlign w:val="center"/>
          </w:tcPr>
          <w:p w14:paraId="778F916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选择待审核报名记录，点击通过</w:t>
            </w:r>
          </w:p>
        </w:tc>
        <w:tc>
          <w:tcPr>
            <w:tcW w:w="1925" w:type="dxa"/>
            <w:shd w:val="clear" w:color="auto" w:fill="auto"/>
            <w:vAlign w:val="center"/>
          </w:tcPr>
          <w:p w14:paraId="4527128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报名状态更新为审核通过</w:t>
            </w:r>
          </w:p>
        </w:tc>
        <w:tc>
          <w:tcPr>
            <w:tcW w:w="1958" w:type="dxa"/>
            <w:shd w:val="clear" w:color="auto" w:fill="auto"/>
            <w:vAlign w:val="center"/>
          </w:tcPr>
          <w:p w14:paraId="34C91BF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状态更新成功，用户可查看结果</w:t>
            </w:r>
          </w:p>
        </w:tc>
      </w:tr>
      <w:tr w14:paraId="04B5E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3B93251E">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2270EC6F">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审核拒绝报名</w:t>
            </w:r>
          </w:p>
        </w:tc>
        <w:tc>
          <w:tcPr>
            <w:tcW w:w="2100" w:type="dxa"/>
            <w:shd w:val="clear" w:color="auto" w:fill="auto"/>
            <w:vAlign w:val="center"/>
          </w:tcPr>
          <w:p w14:paraId="182F2BD2">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选择待审核报名记录，点击拒绝</w:t>
            </w:r>
          </w:p>
        </w:tc>
        <w:tc>
          <w:tcPr>
            <w:tcW w:w="1925" w:type="dxa"/>
            <w:shd w:val="clear" w:color="auto" w:fill="auto"/>
            <w:vAlign w:val="center"/>
          </w:tcPr>
          <w:p w14:paraId="671E783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报名状态更新为审核拒绝</w:t>
            </w:r>
          </w:p>
        </w:tc>
        <w:tc>
          <w:tcPr>
            <w:tcW w:w="1958" w:type="dxa"/>
            <w:shd w:val="clear" w:color="auto" w:fill="auto"/>
            <w:vAlign w:val="center"/>
          </w:tcPr>
          <w:p w14:paraId="2E2C636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状态更新成功，用户可查看结果</w:t>
            </w:r>
          </w:p>
        </w:tc>
      </w:tr>
      <w:tr w14:paraId="0A037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1526663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商城管理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添加商品</w:t>
            </w:r>
          </w:p>
        </w:tc>
        <w:tc>
          <w:tcPr>
            <w:tcW w:w="1409" w:type="dxa"/>
            <w:shd w:val="clear" w:color="auto" w:fill="auto"/>
            <w:vAlign w:val="center"/>
          </w:tcPr>
          <w:p w14:paraId="0733157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添加完整信息商品</w:t>
            </w:r>
          </w:p>
        </w:tc>
        <w:tc>
          <w:tcPr>
            <w:tcW w:w="2100" w:type="dxa"/>
            <w:shd w:val="clear" w:color="auto" w:fill="auto"/>
            <w:vAlign w:val="center"/>
          </w:tcPr>
          <w:p w14:paraId="1D3F840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商品标题、价格、库存、分类、图片等</w:t>
            </w:r>
          </w:p>
        </w:tc>
        <w:tc>
          <w:tcPr>
            <w:tcW w:w="1925" w:type="dxa"/>
            <w:shd w:val="clear" w:color="auto" w:fill="auto"/>
            <w:vAlign w:val="center"/>
          </w:tcPr>
          <w:p w14:paraId="4BA87DA6">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商品在列表中显示</w:t>
            </w:r>
          </w:p>
        </w:tc>
        <w:tc>
          <w:tcPr>
            <w:tcW w:w="1958" w:type="dxa"/>
            <w:shd w:val="clear" w:color="auto" w:fill="auto"/>
            <w:vAlign w:val="center"/>
          </w:tcPr>
          <w:p w14:paraId="5CC2309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商品成功添加到列表</w:t>
            </w:r>
          </w:p>
        </w:tc>
      </w:tr>
      <w:tr w14:paraId="40B86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7D4928EB">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3D3E3A1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添加库存为负数商品</w:t>
            </w:r>
          </w:p>
        </w:tc>
        <w:tc>
          <w:tcPr>
            <w:tcW w:w="2100" w:type="dxa"/>
            <w:shd w:val="clear" w:color="auto" w:fill="auto"/>
            <w:vAlign w:val="center"/>
          </w:tcPr>
          <w:p w14:paraId="010486D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库存输入负数</w:t>
            </w:r>
          </w:p>
        </w:tc>
        <w:tc>
          <w:tcPr>
            <w:tcW w:w="1925" w:type="dxa"/>
            <w:shd w:val="clear" w:color="auto" w:fill="auto"/>
            <w:vAlign w:val="center"/>
          </w:tcPr>
          <w:p w14:paraId="1B6815C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提示库存格式错误，添加失败</w:t>
            </w:r>
          </w:p>
        </w:tc>
        <w:tc>
          <w:tcPr>
            <w:tcW w:w="1958" w:type="dxa"/>
            <w:shd w:val="clear" w:color="auto" w:fill="auto"/>
            <w:vAlign w:val="center"/>
          </w:tcPr>
          <w:p w14:paraId="79F9ED2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显示库存格式错误提示</w:t>
            </w:r>
          </w:p>
        </w:tc>
      </w:tr>
      <w:tr w14:paraId="1E4EA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55" w:hRule="atLeast"/>
        </w:trPr>
        <w:tc>
          <w:tcPr>
            <w:tcW w:w="1292" w:type="dxa"/>
            <w:shd w:val="clear" w:color="auto" w:fill="auto"/>
            <w:vAlign w:val="center"/>
          </w:tcPr>
          <w:p w14:paraId="42793EA7">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商城管理</w:t>
            </w:r>
            <w:r>
              <w:rPr>
                <w:rStyle w:val="165"/>
                <w:rFonts w:hint="eastAsia" w:ascii="宋体" w:hAnsi="宋体" w:eastAsia="宋体" w:cs="宋体"/>
                <w:sz w:val="21"/>
                <w:szCs w:val="21"/>
                <w:lang w:val="en-US" w:eastAsia="zh-CN" w:bidi="ar"/>
              </w:rPr>
              <w:t xml:space="preserve"> - </w:t>
            </w:r>
            <w:r>
              <w:rPr>
                <w:rStyle w:val="166"/>
                <w:rFonts w:hint="eastAsia" w:ascii="宋体" w:hAnsi="宋体" w:eastAsia="宋体" w:cs="宋体"/>
                <w:sz w:val="21"/>
                <w:szCs w:val="21"/>
                <w:lang w:val="en-US" w:eastAsia="zh-CN" w:bidi="ar"/>
              </w:rPr>
              <w:t>创建订单</w:t>
            </w:r>
          </w:p>
        </w:tc>
        <w:tc>
          <w:tcPr>
            <w:tcW w:w="1409" w:type="dxa"/>
            <w:shd w:val="clear" w:color="auto" w:fill="auto"/>
            <w:vAlign w:val="center"/>
          </w:tcPr>
          <w:p w14:paraId="54B0090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正常创建订单</w:t>
            </w:r>
          </w:p>
        </w:tc>
        <w:tc>
          <w:tcPr>
            <w:tcW w:w="2100" w:type="dxa"/>
            <w:shd w:val="clear" w:color="auto" w:fill="auto"/>
            <w:vAlign w:val="center"/>
          </w:tcPr>
          <w:p w14:paraId="2F50D56E">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选择商品、数量，填写收货地址</w:t>
            </w:r>
          </w:p>
        </w:tc>
        <w:tc>
          <w:tcPr>
            <w:tcW w:w="1925" w:type="dxa"/>
            <w:shd w:val="clear" w:color="auto" w:fill="auto"/>
            <w:vAlign w:val="center"/>
          </w:tcPr>
          <w:p w14:paraId="0EA48A85">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生成订单，状态为待支付</w:t>
            </w:r>
          </w:p>
        </w:tc>
        <w:tc>
          <w:tcPr>
            <w:tcW w:w="1958" w:type="dxa"/>
            <w:shd w:val="clear" w:color="auto" w:fill="auto"/>
            <w:vAlign w:val="center"/>
          </w:tcPr>
          <w:p w14:paraId="5156B23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订单生成成功，状态正确</w:t>
            </w:r>
          </w:p>
        </w:tc>
      </w:tr>
      <w:tr w14:paraId="123ED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95" w:hRule="atLeast"/>
        </w:trPr>
        <w:tc>
          <w:tcPr>
            <w:tcW w:w="1292" w:type="dxa"/>
            <w:shd w:val="clear" w:color="auto" w:fill="auto"/>
            <w:vAlign w:val="center"/>
          </w:tcPr>
          <w:p w14:paraId="04505077">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35125F54">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库存不足创建订单</w:t>
            </w:r>
          </w:p>
        </w:tc>
        <w:tc>
          <w:tcPr>
            <w:tcW w:w="2100" w:type="dxa"/>
            <w:shd w:val="clear" w:color="auto" w:fill="auto"/>
            <w:vAlign w:val="center"/>
          </w:tcPr>
          <w:p w14:paraId="4D48FC7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商品库存</w:t>
            </w:r>
            <w:r>
              <w:rPr>
                <w:rStyle w:val="165"/>
                <w:rFonts w:hint="eastAsia" w:ascii="宋体" w:hAnsi="宋体" w:eastAsia="宋体" w:cs="宋体"/>
                <w:sz w:val="21"/>
                <w:szCs w:val="21"/>
                <w:lang w:val="en-US" w:eastAsia="zh-CN" w:bidi="ar"/>
              </w:rPr>
              <w:t xml:space="preserve"> 5 </w:t>
            </w:r>
            <w:r>
              <w:rPr>
                <w:rStyle w:val="166"/>
                <w:rFonts w:hint="eastAsia" w:ascii="宋体" w:hAnsi="宋体" w:eastAsia="宋体" w:cs="宋体"/>
                <w:sz w:val="21"/>
                <w:szCs w:val="21"/>
                <w:lang w:val="en-US" w:eastAsia="zh-CN" w:bidi="ar"/>
              </w:rPr>
              <w:t xml:space="preserve">件，下单数量 </w:t>
            </w:r>
            <w:r>
              <w:rPr>
                <w:rStyle w:val="165"/>
                <w:rFonts w:hint="eastAsia" w:ascii="宋体" w:hAnsi="宋体" w:eastAsia="宋体" w:cs="宋体"/>
                <w:sz w:val="21"/>
                <w:szCs w:val="21"/>
                <w:lang w:val="en-US" w:eastAsia="zh-CN" w:bidi="ar"/>
              </w:rPr>
              <w:t xml:space="preserve">10 </w:t>
            </w:r>
            <w:r>
              <w:rPr>
                <w:rStyle w:val="166"/>
                <w:rFonts w:hint="eastAsia" w:ascii="宋体" w:hAnsi="宋体" w:eastAsia="宋体" w:cs="宋体"/>
                <w:sz w:val="21"/>
                <w:szCs w:val="21"/>
                <w:lang w:val="en-US" w:eastAsia="zh-CN" w:bidi="ar"/>
              </w:rPr>
              <w:t>件</w:t>
            </w:r>
          </w:p>
        </w:tc>
        <w:tc>
          <w:tcPr>
            <w:tcW w:w="1925" w:type="dxa"/>
            <w:shd w:val="clear" w:color="auto" w:fill="auto"/>
            <w:vAlign w:val="center"/>
          </w:tcPr>
          <w:p w14:paraId="3BF3E34D">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提示库存不足，创建失败</w:t>
            </w:r>
          </w:p>
        </w:tc>
        <w:tc>
          <w:tcPr>
            <w:tcW w:w="1958" w:type="dxa"/>
            <w:shd w:val="clear" w:color="auto" w:fill="auto"/>
            <w:vAlign w:val="center"/>
          </w:tcPr>
          <w:p w14:paraId="362FD8D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显示库存不足提示</w:t>
            </w:r>
          </w:p>
        </w:tc>
      </w:tr>
      <w:tr w14:paraId="6B996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5" w:hRule="atLeast"/>
        </w:trPr>
        <w:tc>
          <w:tcPr>
            <w:tcW w:w="1292" w:type="dxa"/>
            <w:shd w:val="clear" w:color="auto" w:fill="auto"/>
            <w:vAlign w:val="center"/>
          </w:tcPr>
          <w:p w14:paraId="7A5DEEDA">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AI </w:t>
            </w:r>
            <w:r>
              <w:rPr>
                <w:rStyle w:val="166"/>
                <w:rFonts w:hint="eastAsia" w:ascii="宋体" w:hAnsi="宋体" w:eastAsia="宋体" w:cs="宋体"/>
                <w:sz w:val="21"/>
                <w:szCs w:val="21"/>
                <w:lang w:val="en-US" w:eastAsia="zh-CN" w:bidi="ar"/>
              </w:rPr>
              <w:t xml:space="preserve">智能客服 </w:t>
            </w:r>
            <w:r>
              <w:rPr>
                <w:rStyle w:val="165"/>
                <w:rFonts w:hint="eastAsia" w:ascii="宋体" w:hAnsi="宋体" w:eastAsia="宋体" w:cs="宋体"/>
                <w:sz w:val="21"/>
                <w:szCs w:val="21"/>
                <w:lang w:val="en-US" w:eastAsia="zh-CN" w:bidi="ar"/>
              </w:rPr>
              <w:t xml:space="preserve">- </w:t>
            </w:r>
            <w:r>
              <w:rPr>
                <w:rStyle w:val="166"/>
                <w:rFonts w:hint="eastAsia" w:ascii="宋体" w:hAnsi="宋体" w:eastAsia="宋体" w:cs="宋体"/>
                <w:sz w:val="21"/>
                <w:szCs w:val="21"/>
                <w:lang w:val="en-US" w:eastAsia="zh-CN" w:bidi="ar"/>
              </w:rPr>
              <w:t>对话功能</w:t>
            </w:r>
          </w:p>
        </w:tc>
        <w:tc>
          <w:tcPr>
            <w:tcW w:w="1409" w:type="dxa"/>
            <w:shd w:val="clear" w:color="auto" w:fill="auto"/>
            <w:vAlign w:val="center"/>
          </w:tcPr>
          <w:p w14:paraId="02BF146B">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发送赣绣相关问题</w:t>
            </w:r>
          </w:p>
        </w:tc>
        <w:tc>
          <w:tcPr>
            <w:tcW w:w="2100" w:type="dxa"/>
            <w:shd w:val="clear" w:color="auto" w:fill="auto"/>
            <w:vAlign w:val="center"/>
          </w:tcPr>
          <w:p w14:paraId="057256C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输入</w:t>
            </w:r>
            <w:r>
              <w:rPr>
                <w:rStyle w:val="165"/>
                <w:rFonts w:hint="eastAsia" w:ascii="宋体" w:hAnsi="宋体" w:eastAsia="宋体" w:cs="宋体"/>
                <w:sz w:val="21"/>
                <w:szCs w:val="21"/>
                <w:lang w:val="en-US" w:eastAsia="zh-CN" w:bidi="ar"/>
              </w:rPr>
              <w:t xml:space="preserve"> “</w:t>
            </w:r>
            <w:r>
              <w:rPr>
                <w:rStyle w:val="166"/>
                <w:rFonts w:hint="eastAsia" w:ascii="宋体" w:hAnsi="宋体" w:eastAsia="宋体" w:cs="宋体"/>
                <w:sz w:val="21"/>
                <w:szCs w:val="21"/>
                <w:lang w:val="en-US" w:eastAsia="zh-CN" w:bidi="ar"/>
              </w:rPr>
              <w:t>赣绣的针法有哪些</w:t>
            </w:r>
            <w:r>
              <w:rPr>
                <w:rStyle w:val="165"/>
                <w:rFonts w:hint="eastAsia" w:ascii="宋体" w:hAnsi="宋体" w:eastAsia="宋体" w:cs="宋体"/>
                <w:sz w:val="21"/>
                <w:szCs w:val="21"/>
                <w:lang w:val="en-US" w:eastAsia="zh-CN" w:bidi="ar"/>
              </w:rPr>
              <w:t>”</w:t>
            </w:r>
          </w:p>
        </w:tc>
        <w:tc>
          <w:tcPr>
            <w:tcW w:w="1925" w:type="dxa"/>
            <w:shd w:val="clear" w:color="auto" w:fill="auto"/>
            <w:vAlign w:val="center"/>
          </w:tcPr>
          <w:p w14:paraId="20B6D398">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AI </w:t>
            </w:r>
            <w:r>
              <w:rPr>
                <w:rStyle w:val="166"/>
                <w:rFonts w:hint="eastAsia" w:ascii="宋体" w:hAnsi="宋体" w:eastAsia="宋体" w:cs="宋体"/>
                <w:sz w:val="21"/>
                <w:szCs w:val="21"/>
                <w:lang w:val="en-US" w:eastAsia="zh-CN" w:bidi="ar"/>
              </w:rPr>
              <w:t>流式返回回答，消息保存到数据库</w:t>
            </w:r>
          </w:p>
        </w:tc>
        <w:tc>
          <w:tcPr>
            <w:tcW w:w="1958" w:type="dxa"/>
            <w:shd w:val="clear" w:color="auto" w:fill="auto"/>
            <w:vAlign w:val="center"/>
          </w:tcPr>
          <w:p w14:paraId="77653E19">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成功返回精准回答，消息正常存储</w:t>
            </w:r>
          </w:p>
        </w:tc>
      </w:tr>
      <w:tr w14:paraId="27016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292" w:type="dxa"/>
            <w:shd w:val="clear" w:color="auto" w:fill="auto"/>
            <w:vAlign w:val="center"/>
          </w:tcPr>
          <w:p w14:paraId="59FF4796">
            <w:pPr>
              <w:jc w:val="both"/>
              <w:rPr>
                <w:rFonts w:hint="eastAsia" w:ascii="宋体" w:hAnsi="宋体" w:eastAsia="宋体" w:cs="宋体"/>
                <w:i w:val="0"/>
                <w:iCs w:val="0"/>
                <w:color w:val="000000"/>
                <w:sz w:val="21"/>
                <w:szCs w:val="21"/>
                <w:u w:val="none"/>
              </w:rPr>
            </w:pPr>
          </w:p>
        </w:tc>
        <w:tc>
          <w:tcPr>
            <w:tcW w:w="1409" w:type="dxa"/>
            <w:shd w:val="clear" w:color="auto" w:fill="auto"/>
            <w:vAlign w:val="center"/>
          </w:tcPr>
          <w:p w14:paraId="576B5E93">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访问他人会话</w:t>
            </w:r>
          </w:p>
        </w:tc>
        <w:tc>
          <w:tcPr>
            <w:tcW w:w="2100" w:type="dxa"/>
            <w:shd w:val="clear" w:color="auto" w:fill="auto"/>
            <w:vAlign w:val="center"/>
          </w:tcPr>
          <w:p w14:paraId="755C002C">
            <w:pPr>
              <w:keepNext w:val="0"/>
              <w:keepLines w:val="0"/>
              <w:widowControl/>
              <w:suppressLineNumbers w:val="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尝试查看其他用户的对话记录</w:t>
            </w:r>
          </w:p>
        </w:tc>
        <w:tc>
          <w:tcPr>
            <w:tcW w:w="1925" w:type="dxa"/>
            <w:shd w:val="clear" w:color="auto" w:fill="auto"/>
            <w:vAlign w:val="center"/>
          </w:tcPr>
          <w:p w14:paraId="69EE97DF">
            <w:pPr>
              <w:jc w:val="both"/>
              <w:rPr>
                <w:rFonts w:hint="eastAsia" w:ascii="宋体" w:hAnsi="宋体" w:eastAsia="宋体" w:cs="宋体"/>
                <w:i w:val="0"/>
                <w:iCs w:val="0"/>
                <w:color w:val="000000"/>
                <w:sz w:val="21"/>
                <w:szCs w:val="21"/>
                <w:u w:val="none"/>
              </w:rPr>
            </w:pPr>
          </w:p>
        </w:tc>
        <w:tc>
          <w:tcPr>
            <w:tcW w:w="1958" w:type="dxa"/>
            <w:shd w:val="clear" w:color="auto" w:fill="auto"/>
            <w:noWrap/>
            <w:vAlign w:val="center"/>
          </w:tcPr>
          <w:p w14:paraId="13C6AF43">
            <w:pPr>
              <w:rPr>
                <w:rFonts w:hint="eastAsia" w:ascii="宋体" w:hAnsi="宋体" w:eastAsia="宋体" w:cs="宋体"/>
                <w:i w:val="0"/>
                <w:iCs w:val="0"/>
                <w:color w:val="000000"/>
                <w:sz w:val="21"/>
                <w:szCs w:val="21"/>
                <w:u w:val="none"/>
              </w:rPr>
            </w:pPr>
          </w:p>
        </w:tc>
      </w:tr>
    </w:tbl>
    <w:p w14:paraId="52B4510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5.3.2 非功能性测试</w:t>
      </w:r>
    </w:p>
    <w:p w14:paraId="2785EBA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eastAsia" w:ascii="宋体" w:hAnsi="宋体" w:cs="宋体"/>
          <w:sz w:val="24"/>
          <w:szCs w:val="24"/>
          <w:lang w:val="en-US" w:eastAsia="zh-CN"/>
        </w:rPr>
        <w:t>（1）</w:t>
      </w:r>
      <w:r>
        <w:rPr>
          <w:rFonts w:hint="default" w:ascii="宋体" w:hAnsi="宋体" w:eastAsia="宋体" w:cs="宋体"/>
          <w:sz w:val="24"/>
          <w:szCs w:val="24"/>
          <w:lang w:val="en-US" w:eastAsia="zh-CN"/>
        </w:rPr>
        <w:t>安全性测试</w:t>
      </w:r>
    </w:p>
    <w:p w14:paraId="5B3F95D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安全性测试验证系统的安全机制是否有效,包括用户认证、权限控制、数据加密等方面。测试过程中,首先验证JWT令牌的有效性,尝试使用过期的令牌访问系统,系统正确拦截并返回令牌已过期的提示。尝试使用伪造的令牌访问系统,系统正确拦截并返回令牌验证失败的提示。验证权限控制机制,普通用户尝试访问管理员接口,系统正确拦截并返回权限不足的提示。未登录用户尝试访问需要认证的接口,系统正确拦截并返回未登录的提示。</w:t>
      </w:r>
    </w:p>
    <w:p w14:paraId="38424B2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测试密码加密存储机制,查询数据库中的用户表,确认密码字段存储的是BCrypt加密后的哈希值,而不是明文密码。尝试使用SQL注入攻击,在登录表单中输入恶意SQL语句,系统使用MyBatis-Plus的参数化查询有效防御了SQL注入攻击。尝试使用XSS攻击,在表单中输入包含JavaScript代码的内容,前端使用Vue的自动转义机制有效防御了XSS攻击。安全性测试结果表明,系统的安全机制有效,能够抵御常见的安全威胁。</w:t>
      </w:r>
    </w:p>
    <w:p w14:paraId="7720849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eastAsia" w:ascii="宋体" w:hAnsi="宋体" w:cs="宋体"/>
          <w:sz w:val="24"/>
          <w:szCs w:val="24"/>
          <w:lang w:val="en-US" w:eastAsia="zh-CN"/>
        </w:rPr>
        <w:t>（2）</w:t>
      </w:r>
      <w:r>
        <w:rPr>
          <w:rFonts w:hint="default" w:ascii="宋体" w:hAnsi="宋体" w:eastAsia="宋体" w:cs="宋体"/>
          <w:sz w:val="24"/>
          <w:szCs w:val="24"/>
          <w:lang w:val="en-US" w:eastAsia="zh-CN"/>
        </w:rPr>
        <w:t>易用性测试</w:t>
      </w:r>
    </w:p>
    <w:p w14:paraId="7CCEDF6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易用性测试邀请10名用户参与,包括5名普通用户和5名管理员用户。测试过程中,用户按照预定的任务场景使用系统,包括注册登录、浏览项目、报名活动、购买商品。测试人员观察用户的操作过程,记录用户遇到的问题和困惑,收集用户的反馈意见。</w:t>
      </w:r>
    </w:p>
    <w:p w14:paraId="576C7E8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测试结果显示,90%的用户能够在3分钟内完成注册登录操作,80%的用户能够快速找到感兴趣的非遗项目,85%的用户认为商品购买流程清晰简单,75%的用户能够顺利使用AI客服获取帮助。用户对系统的整体满意度为4.2分,满分5分。用户反馈的主要问题包括部分表单验证提示不够明确,某些按钮的位置不够显眼,搜索功能的筛选条件不够丰富等。根据用户反馈,开发团队对系统进行了优化改进,完善了表单验证提示,调整了按钮布局,增加了搜索筛选条件。</w:t>
      </w:r>
    </w:p>
    <w:p w14:paraId="5DD8755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lang w:val="en-US" w:eastAsia="zh-CN"/>
        </w:rPr>
      </w:pPr>
      <w:bookmarkStart w:id="548" w:name="_Toc29847"/>
      <w:bookmarkStart w:id="549" w:name="_Toc18078"/>
      <w:bookmarkStart w:id="550" w:name="_Toc23339"/>
      <w:bookmarkStart w:id="551" w:name="_Toc1070"/>
      <w:bookmarkStart w:id="552" w:name="_Toc31054"/>
      <w:bookmarkStart w:id="553" w:name="_Toc20568"/>
      <w:r>
        <w:rPr>
          <w:rFonts w:hint="eastAsia" w:ascii="宋体" w:hAnsi="宋体" w:eastAsia="宋体" w:cs="宋体"/>
          <w:sz w:val="24"/>
          <w:szCs w:val="24"/>
          <w:lang w:val="en-US" w:eastAsia="zh-CN"/>
        </w:rPr>
        <w:t>5.4 测试结果分析</w:t>
      </w:r>
      <w:bookmarkEnd w:id="548"/>
      <w:bookmarkEnd w:id="549"/>
      <w:bookmarkEnd w:id="550"/>
      <w:bookmarkEnd w:id="551"/>
      <w:bookmarkEnd w:id="552"/>
      <w:bookmarkEnd w:id="553"/>
    </w:p>
    <w:p w14:paraId="75A3190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通过全面系统的测试,本系统共设计了50个功能测试用例,涵盖了七个核心模块的主要功能。测试结果显示,所有50个测试用例均通过,测试通过率为100%。功能测试验证了系统各项功能的正确性和完整性,确保系统能够按照需求规格说明书的要求正常工作。</w:t>
      </w:r>
    </w:p>
    <w:p w14:paraId="67A9DDC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安全性测试验证了系统的安全机制有效,JWT令牌认证、权限控制、密码加密、SQL注入防护、XSS攻击防御等安全措施均能正常工作,系统具备较高的安全性。易用性测试收集了用户的反馈意见,用户对系统的整体满意度较高,系统的界面设计和操作流程符合用户习惯。</w:t>
      </w:r>
    </w:p>
    <w:p w14:paraId="4BC5D24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rPr>
      </w:pPr>
      <w:r>
        <w:rPr>
          <w:rFonts w:hint="default" w:ascii="宋体" w:hAnsi="宋体" w:eastAsia="宋体" w:cs="宋体"/>
          <w:sz w:val="24"/>
          <w:szCs w:val="24"/>
          <w:lang w:val="en-US" w:eastAsia="zh-CN"/>
        </w:rPr>
        <w:t>测试过程中发现的问题主要集中在易用性方面,包括表单验证提示不够明确、按钮布局不够合理、搜索筛选条件不够丰富等。这些问题均已根据用户反馈进行了优化改进,系统的易用性得到了提升。测试结果表明,系统的功能、性能、安全性和易用性均达到了预期要求,系统已经具备上线运行的条件。</w:t>
      </w:r>
    </w:p>
    <w:p w14:paraId="2071F73D">
      <w:pPr>
        <w:keepNext w:val="0"/>
        <w:keepLines w:val="0"/>
        <w:pageBreakBefore w:val="0"/>
        <w:widowControl w:val="0"/>
        <w:kinsoku/>
        <w:wordWrap/>
        <w:overflowPunct/>
        <w:topLinePunct w:val="0"/>
        <w:autoSpaceDE/>
        <w:autoSpaceDN/>
        <w:bidi w:val="0"/>
        <w:adjustRightInd/>
        <w:snapToGrid/>
        <w:spacing w:line="440" w:lineRule="exact"/>
        <w:textAlignment w:val="auto"/>
        <w:outlineLvl w:val="9"/>
        <w:rPr>
          <w:rFonts w:hint="eastAsia" w:cs="Times New Roman"/>
          <w:b/>
          <w:bCs/>
          <w:sz w:val="28"/>
          <w:szCs w:val="28"/>
        </w:rPr>
      </w:pPr>
      <w:bookmarkStart w:id="554" w:name="_Toc1524"/>
      <w:bookmarkStart w:id="555" w:name="_Toc2421"/>
      <w:bookmarkStart w:id="556" w:name="_Toc13883"/>
      <w:bookmarkStart w:id="557" w:name="_Toc11486"/>
      <w:bookmarkStart w:id="558" w:name="_Toc1060"/>
      <w:bookmarkStart w:id="559" w:name="_Toc18307"/>
      <w:r>
        <w:rPr>
          <w:rFonts w:hint="eastAsia" w:cs="Times New Roman"/>
          <w:b/>
          <w:bCs/>
          <w:sz w:val="28"/>
          <w:szCs w:val="28"/>
          <w:lang w:val="en-US" w:eastAsia="zh-CN"/>
        </w:rPr>
        <w:t>6</w:t>
      </w:r>
      <w:r>
        <w:rPr>
          <w:rFonts w:hint="eastAsia" w:cs="Times New Roman"/>
          <w:b/>
          <w:bCs/>
          <w:sz w:val="28"/>
          <w:szCs w:val="28"/>
        </w:rPr>
        <w:t xml:space="preserve"> 系统功能及使用说明</w:t>
      </w:r>
      <w:bookmarkEnd w:id="554"/>
      <w:bookmarkEnd w:id="555"/>
      <w:bookmarkEnd w:id="556"/>
      <w:bookmarkEnd w:id="557"/>
      <w:bookmarkEnd w:id="558"/>
      <w:bookmarkEnd w:id="559"/>
    </w:p>
    <w:p w14:paraId="753C46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平台涵盖七大核心功能模块，支持普通用户和管理员两类角色操作，普通用户可实现</w:t>
      </w:r>
      <w:r>
        <w:rPr>
          <w:rFonts w:hint="eastAsia" w:ascii="宋体" w:hAnsi="宋体" w:eastAsia="宋体" w:cs="宋体"/>
          <w:sz w:val="24"/>
          <w:szCs w:val="24"/>
          <w:lang w:val="en-US" w:eastAsia="zh-CN"/>
        </w:rPr>
        <w:t>赣绣</w:t>
      </w:r>
      <w:r>
        <w:rPr>
          <w:rFonts w:hint="eastAsia" w:ascii="宋体" w:hAnsi="宋体" w:eastAsia="宋体" w:cs="宋体"/>
          <w:sz w:val="24"/>
          <w:szCs w:val="24"/>
        </w:rPr>
        <w:t>信息浏览、学习、购物等功能，管理员负责系统数据维护与管理，整体操作简洁易上手。</w:t>
      </w:r>
    </w:p>
    <w:p w14:paraId="32B547C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rPr>
      </w:pPr>
      <w:bookmarkStart w:id="560" w:name="_Toc32105"/>
      <w:bookmarkStart w:id="561" w:name="_Toc3547"/>
      <w:bookmarkStart w:id="562" w:name="_Toc7453"/>
      <w:bookmarkStart w:id="563" w:name="_Toc358"/>
      <w:bookmarkStart w:id="564" w:name="_Toc29499"/>
      <w:bookmarkStart w:id="565" w:name="_Toc30452"/>
      <w:r>
        <w:rPr>
          <w:rFonts w:hint="eastAsia" w:ascii="宋体" w:hAnsi="宋体" w:eastAsia="宋体" w:cs="宋体"/>
          <w:sz w:val="24"/>
          <w:szCs w:val="24"/>
          <w:lang w:val="en-US" w:eastAsia="zh-CN"/>
        </w:rPr>
        <w:t>6.1</w:t>
      </w:r>
      <w:r>
        <w:rPr>
          <w:rFonts w:hint="eastAsia" w:ascii="宋体" w:hAnsi="宋体" w:eastAsia="宋体" w:cs="宋体"/>
          <w:sz w:val="24"/>
          <w:szCs w:val="24"/>
        </w:rPr>
        <w:t>系统核心功能</w:t>
      </w:r>
      <w:bookmarkEnd w:id="560"/>
      <w:bookmarkEnd w:id="561"/>
      <w:bookmarkEnd w:id="562"/>
      <w:bookmarkEnd w:id="563"/>
      <w:bookmarkEnd w:id="564"/>
      <w:bookmarkEnd w:id="565"/>
    </w:p>
    <w:p w14:paraId="7A2267DB">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用户管理模块</w:t>
      </w:r>
    </w:p>
    <w:p w14:paraId="0264F4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账户操作：支持用户注册（需填写用户名、密码、邮箱等信息）、登录（用户名 / 邮箱 + 密码验证），密码采用 BCrypt 加密存储，保障安全。</w:t>
      </w:r>
    </w:p>
    <w:p w14:paraId="36096DC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个人中心：普通用户可查看、修改个人信息（头像、昵称、联系方式等）；管理员可管理所有用户账户（启用 / 禁用、重置密码）。</w:t>
      </w:r>
    </w:p>
    <w:p w14:paraId="434D2FB0">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赣绣</w:t>
      </w:r>
      <w:r>
        <w:rPr>
          <w:rFonts w:hint="eastAsia" w:ascii="宋体" w:hAnsi="宋体" w:eastAsia="宋体" w:cs="宋体"/>
          <w:sz w:val="24"/>
          <w:szCs w:val="24"/>
        </w:rPr>
        <w:t>项目管理模块</w:t>
      </w:r>
    </w:p>
    <w:p w14:paraId="1ED2C0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信息浏览：普通用户可按类别、地区筛选</w:t>
      </w:r>
      <w:r>
        <w:rPr>
          <w:rFonts w:hint="eastAsia" w:ascii="宋体" w:hAnsi="宋体" w:eastAsia="宋体" w:cs="宋体"/>
          <w:sz w:val="24"/>
          <w:szCs w:val="24"/>
          <w:lang w:val="en-US" w:eastAsia="zh-CN"/>
        </w:rPr>
        <w:t>赣绣</w:t>
      </w:r>
      <w:r>
        <w:rPr>
          <w:rFonts w:hint="eastAsia" w:ascii="宋体" w:hAnsi="宋体" w:eastAsia="宋体" w:cs="宋体"/>
          <w:sz w:val="24"/>
          <w:szCs w:val="24"/>
        </w:rPr>
        <w:t>项目，查看项目历史渊源、艺术特色、代表作品等详情。</w:t>
      </w:r>
    </w:p>
    <w:p w14:paraId="6819D3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管理操作：管理员可添加、编辑、删除非遗项目信息，上传项目图片 / 视频，设置项目发布状态，关联对应传承人。</w:t>
      </w:r>
    </w:p>
    <w:p w14:paraId="51248C7B">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传承人管理模块</w:t>
      </w:r>
    </w:p>
    <w:p w14:paraId="2C15035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信息查询：普通用户可浏览传承人列表，查看传承人个人简介、技艺称号、代表作品及传承故事。</w:t>
      </w:r>
    </w:p>
    <w:p w14:paraId="43BDA2E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关联管理：管理员可录入、编辑传承人信息，建立传承人与非遗项目的关联关系，支持添加或移除关联。</w:t>
      </w:r>
    </w:p>
    <w:p w14:paraId="25CDB3E1">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课程管理模块</w:t>
      </w:r>
    </w:p>
    <w:p w14:paraId="0B1DC0F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学习功能：普通用户可筛选课程，查看课程详情及章节列表，支持图文、视频形式的在线学习，系统记录学习进度。</w:t>
      </w:r>
    </w:p>
    <w:p w14:paraId="5D822D3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课程管理：管理员可创建、编辑课程，添加章节内容，调整章节顺序，设置课程发布状态。</w:t>
      </w:r>
    </w:p>
    <w:p w14:paraId="0A5A8F40">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活动管理模块</w:t>
      </w:r>
    </w:p>
    <w:p w14:paraId="514B78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活动参与：普通用户可浏览展演、展览、培训等</w:t>
      </w:r>
      <w:r>
        <w:rPr>
          <w:rFonts w:hint="eastAsia" w:ascii="宋体" w:hAnsi="宋体" w:eastAsia="宋体" w:cs="宋体"/>
          <w:sz w:val="24"/>
          <w:szCs w:val="24"/>
          <w:lang w:val="en-US" w:eastAsia="zh-CN"/>
        </w:rPr>
        <w:t>赣绣</w:t>
      </w:r>
      <w:r>
        <w:rPr>
          <w:rFonts w:hint="eastAsia" w:ascii="宋体" w:hAnsi="宋体" w:eastAsia="宋体" w:cs="宋体"/>
          <w:sz w:val="24"/>
          <w:szCs w:val="24"/>
        </w:rPr>
        <w:t>活动，查看活动时间、地点等信息，提交报名申请，查看报名审核状态。</w:t>
      </w:r>
    </w:p>
    <w:p w14:paraId="534C49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活动运营：管理员可发布、编辑活动信息，审核用户报名申请，管理活动签到及参与人员统计。</w:t>
      </w:r>
    </w:p>
    <w:p w14:paraId="14C71F26">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商城管理模块</w:t>
      </w:r>
    </w:p>
    <w:p w14:paraId="67ADB58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购物功能：普通用户可浏览</w:t>
      </w:r>
      <w:r>
        <w:rPr>
          <w:rFonts w:hint="eastAsia" w:ascii="宋体" w:hAnsi="宋体" w:eastAsia="宋体" w:cs="宋体"/>
          <w:sz w:val="24"/>
          <w:szCs w:val="24"/>
          <w:lang w:val="en-US" w:eastAsia="zh-CN"/>
        </w:rPr>
        <w:t>赣绣</w:t>
      </w:r>
      <w:r>
        <w:rPr>
          <w:rFonts w:hint="eastAsia" w:ascii="宋体" w:hAnsi="宋体" w:eastAsia="宋体" w:cs="宋体"/>
          <w:sz w:val="24"/>
          <w:szCs w:val="24"/>
        </w:rPr>
        <w:t>文创产品，按分类、价格筛选商品，查看商品详情，加入购物车、提交订单并完成支付，管理收货地址及订单状态。</w:t>
      </w:r>
    </w:p>
    <w:p w14:paraId="0DBCF8C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商城运营：管理员可添加、编辑商品信息（价格、库存、描述等），管理商品分类，处理用户订单。</w:t>
      </w:r>
    </w:p>
    <w:p w14:paraId="3CE09D9D">
      <w:pPr>
        <w:keepNext w:val="0"/>
        <w:keepLines w:val="0"/>
        <w:pageBreakBefore w:val="0"/>
        <w:widowControl w:val="0"/>
        <w:numPr>
          <w:ilvl w:val="0"/>
          <w:numId w:val="6"/>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AI 智能客服模块</w:t>
      </w:r>
    </w:p>
    <w:p w14:paraId="1448AA8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智能咨询：普通用户可与 AI 助手实时对话，咨询非遗相关问题，支持多轮对话及历史对话记录查看。</w:t>
      </w:r>
    </w:p>
    <w:p w14:paraId="568043D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会话管理：用户可创建、切换、删除对话会话；管理员可配置 AI 助手的系统提示词，定义回答风格。</w:t>
      </w:r>
      <w:bookmarkStart w:id="566" w:name="_Toc7238"/>
      <w:bookmarkStart w:id="567" w:name="_Toc10139"/>
      <w:bookmarkStart w:id="568" w:name="_Toc11567"/>
      <w:bookmarkStart w:id="569" w:name="_Toc9956"/>
    </w:p>
    <w:p w14:paraId="7CC6C6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lang w:val="en-US" w:eastAsia="zh-CN"/>
        </w:rPr>
      </w:pPr>
      <w:bookmarkStart w:id="570" w:name="_Toc28366"/>
      <w:bookmarkStart w:id="571" w:name="_Toc2927"/>
      <w:r>
        <w:rPr>
          <w:rFonts w:hint="eastAsia" w:ascii="宋体" w:hAnsi="宋体" w:eastAsia="宋体" w:cs="宋体"/>
          <w:sz w:val="24"/>
          <w:szCs w:val="24"/>
          <w:lang w:val="en-US" w:eastAsia="zh-CN"/>
        </w:rPr>
        <w:t>6.2使用说明</w:t>
      </w:r>
      <w:bookmarkEnd w:id="566"/>
      <w:bookmarkEnd w:id="567"/>
      <w:bookmarkEnd w:id="568"/>
      <w:bookmarkEnd w:id="569"/>
      <w:bookmarkEnd w:id="570"/>
      <w:bookmarkEnd w:id="571"/>
    </w:p>
    <w:p w14:paraId="13BDF6B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cs="宋体"/>
          <w:sz w:val="24"/>
          <w:szCs w:val="24"/>
          <w:lang w:val="en-US" w:eastAsia="zh-CN"/>
        </w:rPr>
      </w:pPr>
      <w:r>
        <w:rPr>
          <w:rFonts w:hint="eastAsia" w:ascii="宋体" w:hAnsi="宋体" w:eastAsia="宋体" w:cs="宋体"/>
          <w:sz w:val="24"/>
          <w:szCs w:val="24"/>
          <w:lang w:val="en-US" w:eastAsia="zh-CN"/>
        </w:rPr>
        <w:t>6.2.1 登录与权限说明</w:t>
      </w:r>
    </w:p>
    <w:p w14:paraId="42C8CDC5">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drawing>
          <wp:anchor distT="0" distB="0" distL="114300" distR="114300" simplePos="0" relativeHeight="251728896" behindDoc="0" locked="0" layoutInCell="1" allowOverlap="1">
            <wp:simplePos x="0" y="0"/>
            <wp:positionH relativeFrom="column">
              <wp:posOffset>412750</wp:posOffset>
            </wp:positionH>
            <wp:positionV relativeFrom="paragraph">
              <wp:posOffset>90170</wp:posOffset>
            </wp:positionV>
            <wp:extent cx="4675505" cy="3570605"/>
            <wp:effectExtent l="0" t="0" r="10795" b="10795"/>
            <wp:wrapTopAndBottom/>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210"/>
                    <a:stretch>
                      <a:fillRect/>
                    </a:stretch>
                  </pic:blipFill>
                  <pic:spPr>
                    <a:xfrm>
                      <a:off x="0" y="0"/>
                      <a:ext cx="4675505" cy="3570605"/>
                    </a:xfrm>
                    <a:prstGeom prst="rect">
                      <a:avLst/>
                    </a:prstGeom>
                    <a:noFill/>
                    <a:ln>
                      <a:noFill/>
                    </a:ln>
                  </pic:spPr>
                </pic:pic>
              </a:graphicData>
            </a:graphic>
          </wp:anchor>
        </w:drawing>
      </w:r>
      <w:r>
        <w:rPr>
          <w:rFonts w:hint="eastAsia" w:ascii="宋体" w:hAnsi="宋体" w:cs="宋体"/>
          <w:sz w:val="21"/>
          <w:szCs w:val="21"/>
          <w:lang w:val="en-US" w:eastAsia="zh-CN"/>
        </w:rPr>
        <w:t>图6-1 管理员登录页面</w:t>
      </w:r>
    </w:p>
    <w:p w14:paraId="6B4C46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访问系统后台登录页面，输入已配置的管理员用户名和密码，完成身份验证后即可进入系统管理首页。管理员拥有系统全部操作权限，可对赣绣项目、传承人、用户、课程、活动、商品、订单等核心数据进行管理，且操作记录将同步留存于系统日志，确保管理操作的安全性与可追溯性</w:t>
      </w:r>
      <w:r>
        <w:rPr>
          <w:rFonts w:hint="eastAsia" w:ascii="宋体" w:hAnsi="宋体" w:cs="宋体"/>
          <w:sz w:val="24"/>
          <w:szCs w:val="24"/>
          <w:lang w:val="en-US" w:eastAsia="zh-CN"/>
        </w:rPr>
        <w:t>，如图6-1所示</w:t>
      </w:r>
      <w:r>
        <w:rPr>
          <w:rFonts w:hint="eastAsia" w:ascii="宋体" w:hAnsi="宋体" w:eastAsia="宋体" w:cs="宋体"/>
          <w:sz w:val="24"/>
          <w:szCs w:val="24"/>
          <w:lang w:val="en-US" w:eastAsia="zh-CN"/>
        </w:rPr>
        <w:t>。</w:t>
      </w:r>
    </w:p>
    <w:p w14:paraId="2DB336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6.2.2 核心功能操作步骤</w:t>
      </w:r>
    </w:p>
    <w:p w14:paraId="682AD1C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cs="宋体"/>
          <w:sz w:val="24"/>
          <w:szCs w:val="24"/>
          <w:lang w:val="en-CA" w:eastAsia="zh-CN"/>
        </w:rPr>
        <w:t>(1)</w:t>
      </w:r>
      <w:r>
        <w:rPr>
          <w:rFonts w:hint="eastAsia" w:ascii="宋体" w:hAnsi="宋体" w:cs="宋体"/>
          <w:sz w:val="24"/>
          <w:szCs w:val="24"/>
          <w:lang w:val="en-US" w:eastAsia="zh-CN"/>
        </w:rPr>
        <w:t>登录成功后，点击</w:t>
      </w:r>
      <w:r>
        <w:rPr>
          <w:rFonts w:hint="eastAsia" w:ascii="宋体" w:hAnsi="宋体" w:eastAsia="宋体" w:cs="宋体"/>
          <w:sz w:val="24"/>
          <w:szCs w:val="24"/>
          <w:lang w:val="en-US" w:eastAsia="zh-CN"/>
        </w:rPr>
        <w:t>赣绣项目管理</w:t>
      </w:r>
      <w:r>
        <w:rPr>
          <w:rFonts w:hint="eastAsia" w:ascii="宋体" w:hAnsi="宋体" w:cs="宋体"/>
          <w:sz w:val="24"/>
          <w:szCs w:val="24"/>
          <w:lang w:val="en-US" w:eastAsia="zh-CN"/>
        </w:rPr>
        <w:t>，进入该页面。</w:t>
      </w:r>
    </w:p>
    <w:p w14:paraId="1C98986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anchor distT="0" distB="0" distL="114300" distR="114300" simplePos="0" relativeHeight="251731968" behindDoc="0" locked="0" layoutInCell="1" allowOverlap="1">
            <wp:simplePos x="0" y="0"/>
            <wp:positionH relativeFrom="column">
              <wp:posOffset>59055</wp:posOffset>
            </wp:positionH>
            <wp:positionV relativeFrom="paragraph">
              <wp:posOffset>21590</wp:posOffset>
            </wp:positionV>
            <wp:extent cx="5266055" cy="4439285"/>
            <wp:effectExtent l="0" t="0" r="4445" b="5715"/>
            <wp:wrapTopAndBottom/>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211"/>
                    <a:stretch>
                      <a:fillRect/>
                    </a:stretch>
                  </pic:blipFill>
                  <pic:spPr>
                    <a:xfrm>
                      <a:off x="0" y="0"/>
                      <a:ext cx="5266055" cy="4439285"/>
                    </a:xfrm>
                    <a:prstGeom prst="rect">
                      <a:avLst/>
                    </a:prstGeom>
                    <a:noFill/>
                    <a:ln>
                      <a:noFill/>
                    </a:ln>
                  </pic:spPr>
                </pic:pic>
              </a:graphicData>
            </a:graphic>
          </wp:anchor>
        </w:drawing>
      </w:r>
      <w:r>
        <w:rPr>
          <w:rFonts w:hint="eastAsia" w:ascii="宋体" w:hAnsi="宋体" w:cs="宋体"/>
          <w:sz w:val="21"/>
          <w:szCs w:val="21"/>
          <w:lang w:val="en-US" w:eastAsia="zh-CN"/>
        </w:rPr>
        <w:t>图6-2 赣绣作品管理页面</w:t>
      </w:r>
    </w:p>
    <w:p w14:paraId="6CB1CB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kern w:val="2"/>
          <w:sz w:val="21"/>
          <w:szCs w:val="24"/>
          <w:lang w:val="en-US" w:eastAsia="zh-CN" w:bidi="ar-SA"/>
        </w:rPr>
      </w:pPr>
      <w:r>
        <w:rPr>
          <w:rFonts w:hint="eastAsia" w:ascii="宋体" w:hAnsi="宋体" w:eastAsia="宋体" w:cs="宋体"/>
          <w:sz w:val="24"/>
          <w:szCs w:val="24"/>
          <w:lang w:val="en-US" w:eastAsia="zh-CN"/>
        </w:rPr>
        <w:t>进入“赣绣项目管理”模块，可查看所有赣绣项目的名称、类别、地区、状态等信息；点击“编辑”可修改项目详情、更新状态；点击“新增” 可添加新赣绣项目（需填写项目标题、类别、地区、摘要、详细描述等），提交后即时生效，便于系统化整理赣绣资源</w:t>
      </w:r>
      <w:r>
        <w:rPr>
          <w:rFonts w:hint="eastAsia" w:ascii="宋体" w:hAnsi="宋体" w:cs="宋体"/>
          <w:sz w:val="24"/>
          <w:szCs w:val="24"/>
          <w:lang w:val="en-US" w:eastAsia="zh-CN"/>
        </w:rPr>
        <w:t>，如图6-2所示</w:t>
      </w:r>
      <w:r>
        <w:rPr>
          <w:rFonts w:hint="eastAsia" w:ascii="宋体" w:hAnsi="宋体" w:eastAsia="宋体" w:cs="宋体"/>
          <w:sz w:val="24"/>
          <w:szCs w:val="24"/>
          <w:lang w:val="en-US" w:eastAsia="zh-CN"/>
        </w:rPr>
        <w:t>。</w:t>
      </w:r>
    </w:p>
    <w:p w14:paraId="32D0605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（2）点击</w:t>
      </w:r>
      <w:r>
        <w:rPr>
          <w:rFonts w:hint="eastAsia" w:ascii="宋体" w:hAnsi="宋体" w:eastAsia="宋体" w:cs="宋体"/>
          <w:sz w:val="24"/>
          <w:szCs w:val="24"/>
          <w:lang w:val="en-US" w:eastAsia="zh-CN"/>
        </w:rPr>
        <w:t>传承人管理</w:t>
      </w:r>
      <w:r>
        <w:rPr>
          <w:rFonts w:hint="eastAsia" w:ascii="宋体" w:hAnsi="宋体" w:cs="宋体"/>
          <w:sz w:val="24"/>
          <w:szCs w:val="24"/>
          <w:lang w:val="en-US" w:eastAsia="zh-CN"/>
        </w:rPr>
        <w:t>，进入该页面。</w:t>
      </w:r>
    </w:p>
    <w:p w14:paraId="5810AB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eastAsia="宋体" w:cs="宋体"/>
          <w:sz w:val="24"/>
          <w:szCs w:val="24"/>
          <w:lang w:val="en-US" w:eastAsia="zh-CN"/>
        </w:rPr>
        <w:t>在“传承人管理”模块中，支持传承人信息的全生命周期管理。新增传承人时，需完整填写姓名、称号、地区、简介等信息，并上传传承人照片，提交后系统自动同步展示；编辑传承人时，可修改上述任意信息，还能关联或解除关联赣绣项目；删除传承人需确认操作（删除后不可恢复），确保传承人信息准确完整</w:t>
      </w:r>
      <w:r>
        <w:rPr>
          <w:rFonts w:hint="eastAsia" w:ascii="宋体" w:hAnsi="宋体" w:cs="宋体"/>
          <w:sz w:val="24"/>
          <w:szCs w:val="24"/>
          <w:lang w:val="en-US" w:eastAsia="zh-CN"/>
        </w:rPr>
        <w:t>，如图6-3所示</w:t>
      </w:r>
      <w:r>
        <w:rPr>
          <w:rFonts w:hint="eastAsia" w:ascii="宋体" w:hAnsi="宋体" w:eastAsia="宋体" w:cs="宋体"/>
          <w:sz w:val="24"/>
          <w:szCs w:val="24"/>
          <w:lang w:val="en-US" w:eastAsia="zh-CN"/>
        </w:rPr>
        <w:t>。</w:t>
      </w:r>
    </w:p>
    <w:p w14:paraId="405EE05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宋体" w:hAnsi="宋体" w:cs="宋体"/>
          <w:sz w:val="21"/>
          <w:szCs w:val="21"/>
          <w:lang w:val="en-US" w:eastAsia="zh-CN"/>
        </w:rPr>
      </w:pPr>
      <w:r>
        <w:drawing>
          <wp:inline distT="0" distB="0" distL="114300" distR="114300">
            <wp:extent cx="5266690" cy="2891790"/>
            <wp:effectExtent l="0" t="0" r="3810" b="381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212"/>
                    <a:stretch>
                      <a:fillRect/>
                    </a:stretch>
                  </pic:blipFill>
                  <pic:spPr>
                    <a:xfrm>
                      <a:off x="0" y="0"/>
                      <a:ext cx="5266690" cy="2891790"/>
                    </a:xfrm>
                    <a:prstGeom prst="rect">
                      <a:avLst/>
                    </a:prstGeom>
                    <a:noFill/>
                    <a:ln>
                      <a:noFill/>
                    </a:ln>
                  </pic:spPr>
                </pic:pic>
              </a:graphicData>
            </a:graphic>
          </wp:inline>
        </w:drawing>
      </w:r>
      <w:r>
        <w:rPr>
          <w:rFonts w:hint="eastAsia" w:ascii="宋体" w:hAnsi="宋体" w:cs="宋体"/>
          <w:sz w:val="21"/>
          <w:szCs w:val="21"/>
          <w:lang w:val="en-US" w:eastAsia="zh-CN"/>
        </w:rPr>
        <w:t>图6-3 传承人管理页面</w:t>
      </w:r>
    </w:p>
    <w:p w14:paraId="6BBD7A61">
      <w:pPr>
        <w:keepNext w:val="0"/>
        <w:keepLines w:val="0"/>
        <w:pageBreakBefore w:val="0"/>
        <w:widowControl w:val="0"/>
        <w:numPr>
          <w:ilvl w:val="0"/>
          <w:numId w:val="7"/>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cs="宋体"/>
          <w:sz w:val="24"/>
          <w:szCs w:val="24"/>
          <w:lang w:val="en-US" w:eastAsia="zh-CN"/>
        </w:rPr>
        <w:t>点击</w:t>
      </w:r>
      <w:r>
        <w:rPr>
          <w:rFonts w:hint="eastAsia" w:ascii="宋体" w:hAnsi="宋体" w:eastAsia="宋体" w:cs="宋体"/>
          <w:sz w:val="24"/>
          <w:szCs w:val="24"/>
          <w:lang w:val="en-US" w:eastAsia="zh-CN"/>
        </w:rPr>
        <w:t>课程管理</w:t>
      </w:r>
      <w:r>
        <w:rPr>
          <w:rFonts w:hint="eastAsia" w:ascii="宋体" w:hAnsi="宋体" w:cs="宋体"/>
          <w:sz w:val="24"/>
          <w:szCs w:val="24"/>
          <w:lang w:val="en-US" w:eastAsia="zh-CN"/>
        </w:rPr>
        <w:t>，进入该页面。</w:t>
      </w:r>
    </w:p>
    <w:p w14:paraId="1AB9E6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进入 “课程管理” 模块，可查看所有赣绣课程的标题、难度等级、状态等详情；点击 “新增” 可创建课程（填写标题、难度、描述等，添加章节及教学内容）；点击 “编辑” 可修改课程信息、调整章节顺序，删除课程需确认，确保赣绣教学资源有序管理</w:t>
      </w:r>
      <w:r>
        <w:rPr>
          <w:rFonts w:hint="eastAsia" w:ascii="宋体" w:hAnsi="宋体" w:cs="宋体"/>
          <w:sz w:val="24"/>
          <w:szCs w:val="24"/>
          <w:lang w:val="en-US" w:eastAsia="zh-CN"/>
        </w:rPr>
        <w:t>，如图6-4所示</w:t>
      </w:r>
      <w:r>
        <w:rPr>
          <w:rFonts w:hint="eastAsia" w:ascii="宋体" w:hAnsi="宋体" w:eastAsia="宋体" w:cs="宋体"/>
          <w:sz w:val="24"/>
          <w:szCs w:val="24"/>
          <w:lang w:val="en-US" w:eastAsia="zh-CN"/>
        </w:rPr>
        <w:t>。</w:t>
      </w:r>
    </w:p>
    <w:p w14:paraId="1C029C71">
      <w:pPr>
        <w:keepNext w:val="0"/>
        <w:keepLines w:val="0"/>
        <w:pageBreakBefore w:val="0"/>
        <w:widowControl w:val="0"/>
        <w:numPr>
          <w:ilvl w:val="0"/>
          <w:numId w:val="0"/>
        </w:numPr>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lang w:val="en-US" w:eastAsia="zh-CN"/>
        </w:rPr>
      </w:pPr>
      <w:r>
        <w:rPr>
          <w:rFonts w:hint="eastAsia" w:ascii="宋体" w:hAnsi="宋体" w:cs="宋体"/>
          <w:sz w:val="21"/>
          <w:szCs w:val="21"/>
          <w:lang w:val="en-US" w:eastAsia="zh-CN"/>
        </w:rPr>
        <w:drawing>
          <wp:anchor distT="0" distB="0" distL="114300" distR="114300" simplePos="0" relativeHeight="251730944" behindDoc="0" locked="0" layoutInCell="1" allowOverlap="1">
            <wp:simplePos x="0" y="0"/>
            <wp:positionH relativeFrom="column">
              <wp:posOffset>57150</wp:posOffset>
            </wp:positionH>
            <wp:positionV relativeFrom="paragraph">
              <wp:posOffset>63500</wp:posOffset>
            </wp:positionV>
            <wp:extent cx="5262880" cy="3547110"/>
            <wp:effectExtent l="0" t="0" r="7620" b="8890"/>
            <wp:wrapTopAndBottom/>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
                    <pic:cNvPicPr>
                      <a:picLocks noChangeAspect="1"/>
                    </pic:cNvPicPr>
                  </pic:nvPicPr>
                  <pic:blipFill>
                    <a:blip r:embed="rId213"/>
                    <a:stretch>
                      <a:fillRect/>
                    </a:stretch>
                  </pic:blipFill>
                  <pic:spPr>
                    <a:xfrm>
                      <a:off x="0" y="0"/>
                      <a:ext cx="5262880" cy="3547110"/>
                    </a:xfrm>
                    <a:prstGeom prst="rect">
                      <a:avLst/>
                    </a:prstGeom>
                    <a:noFill/>
                    <a:ln>
                      <a:noFill/>
                    </a:ln>
                  </pic:spPr>
                </pic:pic>
              </a:graphicData>
            </a:graphic>
          </wp:anchor>
        </w:drawing>
      </w:r>
    </w:p>
    <w:p w14:paraId="2D1F4B6F">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t>图6-4 课程管理页面</w:t>
      </w:r>
    </w:p>
    <w:p w14:paraId="094EB83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cs="宋体"/>
          <w:sz w:val="24"/>
          <w:szCs w:val="24"/>
          <w:lang w:val="en-US" w:eastAsia="zh-CN"/>
        </w:rPr>
        <w:t>（4）点击</w:t>
      </w:r>
      <w:r>
        <w:rPr>
          <w:rFonts w:hint="eastAsia" w:ascii="宋体" w:hAnsi="宋体" w:eastAsia="宋体" w:cs="宋体"/>
          <w:sz w:val="24"/>
          <w:szCs w:val="24"/>
          <w:lang w:val="en-US" w:eastAsia="zh-CN"/>
        </w:rPr>
        <w:t>活动管理</w:t>
      </w:r>
      <w:r>
        <w:rPr>
          <w:rFonts w:hint="eastAsia" w:ascii="宋体" w:hAnsi="宋体" w:cs="宋体"/>
          <w:sz w:val="24"/>
          <w:szCs w:val="24"/>
          <w:lang w:val="en-US" w:eastAsia="zh-CN"/>
        </w:rPr>
        <w:t>，进入该页面。</w:t>
      </w:r>
    </w:p>
    <w:p w14:paraId="5BBFDB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4"/>
          <w:szCs w:val="24"/>
          <w:lang w:val="en-US" w:eastAsia="zh-CN"/>
        </w:rPr>
      </w:pPr>
      <w:r>
        <w:rPr>
          <w:rFonts w:hint="eastAsia" w:ascii="宋体" w:hAnsi="宋体" w:eastAsia="宋体" w:cs="宋体"/>
          <w:sz w:val="24"/>
          <w:szCs w:val="24"/>
          <w:lang w:val="en-US" w:eastAsia="zh-CN"/>
        </w:rPr>
        <w:t>“活动管理” 模块支持赣绣相关活动（展演、培训等）的发布与管理。新增活动时，填写标题、类型、时间、地点、描述等信息；可查看活动报名列表，对用户报名申请进行审核（通过 / 拒绝），活动结束后可进行签到统计，高效管控活动流程</w:t>
      </w:r>
      <w:r>
        <w:rPr>
          <w:rFonts w:hint="eastAsia" w:ascii="宋体" w:hAnsi="宋体" w:cs="宋体"/>
          <w:sz w:val="24"/>
          <w:szCs w:val="24"/>
          <w:lang w:val="en-US" w:eastAsia="zh-CN"/>
        </w:rPr>
        <w:t>，如图6-5所示</w:t>
      </w:r>
      <w:r>
        <w:rPr>
          <w:rFonts w:hint="eastAsia" w:ascii="宋体" w:hAnsi="宋体" w:eastAsia="宋体" w:cs="宋体"/>
          <w:sz w:val="24"/>
          <w:szCs w:val="24"/>
          <w:lang w:val="en-US" w:eastAsia="zh-CN"/>
        </w:rPr>
        <w:t>。</w:t>
      </w:r>
    </w:p>
    <w:p w14:paraId="10F0EF4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anchor distT="0" distB="0" distL="114300" distR="114300" simplePos="0" relativeHeight="251729920" behindDoc="0" locked="0" layoutInCell="1" allowOverlap="1">
            <wp:simplePos x="0" y="0"/>
            <wp:positionH relativeFrom="column">
              <wp:posOffset>154940</wp:posOffset>
            </wp:positionH>
            <wp:positionV relativeFrom="paragraph">
              <wp:posOffset>111125</wp:posOffset>
            </wp:positionV>
            <wp:extent cx="5266690" cy="4841875"/>
            <wp:effectExtent l="0" t="0" r="3810" b="9525"/>
            <wp:wrapTopAndBottom/>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214"/>
                    <a:stretch>
                      <a:fillRect/>
                    </a:stretch>
                  </pic:blipFill>
                  <pic:spPr>
                    <a:xfrm>
                      <a:off x="0" y="0"/>
                      <a:ext cx="5266690" cy="4841875"/>
                    </a:xfrm>
                    <a:prstGeom prst="rect">
                      <a:avLst/>
                    </a:prstGeom>
                    <a:noFill/>
                    <a:ln>
                      <a:noFill/>
                    </a:ln>
                  </pic:spPr>
                </pic:pic>
              </a:graphicData>
            </a:graphic>
          </wp:anchor>
        </w:drawing>
      </w:r>
      <w:r>
        <w:rPr>
          <w:rFonts w:hint="eastAsia" w:ascii="宋体" w:hAnsi="宋体" w:cs="宋体"/>
          <w:sz w:val="21"/>
          <w:szCs w:val="21"/>
          <w:lang w:val="en-US" w:eastAsia="zh-CN"/>
        </w:rPr>
        <w:t>图6-5 活动管理页面</w:t>
      </w:r>
    </w:p>
    <w:p w14:paraId="12C710BB">
      <w:pPr>
        <w:keepNext w:val="0"/>
        <w:keepLines w:val="0"/>
        <w:pageBreakBefore w:val="0"/>
        <w:widowControl w:val="0"/>
        <w:numPr>
          <w:ilvl w:val="0"/>
          <w:numId w:val="8"/>
        </w:numPr>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sz w:val="24"/>
          <w:szCs w:val="24"/>
          <w:lang w:val="en-US" w:eastAsia="zh-CN"/>
        </w:rPr>
      </w:pPr>
      <w:r>
        <w:rPr>
          <w:rFonts w:hint="eastAsia" w:ascii="宋体" w:hAnsi="宋体" w:cs="宋体"/>
          <w:sz w:val="24"/>
          <w:szCs w:val="24"/>
          <w:lang w:val="en-US" w:eastAsia="zh-CN"/>
        </w:rPr>
        <w:t>点击</w:t>
      </w:r>
      <w:r>
        <w:rPr>
          <w:rFonts w:hint="eastAsia" w:ascii="宋体" w:hAnsi="宋体" w:eastAsia="宋体" w:cs="宋体"/>
          <w:sz w:val="24"/>
          <w:szCs w:val="24"/>
          <w:lang w:val="en-US" w:eastAsia="zh-CN"/>
        </w:rPr>
        <w:t>商城管理</w:t>
      </w:r>
      <w:r>
        <w:rPr>
          <w:rFonts w:hint="eastAsia" w:ascii="宋体" w:hAnsi="宋体" w:cs="宋体"/>
          <w:sz w:val="24"/>
          <w:szCs w:val="24"/>
          <w:lang w:val="en-US" w:eastAsia="zh-CN"/>
        </w:rPr>
        <w:t>，进入该页面。</w:t>
      </w:r>
    </w:p>
    <w:p w14:paraId="184AC4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进入 “商城管理” 模块，可管理赣绣文创商品。新增商品时，填写标题、副标题、价格、库存、分类、描述等，上传商品图片；编辑商品时可修改信息，处理用户订单（查看订单详情、更新订单状态），确保商品销售流程顺畅</w:t>
      </w:r>
      <w:r>
        <w:rPr>
          <w:rFonts w:hint="eastAsia" w:ascii="宋体" w:hAnsi="宋体" w:cs="宋体"/>
          <w:sz w:val="24"/>
          <w:szCs w:val="24"/>
          <w:lang w:val="en-US" w:eastAsia="zh-CN"/>
        </w:rPr>
        <w:t>，如图6-6所示</w:t>
      </w:r>
      <w:r>
        <w:rPr>
          <w:rFonts w:hint="eastAsia" w:ascii="宋体" w:hAnsi="宋体" w:eastAsia="宋体" w:cs="宋体"/>
          <w:sz w:val="24"/>
          <w:szCs w:val="24"/>
          <w:lang w:val="en-US" w:eastAsia="zh-CN"/>
        </w:rPr>
        <w:t>。</w:t>
      </w:r>
    </w:p>
    <w:p w14:paraId="63E1B2E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宋体" w:hAnsi="宋体" w:cs="宋体"/>
          <w:sz w:val="21"/>
          <w:szCs w:val="21"/>
          <w:lang w:val="en-US" w:eastAsia="zh-CN"/>
        </w:rPr>
      </w:pPr>
      <w:r>
        <w:drawing>
          <wp:inline distT="0" distB="0" distL="114300" distR="114300">
            <wp:extent cx="5262880" cy="2910205"/>
            <wp:effectExtent l="0" t="0" r="7620" b="10795"/>
            <wp:docPr id="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
                    <pic:cNvPicPr>
                      <a:picLocks noChangeAspect="1"/>
                    </pic:cNvPicPr>
                  </pic:nvPicPr>
                  <pic:blipFill>
                    <a:blip r:embed="rId215"/>
                    <a:stretch>
                      <a:fillRect/>
                    </a:stretch>
                  </pic:blipFill>
                  <pic:spPr>
                    <a:xfrm>
                      <a:off x="0" y="0"/>
                      <a:ext cx="5262880" cy="2910205"/>
                    </a:xfrm>
                    <a:prstGeom prst="rect">
                      <a:avLst/>
                    </a:prstGeom>
                    <a:noFill/>
                    <a:ln>
                      <a:noFill/>
                    </a:ln>
                  </pic:spPr>
                </pic:pic>
              </a:graphicData>
            </a:graphic>
          </wp:inline>
        </w:drawing>
      </w:r>
      <w:r>
        <w:rPr>
          <w:rFonts w:hint="eastAsia" w:ascii="宋体" w:hAnsi="宋体" w:cs="宋体"/>
          <w:sz w:val="21"/>
          <w:szCs w:val="21"/>
          <w:lang w:val="en-US" w:eastAsia="zh-CN"/>
        </w:rPr>
        <w:t xml:space="preserve"> 图6-6 商城管理页面</w:t>
      </w:r>
    </w:p>
    <w:p w14:paraId="36EE5B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p>
    <w:p w14:paraId="2CBED2F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cs="宋体"/>
          <w:sz w:val="24"/>
          <w:szCs w:val="24"/>
          <w:lang w:val="en-US" w:eastAsia="zh-CN"/>
        </w:rPr>
        <w:t>（6）</w:t>
      </w:r>
      <w:r>
        <w:rPr>
          <w:rFonts w:hint="eastAsia" w:ascii="宋体" w:hAnsi="宋体" w:eastAsia="宋体" w:cs="宋体"/>
          <w:sz w:val="24"/>
          <w:szCs w:val="24"/>
          <w:lang w:val="en-US" w:eastAsia="zh-CN"/>
        </w:rPr>
        <w:t>用户管理</w:t>
      </w:r>
    </w:p>
    <w:p w14:paraId="285724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1"/>
          <w:szCs w:val="21"/>
          <w:lang w:val="en-US" w:eastAsia="zh-CN"/>
        </w:rPr>
      </w:pPr>
      <w:r>
        <w:rPr>
          <w:rFonts w:hint="eastAsia" w:ascii="宋体" w:hAnsi="宋体" w:eastAsia="宋体" w:cs="宋体"/>
          <w:sz w:val="24"/>
          <w:szCs w:val="24"/>
          <w:lang w:val="en-US" w:eastAsia="zh-CN"/>
        </w:rPr>
        <w:t>进入 “用户信息” 模块，可查看所有注册用户的用户名、姓名、联系电话等基本信息，支持对违规用户进行账号禁用操作，或通过搜索功能快速定位特定用户，便于管理用户群体、保障系统使用秩序</w:t>
      </w:r>
      <w:r>
        <w:rPr>
          <w:rFonts w:hint="eastAsia" w:ascii="宋体" w:hAnsi="宋体" w:cs="宋体"/>
          <w:sz w:val="24"/>
          <w:szCs w:val="24"/>
          <w:lang w:val="en-US" w:eastAsia="zh-CN"/>
        </w:rPr>
        <w:t>，如图6-7所示</w:t>
      </w:r>
      <w:r>
        <w:rPr>
          <w:rFonts w:hint="eastAsia" w:ascii="宋体" w:hAnsi="宋体" w:eastAsia="宋体" w:cs="宋体"/>
          <w:sz w:val="24"/>
          <w:szCs w:val="24"/>
          <w:lang w:val="en-US" w:eastAsia="zh-CN"/>
        </w:rPr>
        <w:t>。</w:t>
      </w:r>
    </w:p>
    <w:p w14:paraId="4EDF029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63515" cy="3257550"/>
            <wp:effectExtent l="0" t="0" r="6985" b="635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
                    <pic:cNvPicPr>
                      <a:picLocks noChangeAspect="1"/>
                    </pic:cNvPicPr>
                  </pic:nvPicPr>
                  <pic:blipFill>
                    <a:blip r:embed="rId216"/>
                    <a:stretch>
                      <a:fillRect/>
                    </a:stretch>
                  </pic:blipFill>
                  <pic:spPr>
                    <a:xfrm>
                      <a:off x="0" y="0"/>
                      <a:ext cx="5263515" cy="3257550"/>
                    </a:xfrm>
                    <a:prstGeom prst="rect">
                      <a:avLst/>
                    </a:prstGeom>
                    <a:noFill/>
                    <a:ln>
                      <a:noFill/>
                    </a:ln>
                  </pic:spPr>
                </pic:pic>
              </a:graphicData>
            </a:graphic>
          </wp:inline>
        </w:drawing>
      </w:r>
    </w:p>
    <w:p w14:paraId="26BE6405">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图6-7 用户管理页面</w:t>
      </w:r>
    </w:p>
    <w:p w14:paraId="3A13B86E">
      <w:pPr>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AI 智能客服管理</w:t>
      </w:r>
    </w:p>
    <w:p w14:paraId="6BBD8D25">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p>
    <w:p w14:paraId="58B0556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66690" cy="3009900"/>
            <wp:effectExtent l="0" t="0" r="3810" b="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217"/>
                    <a:stretch>
                      <a:fillRect/>
                    </a:stretch>
                  </pic:blipFill>
                  <pic:spPr>
                    <a:xfrm>
                      <a:off x="0" y="0"/>
                      <a:ext cx="5266690" cy="3009900"/>
                    </a:xfrm>
                    <a:prstGeom prst="rect">
                      <a:avLst/>
                    </a:prstGeom>
                    <a:noFill/>
                    <a:ln>
                      <a:noFill/>
                    </a:ln>
                  </pic:spPr>
                </pic:pic>
              </a:graphicData>
            </a:graphic>
          </wp:inline>
        </w:drawing>
      </w:r>
    </w:p>
    <w:p w14:paraId="65AB5EDD">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图6-8 AI智能客服管理</w:t>
      </w:r>
    </w:p>
    <w:p w14:paraId="5636A0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 “AI 智能客服管理” 模块，管理员可配置 AI 助手的系统提示词，定义其回答风格，查看用户与 AI 的对话历史，确保 AI 能精准解答赣绣相关咨询</w:t>
      </w:r>
      <w:r>
        <w:rPr>
          <w:rFonts w:hint="eastAsia" w:ascii="宋体" w:hAnsi="宋体" w:cs="宋体"/>
          <w:sz w:val="24"/>
          <w:szCs w:val="24"/>
          <w:lang w:val="en-US" w:eastAsia="zh-CN"/>
        </w:rPr>
        <w:t>，如图6-8所示</w:t>
      </w:r>
      <w:r>
        <w:rPr>
          <w:rFonts w:hint="eastAsia" w:ascii="宋体" w:hAnsi="宋体" w:eastAsia="宋体" w:cs="宋体"/>
          <w:sz w:val="24"/>
          <w:szCs w:val="24"/>
          <w:lang w:val="en-US" w:eastAsia="zh-CN"/>
        </w:rPr>
        <w:t>。</w:t>
      </w:r>
    </w:p>
    <w:p w14:paraId="458802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6.3 用户端使用说明</w:t>
      </w:r>
    </w:p>
    <w:p w14:paraId="6BF9C9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6.3.1 注册与登录流程</w:t>
      </w:r>
    </w:p>
    <w:p w14:paraId="45C5862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drawing>
          <wp:inline distT="0" distB="0" distL="114300" distR="114300">
            <wp:extent cx="5266690" cy="3231515"/>
            <wp:effectExtent l="0" t="0" r="3810" b="6985"/>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218"/>
                    <a:stretch>
                      <a:fillRect/>
                    </a:stretch>
                  </pic:blipFill>
                  <pic:spPr>
                    <a:xfrm>
                      <a:off x="0" y="0"/>
                      <a:ext cx="5266690" cy="3231515"/>
                    </a:xfrm>
                    <a:prstGeom prst="rect">
                      <a:avLst/>
                    </a:prstGeom>
                    <a:noFill/>
                    <a:ln>
                      <a:noFill/>
                    </a:ln>
                  </pic:spPr>
                </pic:pic>
              </a:graphicData>
            </a:graphic>
          </wp:inline>
        </w:drawing>
      </w:r>
    </w:p>
    <w:p w14:paraId="1941940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图6-9 用户登录页面</w:t>
      </w:r>
    </w:p>
    <w:p w14:paraId="2A35CD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新用户需先进入 “注册界面”，输入用户名、密码、确认密码、姓名、联系电话、邮箱等信息（手机号、邮箱需符合格式要求），完成注册后系统自动保存用户信息；已注册用户通过 “登录界面” 输入用户名和密码，验证通过后进入系统首页，系统将自动记录用户登录状态，直至用户主动退出</w:t>
      </w:r>
      <w:r>
        <w:rPr>
          <w:rFonts w:hint="eastAsia" w:ascii="宋体" w:hAnsi="宋体" w:cs="宋体"/>
          <w:sz w:val="24"/>
          <w:szCs w:val="24"/>
          <w:lang w:val="en-US" w:eastAsia="zh-CN"/>
        </w:rPr>
        <w:t>，如图6-9所示</w:t>
      </w:r>
      <w:r>
        <w:rPr>
          <w:rFonts w:hint="eastAsia" w:ascii="宋体" w:hAnsi="宋体" w:eastAsia="宋体" w:cs="宋体"/>
          <w:sz w:val="24"/>
          <w:szCs w:val="24"/>
          <w:lang w:val="en-US" w:eastAsia="zh-CN"/>
        </w:rPr>
        <w:t>。</w:t>
      </w:r>
    </w:p>
    <w:p w14:paraId="12DBB3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6.3.2 核心功能操作步骤</w:t>
      </w:r>
    </w:p>
    <w:p w14:paraId="67D7E4E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cs="宋体"/>
          <w:sz w:val="24"/>
          <w:szCs w:val="24"/>
          <w:lang w:val="en-US" w:eastAsia="zh-CN"/>
        </w:rPr>
        <w:t>（1）</w:t>
      </w:r>
      <w:r>
        <w:rPr>
          <w:rFonts w:hint="eastAsia" w:ascii="宋体" w:hAnsi="宋体" w:eastAsia="宋体" w:cs="宋体"/>
          <w:sz w:val="24"/>
          <w:szCs w:val="24"/>
          <w:lang w:val="en-US" w:eastAsia="zh-CN"/>
        </w:rPr>
        <w:t>赣绣项目浏览</w:t>
      </w:r>
    </w:p>
    <w:p w14:paraId="3E72B42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1"/>
          <w:szCs w:val="21"/>
          <w:lang w:val="en-US" w:eastAsia="zh-CN"/>
        </w:rPr>
      </w:pPr>
      <w:r>
        <w:rPr>
          <w:rFonts w:hint="eastAsia" w:ascii="宋体" w:hAnsi="宋体" w:eastAsia="宋体" w:cs="宋体"/>
          <w:sz w:val="24"/>
          <w:szCs w:val="24"/>
          <w:lang w:val="en-US" w:eastAsia="zh-CN"/>
        </w:rPr>
        <w:t>登录后进入首页，可按类别、地区等筛选条件浏览赣绣项目列表，点击项目卡片查看详细信息（历史渊源、艺术特色、代表作品、关联传承人等），深入了解赣绣文化</w:t>
      </w:r>
      <w:r>
        <w:rPr>
          <w:rFonts w:hint="eastAsia" w:ascii="宋体" w:hAnsi="宋体" w:cs="宋体"/>
          <w:sz w:val="24"/>
          <w:szCs w:val="24"/>
          <w:lang w:val="en-US" w:eastAsia="zh-CN"/>
        </w:rPr>
        <w:t>，如图6-10所示</w:t>
      </w:r>
      <w:r>
        <w:rPr>
          <w:rFonts w:hint="eastAsia" w:ascii="宋体" w:hAnsi="宋体" w:eastAsia="宋体" w:cs="宋体"/>
          <w:sz w:val="24"/>
          <w:szCs w:val="24"/>
          <w:lang w:val="en-US" w:eastAsia="zh-CN"/>
        </w:rPr>
        <w:t>。</w:t>
      </w:r>
    </w:p>
    <w:p w14:paraId="14B5777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66690" cy="5925185"/>
            <wp:effectExtent l="0" t="0" r="3810" b="5715"/>
            <wp:docPr id="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
                    <pic:cNvPicPr>
                      <a:picLocks noChangeAspect="1"/>
                    </pic:cNvPicPr>
                  </pic:nvPicPr>
                  <pic:blipFill>
                    <a:blip r:embed="rId219"/>
                    <a:stretch>
                      <a:fillRect/>
                    </a:stretch>
                  </pic:blipFill>
                  <pic:spPr>
                    <a:xfrm>
                      <a:off x="0" y="0"/>
                      <a:ext cx="5266690" cy="5925185"/>
                    </a:xfrm>
                    <a:prstGeom prst="rect">
                      <a:avLst/>
                    </a:prstGeom>
                    <a:noFill/>
                    <a:ln>
                      <a:noFill/>
                    </a:ln>
                  </pic:spPr>
                </pic:pic>
              </a:graphicData>
            </a:graphic>
          </wp:inline>
        </w:drawing>
      </w:r>
    </w:p>
    <w:p w14:paraId="25E53282">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图6-10首页页面</w:t>
      </w:r>
    </w:p>
    <w:p w14:paraId="59BCED09">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传承人了解</w:t>
      </w:r>
    </w:p>
    <w:p w14:paraId="4D184D8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1"/>
          <w:szCs w:val="21"/>
          <w:lang w:val="en-US" w:eastAsia="zh-CN"/>
        </w:rPr>
      </w:pPr>
      <w:r>
        <w:rPr>
          <w:rFonts w:hint="eastAsia" w:ascii="宋体" w:hAnsi="宋体" w:eastAsia="宋体" w:cs="宋体"/>
          <w:sz w:val="24"/>
          <w:szCs w:val="24"/>
          <w:lang w:val="en-US" w:eastAsia="zh-CN"/>
        </w:rPr>
        <w:t>进入“传承人”模块，可浏览传承人列表，查看传承人的个人简介、技艺称号、代表作品、传承故事等信息，直观感受赣绣技艺的传承脉络</w:t>
      </w:r>
      <w:r>
        <w:rPr>
          <w:rFonts w:hint="eastAsia" w:ascii="宋体" w:hAnsi="宋体" w:cs="宋体"/>
          <w:sz w:val="24"/>
          <w:szCs w:val="24"/>
          <w:lang w:val="en-US" w:eastAsia="zh-CN"/>
        </w:rPr>
        <w:t>，如图6-11所示</w:t>
      </w:r>
      <w:r>
        <w:rPr>
          <w:rFonts w:hint="eastAsia" w:ascii="宋体" w:hAnsi="宋体" w:eastAsia="宋体" w:cs="宋体"/>
          <w:sz w:val="24"/>
          <w:szCs w:val="24"/>
          <w:lang w:val="en-US" w:eastAsia="zh-CN"/>
        </w:rPr>
        <w:t>。</w:t>
      </w:r>
    </w:p>
    <w:p w14:paraId="6ABF67C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66690" cy="5925185"/>
            <wp:effectExtent l="0" t="0" r="3810" b="5715"/>
            <wp:docPr id="1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
                    <pic:cNvPicPr>
                      <a:picLocks noChangeAspect="1"/>
                    </pic:cNvPicPr>
                  </pic:nvPicPr>
                  <pic:blipFill>
                    <a:blip r:embed="rId220"/>
                    <a:stretch>
                      <a:fillRect/>
                    </a:stretch>
                  </pic:blipFill>
                  <pic:spPr>
                    <a:xfrm>
                      <a:off x="0" y="0"/>
                      <a:ext cx="5266690" cy="5925185"/>
                    </a:xfrm>
                    <a:prstGeom prst="rect">
                      <a:avLst/>
                    </a:prstGeom>
                    <a:noFill/>
                    <a:ln>
                      <a:noFill/>
                    </a:ln>
                  </pic:spPr>
                </pic:pic>
              </a:graphicData>
            </a:graphic>
          </wp:inline>
        </w:drawing>
      </w:r>
    </w:p>
    <w:p w14:paraId="3BCDDBF0">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t>图6-11 赣绣传承人界面</w:t>
      </w:r>
    </w:p>
    <w:p w14:paraId="510EBB9B">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课程学习</w:t>
      </w:r>
    </w:p>
    <w:p w14:paraId="17C10D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 “课程管理” 模块，可按难度等级（入门/中级/高级）筛选赣绣课程，查看课程详情及章节列表，选择感兴趣的课程进行学习，系统将记录学习进度，方便随时继续学习</w:t>
      </w:r>
      <w:r>
        <w:rPr>
          <w:rFonts w:hint="eastAsia" w:ascii="宋体" w:hAnsi="宋体" w:cs="宋体"/>
          <w:sz w:val="24"/>
          <w:szCs w:val="24"/>
          <w:lang w:val="en-US" w:eastAsia="zh-CN"/>
        </w:rPr>
        <w:t>，如图6-12所示</w:t>
      </w:r>
      <w:r>
        <w:rPr>
          <w:rFonts w:hint="eastAsia" w:ascii="宋体" w:hAnsi="宋体" w:eastAsia="宋体" w:cs="宋体"/>
          <w:sz w:val="24"/>
          <w:szCs w:val="24"/>
          <w:lang w:val="en-US" w:eastAsia="zh-CN"/>
        </w:rPr>
        <w:t>。</w:t>
      </w:r>
    </w:p>
    <w:p w14:paraId="0B3E9AF9">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p>
    <w:p w14:paraId="1D6B00F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p>
    <w:p w14:paraId="61ED74D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66690" cy="3332480"/>
            <wp:effectExtent l="0" t="0" r="3810" b="7620"/>
            <wp:docPr id="1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
                    <pic:cNvPicPr>
                      <a:picLocks noChangeAspect="1"/>
                    </pic:cNvPicPr>
                  </pic:nvPicPr>
                  <pic:blipFill>
                    <a:blip r:embed="rId221"/>
                    <a:stretch>
                      <a:fillRect/>
                    </a:stretch>
                  </pic:blipFill>
                  <pic:spPr>
                    <a:xfrm>
                      <a:off x="0" y="0"/>
                      <a:ext cx="5266690" cy="3332480"/>
                    </a:xfrm>
                    <a:prstGeom prst="rect">
                      <a:avLst/>
                    </a:prstGeom>
                    <a:noFill/>
                    <a:ln>
                      <a:noFill/>
                    </a:ln>
                  </pic:spPr>
                </pic:pic>
              </a:graphicData>
            </a:graphic>
          </wp:inline>
        </w:drawing>
      </w:r>
    </w:p>
    <w:p w14:paraId="4E16782B">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4"/>
          <w:lang w:val="en-US" w:eastAsia="zh-CN"/>
        </w:rPr>
      </w:pPr>
      <w:r>
        <w:rPr>
          <w:rFonts w:hint="eastAsia" w:ascii="宋体" w:hAnsi="宋体" w:cs="宋体"/>
          <w:sz w:val="21"/>
          <w:szCs w:val="21"/>
          <w:lang w:val="en-US" w:eastAsia="zh-CN"/>
        </w:rPr>
        <w:t>图6-12 在线课程页面</w:t>
      </w:r>
    </w:p>
    <w:p w14:paraId="278B4225">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活动报名</w:t>
      </w:r>
    </w:p>
    <w:p w14:paraId="0F6A42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浏览 “活动” 模块中的赣绣相关活动（展演、培训等），查看活动时间、地点、描述等信息，对感兴趣的活动提交报名申请，可在个人中心查看报名状态（待审核/已通过/已拒绝）</w:t>
      </w:r>
      <w:r>
        <w:rPr>
          <w:rFonts w:hint="eastAsia" w:ascii="宋体" w:hAnsi="宋体" w:cs="宋体"/>
          <w:sz w:val="24"/>
          <w:szCs w:val="24"/>
          <w:lang w:val="en-US" w:eastAsia="zh-CN"/>
        </w:rPr>
        <w:t>，如图6-13所示</w:t>
      </w:r>
      <w:r>
        <w:rPr>
          <w:rFonts w:hint="eastAsia" w:ascii="宋体" w:hAnsi="宋体" w:eastAsia="宋体" w:cs="宋体"/>
          <w:sz w:val="24"/>
          <w:szCs w:val="24"/>
          <w:lang w:val="en-US" w:eastAsia="zh-CN"/>
        </w:rPr>
        <w:t>。</w:t>
      </w:r>
    </w:p>
    <w:p w14:paraId="5AB2C5B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drawing>
          <wp:inline distT="0" distB="0" distL="114300" distR="114300">
            <wp:extent cx="5266690" cy="3629660"/>
            <wp:effectExtent l="0" t="0" r="3810" b="2540"/>
            <wp:docPr id="1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
                    <pic:cNvPicPr>
                      <a:picLocks noChangeAspect="1"/>
                    </pic:cNvPicPr>
                  </pic:nvPicPr>
                  <pic:blipFill>
                    <a:blip r:embed="rId222"/>
                    <a:stretch>
                      <a:fillRect/>
                    </a:stretch>
                  </pic:blipFill>
                  <pic:spPr>
                    <a:xfrm>
                      <a:off x="0" y="0"/>
                      <a:ext cx="5266690" cy="3629660"/>
                    </a:xfrm>
                    <a:prstGeom prst="rect">
                      <a:avLst/>
                    </a:prstGeom>
                    <a:noFill/>
                    <a:ln>
                      <a:noFill/>
                    </a:ln>
                  </pic:spPr>
                </pic:pic>
              </a:graphicData>
            </a:graphic>
          </wp:inline>
        </w:drawing>
      </w:r>
    </w:p>
    <w:p w14:paraId="6C1DEE84">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t>图6-13 活动中心页面</w:t>
      </w:r>
    </w:p>
    <w:p w14:paraId="43ACD447">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商城购物</w:t>
      </w:r>
    </w:p>
    <w:p w14:paraId="78BC53F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进入 “赣绣商城”，浏览文创商品列表，按分类筛选商品，查看商品详情（图片、价格、库存、描述等），将商品加入购物车，确认订单信息（收货地址、商品数量）后提交订单并完成支付，可跟踪订单状态</w:t>
      </w:r>
      <w:r>
        <w:rPr>
          <w:rFonts w:hint="eastAsia" w:ascii="宋体" w:hAnsi="宋体" w:cs="宋体"/>
          <w:sz w:val="24"/>
          <w:szCs w:val="24"/>
          <w:lang w:val="en-US" w:eastAsia="zh-CN"/>
        </w:rPr>
        <w:t>，如图6-14所示</w:t>
      </w:r>
      <w:r>
        <w:rPr>
          <w:rFonts w:hint="eastAsia" w:ascii="宋体" w:hAnsi="宋体" w:eastAsia="宋体" w:cs="宋体"/>
          <w:sz w:val="24"/>
          <w:szCs w:val="24"/>
          <w:lang w:val="en-US" w:eastAsia="zh-CN"/>
        </w:rPr>
        <w:t>。</w:t>
      </w:r>
    </w:p>
    <w:p w14:paraId="553EB98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drawing>
          <wp:inline distT="0" distB="0" distL="114300" distR="114300">
            <wp:extent cx="5266690" cy="5925185"/>
            <wp:effectExtent l="0" t="0" r="3810" b="5715"/>
            <wp:docPr id="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5"/>
                    <pic:cNvPicPr>
                      <a:picLocks noChangeAspect="1"/>
                    </pic:cNvPicPr>
                  </pic:nvPicPr>
                  <pic:blipFill>
                    <a:blip r:embed="rId223"/>
                    <a:stretch>
                      <a:fillRect/>
                    </a:stretch>
                  </pic:blipFill>
                  <pic:spPr>
                    <a:xfrm>
                      <a:off x="0" y="0"/>
                      <a:ext cx="5266690" cy="5925185"/>
                    </a:xfrm>
                    <a:prstGeom prst="rect">
                      <a:avLst/>
                    </a:prstGeom>
                    <a:noFill/>
                    <a:ln>
                      <a:noFill/>
                    </a:ln>
                  </pic:spPr>
                </pic:pic>
              </a:graphicData>
            </a:graphic>
          </wp:inline>
        </w:drawing>
      </w:r>
    </w:p>
    <w:p w14:paraId="2ABFDE0E">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lang w:val="en-US" w:eastAsia="zh-CN"/>
        </w:rPr>
      </w:pPr>
      <w:r>
        <w:rPr>
          <w:rFonts w:hint="eastAsia" w:ascii="宋体" w:hAnsi="宋体" w:cs="宋体"/>
          <w:sz w:val="21"/>
          <w:szCs w:val="21"/>
          <w:lang w:val="en-US" w:eastAsia="zh-CN"/>
        </w:rPr>
        <w:t>图6-14 手办商城页面</w:t>
      </w:r>
    </w:p>
    <w:p w14:paraId="64B4F847">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AI智能咨询</w:t>
      </w:r>
    </w:p>
    <w:p w14:paraId="7D388C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在系统任意页面调用 AI 智能客服，输入赣绣相关问题（如技艺特点、学习疑问等），即可获得实时解答，也可查看历史对话记录</w:t>
      </w:r>
      <w:r>
        <w:rPr>
          <w:rFonts w:hint="eastAsia" w:ascii="宋体" w:hAnsi="宋体" w:cs="宋体"/>
          <w:sz w:val="24"/>
          <w:szCs w:val="24"/>
          <w:lang w:val="en-US" w:eastAsia="zh-CN"/>
        </w:rPr>
        <w:t>，如图6-15所示</w:t>
      </w:r>
      <w:r>
        <w:rPr>
          <w:rFonts w:hint="eastAsia" w:ascii="宋体" w:hAnsi="宋体" w:eastAsia="宋体" w:cs="宋体"/>
          <w:sz w:val="24"/>
          <w:szCs w:val="24"/>
          <w:lang w:val="en-US" w:eastAsia="zh-CN"/>
        </w:rPr>
        <w:t>。</w:t>
      </w:r>
    </w:p>
    <w:p w14:paraId="3988097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200"/>
        <w:textAlignment w:val="auto"/>
        <w:rPr>
          <w:rFonts w:hint="eastAsia" w:ascii="宋体" w:hAnsi="宋体" w:eastAsia="宋体" w:cs="宋体"/>
          <w:sz w:val="24"/>
          <w:szCs w:val="24"/>
          <w:lang w:val="en-US" w:eastAsia="zh-CN"/>
        </w:rPr>
      </w:pPr>
    </w:p>
    <w:p w14:paraId="21FE94D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drawing>
          <wp:inline distT="0" distB="0" distL="114300" distR="114300">
            <wp:extent cx="5266690" cy="3369945"/>
            <wp:effectExtent l="0" t="0" r="3810" b="8255"/>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
                    <pic:cNvPicPr>
                      <a:picLocks noChangeAspect="1"/>
                    </pic:cNvPicPr>
                  </pic:nvPicPr>
                  <pic:blipFill>
                    <a:blip r:embed="rId224"/>
                    <a:stretch>
                      <a:fillRect/>
                    </a:stretch>
                  </pic:blipFill>
                  <pic:spPr>
                    <a:xfrm>
                      <a:off x="0" y="0"/>
                      <a:ext cx="5266690" cy="3369945"/>
                    </a:xfrm>
                    <a:prstGeom prst="rect">
                      <a:avLst/>
                    </a:prstGeom>
                    <a:noFill/>
                    <a:ln>
                      <a:noFill/>
                    </a:ln>
                  </pic:spPr>
                </pic:pic>
              </a:graphicData>
            </a:graphic>
          </wp:inline>
        </w:drawing>
      </w:r>
    </w:p>
    <w:p w14:paraId="2C46225F">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图6-15 AI智能咨询页面</w:t>
      </w:r>
    </w:p>
    <w:p w14:paraId="2B269248">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个人信息管理</w:t>
      </w:r>
    </w:p>
    <w:p w14:paraId="790D89F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cs="宋体"/>
          <w:sz w:val="21"/>
          <w:szCs w:val="21"/>
          <w:lang w:val="en-US" w:eastAsia="zh-CN"/>
        </w:rPr>
      </w:pPr>
      <w:r>
        <w:rPr>
          <w:rFonts w:hint="eastAsia" w:ascii="宋体" w:hAnsi="宋体" w:eastAsia="宋体" w:cs="宋体"/>
          <w:sz w:val="24"/>
          <w:szCs w:val="24"/>
          <w:lang w:val="en-US" w:eastAsia="zh-CN"/>
        </w:rPr>
        <w:t>在“个人资料”模块，用户可查看并修改姓名、性别、头像、联系电话、邮箱等个人信息</w:t>
      </w:r>
      <w:r>
        <w:rPr>
          <w:rFonts w:hint="eastAsia" w:ascii="宋体" w:hAnsi="宋体" w:cs="宋体"/>
          <w:sz w:val="24"/>
          <w:szCs w:val="24"/>
          <w:lang w:val="en-US" w:eastAsia="zh-CN"/>
        </w:rPr>
        <w:t>，如图6-16所示</w:t>
      </w:r>
      <w:r>
        <w:rPr>
          <w:rFonts w:hint="eastAsia" w:ascii="宋体" w:hAnsi="宋体" w:eastAsia="宋体" w:cs="宋体"/>
          <w:sz w:val="24"/>
          <w:szCs w:val="24"/>
          <w:lang w:val="en-US" w:eastAsia="zh-CN"/>
        </w:rPr>
        <w:t>。</w:t>
      </w:r>
    </w:p>
    <w:p w14:paraId="5416A3F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cs="宋体"/>
          <w:sz w:val="21"/>
          <w:szCs w:val="21"/>
          <w:lang w:val="en-US" w:eastAsia="zh-CN"/>
        </w:rPr>
      </w:pPr>
      <w:r>
        <w:rPr>
          <w:rFonts w:hint="eastAsia" w:ascii="宋体" w:hAnsi="宋体" w:cs="宋体"/>
          <w:sz w:val="21"/>
          <w:szCs w:val="21"/>
          <w:lang w:val="en-US" w:eastAsia="zh-CN"/>
        </w:rPr>
        <w:drawing>
          <wp:inline distT="0" distB="0" distL="114300" distR="114300">
            <wp:extent cx="5273040" cy="3152775"/>
            <wp:effectExtent l="0" t="0" r="10160" b="9525"/>
            <wp:docPr id="1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
                    <pic:cNvPicPr>
                      <a:picLocks noChangeAspect="1"/>
                    </pic:cNvPicPr>
                  </pic:nvPicPr>
                  <pic:blipFill>
                    <a:blip r:embed="rId225"/>
                    <a:stretch>
                      <a:fillRect/>
                    </a:stretch>
                  </pic:blipFill>
                  <pic:spPr>
                    <a:xfrm>
                      <a:off x="0" y="0"/>
                      <a:ext cx="5273040" cy="3152775"/>
                    </a:xfrm>
                    <a:prstGeom prst="rect">
                      <a:avLst/>
                    </a:prstGeom>
                    <a:noFill/>
                    <a:ln>
                      <a:noFill/>
                    </a:ln>
                  </pic:spPr>
                </pic:pic>
              </a:graphicData>
            </a:graphic>
          </wp:inline>
        </w:drawing>
      </w:r>
    </w:p>
    <w:p w14:paraId="7A3D9A1F">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cs="宋体"/>
          <w:sz w:val="21"/>
          <w:szCs w:val="21"/>
          <w:lang w:val="en-US" w:eastAsia="zh-CN"/>
        </w:rPr>
      </w:pPr>
      <w:r>
        <w:rPr>
          <w:rFonts w:hint="eastAsia" w:ascii="宋体" w:hAnsi="宋体" w:cs="宋体"/>
          <w:sz w:val="21"/>
          <w:szCs w:val="21"/>
          <w:lang w:val="en-US" w:eastAsia="zh-CN"/>
        </w:rPr>
        <w:t>图6-16 个人信息页面</w:t>
      </w:r>
    </w:p>
    <w:p w14:paraId="27793CF6">
      <w:pPr>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订单查询</w:t>
      </w:r>
    </w:p>
    <w:p w14:paraId="45944B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通过“订单管理”模块，用户可查看所有历史购物订单的详情，包括订单编号、商品内容、总价、订单状态等，便于追溯消费记录、核对账单</w:t>
      </w:r>
      <w:r>
        <w:rPr>
          <w:rFonts w:hint="eastAsia" w:ascii="宋体" w:hAnsi="宋体" w:cs="宋体"/>
          <w:sz w:val="24"/>
          <w:szCs w:val="24"/>
          <w:lang w:val="en-US" w:eastAsia="zh-CN"/>
        </w:rPr>
        <w:t>，如图6-17所示</w:t>
      </w:r>
      <w:r>
        <w:rPr>
          <w:rFonts w:hint="eastAsia" w:ascii="宋体" w:hAnsi="宋体" w:eastAsia="宋体" w:cs="宋体"/>
          <w:sz w:val="24"/>
          <w:szCs w:val="24"/>
          <w:lang w:val="en-US" w:eastAsia="zh-CN"/>
        </w:rPr>
        <w:t>。</w:t>
      </w:r>
    </w:p>
    <w:p w14:paraId="7A72989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4"/>
          <w:lang w:val="en-US" w:eastAsia="zh-CN"/>
        </w:rPr>
      </w:pPr>
      <w:r>
        <w:drawing>
          <wp:inline distT="0" distB="0" distL="114300" distR="114300">
            <wp:extent cx="5264785" cy="3479165"/>
            <wp:effectExtent l="0" t="0" r="5715" b="635"/>
            <wp:docPr id="1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pic:cNvPicPr>
                      <a:picLocks noChangeAspect="1"/>
                    </pic:cNvPicPr>
                  </pic:nvPicPr>
                  <pic:blipFill>
                    <a:blip r:embed="rId226"/>
                    <a:stretch>
                      <a:fillRect/>
                    </a:stretch>
                  </pic:blipFill>
                  <pic:spPr>
                    <a:xfrm>
                      <a:off x="0" y="0"/>
                      <a:ext cx="5264785" cy="3479165"/>
                    </a:xfrm>
                    <a:prstGeom prst="rect">
                      <a:avLst/>
                    </a:prstGeom>
                    <a:noFill/>
                    <a:ln>
                      <a:noFill/>
                    </a:ln>
                  </pic:spPr>
                </pic:pic>
              </a:graphicData>
            </a:graphic>
          </wp:inline>
        </w:drawing>
      </w:r>
    </w:p>
    <w:p w14:paraId="0080FBD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cs="宋体"/>
          <w:sz w:val="21"/>
          <w:szCs w:val="21"/>
          <w:lang w:val="en-US" w:eastAsia="zh-CN"/>
        </w:rPr>
        <w:t>图6-17 订单查询页面</w:t>
      </w:r>
    </w:p>
    <w:p w14:paraId="50D200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6.4 系统使用注意事项</w:t>
      </w:r>
    </w:p>
    <w:p w14:paraId="6D0C137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管理员需妥善保管登录密码，避免泄露导致系统数据被篡改；定期检查赣绣项目、传承人、课程、活动、商品、订单等信息，确保系统数据准确无误。</w:t>
      </w:r>
    </w:p>
    <w:p w14:paraId="6D46E1F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用户注册时需填写真实有效的联系电话和邮箱，以便订单或活动出现异常时管理员及时沟通；下单前请确认商品信息、收货地址无误，提交订单后如需修改，可联系管理员协助处理；报名活动前请核实活动时间、地点，避免错过参与机会。</w:t>
      </w:r>
    </w:p>
    <w:p w14:paraId="277AD7E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b/>
          <w:bCs/>
          <w:sz w:val="28"/>
          <w:szCs w:val="28"/>
        </w:rPr>
      </w:pPr>
      <w:r>
        <w:rPr>
          <w:rFonts w:hint="eastAsia" w:ascii="宋体" w:hAnsi="宋体" w:eastAsia="宋体" w:cs="宋体"/>
          <w:sz w:val="24"/>
          <w:szCs w:val="24"/>
          <w:lang w:val="en-US" w:eastAsia="zh-CN"/>
        </w:rPr>
        <w:t>系统支持在主流浏览器中运行，使用过程中如遇页面加载异常、操作无响应等问题，可刷新页面或重新登录；若问题持续，需及时反馈管理员排查。</w:t>
      </w:r>
    </w:p>
    <w:p w14:paraId="6780E7DC">
      <w:pPr>
        <w:spacing w:line="440" w:lineRule="exact"/>
        <w:outlineLvl w:val="9"/>
        <w:rPr>
          <w:b/>
          <w:bCs/>
          <w:sz w:val="28"/>
          <w:szCs w:val="28"/>
        </w:rPr>
      </w:pPr>
      <w:bookmarkStart w:id="572" w:name="_Toc28782"/>
      <w:bookmarkStart w:id="573" w:name="_Toc30774"/>
      <w:bookmarkStart w:id="574" w:name="_Toc864"/>
      <w:bookmarkStart w:id="575" w:name="_Toc1964"/>
      <w:r>
        <w:rPr>
          <w:rFonts w:hint="eastAsia" w:cs="Times New Roman"/>
          <w:b/>
          <w:bCs/>
          <w:sz w:val="28"/>
          <w:szCs w:val="28"/>
          <w:lang w:val="en-US" w:eastAsia="zh-CN"/>
        </w:rPr>
        <w:t>7</w:t>
      </w:r>
      <w:r>
        <w:rPr>
          <w:rFonts w:hint="eastAsia" w:cs="Times New Roman"/>
          <w:b/>
          <w:bCs/>
          <w:sz w:val="28"/>
          <w:szCs w:val="28"/>
        </w:rPr>
        <w:t>总结</w:t>
      </w:r>
      <w:bookmarkEnd w:id="572"/>
      <w:bookmarkEnd w:id="573"/>
      <w:bookmarkEnd w:id="574"/>
      <w:bookmarkEnd w:id="575"/>
    </w:p>
    <w:p w14:paraId="7011F096">
      <w:pPr>
        <w:spacing w:line="440" w:lineRule="exact"/>
        <w:ind w:firstLine="480" w:firstLineChars="200"/>
        <w:outlineLvl w:val="9"/>
        <w:rPr>
          <w:rFonts w:ascii="宋体" w:hAnsi="宋体" w:cs="宋体"/>
          <w:sz w:val="24"/>
        </w:rPr>
      </w:pPr>
      <w:r>
        <w:rPr>
          <w:rFonts w:ascii="宋体" w:hAnsi="宋体" w:eastAsia="宋体" w:cs="宋体"/>
          <w:sz w:val="24"/>
        </w:rPr>
        <w:t>本项目聚焦赣绣这一江西非物质文化遗产的数字化传承难题，成功设计并实现了基于Spring Boot+Vue的赣绣传承管理系统。系统以解决赣绣传承中传承人老龄化、传播渠道狭窄、文创转化滞后等问题为核心目标，构建了集信息展示、在线学习、互动交流、文创销售和智能服务于一体的综合性平台，为赣绣文化的保护与创新发展提供了有效技术支撑。</w:t>
      </w:r>
    </w:p>
    <w:p w14:paraId="7283C2F8">
      <w:pPr>
        <w:spacing w:line="440" w:lineRule="exact"/>
        <w:ind w:firstLine="480" w:firstLineChars="200"/>
        <w:rPr>
          <w:rFonts w:ascii="宋体" w:hAnsi="宋体" w:cs="宋体"/>
          <w:sz w:val="24"/>
        </w:rPr>
      </w:pPr>
      <w:r>
        <w:rPr>
          <w:rFonts w:ascii="宋体" w:hAnsi="宋体" w:eastAsia="宋体" w:cs="宋体"/>
          <w:sz w:val="24"/>
        </w:rPr>
        <w:t>在技术实现上，系统采用前后端分离架构，前端基于Vue3框架与Ant Design Vue组件库，结合Pinia状态管理和Vue Router路由机制，打造了简洁直观、适配多终端的用户界面；后端以 Spring Boot 为核心，整合 MyBatis-Plus 持久层框架和 MySQL 数据库，确保业务逻辑高效处理与数据稳定存储；AI 智能客服模块基于 Spring AI 框架集成大语言模型，实现了流式响应与上下文对话，提升了用户咨询体验。系统通过 JWT 令牌认证、BCrypt 密码加密、角色权限控制等多重措施，保障了数据安全与访问规范。</w:t>
      </w:r>
    </w:p>
    <w:p w14:paraId="737F3126">
      <w:pPr>
        <w:spacing w:line="440" w:lineRule="exact"/>
        <w:ind w:firstLine="480" w:firstLineChars="200"/>
        <w:rPr>
          <w:rFonts w:ascii="宋体" w:hAnsi="宋体" w:cs="宋体"/>
          <w:sz w:val="24"/>
        </w:rPr>
      </w:pPr>
      <w:r>
        <w:rPr>
          <w:rFonts w:ascii="宋体" w:hAnsi="宋体" w:eastAsia="宋体" w:cs="宋体"/>
          <w:sz w:val="24"/>
        </w:rPr>
        <w:t>功能层面，系统涵盖七大核心模块，全面覆盖用户需求。普通用户可便捷浏览赣绣项目与传承人信息、参与在线课程学习、报名非遗活动、购买文创产品，并通过 AI 客服获取专业解答；管理员能够高效完成用户管理、内容维护、课程与活动运营、商城管控等工作，实现系统全流程管理。各模块功能相互协同，构建了 “展示-学习-互动-变现”的完整传承闭环。</w:t>
      </w:r>
    </w:p>
    <w:p w14:paraId="214ADAC5">
      <w:pPr>
        <w:spacing w:line="440" w:lineRule="exact"/>
        <w:ind w:firstLine="480" w:firstLineChars="200"/>
        <w:rPr>
          <w:rFonts w:ascii="宋体" w:hAnsi="宋体" w:cs="宋体"/>
          <w:sz w:val="24"/>
        </w:rPr>
      </w:pPr>
      <w:r>
        <w:rPr>
          <w:rFonts w:ascii="宋体" w:hAnsi="宋体" w:eastAsia="宋体" w:cs="宋体"/>
          <w:sz w:val="24"/>
        </w:rPr>
        <w:t>经过全面测试，系统功能完整性、性能稳定性、安全性及易用性均达到预期标准</w:t>
      </w:r>
      <w:r>
        <w:rPr>
          <w:rFonts w:hint="eastAsia" w:ascii="宋体" w:hAnsi="宋体" w:cs="宋体"/>
          <w:sz w:val="24"/>
        </w:rPr>
        <w:t>，</w:t>
      </w:r>
      <w:r>
        <w:rPr>
          <w:rFonts w:ascii="宋体" w:hAnsi="宋体" w:eastAsia="宋体" w:cs="宋体"/>
          <w:sz w:val="24"/>
        </w:rPr>
        <w:t>50个功能测试用例全部通过，支持500并发用户访问，响应速度与操作体验获得用户认可。系统的成功实现，不仅实现了赣绣资源的系统化数字化保护，更拓宽了文化传播渠道与传承人增收路径，为传统技艺与现代数字技术的深度融合提供了实践范例。</w:t>
      </w:r>
    </w:p>
    <w:p w14:paraId="6EF3E874">
      <w:pPr>
        <w:spacing w:line="440" w:lineRule="exact"/>
        <w:ind w:firstLine="480" w:firstLineChars="200"/>
        <w:rPr>
          <w:rFonts w:ascii="宋体" w:hAnsi="宋体" w:cs="宋体"/>
          <w:sz w:val="24"/>
        </w:rPr>
      </w:pPr>
      <w:r>
        <w:rPr>
          <w:rFonts w:ascii="宋体" w:hAnsi="宋体" w:eastAsia="宋体" w:cs="宋体"/>
          <w:sz w:val="24"/>
        </w:rPr>
        <w:t>未来，系统可进一步优化升级：引入 VR/AR 技术打造沉浸式学习体验，基于用户行为数据优化个性化推荐功能，拓展多语言版本推动赣绣文化国际化传播，持续完善非遗知识库与 AI 客服专业度，让这一千年非遗瑰宝在数字时代焕发更强活力。</w:t>
      </w:r>
    </w:p>
    <w:p w14:paraId="56648873">
      <w:pPr>
        <w:spacing w:line="440" w:lineRule="exact"/>
        <w:ind w:firstLine="480" w:firstLineChars="200"/>
        <w:rPr>
          <w:rFonts w:ascii="宋体" w:hAnsi="宋体" w:cs="宋体"/>
          <w:sz w:val="24"/>
        </w:rPr>
      </w:pPr>
    </w:p>
    <w:p w14:paraId="43B12398">
      <w:pPr>
        <w:spacing w:line="440" w:lineRule="exact"/>
        <w:ind w:firstLine="480" w:firstLineChars="200"/>
        <w:rPr>
          <w:rFonts w:ascii="宋体" w:hAnsi="宋体" w:cs="宋体"/>
          <w:sz w:val="24"/>
        </w:rPr>
      </w:pPr>
    </w:p>
    <w:p w14:paraId="3FD4B20E">
      <w:pPr>
        <w:spacing w:line="440" w:lineRule="exact"/>
        <w:ind w:firstLine="480" w:firstLineChars="200"/>
        <w:rPr>
          <w:rFonts w:ascii="宋体" w:hAnsi="宋体" w:cs="宋体"/>
          <w:sz w:val="24"/>
        </w:rPr>
      </w:pPr>
    </w:p>
    <w:p w14:paraId="4C74C2BF">
      <w:pPr>
        <w:spacing w:line="440" w:lineRule="exact"/>
        <w:ind w:firstLine="480" w:firstLineChars="200"/>
        <w:rPr>
          <w:rFonts w:ascii="宋体" w:hAnsi="宋体" w:cs="宋体"/>
          <w:sz w:val="24"/>
        </w:rPr>
      </w:pPr>
    </w:p>
    <w:p w14:paraId="4FD6BE0D">
      <w:pPr>
        <w:spacing w:line="440" w:lineRule="exact"/>
        <w:ind w:firstLine="480" w:firstLineChars="200"/>
        <w:rPr>
          <w:rFonts w:ascii="宋体" w:hAnsi="宋体" w:cs="宋体"/>
          <w:sz w:val="24"/>
        </w:rPr>
      </w:pPr>
    </w:p>
    <w:p w14:paraId="1611AC41">
      <w:pPr>
        <w:spacing w:line="440" w:lineRule="exact"/>
        <w:ind w:firstLine="480" w:firstLineChars="200"/>
        <w:rPr>
          <w:rFonts w:ascii="宋体" w:hAnsi="宋体" w:cs="宋体"/>
          <w:sz w:val="24"/>
        </w:rPr>
      </w:pPr>
    </w:p>
    <w:p w14:paraId="219B7099">
      <w:pPr>
        <w:spacing w:line="440" w:lineRule="exact"/>
        <w:ind w:firstLine="480" w:firstLineChars="200"/>
        <w:rPr>
          <w:rFonts w:ascii="宋体" w:hAnsi="宋体" w:cs="宋体"/>
          <w:sz w:val="24"/>
        </w:rPr>
      </w:pPr>
    </w:p>
    <w:p w14:paraId="14C4ACA5">
      <w:pPr>
        <w:spacing w:line="440" w:lineRule="exact"/>
        <w:ind w:firstLine="480" w:firstLineChars="200"/>
        <w:rPr>
          <w:rFonts w:ascii="宋体" w:hAnsi="宋体" w:cs="宋体"/>
          <w:sz w:val="24"/>
        </w:rPr>
      </w:pPr>
    </w:p>
    <w:p w14:paraId="0735FB58">
      <w:pPr>
        <w:spacing w:line="440" w:lineRule="exact"/>
        <w:ind w:firstLine="480" w:firstLineChars="200"/>
        <w:rPr>
          <w:rFonts w:ascii="宋体" w:hAnsi="宋体" w:cs="宋体"/>
          <w:sz w:val="24"/>
        </w:rPr>
      </w:pPr>
    </w:p>
    <w:p w14:paraId="7B2BA89B">
      <w:pPr>
        <w:spacing w:line="440" w:lineRule="exact"/>
        <w:ind w:firstLine="480" w:firstLineChars="200"/>
        <w:rPr>
          <w:rFonts w:ascii="宋体" w:hAnsi="宋体" w:cs="宋体"/>
          <w:sz w:val="24"/>
        </w:rPr>
      </w:pPr>
    </w:p>
    <w:p w14:paraId="7F03822A">
      <w:pPr>
        <w:spacing w:line="440" w:lineRule="exact"/>
        <w:ind w:firstLine="480" w:firstLineChars="200"/>
        <w:rPr>
          <w:rFonts w:ascii="宋体" w:hAnsi="宋体" w:cs="宋体"/>
          <w:sz w:val="24"/>
        </w:rPr>
      </w:pPr>
    </w:p>
    <w:p w14:paraId="4F6F48B1">
      <w:pPr>
        <w:spacing w:line="440" w:lineRule="exact"/>
        <w:ind w:firstLine="480" w:firstLineChars="200"/>
        <w:rPr>
          <w:rFonts w:ascii="宋体" w:hAnsi="宋体" w:cs="宋体"/>
          <w:sz w:val="24"/>
        </w:rPr>
      </w:pPr>
    </w:p>
    <w:p w14:paraId="685D18D2">
      <w:pPr>
        <w:spacing w:line="440" w:lineRule="exact"/>
        <w:jc w:val="center"/>
        <w:outlineLvl w:val="9"/>
        <w:rPr>
          <w:b/>
          <w:bCs/>
          <w:sz w:val="28"/>
          <w:szCs w:val="28"/>
        </w:rPr>
      </w:pPr>
      <w:bookmarkStart w:id="576" w:name="_Toc7846"/>
      <w:bookmarkStart w:id="577" w:name="_Toc11346"/>
      <w:bookmarkStart w:id="578" w:name="_Toc29438"/>
      <w:bookmarkStart w:id="579" w:name="_Toc27629"/>
      <w:r>
        <w:rPr>
          <w:rFonts w:hint="eastAsia" w:cs="Times New Roman"/>
          <w:b/>
          <w:bCs/>
          <w:sz w:val="28"/>
          <w:szCs w:val="28"/>
        </w:rPr>
        <w:t>参考文献</w:t>
      </w:r>
      <w:bookmarkEnd w:id="576"/>
      <w:bookmarkEnd w:id="577"/>
      <w:bookmarkEnd w:id="578"/>
      <w:bookmarkEnd w:id="579"/>
    </w:p>
    <w:p w14:paraId="0E73396E">
      <w:pPr>
        <w:keepNext w:val="0"/>
        <w:keepLines w:val="0"/>
        <w:pageBreakBefore w:val="0"/>
        <w:widowControl w:val="0"/>
        <w:tabs>
          <w:tab w:val="left" w:pos="967"/>
        </w:tabs>
        <w:kinsoku/>
        <w:wordWrap/>
        <w:overflowPunct/>
        <w:topLinePunct w:val="0"/>
        <w:autoSpaceDE/>
        <w:autoSpaceDN/>
        <w:bidi w:val="0"/>
        <w:adjustRightInd/>
        <w:snapToGrid/>
        <w:spacing w:line="400" w:lineRule="exact"/>
        <w:ind w:left="420" w:hanging="420" w:hangingChars="200"/>
        <w:textAlignment w:val="auto"/>
        <w:outlineLvl w:val="9"/>
        <w:rPr>
          <w:rFonts w:ascii="宋体" w:hAnsi="宋体" w:cs="宋体"/>
          <w:szCs w:val="21"/>
        </w:rPr>
      </w:pPr>
      <w:r>
        <w:rPr>
          <w:rFonts w:hint="eastAsia" w:ascii="宋体" w:hAnsi="宋体" w:eastAsia="宋体" w:cs="宋体"/>
          <w:szCs w:val="21"/>
        </w:rPr>
        <w:t>[1]温芳,陈艺,罗坤明.赣南客家刺绣纹样的数字化再设计研究[J].包装工程,2025,46(20)</w:t>
      </w:r>
      <w:r>
        <w:rPr>
          <w:rFonts w:hint="eastAsia" w:ascii="宋体" w:hAnsi="宋体" w:cs="宋体"/>
          <w:szCs w:val="21"/>
        </w:rPr>
        <w:t>.</w:t>
      </w:r>
    </w:p>
    <w:p w14:paraId="184C7C86">
      <w:pPr>
        <w:keepNext w:val="0"/>
        <w:keepLines w:val="0"/>
        <w:pageBreakBefore w:val="0"/>
        <w:widowControl w:val="0"/>
        <w:tabs>
          <w:tab w:val="left" w:pos="967"/>
        </w:tabs>
        <w:kinsoku/>
        <w:wordWrap/>
        <w:overflowPunct/>
        <w:topLinePunct w:val="0"/>
        <w:autoSpaceDE/>
        <w:autoSpaceDN/>
        <w:bidi w:val="0"/>
        <w:adjustRightInd/>
        <w:snapToGrid/>
        <w:spacing w:line="400" w:lineRule="exact"/>
        <w:ind w:left="420" w:hanging="420" w:hangingChars="200"/>
        <w:textAlignment w:val="auto"/>
        <w:rPr>
          <w:rFonts w:ascii="宋体" w:hAnsi="宋体" w:cs="宋体"/>
          <w:szCs w:val="21"/>
        </w:rPr>
      </w:pPr>
      <w:r>
        <w:rPr>
          <w:rFonts w:hint="eastAsia" w:ascii="宋体" w:hAnsi="宋体" w:eastAsia="宋体" w:cs="宋体"/>
          <w:szCs w:val="21"/>
        </w:rPr>
        <w:t>[</w:t>
      </w:r>
      <w:r>
        <w:rPr>
          <w:rFonts w:hint="eastAsia" w:ascii="宋体" w:hAnsi="宋体" w:cs="宋体"/>
          <w:szCs w:val="21"/>
        </w:rPr>
        <w:t>2</w:t>
      </w:r>
      <w:r>
        <w:rPr>
          <w:rFonts w:hint="eastAsia" w:ascii="宋体" w:hAnsi="宋体" w:eastAsia="宋体" w:cs="宋体"/>
          <w:szCs w:val="21"/>
        </w:rPr>
        <w:t>]陈利利,陈小过.数字化平台非遗技艺宣纸刺绣文化产业发展影响研究[J].造纸科学与技术,2025,44(08)</w:t>
      </w:r>
      <w:r>
        <w:rPr>
          <w:rFonts w:hint="eastAsia" w:ascii="宋体" w:hAnsi="宋体" w:cs="宋体"/>
          <w:szCs w:val="21"/>
        </w:rPr>
        <w:t>.</w:t>
      </w:r>
    </w:p>
    <w:p w14:paraId="67AC28D4">
      <w:pPr>
        <w:keepNext w:val="0"/>
        <w:keepLines w:val="0"/>
        <w:pageBreakBefore w:val="0"/>
        <w:widowControl w:val="0"/>
        <w:tabs>
          <w:tab w:val="left" w:pos="967"/>
        </w:tabs>
        <w:kinsoku/>
        <w:wordWrap/>
        <w:overflowPunct/>
        <w:topLinePunct w:val="0"/>
        <w:autoSpaceDE/>
        <w:autoSpaceDN/>
        <w:bidi w:val="0"/>
        <w:adjustRightInd/>
        <w:snapToGrid/>
        <w:spacing w:line="400" w:lineRule="exact"/>
        <w:ind w:left="420" w:hanging="420" w:hangingChars="200"/>
        <w:textAlignment w:val="auto"/>
        <w:rPr>
          <w:rFonts w:ascii="宋体" w:hAnsi="宋体" w:cs="宋体"/>
          <w:szCs w:val="21"/>
        </w:rPr>
      </w:pPr>
      <w:r>
        <w:rPr>
          <w:rFonts w:hint="eastAsia" w:ascii="宋体" w:hAnsi="宋体" w:eastAsia="宋体" w:cs="宋体"/>
          <w:szCs w:val="21"/>
        </w:rPr>
        <w:t>[</w:t>
      </w:r>
      <w:r>
        <w:rPr>
          <w:rFonts w:hint="eastAsia" w:ascii="宋体" w:hAnsi="宋体" w:cs="宋体"/>
          <w:szCs w:val="21"/>
        </w:rPr>
        <w:t>3</w:t>
      </w:r>
      <w:r>
        <w:rPr>
          <w:rFonts w:hint="eastAsia" w:ascii="宋体" w:hAnsi="宋体" w:eastAsia="宋体" w:cs="宋体"/>
          <w:szCs w:val="21"/>
        </w:rPr>
        <w:t>]江彬.数字化技术在刺绣文创产品设计中的应用研究[J].山东纺织经济,2025,42(03):5-8.</w:t>
      </w:r>
    </w:p>
    <w:p w14:paraId="5509576C">
      <w:pPr>
        <w:keepNext w:val="0"/>
        <w:keepLines w:val="0"/>
        <w:pageBreakBefore w:val="0"/>
        <w:widowControl w:val="0"/>
        <w:tabs>
          <w:tab w:val="left" w:pos="967"/>
        </w:tabs>
        <w:kinsoku/>
        <w:wordWrap/>
        <w:overflowPunct/>
        <w:topLinePunct w:val="0"/>
        <w:autoSpaceDE/>
        <w:autoSpaceDN/>
        <w:bidi w:val="0"/>
        <w:adjustRightInd/>
        <w:snapToGrid/>
        <w:spacing w:line="400" w:lineRule="exact"/>
        <w:ind w:left="420" w:hanging="420" w:hangingChars="200"/>
        <w:textAlignment w:val="auto"/>
        <w:rPr>
          <w:rFonts w:ascii="宋体" w:hAnsi="宋体" w:cs="宋体"/>
          <w:szCs w:val="21"/>
        </w:rPr>
      </w:pPr>
      <w:r>
        <w:rPr>
          <w:rFonts w:hint="eastAsia" w:ascii="宋体" w:hAnsi="宋体" w:eastAsia="宋体" w:cs="宋体"/>
          <w:szCs w:val="21"/>
        </w:rPr>
        <w:t>[</w:t>
      </w:r>
      <w:r>
        <w:rPr>
          <w:rFonts w:hint="eastAsia" w:ascii="宋体" w:hAnsi="宋体" w:cs="宋体"/>
          <w:szCs w:val="21"/>
        </w:rPr>
        <w:t>4</w:t>
      </w:r>
      <w:r>
        <w:rPr>
          <w:rFonts w:hint="eastAsia" w:ascii="宋体" w:hAnsi="宋体" w:eastAsia="宋体" w:cs="宋体"/>
          <w:szCs w:val="21"/>
        </w:rPr>
        <w:t>]吴欢.基于移动智能终端的学前刺绣产品设计课程数字化资源平台的开发与实践[J].纺织报告,2021,40(03):116-117.</w:t>
      </w:r>
    </w:p>
    <w:p w14:paraId="4674B24F">
      <w:pPr>
        <w:keepNext w:val="0"/>
        <w:keepLines w:val="0"/>
        <w:pageBreakBefore w:val="0"/>
        <w:widowControl w:val="0"/>
        <w:tabs>
          <w:tab w:val="left" w:pos="967"/>
        </w:tabs>
        <w:kinsoku/>
        <w:wordWrap/>
        <w:overflowPunct/>
        <w:topLinePunct w:val="0"/>
        <w:autoSpaceDE/>
        <w:autoSpaceDN/>
        <w:bidi w:val="0"/>
        <w:adjustRightInd/>
        <w:snapToGrid/>
        <w:spacing w:line="400" w:lineRule="exact"/>
        <w:textAlignment w:val="auto"/>
        <w:rPr>
          <w:rFonts w:ascii="宋体" w:hAnsi="宋体" w:cs="宋体"/>
          <w:szCs w:val="21"/>
        </w:rPr>
      </w:pPr>
      <w:r>
        <w:rPr>
          <w:rFonts w:hint="eastAsia" w:ascii="宋体" w:hAnsi="宋体" w:eastAsia="宋体" w:cs="宋体"/>
          <w:szCs w:val="21"/>
        </w:rPr>
        <w:t>[</w:t>
      </w:r>
      <w:r>
        <w:rPr>
          <w:rFonts w:hint="eastAsia" w:ascii="宋体" w:hAnsi="宋体" w:cs="宋体"/>
          <w:szCs w:val="21"/>
        </w:rPr>
        <w:t>5</w:t>
      </w:r>
      <w:r>
        <w:rPr>
          <w:rFonts w:hint="eastAsia" w:ascii="宋体" w:hAnsi="宋体" w:eastAsia="宋体" w:cs="宋体"/>
          <w:szCs w:val="21"/>
        </w:rPr>
        <w:t>]把元霄.数字化技术在甘肃刺绣非物质文化遗产保护中的应用与挑战[J].鞋类工艺与设计,2024,4(11):144-146.</w:t>
      </w:r>
    </w:p>
    <w:p w14:paraId="21182FF5">
      <w:pPr>
        <w:keepNext w:val="0"/>
        <w:keepLines w:val="0"/>
        <w:pageBreakBefore w:val="0"/>
        <w:widowControl w:val="0"/>
        <w:tabs>
          <w:tab w:val="left" w:pos="967"/>
        </w:tabs>
        <w:kinsoku/>
        <w:wordWrap/>
        <w:overflowPunct/>
        <w:topLinePunct w:val="0"/>
        <w:autoSpaceDE/>
        <w:autoSpaceDN/>
        <w:bidi w:val="0"/>
        <w:adjustRightInd/>
        <w:snapToGrid/>
        <w:spacing w:line="400" w:lineRule="exact"/>
        <w:ind w:left="420" w:hanging="420" w:hangingChars="200"/>
        <w:textAlignment w:val="auto"/>
        <w:rPr>
          <w:rFonts w:ascii="宋体" w:hAnsi="宋体" w:cs="宋体"/>
          <w:szCs w:val="21"/>
        </w:rPr>
      </w:pPr>
      <w:r>
        <w:rPr>
          <w:rFonts w:hint="eastAsia" w:ascii="宋体" w:hAnsi="宋体" w:eastAsia="宋体" w:cs="宋体"/>
          <w:szCs w:val="21"/>
        </w:rPr>
        <w:t>[</w:t>
      </w:r>
      <w:r>
        <w:rPr>
          <w:rFonts w:hint="eastAsia" w:ascii="宋体" w:hAnsi="宋体" w:cs="宋体"/>
          <w:szCs w:val="21"/>
        </w:rPr>
        <w:t>6</w:t>
      </w:r>
      <w:r>
        <w:rPr>
          <w:rFonts w:hint="eastAsia" w:ascii="宋体" w:hAnsi="宋体" w:eastAsia="宋体" w:cs="宋体"/>
          <w:szCs w:val="21"/>
        </w:rPr>
        <w:t>]谢凌云,王雯艳.交互体验下传统非遗技艺数字化平台展示研究——以南昌宣纸刺绣为例[J].天工,2024,(08):10-12.</w:t>
      </w:r>
    </w:p>
    <w:p w14:paraId="277C2744"/>
    <w:p w14:paraId="2D628E95">
      <w:pPr>
        <w:ind w:firstLine="1120" w:firstLineChars="400"/>
        <w:jc w:val="center"/>
        <w:rPr>
          <w:sz w:val="28"/>
          <w:szCs w:val="52"/>
        </w:rPr>
      </w:pPr>
    </w:p>
    <w:p w14:paraId="7B33AEC9">
      <w:pPr>
        <w:ind w:firstLine="1120" w:firstLineChars="400"/>
        <w:jc w:val="center"/>
        <w:rPr>
          <w:sz w:val="28"/>
          <w:szCs w:val="52"/>
        </w:rPr>
      </w:pPr>
    </w:p>
    <w:p w14:paraId="449EF58F">
      <w:pPr>
        <w:ind w:firstLine="1120" w:firstLineChars="400"/>
        <w:jc w:val="center"/>
        <w:rPr>
          <w:sz w:val="28"/>
          <w:szCs w:val="52"/>
        </w:rPr>
      </w:pPr>
    </w:p>
    <w:p w14:paraId="7E8FA5C9">
      <w:pPr>
        <w:ind w:firstLine="1120" w:firstLineChars="400"/>
        <w:jc w:val="center"/>
        <w:rPr>
          <w:sz w:val="28"/>
          <w:szCs w:val="52"/>
        </w:rPr>
      </w:pPr>
    </w:p>
    <w:p w14:paraId="622F4E12">
      <w:pPr>
        <w:ind w:firstLine="1120" w:firstLineChars="400"/>
        <w:jc w:val="center"/>
        <w:rPr>
          <w:sz w:val="28"/>
          <w:szCs w:val="52"/>
        </w:rPr>
      </w:pPr>
    </w:p>
    <w:p w14:paraId="1B8585C9">
      <w:pPr>
        <w:ind w:firstLine="1120" w:firstLineChars="400"/>
        <w:jc w:val="center"/>
        <w:rPr>
          <w:sz w:val="28"/>
          <w:szCs w:val="52"/>
        </w:rPr>
      </w:pPr>
    </w:p>
    <w:p w14:paraId="46DE770B">
      <w:pPr>
        <w:ind w:firstLine="1120" w:firstLineChars="400"/>
        <w:jc w:val="center"/>
        <w:rPr>
          <w:sz w:val="28"/>
          <w:szCs w:val="52"/>
        </w:rPr>
      </w:pPr>
    </w:p>
    <w:p w14:paraId="75842196">
      <w:pPr>
        <w:ind w:firstLine="1120" w:firstLineChars="400"/>
        <w:jc w:val="center"/>
        <w:rPr>
          <w:sz w:val="28"/>
          <w:szCs w:val="52"/>
        </w:rPr>
      </w:pPr>
    </w:p>
    <w:p w14:paraId="2D6B5E97">
      <w:pPr>
        <w:ind w:firstLine="1120" w:firstLineChars="400"/>
        <w:jc w:val="center"/>
        <w:rPr>
          <w:sz w:val="28"/>
          <w:szCs w:val="52"/>
        </w:rPr>
      </w:pPr>
    </w:p>
    <w:p w14:paraId="147C5D78">
      <w:pPr>
        <w:ind w:firstLine="1120" w:firstLineChars="400"/>
        <w:jc w:val="center"/>
        <w:rPr>
          <w:sz w:val="28"/>
          <w:szCs w:val="52"/>
        </w:rPr>
      </w:pPr>
    </w:p>
    <w:p w14:paraId="1BCC8E20">
      <w:pPr>
        <w:ind w:firstLine="1120" w:firstLineChars="400"/>
        <w:jc w:val="center"/>
        <w:rPr>
          <w:sz w:val="28"/>
          <w:szCs w:val="52"/>
        </w:rPr>
      </w:pPr>
    </w:p>
    <w:p w14:paraId="068BDBFC">
      <w:pPr>
        <w:ind w:firstLine="1120" w:firstLineChars="400"/>
        <w:jc w:val="center"/>
        <w:rPr>
          <w:sz w:val="28"/>
          <w:szCs w:val="52"/>
        </w:rPr>
      </w:pPr>
    </w:p>
    <w:p w14:paraId="01E1FF56">
      <w:pPr>
        <w:ind w:firstLine="1120" w:firstLineChars="400"/>
        <w:jc w:val="center"/>
        <w:rPr>
          <w:sz w:val="28"/>
          <w:szCs w:val="52"/>
        </w:rPr>
      </w:pPr>
    </w:p>
    <w:p w14:paraId="24502908">
      <w:pPr>
        <w:ind w:firstLine="1120" w:firstLineChars="400"/>
        <w:jc w:val="center"/>
        <w:rPr>
          <w:sz w:val="28"/>
          <w:szCs w:val="52"/>
        </w:rPr>
      </w:pPr>
    </w:p>
    <w:p w14:paraId="15455D73"/>
    <w:p w14:paraId="1059B08B">
      <w:pPr>
        <w:pStyle w:val="3"/>
        <w:bidi w:val="0"/>
        <w:rPr>
          <w:rFonts w:hint="eastAsia"/>
        </w:rPr>
      </w:pPr>
      <w:bookmarkStart w:id="580" w:name="_Toc30866"/>
      <w:bookmarkStart w:id="581" w:name="_Toc23013"/>
      <w:r>
        <w:rPr>
          <w:rFonts w:hint="eastAsia"/>
          <w:lang w:val="en-US" w:eastAsia="zh-CN"/>
        </w:rPr>
        <w:t>8.</w:t>
      </w:r>
      <w:r>
        <w:rPr>
          <w:rFonts w:hint="eastAsia"/>
        </w:rPr>
        <w:t>基于Vue+SpringBoot的社团管理系统的设计与实现</w:t>
      </w:r>
      <w:bookmarkEnd w:id="580"/>
      <w:bookmarkEnd w:id="581"/>
    </w:p>
    <w:tbl>
      <w:tblPr>
        <w:tblStyle w:val="35"/>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03795F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22FB3FE">
            <w:pPr>
              <w:jc w:val="left"/>
              <w:outlineLvl w:val="0"/>
              <w:rPr>
                <w:rFonts w:ascii="Calibri" w:hAnsi="Calibri" w:eastAsia="黑体" w:cs="Times New Roman"/>
                <w:szCs w:val="21"/>
              </w:rPr>
            </w:pPr>
            <w:bookmarkStart w:id="582" w:name="_Toc6518"/>
            <w:bookmarkStart w:id="583" w:name="_Toc29161"/>
            <w:r>
              <w:rPr>
                <w:rFonts w:hint="eastAsia" w:ascii="Calibri" w:hAnsi="Calibri" w:eastAsia="黑体" w:cs="Times New Roman"/>
                <w:sz w:val="24"/>
              </w:rPr>
              <w:t>项目主题：基于Vue+SpringBoot的社团管理系统的设计与实现</w:t>
            </w:r>
            <w:bookmarkEnd w:id="582"/>
            <w:bookmarkEnd w:id="583"/>
          </w:p>
        </w:tc>
      </w:tr>
      <w:tr w14:paraId="1FB9D4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238C9D4">
            <w:pPr>
              <w:jc w:val="left"/>
              <w:rPr>
                <w:rFonts w:ascii="Calibri" w:hAnsi="Calibri" w:eastAsia="黑体" w:cs="Times New Roman"/>
                <w:sz w:val="24"/>
              </w:rPr>
            </w:pPr>
            <w:r>
              <w:rPr>
                <w:rFonts w:hint="eastAsia" w:ascii="Calibri" w:hAnsi="Calibri" w:eastAsia="黑体" w:cs="Times New Roman"/>
                <w:sz w:val="24"/>
              </w:rPr>
              <w:t>班    级：2</w:t>
            </w:r>
            <w:r>
              <w:rPr>
                <w:rFonts w:ascii="Calibri" w:hAnsi="Calibri" w:eastAsia="黑体" w:cs="Times New Roman"/>
                <w:sz w:val="24"/>
              </w:rPr>
              <w:t>3</w:t>
            </w:r>
            <w:r>
              <w:rPr>
                <w:rFonts w:hint="eastAsia" w:ascii="Calibri" w:hAnsi="Calibri" w:eastAsia="黑体" w:cs="Times New Roman"/>
                <w:sz w:val="24"/>
              </w:rPr>
              <w:t>软件工程本科</w:t>
            </w:r>
            <w:r>
              <w:rPr>
                <w:rFonts w:ascii="Calibri" w:hAnsi="Calibri" w:eastAsia="黑体" w:cs="Times New Roman"/>
                <w:sz w:val="24"/>
              </w:rPr>
              <w:t>5</w:t>
            </w:r>
            <w:r>
              <w:rPr>
                <w:rFonts w:hint="eastAsia" w:ascii="Calibri" w:hAnsi="Calibri" w:eastAsia="黑体" w:cs="Times New Roman"/>
                <w:sz w:val="24"/>
              </w:rPr>
              <w:t>班</w:t>
            </w:r>
          </w:p>
        </w:tc>
      </w:tr>
      <w:tr w14:paraId="167B7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52D2C9F">
            <w:pPr>
              <w:jc w:val="left"/>
              <w:rPr>
                <w:rFonts w:ascii="Calibri" w:hAnsi="Calibri" w:eastAsia="黑体" w:cs="Times New Roman"/>
                <w:szCs w:val="21"/>
              </w:rPr>
            </w:pPr>
            <w:r>
              <w:rPr>
                <w:rFonts w:hint="eastAsia" w:ascii="Calibri" w:hAnsi="Calibri" w:eastAsia="黑体" w:cs="Times New Roman"/>
                <w:sz w:val="24"/>
              </w:rPr>
              <w:t xml:space="preserve">学生姓名：邱坤 陈浠仁 杨浪    </w:t>
            </w:r>
            <w:r>
              <w:rPr>
                <w:rFonts w:ascii="Calibri" w:hAnsi="Calibri" w:eastAsia="黑体" w:cs="Times New Roman"/>
                <w:sz w:val="24"/>
              </w:rPr>
              <w:t xml:space="preserve">        </w:t>
            </w:r>
            <w:r>
              <w:rPr>
                <w:rFonts w:hint="eastAsia" w:ascii="Calibri" w:hAnsi="Calibri" w:eastAsia="黑体" w:cs="Times New Roman"/>
                <w:sz w:val="24"/>
              </w:rPr>
              <w:t>指导教师：包霞</w:t>
            </w:r>
          </w:p>
        </w:tc>
      </w:tr>
    </w:tbl>
    <w:p w14:paraId="590AAC95">
      <w:pPr>
        <w:spacing w:line="440" w:lineRule="exact"/>
        <w:outlineLvl w:val="9"/>
        <w:rPr>
          <w:rFonts w:hint="eastAsia" w:ascii="Times New Roman" w:hAnsi="Times New Roman" w:cs="宋体"/>
          <w:b/>
          <w:bCs/>
          <w:sz w:val="28"/>
          <w:szCs w:val="28"/>
        </w:rPr>
      </w:pPr>
      <w:bookmarkStart w:id="584" w:name="_Toc10179"/>
      <w:r>
        <w:rPr>
          <w:rFonts w:hint="eastAsia" w:ascii="Times New Roman" w:hAnsi="Times New Roman" w:cs="宋体"/>
          <w:b/>
          <w:bCs/>
          <w:sz w:val="28"/>
          <w:szCs w:val="28"/>
        </w:rPr>
        <w:t>1.项目概述</w:t>
      </w:r>
      <w:bookmarkEnd w:id="584"/>
    </w:p>
    <w:p w14:paraId="46FE43A6">
      <w:pPr>
        <w:spacing w:line="440" w:lineRule="exact"/>
        <w:ind w:firstLine="480" w:firstLineChars="200"/>
        <w:outlineLvl w:val="9"/>
        <w:rPr>
          <w:sz w:val="24"/>
        </w:rPr>
      </w:pPr>
      <w:bookmarkStart w:id="585" w:name="_Toc77"/>
      <w:bookmarkStart w:id="586" w:name="_Toc24221"/>
      <w:r>
        <w:rPr>
          <w:rFonts w:ascii="Times New Roman" w:hAnsi="Times New Roman"/>
          <w:sz w:val="24"/>
        </w:rPr>
        <w:t>1.1</w:t>
      </w:r>
      <w:r>
        <w:rPr>
          <w:rFonts w:hint="eastAsia" w:ascii="宋体" w:hAnsi="宋体" w:cs="宋体"/>
          <w:sz w:val="24"/>
        </w:rPr>
        <w:t>项目背景</w:t>
      </w:r>
      <w:bookmarkEnd w:id="585"/>
      <w:bookmarkEnd w:id="586"/>
    </w:p>
    <w:p w14:paraId="7C3B60CB">
      <w:pPr>
        <w:spacing w:line="440" w:lineRule="exact"/>
        <w:ind w:firstLine="480" w:firstLineChars="200"/>
        <w:outlineLvl w:val="9"/>
        <w:rPr>
          <w:rFonts w:ascii="宋体" w:hAnsi="宋体" w:cs="宋体"/>
          <w:sz w:val="24"/>
        </w:rPr>
      </w:pPr>
      <w:r>
        <w:rPr>
          <w:rFonts w:hint="eastAsia" w:ascii="宋体" w:hAnsi="宋体" w:cs="宋体"/>
          <w:sz w:val="24"/>
          <w:lang w:bidi="ar"/>
        </w:rPr>
        <w:t>在信息化时代，社团管理面临着前所未有的挑战和机遇。为了适应这一趋势，提高社</w:t>
      </w:r>
      <w:r>
        <w:rPr>
          <w:rFonts w:hint="eastAsia" w:ascii="宋体" w:hAnsi="宋体" w:cs="宋体"/>
          <w:sz w:val="24"/>
          <w:lang w:eastAsia="zh" w:bidi="ar"/>
        </w:rPr>
        <w:t>团</w:t>
      </w:r>
      <w:r>
        <w:rPr>
          <w:rFonts w:hint="eastAsia" w:ascii="宋体" w:hAnsi="宋体" w:cs="宋体"/>
          <w:sz w:val="24"/>
          <w:lang w:bidi="ar"/>
        </w:rPr>
        <w:t>管理的效率和质量，我们提出了“社团管理系统的设计与实现”项目。本项目旨在开发一个基于</w:t>
      </w:r>
      <w:r>
        <w:rPr>
          <w:rFonts w:hint="eastAsia" w:ascii="Times New Roman" w:hAnsi="Times New Roman" w:cs="宋体"/>
          <w:sz w:val="24"/>
          <w:lang w:bidi="ar"/>
        </w:rPr>
        <w:t>IDEA</w:t>
      </w:r>
      <w:r>
        <w:rPr>
          <w:rFonts w:hint="eastAsia" w:ascii="宋体" w:hAnsi="宋体" w:cs="宋体"/>
          <w:sz w:val="24"/>
          <w:lang w:bidi="ar"/>
        </w:rPr>
        <w:t>集成开发环境，并采用</w:t>
      </w:r>
      <w:r>
        <w:rPr>
          <w:rFonts w:hint="eastAsia" w:ascii="Times New Roman" w:hAnsi="Times New Roman" w:cs="宋体"/>
          <w:sz w:val="24"/>
          <w:lang w:bidi="ar"/>
        </w:rPr>
        <w:t>Spring</w:t>
      </w:r>
      <w:r>
        <w:rPr>
          <w:rFonts w:hint="eastAsia" w:ascii="宋体" w:hAnsi="宋体" w:cs="宋体"/>
          <w:sz w:val="24"/>
          <w:lang w:bidi="ar"/>
        </w:rPr>
        <w:t>框架和</w:t>
      </w:r>
      <w:r>
        <w:rPr>
          <w:rFonts w:hint="eastAsia" w:ascii="Times New Roman" w:hAnsi="Times New Roman" w:cs="宋体"/>
          <w:sz w:val="24"/>
          <w:lang w:bidi="ar"/>
        </w:rPr>
        <w:t>Maven</w:t>
      </w:r>
      <w:r>
        <w:rPr>
          <w:rFonts w:hint="eastAsia" w:ascii="宋体" w:hAnsi="宋体" w:cs="宋体"/>
          <w:sz w:val="24"/>
          <w:lang w:bidi="ar"/>
        </w:rPr>
        <w:t>项目管理工具的社</w:t>
      </w:r>
      <w:r>
        <w:rPr>
          <w:rFonts w:hint="eastAsia" w:ascii="宋体" w:hAnsi="宋体" w:cs="宋体"/>
          <w:sz w:val="24"/>
          <w:lang w:eastAsia="zh" w:bidi="ar"/>
        </w:rPr>
        <w:t>团</w:t>
      </w:r>
      <w:r>
        <w:rPr>
          <w:rFonts w:hint="eastAsia" w:ascii="宋体" w:hAnsi="宋体" w:cs="宋体"/>
          <w:sz w:val="24"/>
          <w:lang w:bidi="ar"/>
        </w:rPr>
        <w:t>管理系统，以解决传统</w:t>
      </w:r>
      <w:r>
        <w:rPr>
          <w:rFonts w:hint="eastAsia" w:ascii="宋体" w:hAnsi="宋体" w:cs="宋体"/>
          <w:sz w:val="24"/>
          <w:lang w:eastAsia="zh" w:bidi="ar"/>
        </w:rPr>
        <w:t>社团管理系统</w:t>
      </w:r>
      <w:r>
        <w:rPr>
          <w:rFonts w:hint="eastAsia" w:ascii="宋体" w:hAnsi="宋体" w:cs="宋体"/>
          <w:sz w:val="24"/>
          <w:lang w:bidi="ar"/>
        </w:rPr>
        <w:t>模式中存在的信息传递不畅、资源分配不均、活动组织效率低下等问题。</w:t>
      </w:r>
    </w:p>
    <w:p w14:paraId="7B6A929B">
      <w:pPr>
        <w:spacing w:line="440" w:lineRule="exact"/>
        <w:ind w:firstLine="480" w:firstLineChars="200"/>
        <w:outlineLvl w:val="9"/>
        <w:rPr>
          <w:rFonts w:ascii="宋体" w:hAnsi="宋体" w:cs="宋体"/>
          <w:sz w:val="24"/>
        </w:rPr>
      </w:pPr>
      <w:r>
        <w:rPr>
          <w:rFonts w:hint="eastAsia" w:ascii="宋体" w:hAnsi="宋体" w:cs="宋体"/>
          <w:sz w:val="24"/>
          <w:lang w:bidi="ar"/>
        </w:rPr>
        <w:t>社团管理系统的设计目标是实现社团信息、成员信息、活动信息等的集中管理，简化社团活动的发布、报名和审批流程，合理分配社团资源，提高资源利用率，并构建一个在线交流平台，促进社团成员之间的沟通与合作。系统采用</w:t>
      </w:r>
      <w:r>
        <w:rPr>
          <w:rFonts w:hint="eastAsia" w:ascii="Times New Roman" w:hAnsi="Times New Roman" w:cs="宋体"/>
          <w:sz w:val="24"/>
          <w:lang w:bidi="ar"/>
        </w:rPr>
        <w:t>Spring</w:t>
      </w:r>
      <w:r>
        <w:rPr>
          <w:rFonts w:hint="eastAsia" w:ascii="宋体" w:hAnsi="宋体" w:cs="宋体"/>
          <w:sz w:val="24"/>
          <w:lang w:bidi="ar"/>
        </w:rPr>
        <w:t>框架，一个开源的</w:t>
      </w:r>
      <w:r>
        <w:rPr>
          <w:rFonts w:hint="eastAsia" w:ascii="Times New Roman" w:hAnsi="Times New Roman" w:cs="宋体"/>
          <w:sz w:val="24"/>
          <w:lang w:bidi="ar"/>
        </w:rPr>
        <w:t>Java</w:t>
      </w:r>
      <w:r>
        <w:rPr>
          <w:rFonts w:hint="eastAsia" w:ascii="宋体" w:hAnsi="宋体" w:cs="宋体"/>
          <w:sz w:val="24"/>
          <w:lang w:bidi="ar"/>
        </w:rPr>
        <w:t>应用程序框架，用于简化企业级应用开发。</w:t>
      </w:r>
      <w:r>
        <w:rPr>
          <w:rFonts w:hint="eastAsia" w:ascii="Times New Roman" w:hAnsi="Times New Roman" w:cs="宋体"/>
          <w:sz w:val="24"/>
          <w:lang w:bidi="ar"/>
        </w:rPr>
        <w:t>Maven</w:t>
      </w:r>
      <w:r>
        <w:rPr>
          <w:rFonts w:hint="eastAsia" w:ascii="宋体" w:hAnsi="宋体" w:cs="宋体"/>
          <w:sz w:val="24"/>
          <w:lang w:bidi="ar"/>
        </w:rPr>
        <w:t>作为项目管理和构建自动化工具，用于管理项目的依赖和构建过程。</w:t>
      </w:r>
      <w:r>
        <w:rPr>
          <w:rFonts w:hint="eastAsia" w:ascii="Times New Roman" w:hAnsi="Times New Roman" w:cs="宋体"/>
          <w:sz w:val="24"/>
          <w:lang w:bidi="ar"/>
        </w:rPr>
        <w:t>MySQL</w:t>
      </w:r>
      <w:r>
        <w:rPr>
          <w:rFonts w:hint="eastAsia" w:ascii="宋体" w:hAnsi="宋体" w:cs="宋体"/>
          <w:sz w:val="24"/>
          <w:lang w:bidi="ar"/>
        </w:rPr>
        <w:t>作为数据库管理系统，用于存储系统数据。前端技术包括</w:t>
      </w:r>
      <w:r>
        <w:rPr>
          <w:rFonts w:hint="eastAsia" w:ascii="Times New Roman" w:hAnsi="Times New Roman" w:cs="宋体"/>
          <w:sz w:val="24"/>
          <w:lang w:bidi="ar"/>
        </w:rPr>
        <w:t>HTML</w:t>
      </w:r>
      <w:r>
        <w:rPr>
          <w:rFonts w:hint="eastAsia" w:ascii="宋体" w:hAnsi="宋体" w:cs="宋体"/>
          <w:sz w:val="24"/>
          <w:lang w:bidi="ar"/>
        </w:rPr>
        <w:t xml:space="preserve">, </w:t>
      </w:r>
      <w:r>
        <w:rPr>
          <w:rFonts w:hint="eastAsia" w:ascii="Times New Roman" w:hAnsi="Times New Roman" w:cs="宋体"/>
          <w:sz w:val="24"/>
          <w:lang w:bidi="ar"/>
        </w:rPr>
        <w:t>CSS</w:t>
      </w:r>
      <w:r>
        <w:rPr>
          <w:rFonts w:hint="eastAsia" w:ascii="宋体" w:hAnsi="宋体" w:cs="宋体"/>
          <w:sz w:val="24"/>
          <w:lang w:bidi="ar"/>
        </w:rPr>
        <w:t xml:space="preserve">, </w:t>
      </w:r>
      <w:r>
        <w:rPr>
          <w:rFonts w:hint="eastAsia" w:ascii="Times New Roman" w:hAnsi="Times New Roman" w:cs="宋体"/>
          <w:sz w:val="24"/>
          <w:lang w:bidi="ar"/>
        </w:rPr>
        <w:t>JavaScript</w:t>
      </w:r>
      <w:r>
        <w:rPr>
          <w:rFonts w:hint="eastAsia" w:ascii="宋体" w:hAnsi="宋体" w:cs="宋体"/>
          <w:sz w:val="24"/>
          <w:lang w:bidi="ar"/>
        </w:rPr>
        <w:t>，用于构建用户界面。</w:t>
      </w:r>
    </w:p>
    <w:p w14:paraId="768414CE">
      <w:pPr>
        <w:spacing w:line="440" w:lineRule="exact"/>
        <w:ind w:firstLine="480" w:firstLineChars="200"/>
        <w:outlineLvl w:val="9"/>
        <w:rPr>
          <w:rFonts w:ascii="宋体" w:hAnsi="宋体" w:cs="宋体"/>
          <w:sz w:val="24"/>
        </w:rPr>
      </w:pPr>
      <w:r>
        <w:rPr>
          <w:rFonts w:hint="eastAsia" w:ascii="宋体" w:hAnsi="宋体" w:cs="宋体"/>
          <w:sz w:val="24"/>
          <w:lang w:bidi="ar"/>
        </w:rPr>
        <w:t>系统设计遵循模块化原则，分为表现层、业务逻辑层、数据访问层和控制层。表现层提供用户交互的入口，业务逻辑层处理用户认证、活动审批等，数据访问层与数据库交互，进行数据的增删改查操作，控制层接收用户请求，调用业务逻辑层处理，并返回结果。</w:t>
      </w:r>
    </w:p>
    <w:p w14:paraId="2F0CFECC">
      <w:pPr>
        <w:spacing w:line="440" w:lineRule="exact"/>
        <w:ind w:firstLine="480" w:firstLineChars="200"/>
        <w:outlineLvl w:val="9"/>
        <w:rPr>
          <w:rFonts w:ascii="宋体" w:hAnsi="宋体" w:cs="宋体"/>
          <w:sz w:val="24"/>
        </w:rPr>
      </w:pPr>
      <w:r>
        <w:rPr>
          <w:rFonts w:hint="eastAsia" w:ascii="宋体" w:hAnsi="宋体" w:cs="宋体"/>
          <w:sz w:val="24"/>
          <w:lang w:bidi="ar"/>
        </w:rPr>
        <w:t>项目实施计划包括需求分析、系统设计、开发实现、测试和部署上线等阶段。在需求分析阶段，我们将深入调研高校</w:t>
      </w:r>
      <w:r>
        <w:rPr>
          <w:rFonts w:hint="eastAsia" w:ascii="宋体" w:hAnsi="宋体" w:cs="宋体"/>
          <w:sz w:val="24"/>
          <w:lang w:eastAsia="zh" w:bidi="ar"/>
        </w:rPr>
        <w:t>社团</w:t>
      </w:r>
      <w:r>
        <w:rPr>
          <w:rFonts w:hint="eastAsia" w:ascii="宋体" w:hAnsi="宋体" w:cs="宋体"/>
          <w:sz w:val="24"/>
          <w:lang w:bidi="ar"/>
        </w:rPr>
        <w:t>管理的现状和需求，明确系统功能。系统设计阶段，我们将设计系统架构和数据库结构。开发实现阶段，按照设计文档进行编码实现。测试阶段，对系统进行功能测试和性能测试，确保系统稳定运行。最后，在部署上线阶段，将系统部署到服务器，进行上线运行。</w:t>
      </w:r>
    </w:p>
    <w:p w14:paraId="0CCEC0BC">
      <w:pPr>
        <w:spacing w:line="440" w:lineRule="exact"/>
        <w:ind w:firstLine="480" w:firstLineChars="200"/>
        <w:rPr>
          <w:rFonts w:ascii="宋体" w:hAnsi="宋体" w:cs="宋体"/>
          <w:sz w:val="24"/>
        </w:rPr>
      </w:pPr>
      <w:r>
        <w:rPr>
          <w:rFonts w:hint="eastAsia" w:ascii="宋体" w:hAnsi="宋体" w:cs="宋体"/>
          <w:sz w:val="24"/>
          <w:lang w:bidi="ar"/>
        </w:rPr>
        <w:t>通过本项目的实施，预期能够实现一个高效、稳定、易用的</w:t>
      </w:r>
      <w:r>
        <w:rPr>
          <w:rFonts w:hint="eastAsia" w:ascii="宋体" w:hAnsi="宋体" w:cs="宋体"/>
          <w:sz w:val="24"/>
          <w:lang w:eastAsia="zh" w:bidi="ar"/>
        </w:rPr>
        <w:t>社团</w:t>
      </w:r>
      <w:r>
        <w:rPr>
          <w:rFonts w:hint="eastAsia" w:ascii="宋体" w:hAnsi="宋体" w:cs="宋体"/>
          <w:sz w:val="24"/>
          <w:lang w:bidi="ar"/>
        </w:rPr>
        <w:t>管理系统，提高社</w:t>
      </w:r>
      <w:r>
        <w:rPr>
          <w:rFonts w:hint="eastAsia" w:ascii="宋体" w:hAnsi="宋体" w:cs="宋体"/>
          <w:sz w:val="24"/>
          <w:lang w:eastAsia="zh" w:bidi="ar"/>
        </w:rPr>
        <w:t>团</w:t>
      </w:r>
      <w:r>
        <w:rPr>
          <w:rFonts w:hint="eastAsia" w:ascii="宋体" w:hAnsi="宋体" w:cs="宋体"/>
          <w:sz w:val="24"/>
          <w:lang w:bidi="ar"/>
        </w:rPr>
        <w:t>管理的效率。我们相信，该系统不仅能够提升管理效率，还能够激发社团成员的参与热情，推动社团活动的创新和发展。</w:t>
      </w:r>
    </w:p>
    <w:p w14:paraId="2605480C">
      <w:pPr>
        <w:spacing w:line="440" w:lineRule="exact"/>
        <w:ind w:firstLine="480" w:firstLineChars="200"/>
        <w:rPr>
          <w:rFonts w:ascii="宋体" w:hAnsi="宋体" w:cs="宋体"/>
          <w:sz w:val="24"/>
        </w:rPr>
      </w:pPr>
      <w:r>
        <w:rPr>
          <w:rFonts w:hint="eastAsia" w:ascii="宋体" w:hAnsi="宋体" w:cs="宋体"/>
          <w:sz w:val="24"/>
          <w:lang w:bidi="ar"/>
        </w:rPr>
        <w:t>此外，本项目还将注重系统的可扩展性和可维护性，以便在未来能够适应不断变化的需求。我们将采用敏捷开发方法，确保项目能够快速响应变化，同时保证代码质量和系统稳定性。通过持续的迭代和优化，我们的目标是打造一个能够长期服务于高校</w:t>
      </w:r>
      <w:r>
        <w:rPr>
          <w:rFonts w:hint="eastAsia" w:ascii="宋体" w:hAnsi="宋体" w:cs="宋体"/>
          <w:sz w:val="24"/>
          <w:lang w:eastAsia="zh" w:bidi="ar"/>
        </w:rPr>
        <w:t>社团</w:t>
      </w:r>
      <w:r>
        <w:rPr>
          <w:rFonts w:hint="eastAsia" w:ascii="宋体" w:hAnsi="宋体" w:cs="宋体"/>
          <w:sz w:val="24"/>
          <w:lang w:bidi="ar"/>
        </w:rPr>
        <w:t>管理的优质系统。</w:t>
      </w:r>
    </w:p>
    <w:p w14:paraId="76BC86D6">
      <w:pPr>
        <w:spacing w:line="440" w:lineRule="exact"/>
        <w:ind w:firstLine="480" w:firstLineChars="200"/>
        <w:outlineLvl w:val="9"/>
        <w:rPr>
          <w:rFonts w:ascii="宋体" w:hAnsi="宋体" w:cs="宋体"/>
          <w:sz w:val="24"/>
          <w:lang w:bidi="ar"/>
        </w:rPr>
      </w:pPr>
      <w:r>
        <w:rPr>
          <w:rFonts w:hint="eastAsia" w:ascii="宋体" w:hAnsi="宋体" w:cs="宋体"/>
          <w:sz w:val="24"/>
          <w:lang w:bidi="ar"/>
        </w:rPr>
        <w:t>随着项目的深入进行，我们期待社团管理系统能够成为高校</w:t>
      </w:r>
      <w:r>
        <w:rPr>
          <w:rFonts w:hint="eastAsia" w:ascii="宋体" w:hAnsi="宋体" w:cs="宋体"/>
          <w:sz w:val="24"/>
          <w:lang w:eastAsia="zh" w:bidi="ar"/>
        </w:rPr>
        <w:t>社团</w:t>
      </w:r>
      <w:r>
        <w:rPr>
          <w:rFonts w:hint="eastAsia" w:ascii="宋体" w:hAnsi="宋体" w:cs="宋体"/>
          <w:sz w:val="24"/>
          <w:lang w:bidi="ar"/>
        </w:rPr>
        <w:t>管理的重要工具，为社团成员提供一个便捷、高效的管理平台，同时也为高校社</w:t>
      </w:r>
      <w:r>
        <w:rPr>
          <w:rFonts w:hint="eastAsia" w:ascii="宋体" w:hAnsi="宋体" w:cs="宋体"/>
          <w:sz w:val="24"/>
          <w:lang w:eastAsia="zh" w:bidi="ar"/>
        </w:rPr>
        <w:t>团</w:t>
      </w:r>
      <w:r>
        <w:rPr>
          <w:rFonts w:hint="eastAsia" w:ascii="宋体" w:hAnsi="宋体" w:cs="宋体"/>
          <w:sz w:val="24"/>
          <w:lang w:bidi="ar"/>
        </w:rPr>
        <w:t>文化的繁荣做出贡献。我们相信，通过我们的努力，社团管理系统将不仅仅是一个技术项目，更是一个能够促进高校</w:t>
      </w:r>
      <w:r>
        <w:rPr>
          <w:rFonts w:hint="eastAsia" w:ascii="宋体" w:hAnsi="宋体" w:cs="宋体"/>
          <w:sz w:val="24"/>
          <w:lang w:eastAsia="zh" w:bidi="ar"/>
        </w:rPr>
        <w:t>社团</w:t>
      </w:r>
      <w:r>
        <w:rPr>
          <w:rFonts w:hint="eastAsia" w:ascii="宋体" w:hAnsi="宋体" w:cs="宋体"/>
          <w:sz w:val="24"/>
          <w:lang w:bidi="ar"/>
        </w:rPr>
        <w:t>发展和进步的重要力量。</w:t>
      </w:r>
    </w:p>
    <w:p w14:paraId="50D4929E">
      <w:pPr>
        <w:spacing w:before="0" w:after="0" w:line="440" w:lineRule="exact"/>
        <w:ind w:firstLine="480" w:firstLineChars="200"/>
        <w:jc w:val="left"/>
        <w:outlineLvl w:val="9"/>
        <w:rPr>
          <w:rFonts w:ascii="宋体" w:hAnsi="宋体" w:eastAsia="宋体" w:cs="宋体"/>
          <w:b w:val="0"/>
          <w:sz w:val="24"/>
        </w:rPr>
      </w:pPr>
      <w:bookmarkStart w:id="587" w:name="_Toc4982"/>
      <w:bookmarkStart w:id="588" w:name="_Toc1330"/>
      <w:bookmarkStart w:id="589" w:name="_Toc330431625"/>
      <w:bookmarkStart w:id="590" w:name="_Toc11538"/>
      <w:bookmarkStart w:id="591" w:name="_Toc538905383"/>
      <w:r>
        <w:rPr>
          <w:rFonts w:ascii="Times New Roman" w:hAnsi="Times New Roman" w:eastAsia="宋体"/>
          <w:b w:val="0"/>
          <w:sz w:val="24"/>
        </w:rPr>
        <w:t>1.2</w:t>
      </w:r>
      <w:r>
        <w:rPr>
          <w:rFonts w:hint="eastAsia" w:ascii="宋体" w:hAnsi="宋体" w:eastAsia="宋体" w:cs="宋体"/>
          <w:b w:val="0"/>
          <w:sz w:val="24"/>
        </w:rPr>
        <w:t xml:space="preserve"> 项目开发环境</w:t>
      </w:r>
      <w:bookmarkEnd w:id="587"/>
      <w:bookmarkEnd w:id="588"/>
      <w:bookmarkEnd w:id="589"/>
      <w:bookmarkEnd w:id="590"/>
      <w:bookmarkEnd w:id="591"/>
    </w:p>
    <w:p w14:paraId="2EF5453C">
      <w:pPr>
        <w:spacing w:before="0" w:after="0" w:line="440" w:lineRule="exact"/>
        <w:ind w:firstLine="480" w:firstLineChars="200"/>
        <w:jc w:val="left"/>
        <w:outlineLvl w:val="9"/>
        <w:rPr>
          <w:rFonts w:ascii="宋体" w:hAnsi="宋体" w:cs="宋体"/>
          <w:b w:val="0"/>
          <w:color w:val="000000"/>
          <w:sz w:val="24"/>
          <w:shd w:val="clear" w:color="auto" w:fill="FFFFFF"/>
          <w:lang w:bidi="ar"/>
        </w:rPr>
      </w:pPr>
      <w:bookmarkStart w:id="592" w:name="_Toc1419930709"/>
      <w:bookmarkStart w:id="593" w:name="_Toc803927780"/>
      <w:r>
        <w:rPr>
          <w:rFonts w:ascii="Times New Roman" w:hAnsi="Times New Roman"/>
          <w:b w:val="0"/>
          <w:color w:val="000000"/>
          <w:sz w:val="24"/>
          <w:shd w:val="clear" w:color="auto" w:fill="FFFFFF"/>
          <w:lang w:bidi="ar"/>
        </w:rPr>
        <w:t>1.2.1</w:t>
      </w:r>
      <w:r>
        <w:rPr>
          <w:rFonts w:hint="eastAsia" w:ascii="宋体" w:hAnsi="宋体" w:cs="宋体"/>
          <w:b w:val="0"/>
          <w:color w:val="000000"/>
          <w:sz w:val="24"/>
          <w:shd w:val="clear" w:color="auto" w:fill="FFFFFF"/>
          <w:lang w:bidi="ar"/>
        </w:rPr>
        <w:t>开发工具</w:t>
      </w:r>
      <w:bookmarkEnd w:id="592"/>
      <w:bookmarkEnd w:id="593"/>
    </w:p>
    <w:p w14:paraId="3C59E2E0">
      <w:pPr>
        <w:spacing w:line="440" w:lineRule="exact"/>
        <w:ind w:firstLine="480" w:firstLineChars="200"/>
        <w:jc w:val="left"/>
        <w:outlineLvl w:val="9"/>
        <w:rPr>
          <w:rFonts w:ascii="宋体" w:hAnsi="宋体" w:cs="宋体"/>
          <w:sz w:val="24"/>
          <w:lang w:bidi="ar"/>
        </w:rPr>
      </w:pPr>
      <w:r>
        <w:rPr>
          <w:rFonts w:hint="eastAsia" w:ascii="宋体" w:hAnsi="宋体" w:cs="宋体"/>
          <w:sz w:val="24"/>
          <w:lang w:bidi="ar"/>
        </w:rPr>
        <w:t>（</w:t>
      </w:r>
      <w:r>
        <w:rPr>
          <w:rFonts w:hint="eastAsia" w:ascii="Times New Roman" w:hAnsi="Times New Roman" w:cs="宋体"/>
          <w:sz w:val="24"/>
          <w:lang w:bidi="ar"/>
        </w:rPr>
        <w:t>1</w:t>
      </w:r>
      <w:r>
        <w:rPr>
          <w:rFonts w:hint="eastAsia" w:ascii="宋体" w:hAnsi="宋体" w:cs="宋体"/>
          <w:sz w:val="24"/>
          <w:lang w:bidi="ar"/>
        </w:rPr>
        <w:t>）</w:t>
      </w:r>
      <w:r>
        <w:rPr>
          <w:rFonts w:hint="eastAsia" w:ascii="Times New Roman" w:hAnsi="Times New Roman" w:cs="宋体"/>
          <w:sz w:val="24"/>
          <w:lang w:bidi="ar"/>
        </w:rPr>
        <w:t>IntelliJ</w:t>
      </w:r>
      <w:r>
        <w:rPr>
          <w:rFonts w:hint="eastAsia" w:ascii="宋体" w:hAnsi="宋体" w:cs="宋体"/>
          <w:sz w:val="24"/>
          <w:lang w:bidi="ar"/>
        </w:rPr>
        <w:t xml:space="preserve"> </w:t>
      </w:r>
      <w:r>
        <w:rPr>
          <w:rFonts w:hint="eastAsia" w:ascii="Times New Roman" w:hAnsi="Times New Roman" w:cs="宋体"/>
          <w:sz w:val="24"/>
          <w:lang w:bidi="ar"/>
        </w:rPr>
        <w:t>IDEA</w:t>
      </w:r>
      <w:r>
        <w:rPr>
          <w:rFonts w:hint="eastAsia" w:ascii="宋体" w:hAnsi="宋体" w:cs="宋体"/>
          <w:sz w:val="24"/>
          <w:lang w:bidi="ar"/>
        </w:rPr>
        <w:t>：作为项目的主要集成开发环境（</w:t>
      </w:r>
      <w:r>
        <w:rPr>
          <w:rFonts w:hint="eastAsia" w:ascii="Times New Roman" w:hAnsi="Times New Roman" w:cs="宋体"/>
          <w:sz w:val="24"/>
          <w:lang w:bidi="ar"/>
        </w:rPr>
        <w:t>IDE</w:t>
      </w:r>
      <w:r>
        <w:rPr>
          <w:rFonts w:hint="eastAsia" w:ascii="宋体" w:hAnsi="宋体" w:cs="宋体"/>
          <w:sz w:val="24"/>
          <w:lang w:bidi="ar"/>
        </w:rPr>
        <w:t>），</w:t>
      </w:r>
      <w:r>
        <w:rPr>
          <w:rFonts w:hint="eastAsia" w:ascii="Times New Roman" w:hAnsi="Times New Roman" w:cs="宋体"/>
          <w:sz w:val="24"/>
          <w:lang w:bidi="ar"/>
        </w:rPr>
        <w:t>IntelliJ</w:t>
      </w:r>
      <w:r>
        <w:rPr>
          <w:rFonts w:hint="eastAsia" w:ascii="宋体" w:hAnsi="宋体" w:cs="宋体"/>
          <w:sz w:val="24"/>
          <w:lang w:bidi="ar"/>
        </w:rPr>
        <w:t xml:space="preserve"> </w:t>
      </w:r>
      <w:r>
        <w:rPr>
          <w:rFonts w:hint="eastAsia" w:ascii="Times New Roman" w:hAnsi="Times New Roman" w:cs="宋体"/>
          <w:sz w:val="24"/>
          <w:lang w:bidi="ar"/>
        </w:rPr>
        <w:t>IDEA</w:t>
      </w:r>
      <w:r>
        <w:rPr>
          <w:rFonts w:hint="eastAsia" w:ascii="宋体" w:hAnsi="宋体" w:cs="宋体"/>
          <w:sz w:val="24"/>
          <w:lang w:bidi="ar"/>
        </w:rPr>
        <w:t xml:space="preserve"> 提供了全面的</w:t>
      </w:r>
      <w:r>
        <w:rPr>
          <w:rFonts w:hint="eastAsia" w:ascii="Times New Roman" w:hAnsi="Times New Roman" w:cs="宋体"/>
          <w:sz w:val="24"/>
          <w:lang w:bidi="ar"/>
        </w:rPr>
        <w:t>Java</w:t>
      </w:r>
      <w:r>
        <w:rPr>
          <w:rFonts w:hint="eastAsia" w:ascii="宋体" w:hAnsi="宋体" w:cs="宋体"/>
          <w:sz w:val="24"/>
          <w:lang w:bidi="ar"/>
        </w:rPr>
        <w:t>开发支持，包括代码自动完成、智能代码导航、重构工具、代码分析以及对</w:t>
      </w:r>
      <w:r>
        <w:rPr>
          <w:rFonts w:hint="eastAsia" w:ascii="Times New Roman" w:hAnsi="Times New Roman" w:cs="宋体"/>
          <w:sz w:val="24"/>
          <w:lang w:bidi="ar"/>
        </w:rPr>
        <w:t>Spring</w:t>
      </w:r>
      <w:r>
        <w:rPr>
          <w:rFonts w:hint="eastAsia" w:ascii="宋体" w:hAnsi="宋体" w:cs="宋体"/>
          <w:sz w:val="24"/>
          <w:lang w:bidi="ar"/>
        </w:rPr>
        <w:t>框架的深度集成。它还支持</w:t>
      </w:r>
      <w:r>
        <w:rPr>
          <w:rFonts w:hint="eastAsia" w:ascii="Times New Roman" w:hAnsi="Times New Roman" w:cs="宋体"/>
          <w:sz w:val="24"/>
          <w:lang w:bidi="ar"/>
        </w:rPr>
        <w:t>Maven</w:t>
      </w:r>
      <w:r>
        <w:rPr>
          <w:rFonts w:hint="eastAsia" w:ascii="宋体" w:hAnsi="宋体" w:cs="宋体"/>
          <w:sz w:val="24"/>
          <w:lang w:bidi="ar"/>
        </w:rPr>
        <w:t>和</w:t>
      </w:r>
      <w:r>
        <w:rPr>
          <w:rFonts w:hint="eastAsia" w:ascii="Times New Roman" w:hAnsi="Times New Roman" w:cs="宋体"/>
          <w:sz w:val="24"/>
          <w:lang w:bidi="ar"/>
        </w:rPr>
        <w:t>Gradle</w:t>
      </w:r>
      <w:r>
        <w:rPr>
          <w:rFonts w:hint="eastAsia" w:ascii="宋体" w:hAnsi="宋体" w:cs="宋体"/>
          <w:sz w:val="24"/>
          <w:lang w:bidi="ar"/>
        </w:rPr>
        <w:t>，使得项目构建和依赖管理变得简单。此外，</w:t>
      </w:r>
      <w:r>
        <w:rPr>
          <w:rFonts w:hint="eastAsia" w:ascii="Times New Roman" w:hAnsi="Times New Roman" w:cs="宋体"/>
          <w:sz w:val="24"/>
          <w:lang w:bidi="ar"/>
        </w:rPr>
        <w:t>IntelliJ</w:t>
      </w:r>
      <w:r>
        <w:rPr>
          <w:rFonts w:hint="eastAsia" w:ascii="宋体" w:hAnsi="宋体" w:cs="宋体"/>
          <w:sz w:val="24"/>
          <w:lang w:bidi="ar"/>
        </w:rPr>
        <w:t xml:space="preserve"> </w:t>
      </w:r>
      <w:r>
        <w:rPr>
          <w:rFonts w:hint="eastAsia" w:ascii="Times New Roman" w:hAnsi="Times New Roman" w:cs="宋体"/>
          <w:sz w:val="24"/>
          <w:lang w:bidi="ar"/>
        </w:rPr>
        <w:t>IDEA</w:t>
      </w:r>
      <w:r>
        <w:rPr>
          <w:rFonts w:hint="eastAsia" w:ascii="宋体" w:hAnsi="宋体" w:cs="宋体"/>
          <w:sz w:val="24"/>
          <w:lang w:bidi="ar"/>
        </w:rPr>
        <w:t xml:space="preserve"> 的强大调试工具和测试支持，为开发高质量的</w:t>
      </w:r>
      <w:r>
        <w:rPr>
          <w:rFonts w:hint="eastAsia" w:ascii="宋体" w:hAnsi="宋体" w:cs="宋体"/>
          <w:sz w:val="24"/>
          <w:lang w:eastAsia="zh" w:bidi="ar"/>
        </w:rPr>
        <w:t>社团</w:t>
      </w:r>
      <w:r>
        <w:rPr>
          <w:rFonts w:hint="eastAsia" w:ascii="宋体" w:hAnsi="宋体" w:cs="宋体"/>
          <w:sz w:val="24"/>
          <w:lang w:bidi="ar"/>
        </w:rPr>
        <w:t>管理系统提供了坚实的基础。</w:t>
      </w:r>
    </w:p>
    <w:p w14:paraId="71326314">
      <w:pPr>
        <w:autoSpaceDE w:val="0"/>
        <w:spacing w:line="440" w:lineRule="exact"/>
        <w:ind w:firstLine="480" w:firstLineChars="200"/>
        <w:jc w:val="left"/>
        <w:outlineLvl w:val="9"/>
        <w:rPr>
          <w:rFonts w:ascii="宋体" w:hAnsi="宋体" w:cs="宋体"/>
          <w:sz w:val="24"/>
          <w:lang w:bidi="ar"/>
        </w:rPr>
      </w:pPr>
      <w:r>
        <w:rPr>
          <w:rFonts w:hint="eastAsia" w:ascii="宋体" w:hAnsi="宋体" w:cs="宋体"/>
          <w:sz w:val="24"/>
          <w:lang w:bidi="ar"/>
        </w:rPr>
        <w:t>（</w:t>
      </w:r>
      <w:r>
        <w:rPr>
          <w:rFonts w:hint="eastAsia" w:ascii="Times New Roman" w:hAnsi="Times New Roman" w:cs="宋体"/>
          <w:sz w:val="24"/>
          <w:lang w:bidi="ar"/>
        </w:rPr>
        <w:t>2</w:t>
      </w:r>
      <w:r>
        <w:rPr>
          <w:rFonts w:hint="eastAsia" w:ascii="宋体" w:hAnsi="宋体" w:cs="宋体"/>
          <w:sz w:val="24"/>
          <w:lang w:bidi="ar"/>
        </w:rPr>
        <w:t>）</w:t>
      </w:r>
      <w:r>
        <w:rPr>
          <w:rFonts w:hint="eastAsia" w:ascii="Times New Roman" w:hAnsi="Times New Roman" w:cs="宋体"/>
          <w:sz w:val="24"/>
          <w:lang w:bidi="ar"/>
        </w:rPr>
        <w:t>MySQL</w:t>
      </w:r>
      <w:r>
        <w:rPr>
          <w:rFonts w:hint="eastAsia" w:ascii="宋体" w:hAnsi="宋体" w:cs="宋体"/>
          <w:sz w:val="24"/>
          <w:lang w:bidi="ar"/>
        </w:rPr>
        <w:t>：作为关系型数据库管理系统，</w:t>
      </w:r>
      <w:r>
        <w:rPr>
          <w:rFonts w:hint="eastAsia" w:ascii="Times New Roman" w:hAnsi="Times New Roman" w:cs="宋体"/>
          <w:sz w:val="24"/>
          <w:lang w:bidi="ar"/>
        </w:rPr>
        <w:t>MySQL</w:t>
      </w:r>
      <w:r>
        <w:rPr>
          <w:rFonts w:hint="eastAsia" w:ascii="宋体" w:hAnsi="宋体" w:cs="宋体"/>
          <w:sz w:val="24"/>
          <w:lang w:bidi="ar"/>
        </w:rPr>
        <w:t xml:space="preserve"> 用于存储和管理</w:t>
      </w:r>
      <w:r>
        <w:rPr>
          <w:rFonts w:hint="eastAsia" w:ascii="宋体" w:hAnsi="宋体" w:cs="宋体"/>
          <w:sz w:val="24"/>
          <w:lang w:eastAsia="zh" w:bidi="ar"/>
        </w:rPr>
        <w:t>社团</w:t>
      </w:r>
      <w:r>
        <w:rPr>
          <w:rFonts w:hint="eastAsia" w:ascii="宋体" w:hAnsi="宋体" w:cs="宋体"/>
          <w:sz w:val="24"/>
          <w:lang w:bidi="ar"/>
        </w:rPr>
        <w:t>管理系统的数据。它以其高性能、高可靠性和易于管理的特点，成为本项目数据存储的首选。</w:t>
      </w:r>
      <w:r>
        <w:rPr>
          <w:rFonts w:hint="eastAsia" w:ascii="Times New Roman" w:hAnsi="Times New Roman" w:cs="宋体"/>
          <w:sz w:val="24"/>
          <w:lang w:bidi="ar"/>
        </w:rPr>
        <w:t>MySQL</w:t>
      </w:r>
      <w:r>
        <w:rPr>
          <w:rFonts w:hint="eastAsia" w:ascii="宋体" w:hAnsi="宋体" w:cs="宋体"/>
          <w:sz w:val="24"/>
          <w:lang w:bidi="ar"/>
        </w:rPr>
        <w:t xml:space="preserve"> </w:t>
      </w:r>
      <w:r>
        <w:rPr>
          <w:rFonts w:hint="eastAsia" w:ascii="Times New Roman" w:hAnsi="Times New Roman" w:cs="宋体"/>
          <w:sz w:val="24"/>
          <w:lang w:bidi="ar"/>
        </w:rPr>
        <w:t>Workbench</w:t>
      </w:r>
      <w:r>
        <w:rPr>
          <w:rFonts w:hint="eastAsia" w:ascii="宋体" w:hAnsi="宋体" w:cs="宋体"/>
          <w:sz w:val="24"/>
          <w:lang w:bidi="ar"/>
        </w:rPr>
        <w:t xml:space="preserve"> 作为数据库设计和开发工具，辅助开发者进行数据库结构的设计、优化和管理。</w:t>
      </w:r>
    </w:p>
    <w:p w14:paraId="28A0F50D">
      <w:pPr>
        <w:autoSpaceDE w:val="0"/>
        <w:spacing w:line="440" w:lineRule="exact"/>
        <w:ind w:firstLine="480" w:firstLineChars="200"/>
        <w:jc w:val="left"/>
        <w:outlineLvl w:val="9"/>
        <w:rPr>
          <w:rFonts w:ascii="宋体" w:hAnsi="宋体" w:cs="宋体"/>
          <w:sz w:val="24"/>
          <w:lang w:eastAsia="zh"/>
        </w:rPr>
      </w:pPr>
      <w:r>
        <w:rPr>
          <w:rFonts w:hint="eastAsia" w:ascii="宋体" w:hAnsi="宋体" w:cs="宋体"/>
          <w:sz w:val="24"/>
          <w:lang w:bidi="ar"/>
        </w:rPr>
        <w:t>（</w:t>
      </w:r>
      <w:r>
        <w:rPr>
          <w:rFonts w:hint="eastAsia" w:ascii="Times New Roman" w:hAnsi="Times New Roman" w:cs="宋体"/>
          <w:sz w:val="24"/>
          <w:lang w:bidi="ar"/>
        </w:rPr>
        <w:t>3</w:t>
      </w:r>
      <w:r>
        <w:rPr>
          <w:rFonts w:hint="eastAsia" w:ascii="宋体" w:hAnsi="宋体" w:cs="宋体"/>
          <w:sz w:val="24"/>
          <w:lang w:bidi="ar"/>
        </w:rPr>
        <w:t>）</w:t>
      </w:r>
      <w:r>
        <w:rPr>
          <w:rFonts w:hint="eastAsia" w:ascii="Times New Roman" w:hAnsi="Times New Roman" w:cs="宋体"/>
          <w:sz w:val="24"/>
          <w:lang w:bidi="ar"/>
        </w:rPr>
        <w:t>Visual</w:t>
      </w:r>
      <w:r>
        <w:rPr>
          <w:rFonts w:hint="eastAsia" w:ascii="宋体" w:hAnsi="宋体" w:cs="宋体"/>
          <w:sz w:val="24"/>
          <w:lang w:bidi="ar"/>
        </w:rPr>
        <w:t xml:space="preserve"> </w:t>
      </w:r>
      <w:r>
        <w:rPr>
          <w:rFonts w:hint="eastAsia" w:ascii="Times New Roman" w:hAnsi="Times New Roman" w:cs="宋体"/>
          <w:sz w:val="24"/>
          <w:lang w:bidi="ar"/>
        </w:rPr>
        <w:t>Studio</w:t>
      </w:r>
      <w:r>
        <w:rPr>
          <w:rFonts w:hint="eastAsia" w:ascii="宋体" w:hAnsi="宋体" w:cs="宋体"/>
          <w:sz w:val="24"/>
          <w:lang w:bidi="ar"/>
        </w:rPr>
        <w:t xml:space="preserve"> </w:t>
      </w:r>
      <w:r>
        <w:rPr>
          <w:rFonts w:hint="eastAsia" w:ascii="Times New Roman" w:hAnsi="Times New Roman" w:cs="宋体"/>
          <w:sz w:val="24"/>
          <w:lang w:bidi="ar"/>
        </w:rPr>
        <w:t>Code</w:t>
      </w:r>
      <w:r>
        <w:rPr>
          <w:rFonts w:hint="eastAsia" w:ascii="宋体" w:hAnsi="宋体" w:cs="宋体"/>
          <w:sz w:val="24"/>
          <w:lang w:bidi="ar"/>
        </w:rPr>
        <w:t>：作为一个轻量级的代码编辑器，</w:t>
      </w:r>
      <w:r>
        <w:rPr>
          <w:rFonts w:hint="eastAsia" w:ascii="Times New Roman" w:hAnsi="Times New Roman" w:cs="宋体"/>
          <w:sz w:val="24"/>
          <w:lang w:bidi="ar"/>
        </w:rPr>
        <w:t>Visual</w:t>
      </w:r>
      <w:r>
        <w:rPr>
          <w:rFonts w:hint="eastAsia" w:ascii="宋体" w:hAnsi="宋体" w:cs="宋体"/>
          <w:sz w:val="24"/>
          <w:lang w:bidi="ar"/>
        </w:rPr>
        <w:t xml:space="preserve"> </w:t>
      </w:r>
      <w:r>
        <w:rPr>
          <w:rFonts w:hint="eastAsia" w:ascii="Times New Roman" w:hAnsi="Times New Roman" w:cs="宋体"/>
          <w:sz w:val="24"/>
          <w:lang w:bidi="ar"/>
        </w:rPr>
        <w:t>Studio</w:t>
      </w:r>
      <w:r>
        <w:rPr>
          <w:rFonts w:hint="eastAsia" w:ascii="宋体" w:hAnsi="宋体" w:cs="宋体"/>
          <w:sz w:val="24"/>
          <w:lang w:bidi="ar"/>
        </w:rPr>
        <w:t xml:space="preserve"> </w:t>
      </w:r>
      <w:r>
        <w:rPr>
          <w:rFonts w:hint="eastAsia" w:ascii="Times New Roman" w:hAnsi="Times New Roman" w:cs="宋体"/>
          <w:sz w:val="24"/>
          <w:lang w:bidi="ar"/>
        </w:rPr>
        <w:t>Code</w:t>
      </w:r>
      <w:r>
        <w:rPr>
          <w:rFonts w:hint="eastAsia" w:ascii="宋体" w:hAnsi="宋体" w:cs="宋体"/>
          <w:sz w:val="24"/>
          <w:lang w:bidi="ar"/>
        </w:rPr>
        <w:t>（</w:t>
      </w:r>
      <w:r>
        <w:rPr>
          <w:rFonts w:hint="eastAsia" w:ascii="Times New Roman" w:hAnsi="Times New Roman" w:cs="宋体"/>
          <w:sz w:val="24"/>
          <w:lang w:bidi="ar"/>
        </w:rPr>
        <w:t>VS</w:t>
      </w:r>
      <w:r>
        <w:rPr>
          <w:rFonts w:hint="eastAsia" w:ascii="宋体" w:hAnsi="宋体" w:cs="宋体"/>
          <w:sz w:val="24"/>
          <w:lang w:bidi="ar"/>
        </w:rPr>
        <w:t xml:space="preserve"> </w:t>
      </w:r>
      <w:r>
        <w:rPr>
          <w:rFonts w:hint="eastAsia" w:ascii="Times New Roman" w:hAnsi="Times New Roman" w:cs="宋体"/>
          <w:sz w:val="24"/>
          <w:lang w:bidi="ar"/>
        </w:rPr>
        <w:t>Code</w:t>
      </w:r>
      <w:r>
        <w:rPr>
          <w:rFonts w:hint="eastAsia" w:ascii="宋体" w:hAnsi="宋体" w:cs="宋体"/>
          <w:sz w:val="24"/>
          <w:lang w:bidi="ar"/>
        </w:rPr>
        <w:t>）以其快速、灵活和强大的功能，成为前端开发和部分后端开发任务的理想选择。</w:t>
      </w:r>
      <w:r>
        <w:rPr>
          <w:rFonts w:hint="eastAsia" w:ascii="Times New Roman" w:hAnsi="Times New Roman" w:cs="宋体"/>
          <w:sz w:val="24"/>
          <w:lang w:bidi="ar"/>
        </w:rPr>
        <w:t>VS</w:t>
      </w:r>
      <w:r>
        <w:rPr>
          <w:rFonts w:hint="eastAsia" w:ascii="宋体" w:hAnsi="宋体" w:cs="宋体"/>
          <w:sz w:val="24"/>
          <w:lang w:bidi="ar"/>
        </w:rPr>
        <w:t xml:space="preserve"> </w:t>
      </w:r>
      <w:r>
        <w:rPr>
          <w:rFonts w:hint="eastAsia" w:ascii="Times New Roman" w:hAnsi="Times New Roman" w:cs="宋体"/>
          <w:sz w:val="24"/>
          <w:lang w:bidi="ar"/>
        </w:rPr>
        <w:t>Code</w:t>
      </w:r>
      <w:r>
        <w:rPr>
          <w:rFonts w:hint="eastAsia" w:ascii="宋体" w:hAnsi="宋体" w:cs="宋体"/>
          <w:sz w:val="24"/>
          <w:lang w:bidi="ar"/>
        </w:rPr>
        <w:t xml:space="preserve"> 支持多种编程语言，包括</w:t>
      </w:r>
      <w:r>
        <w:rPr>
          <w:rFonts w:hint="eastAsia" w:ascii="Times New Roman" w:hAnsi="Times New Roman" w:cs="宋体"/>
          <w:sz w:val="24"/>
          <w:lang w:bidi="ar"/>
        </w:rPr>
        <w:t>HTML</w:t>
      </w:r>
      <w:r>
        <w:rPr>
          <w:rFonts w:hint="eastAsia" w:ascii="宋体" w:hAnsi="宋体" w:cs="宋体"/>
          <w:sz w:val="24"/>
          <w:lang w:bidi="ar"/>
        </w:rPr>
        <w:t>、</w:t>
      </w:r>
      <w:r>
        <w:rPr>
          <w:rFonts w:hint="eastAsia" w:ascii="Times New Roman" w:hAnsi="Times New Roman" w:cs="宋体"/>
          <w:sz w:val="24"/>
          <w:lang w:bidi="ar"/>
        </w:rPr>
        <w:t>CSS</w:t>
      </w:r>
      <w:r>
        <w:rPr>
          <w:rFonts w:hint="eastAsia" w:ascii="宋体" w:hAnsi="宋体" w:cs="宋体"/>
          <w:sz w:val="24"/>
          <w:lang w:bidi="ar"/>
        </w:rPr>
        <w:t>、</w:t>
      </w:r>
      <w:r>
        <w:rPr>
          <w:rFonts w:hint="eastAsia" w:ascii="Times New Roman" w:hAnsi="Times New Roman" w:cs="宋体"/>
          <w:sz w:val="24"/>
          <w:lang w:bidi="ar"/>
        </w:rPr>
        <w:t>JavaScript</w:t>
      </w:r>
      <w:r>
        <w:rPr>
          <w:rFonts w:hint="eastAsia" w:ascii="宋体" w:hAnsi="宋体" w:cs="宋体"/>
          <w:sz w:val="24"/>
          <w:lang w:bidi="ar"/>
        </w:rPr>
        <w:t>等，并且通过丰富的插件生态系统，可以扩展其功能以支持</w:t>
      </w:r>
      <w:r>
        <w:rPr>
          <w:rFonts w:hint="eastAsia" w:ascii="Times New Roman" w:hAnsi="Times New Roman" w:cs="宋体"/>
          <w:sz w:val="24"/>
          <w:lang w:bidi="ar"/>
        </w:rPr>
        <w:t>Spring</w:t>
      </w:r>
      <w:r>
        <w:rPr>
          <w:rFonts w:hint="eastAsia" w:ascii="宋体" w:hAnsi="宋体" w:cs="宋体"/>
          <w:sz w:val="24"/>
          <w:lang w:bidi="ar"/>
        </w:rPr>
        <w:t xml:space="preserve"> </w:t>
      </w:r>
      <w:r>
        <w:rPr>
          <w:rFonts w:hint="eastAsia" w:ascii="Times New Roman" w:hAnsi="Times New Roman" w:cs="宋体"/>
          <w:sz w:val="24"/>
          <w:lang w:bidi="ar"/>
        </w:rPr>
        <w:t>Boot</w:t>
      </w:r>
      <w:r>
        <w:rPr>
          <w:rFonts w:hint="eastAsia" w:ascii="宋体" w:hAnsi="宋体" w:cs="宋体"/>
          <w:sz w:val="24"/>
          <w:lang w:bidi="ar"/>
        </w:rPr>
        <w:t>、</w:t>
      </w:r>
      <w:r>
        <w:rPr>
          <w:rFonts w:hint="eastAsia" w:ascii="Times New Roman" w:hAnsi="Times New Roman" w:cs="宋体"/>
          <w:sz w:val="24"/>
          <w:lang w:bidi="ar"/>
        </w:rPr>
        <w:t>Maven</w:t>
      </w:r>
      <w:r>
        <w:rPr>
          <w:rFonts w:hint="eastAsia" w:ascii="宋体" w:hAnsi="宋体" w:cs="宋体"/>
          <w:sz w:val="24"/>
          <w:lang w:bidi="ar"/>
        </w:rPr>
        <w:t>等技术栈</w:t>
      </w:r>
      <w:r>
        <w:rPr>
          <w:rFonts w:hint="eastAsia" w:ascii="宋体" w:hAnsi="宋体" w:cs="宋体"/>
          <w:sz w:val="24"/>
          <w:lang w:eastAsia="zh" w:bidi="ar"/>
        </w:rPr>
        <w:t>。</w:t>
      </w:r>
    </w:p>
    <w:p w14:paraId="4889C6B4">
      <w:pPr>
        <w:spacing w:before="0" w:after="0" w:line="440" w:lineRule="exact"/>
        <w:ind w:firstLine="480" w:firstLineChars="200"/>
        <w:jc w:val="left"/>
        <w:outlineLvl w:val="9"/>
        <w:rPr>
          <w:rFonts w:ascii="Times New Roman" w:hAnsi="Times New Roman" w:eastAsia="宋体"/>
          <w:b w:val="0"/>
          <w:sz w:val="24"/>
        </w:rPr>
      </w:pPr>
      <w:bookmarkStart w:id="594" w:name="_Toc1810126179"/>
      <w:bookmarkStart w:id="595" w:name="_Toc16048"/>
      <w:bookmarkStart w:id="596" w:name="_Toc330050543"/>
      <w:bookmarkStart w:id="597" w:name="_Toc19081"/>
      <w:bookmarkStart w:id="598" w:name="_Toc25079"/>
      <w:r>
        <w:rPr>
          <w:rFonts w:ascii="Times New Roman" w:hAnsi="Times New Roman" w:eastAsia="宋体"/>
          <w:b w:val="0"/>
          <w:sz w:val="24"/>
        </w:rPr>
        <w:t>1.3</w:t>
      </w:r>
      <w:r>
        <w:rPr>
          <w:rFonts w:hint="eastAsia" w:ascii="Times New Roman" w:hAnsi="Times New Roman" w:eastAsia="宋体"/>
          <w:b w:val="0"/>
          <w:sz w:val="24"/>
        </w:rPr>
        <w:t xml:space="preserve"> 小组人员及分工</w:t>
      </w:r>
      <w:bookmarkEnd w:id="594"/>
      <w:bookmarkEnd w:id="595"/>
      <w:bookmarkEnd w:id="596"/>
      <w:bookmarkEnd w:id="597"/>
      <w:bookmarkEnd w:id="598"/>
    </w:p>
    <w:p w14:paraId="5E2A9EE8">
      <w:pPr>
        <w:spacing w:line="440" w:lineRule="exact"/>
        <w:ind w:firstLine="480" w:firstLineChars="200"/>
        <w:outlineLvl w:val="9"/>
        <w:rPr>
          <w:rFonts w:asciiTheme="minorEastAsia" w:hAnsiTheme="minorEastAsia" w:cstheme="minorEastAsia"/>
          <w:sz w:val="24"/>
        </w:rPr>
      </w:pPr>
      <w:r>
        <w:rPr>
          <w:rFonts w:ascii="Times New Roman" w:hAnsi="Times New Roman"/>
          <w:sz w:val="24"/>
        </w:rPr>
        <w:t>1.3.1</w:t>
      </w:r>
      <w:r>
        <w:rPr>
          <w:rFonts w:hint="eastAsia" w:asciiTheme="minorEastAsia" w:hAnsiTheme="minorEastAsia" w:cstheme="minorEastAsia"/>
          <w:sz w:val="24"/>
        </w:rPr>
        <w:t>前端开发</w:t>
      </w:r>
    </w:p>
    <w:p w14:paraId="0169C789">
      <w:pPr>
        <w:spacing w:line="440" w:lineRule="exact"/>
        <w:ind w:firstLine="480" w:firstLineChars="200"/>
        <w:outlineLvl w:val="9"/>
        <w:rPr>
          <w:rFonts w:asciiTheme="minorEastAsia" w:hAnsiTheme="minorEastAsia" w:cstheme="minorEastAsia"/>
          <w:sz w:val="24"/>
        </w:rPr>
      </w:pPr>
      <w:r>
        <w:rPr>
          <w:rFonts w:hint="eastAsia" w:asciiTheme="minorEastAsia" w:hAnsiTheme="minorEastAsia" w:cstheme="minorEastAsia"/>
          <w:sz w:val="24"/>
        </w:rPr>
        <w:t>主要人员：邱坤、陈浠仁</w:t>
      </w:r>
    </w:p>
    <w:p w14:paraId="202830F3">
      <w:pPr>
        <w:spacing w:line="440" w:lineRule="exact"/>
        <w:ind w:firstLine="480" w:firstLineChars="200"/>
        <w:outlineLvl w:val="9"/>
        <w:rPr>
          <w:rFonts w:asciiTheme="minorEastAsia" w:hAnsiTheme="minorEastAsia" w:cstheme="minorEastAsia"/>
          <w:sz w:val="24"/>
        </w:rPr>
      </w:pPr>
      <w:r>
        <w:rPr>
          <w:rFonts w:hint="eastAsia" w:asciiTheme="minorEastAsia" w:hAnsiTheme="minorEastAsia" w:cstheme="minorEastAsia"/>
          <w:sz w:val="24"/>
        </w:rPr>
        <w:t>使用</w:t>
      </w:r>
      <w:r>
        <w:rPr>
          <w:rFonts w:hint="eastAsia" w:ascii="Times New Roman" w:hAnsi="Times New Roman" w:cstheme="minorEastAsia"/>
          <w:sz w:val="24"/>
        </w:rPr>
        <w:t>vue</w:t>
      </w:r>
      <w:r>
        <w:rPr>
          <w:rFonts w:hint="eastAsia" w:asciiTheme="minorEastAsia" w:hAnsiTheme="minorEastAsia" w:cstheme="minorEastAsia"/>
          <w:sz w:val="24"/>
        </w:rPr>
        <w:t>和</w:t>
      </w:r>
      <w:r>
        <w:rPr>
          <w:rFonts w:hint="eastAsia" w:ascii="Times New Roman" w:hAnsi="Times New Roman" w:cstheme="minorEastAsia"/>
          <w:sz w:val="24"/>
        </w:rPr>
        <w:t>JavaScript</w:t>
      </w:r>
      <w:r>
        <w:rPr>
          <w:rFonts w:hint="eastAsia" w:asciiTheme="minorEastAsia" w:hAnsiTheme="minorEastAsia" w:cstheme="minorEastAsia"/>
          <w:sz w:val="24"/>
        </w:rPr>
        <w:t>进行前端页面的开发和页面响应功能的实现，通过接口与后端协作，实现小程序与后端服务的数据交互。</w:t>
      </w:r>
    </w:p>
    <w:p w14:paraId="001AF4DD">
      <w:pPr>
        <w:spacing w:line="440" w:lineRule="exact"/>
        <w:ind w:firstLine="480" w:firstLineChars="200"/>
        <w:outlineLvl w:val="9"/>
        <w:rPr>
          <w:rFonts w:asciiTheme="minorEastAsia" w:hAnsiTheme="minorEastAsia" w:cstheme="minorEastAsia"/>
          <w:sz w:val="24"/>
        </w:rPr>
      </w:pPr>
      <w:r>
        <w:rPr>
          <w:rFonts w:ascii="Times New Roman" w:hAnsi="Times New Roman"/>
          <w:sz w:val="24"/>
        </w:rPr>
        <w:t>1.3.2</w:t>
      </w:r>
      <w:r>
        <w:rPr>
          <w:rFonts w:hint="eastAsia" w:asciiTheme="minorEastAsia" w:hAnsiTheme="minorEastAsia" w:cstheme="minorEastAsia"/>
          <w:sz w:val="24"/>
        </w:rPr>
        <w:t>后端开发</w:t>
      </w:r>
    </w:p>
    <w:p w14:paraId="070F7A91">
      <w:pPr>
        <w:spacing w:line="440" w:lineRule="exact"/>
        <w:ind w:firstLine="480" w:firstLineChars="200"/>
        <w:outlineLvl w:val="9"/>
        <w:rPr>
          <w:rFonts w:asciiTheme="minorEastAsia" w:hAnsiTheme="minorEastAsia" w:cstheme="minorEastAsia"/>
          <w:sz w:val="24"/>
        </w:rPr>
      </w:pPr>
      <w:r>
        <w:rPr>
          <w:rFonts w:hint="eastAsia" w:asciiTheme="minorEastAsia" w:hAnsiTheme="minorEastAsia" w:cstheme="minorEastAsia"/>
          <w:sz w:val="24"/>
        </w:rPr>
        <w:t>主要人员：陈浠仁、邱坤</w:t>
      </w:r>
    </w:p>
    <w:p w14:paraId="3CDE683C">
      <w:pPr>
        <w:spacing w:line="440" w:lineRule="exact"/>
        <w:ind w:firstLine="480" w:firstLineChars="200"/>
        <w:outlineLvl w:val="9"/>
        <w:rPr>
          <w:rFonts w:asciiTheme="minorEastAsia" w:hAnsiTheme="minorEastAsia" w:cstheme="minorEastAsia"/>
          <w:sz w:val="24"/>
        </w:rPr>
      </w:pPr>
      <w:r>
        <w:rPr>
          <w:rFonts w:hint="eastAsia" w:asciiTheme="minorEastAsia" w:hAnsiTheme="minorEastAsia" w:cstheme="minorEastAsia"/>
          <w:sz w:val="24"/>
        </w:rPr>
        <w:t>后端开发：使用</w:t>
      </w:r>
      <w:r>
        <w:rPr>
          <w:rFonts w:hint="eastAsia" w:ascii="Times New Roman" w:hAnsi="Times New Roman" w:cstheme="minorEastAsia"/>
          <w:sz w:val="24"/>
        </w:rPr>
        <w:t>SSM</w:t>
      </w:r>
      <w:r>
        <w:rPr>
          <w:rFonts w:hint="eastAsia" w:asciiTheme="minorEastAsia" w:hAnsiTheme="minorEastAsia" w:cstheme="minorEastAsia"/>
          <w:sz w:val="24"/>
        </w:rPr>
        <w:t>技术栈进行后端服务的设计与实现，包括数据库设计、接口开发、业务逻辑处理等。负责服务器搭建、数据库设计、</w:t>
      </w:r>
      <w:r>
        <w:rPr>
          <w:rFonts w:hint="eastAsia" w:ascii="Times New Roman" w:hAnsi="Times New Roman" w:cstheme="minorEastAsia"/>
          <w:sz w:val="24"/>
        </w:rPr>
        <w:t>API</w:t>
      </w:r>
      <w:r>
        <w:rPr>
          <w:rFonts w:hint="eastAsia" w:asciiTheme="minorEastAsia" w:hAnsiTheme="minorEastAsia" w:cstheme="minorEastAsia"/>
          <w:sz w:val="24"/>
        </w:rPr>
        <w:t>接口开发及整体后端架构的设计。</w:t>
      </w:r>
    </w:p>
    <w:p w14:paraId="532D4EF5">
      <w:pPr>
        <w:spacing w:line="440" w:lineRule="exact"/>
        <w:ind w:firstLine="480" w:firstLineChars="200"/>
        <w:rPr>
          <w:rFonts w:asciiTheme="minorEastAsia" w:hAnsiTheme="minorEastAsia" w:cstheme="minorEastAsia"/>
          <w:sz w:val="24"/>
        </w:rPr>
      </w:pPr>
      <w:r>
        <w:rPr>
          <w:rFonts w:hint="eastAsia" w:ascii="Times New Roman" w:hAnsi="Times New Roman" w:cstheme="minorEastAsia"/>
          <w:sz w:val="24"/>
        </w:rPr>
        <w:t>MySQL</w:t>
      </w:r>
      <w:r>
        <w:rPr>
          <w:rFonts w:hint="eastAsia" w:asciiTheme="minorEastAsia" w:hAnsiTheme="minorEastAsia" w:cstheme="minorEastAsia"/>
          <w:sz w:val="24"/>
        </w:rPr>
        <w:t>数据库：负责数据库的日常维护、数据备份与恢复，确保数据安全及高效查询。</w:t>
      </w:r>
    </w:p>
    <w:p w14:paraId="4294BF52">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系统集成: 确保前后端顺利对接，负责</w:t>
      </w:r>
      <w:r>
        <w:rPr>
          <w:rFonts w:hint="eastAsia" w:ascii="Times New Roman" w:hAnsi="Times New Roman" w:cstheme="minorEastAsia"/>
          <w:sz w:val="24"/>
        </w:rPr>
        <w:t>API</w:t>
      </w:r>
      <w:r>
        <w:rPr>
          <w:rFonts w:hint="eastAsia" w:asciiTheme="minorEastAsia" w:hAnsiTheme="minorEastAsia" w:cstheme="minorEastAsia"/>
          <w:sz w:val="24"/>
        </w:rPr>
        <w:t>接口的定义与测试。</w:t>
      </w:r>
    </w:p>
    <w:p w14:paraId="7ECE507C">
      <w:pPr>
        <w:spacing w:line="440" w:lineRule="exact"/>
        <w:ind w:firstLine="480" w:firstLineChars="200"/>
        <w:rPr>
          <w:rFonts w:asciiTheme="minorEastAsia" w:hAnsiTheme="minorEastAsia" w:cstheme="minorEastAsia"/>
          <w:sz w:val="24"/>
        </w:rPr>
      </w:pPr>
      <w:r>
        <w:rPr>
          <w:rFonts w:ascii="Times New Roman" w:hAnsi="Times New Roman"/>
          <w:sz w:val="24"/>
        </w:rPr>
        <w:t>1.3.3</w:t>
      </w:r>
      <w:r>
        <w:rPr>
          <w:rFonts w:hint="eastAsia" w:asciiTheme="minorEastAsia" w:hAnsiTheme="minorEastAsia" w:cstheme="minorEastAsia"/>
          <w:sz w:val="24"/>
        </w:rPr>
        <w:t>测试与文档撰写</w:t>
      </w:r>
    </w:p>
    <w:p w14:paraId="573213EA">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人员：邱坤、陈浠仁、杨浪、</w:t>
      </w:r>
    </w:p>
    <w:p w14:paraId="27066380">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软件测试: 编写测试计划，执行功能测试、性能测试、兼容性测试等，确保产品质量。</w:t>
      </w:r>
    </w:p>
    <w:p w14:paraId="134C5368">
      <w:pPr>
        <w:spacing w:line="440" w:lineRule="exact"/>
        <w:ind w:firstLine="480" w:firstLineChars="200"/>
        <w:rPr>
          <w:rFonts w:asciiTheme="minorEastAsia" w:hAnsiTheme="minorEastAsia" w:cstheme="minorEastAsia"/>
          <w:sz w:val="24"/>
        </w:rPr>
      </w:pPr>
      <w:r>
        <w:rPr>
          <w:rFonts w:hint="eastAsia" w:asciiTheme="minorEastAsia" w:hAnsiTheme="minorEastAsia" w:cstheme="minorEastAsia"/>
          <w:sz w:val="24"/>
        </w:rPr>
        <w:t>文档撰写: 负责项目文档的编写与维护，包括需求文档、设计文档、用户手册及开发文档。</w:t>
      </w:r>
    </w:p>
    <w:p w14:paraId="70DB22DF">
      <w:pPr>
        <w:spacing w:line="440" w:lineRule="exact"/>
        <w:ind w:firstLine="480" w:firstLineChars="200"/>
        <w:rPr>
          <w:rFonts w:ascii="宋体" w:hAnsi="宋体" w:cs="宋体"/>
          <w:sz w:val="24"/>
        </w:rPr>
      </w:pPr>
      <w:r>
        <w:rPr>
          <w:rFonts w:hint="eastAsia" w:ascii="宋体" w:hAnsi="宋体" w:cs="宋体"/>
          <w:sz w:val="24"/>
        </w:rPr>
        <w:t>这样的分工既考虑到了项目的整体性，也兼顾了每位成员的专业成长，有利于项目的顺利进行和最终成果的高质量产出，也培养解决实际问题的能力，真正实现产教融合的目标。</w:t>
      </w:r>
      <w:bookmarkStart w:id="599" w:name="_Toc1344973424"/>
      <w:bookmarkStart w:id="600" w:name="_Toc140862644"/>
    </w:p>
    <w:p w14:paraId="467816D6">
      <w:pPr>
        <w:spacing w:line="440" w:lineRule="exact"/>
        <w:outlineLvl w:val="9"/>
        <w:rPr>
          <w:rFonts w:ascii="宋体" w:hAnsi="宋体" w:cs="宋体"/>
          <w:b/>
          <w:bCs/>
          <w:sz w:val="28"/>
          <w:szCs w:val="28"/>
        </w:rPr>
      </w:pPr>
      <w:bookmarkStart w:id="601" w:name="_Toc14630"/>
      <w:bookmarkStart w:id="602" w:name="_Toc18925"/>
      <w:bookmarkStart w:id="603" w:name="_Toc13090"/>
      <w:r>
        <w:rPr>
          <w:rFonts w:hint="eastAsia" w:ascii="Times New Roman" w:hAnsi="Times New Roman" w:cs="宋体"/>
          <w:b/>
          <w:bCs/>
          <w:sz w:val="28"/>
          <w:szCs w:val="28"/>
        </w:rPr>
        <w:t>2</w:t>
      </w:r>
      <w:r>
        <w:rPr>
          <w:rFonts w:hint="eastAsia" w:ascii="宋体" w:hAnsi="宋体" w:cs="宋体"/>
          <w:b/>
          <w:bCs/>
          <w:sz w:val="28"/>
          <w:szCs w:val="28"/>
        </w:rPr>
        <w:t xml:space="preserve"> 需求分析</w:t>
      </w:r>
      <w:bookmarkEnd w:id="599"/>
      <w:bookmarkEnd w:id="600"/>
      <w:bookmarkEnd w:id="601"/>
      <w:bookmarkEnd w:id="602"/>
      <w:bookmarkEnd w:id="603"/>
    </w:p>
    <w:p w14:paraId="46FBD1A3">
      <w:pPr>
        <w:spacing w:before="0" w:after="0" w:line="440" w:lineRule="exact"/>
        <w:ind w:firstLine="480" w:firstLineChars="200"/>
        <w:jc w:val="left"/>
        <w:outlineLvl w:val="9"/>
        <w:rPr>
          <w:rFonts w:ascii="Times New Roman" w:hAnsi="Times New Roman" w:eastAsia="宋体"/>
          <w:b w:val="0"/>
          <w:sz w:val="24"/>
        </w:rPr>
      </w:pPr>
      <w:bookmarkStart w:id="604" w:name="_Toc117621774"/>
      <w:bookmarkStart w:id="605" w:name="_Toc3566"/>
      <w:bookmarkStart w:id="606" w:name="_Toc25322"/>
      <w:bookmarkStart w:id="607" w:name="_Toc29033"/>
      <w:bookmarkStart w:id="608" w:name="_Toc824883815"/>
      <w:r>
        <w:rPr>
          <w:rFonts w:ascii="Times New Roman" w:hAnsi="Times New Roman" w:eastAsia="宋体"/>
          <w:b w:val="0"/>
          <w:color w:val="000000" w:themeColor="text1"/>
          <w:sz w:val="24"/>
          <w14:textFill>
            <w14:solidFill>
              <w14:schemeClr w14:val="tx1"/>
            </w14:solidFill>
          </w14:textFill>
        </w:rPr>
        <w:t>2.1</w:t>
      </w:r>
      <w:r>
        <w:rPr>
          <w:rFonts w:hint="eastAsia" w:ascii="宋体" w:hAnsi="宋体" w:eastAsia="宋体" w:cs="宋体"/>
          <w:b w:val="0"/>
          <w:color w:val="000000" w:themeColor="text1"/>
          <w:sz w:val="24"/>
          <w14:textFill>
            <w14:solidFill>
              <w14:schemeClr w14:val="tx1"/>
            </w14:solidFill>
          </w14:textFill>
        </w:rPr>
        <w:t xml:space="preserve"> 系统需求分析</w:t>
      </w:r>
      <w:bookmarkEnd w:id="604"/>
      <w:bookmarkEnd w:id="605"/>
      <w:bookmarkEnd w:id="606"/>
      <w:bookmarkEnd w:id="607"/>
      <w:bookmarkEnd w:id="608"/>
    </w:p>
    <w:p w14:paraId="3194718E">
      <w:pPr>
        <w:spacing w:line="440" w:lineRule="exact"/>
        <w:ind w:firstLine="480" w:firstLineChars="200"/>
        <w:outlineLvl w:val="9"/>
        <w:rPr>
          <w:rFonts w:ascii="宋体" w:hAnsi="宋体" w:cs="宋体"/>
          <w:sz w:val="24"/>
        </w:rPr>
      </w:pPr>
      <w:r>
        <w:rPr>
          <w:rFonts w:hint="eastAsia" w:ascii="宋体" w:hAnsi="宋体" w:cs="宋体"/>
          <w:sz w:val="24"/>
          <w:lang w:bidi="ar"/>
        </w:rPr>
        <w:t>社团管理系统的设计与实现旨在解决社</w:t>
      </w:r>
      <w:r>
        <w:rPr>
          <w:rFonts w:hint="eastAsia" w:ascii="宋体" w:hAnsi="宋体" w:cs="宋体"/>
          <w:sz w:val="24"/>
          <w:lang w:eastAsia="zh" w:bidi="ar"/>
        </w:rPr>
        <w:t>团</w:t>
      </w:r>
      <w:r>
        <w:rPr>
          <w:rFonts w:hint="eastAsia" w:ascii="宋体" w:hAnsi="宋体" w:cs="宋体"/>
          <w:sz w:val="24"/>
          <w:lang w:bidi="ar"/>
        </w:rPr>
        <w:t>管理中存在的信息传递不畅、资源分配不均、活动组织效率低下等问题。本系统需求分析基于项目概述和目标，详细阐述系统应满足的功能和性能要求。</w:t>
      </w:r>
    </w:p>
    <w:p w14:paraId="1A34B458">
      <w:pPr>
        <w:spacing w:before="0" w:after="0" w:line="440" w:lineRule="exact"/>
        <w:ind w:firstLine="480" w:firstLineChars="200"/>
        <w:jc w:val="left"/>
        <w:outlineLvl w:val="9"/>
        <w:rPr>
          <w:rFonts w:ascii="宋体" w:hAnsi="宋体" w:cs="宋体"/>
          <w:b w:val="0"/>
          <w:sz w:val="24"/>
          <w:lang w:eastAsia="zh"/>
        </w:rPr>
      </w:pPr>
      <w:bookmarkStart w:id="609" w:name="_Toc1357434564"/>
      <w:bookmarkStart w:id="610" w:name="_Toc1345813143"/>
      <w:r>
        <w:rPr>
          <w:rFonts w:ascii="Times New Roman" w:hAnsi="Times New Roman"/>
          <w:b w:val="0"/>
          <w:sz w:val="24"/>
        </w:rPr>
        <w:t>2.1.1</w:t>
      </w:r>
      <w:r>
        <w:rPr>
          <w:rFonts w:hint="eastAsia" w:ascii="宋体" w:hAnsi="宋体" w:cs="宋体"/>
          <w:b w:val="0"/>
          <w:sz w:val="24"/>
          <w:lang w:eastAsia="zh"/>
        </w:rPr>
        <w:t xml:space="preserve"> </w:t>
      </w:r>
      <w:r>
        <w:rPr>
          <w:rFonts w:hint="eastAsia" w:ascii="宋体" w:hAnsi="宋体" w:cs="宋体"/>
          <w:b w:val="0"/>
          <w:sz w:val="24"/>
        </w:rPr>
        <w:t>功能性需求</w:t>
      </w:r>
      <w:bookmarkEnd w:id="609"/>
      <w:bookmarkEnd w:id="610"/>
    </w:p>
    <w:p w14:paraId="06AB517C">
      <w:pPr>
        <w:spacing w:line="440" w:lineRule="exact"/>
        <w:ind w:firstLine="480" w:firstLineChars="200"/>
        <w:outlineLvl w:val="9"/>
        <w:rPr>
          <w:rFonts w:ascii="宋体" w:hAnsi="宋体" w:cs="宋体"/>
          <w:sz w:val="24"/>
        </w:rPr>
      </w:pPr>
      <w:r>
        <w:rPr>
          <w:rFonts w:hint="eastAsia" w:ascii="宋体" w:hAnsi="宋体" w:cs="宋体"/>
          <w:sz w:val="24"/>
          <w:lang w:bidi="ar"/>
        </w:rPr>
        <w:t>用户管理：系统需支持用户注册、登录、个人信息管理以及权限分配，确保不同用户角色（如社团成员、社团管理者、系统管理员）的访问控制。</w:t>
      </w:r>
    </w:p>
    <w:p w14:paraId="48D96602">
      <w:pPr>
        <w:spacing w:line="440" w:lineRule="exact"/>
        <w:ind w:firstLine="480" w:firstLineChars="200"/>
        <w:outlineLvl w:val="9"/>
        <w:rPr>
          <w:rFonts w:ascii="宋体" w:hAnsi="宋体" w:cs="宋体"/>
          <w:sz w:val="24"/>
        </w:rPr>
      </w:pPr>
      <w:r>
        <w:rPr>
          <w:rFonts w:hint="eastAsia" w:ascii="宋体" w:hAnsi="宋体" w:cs="宋体"/>
          <w:sz w:val="24"/>
          <w:lang w:bidi="ar"/>
        </w:rPr>
        <w:t>社团管理：系统应允许社团的创建、信息维护、成员管理，以及社团活动的发布和管理。</w:t>
      </w:r>
    </w:p>
    <w:p w14:paraId="0A033117">
      <w:pPr>
        <w:spacing w:line="440" w:lineRule="exact"/>
        <w:ind w:firstLine="480" w:firstLineChars="200"/>
        <w:outlineLvl w:val="9"/>
        <w:rPr>
          <w:rFonts w:ascii="宋体" w:hAnsi="宋体" w:cs="宋体"/>
          <w:sz w:val="24"/>
        </w:rPr>
      </w:pPr>
      <w:r>
        <w:rPr>
          <w:rFonts w:hint="eastAsia" w:ascii="宋体" w:hAnsi="宋体" w:cs="宋体"/>
          <w:sz w:val="24"/>
          <w:lang w:bidi="ar"/>
        </w:rPr>
        <w:t>活动管理：系统需提供活动发布、报名、审批、提醒和记录功能，以简化活动组织流程。</w:t>
      </w:r>
    </w:p>
    <w:p w14:paraId="4DB9433A">
      <w:pPr>
        <w:spacing w:line="440" w:lineRule="exact"/>
        <w:ind w:firstLine="480" w:firstLineChars="200"/>
        <w:outlineLvl w:val="9"/>
        <w:rPr>
          <w:rFonts w:ascii="宋体" w:hAnsi="宋体" w:cs="宋体"/>
          <w:sz w:val="24"/>
        </w:rPr>
      </w:pPr>
      <w:r>
        <w:rPr>
          <w:rFonts w:hint="eastAsia" w:ascii="宋体" w:hAnsi="宋体" w:cs="宋体"/>
          <w:sz w:val="24"/>
          <w:lang w:bidi="ar"/>
        </w:rPr>
        <w:t>通知公告：系统应支持发布、查看和搜索社团通知和公告，确保信息的及时传递。</w:t>
      </w:r>
    </w:p>
    <w:p w14:paraId="23B35902">
      <w:pPr>
        <w:spacing w:line="440" w:lineRule="exact"/>
        <w:ind w:firstLine="480" w:firstLineChars="200"/>
        <w:outlineLvl w:val="9"/>
        <w:rPr>
          <w:rFonts w:ascii="宋体" w:hAnsi="宋体" w:cs="宋体"/>
          <w:sz w:val="24"/>
        </w:rPr>
      </w:pPr>
      <w:r>
        <w:rPr>
          <w:rFonts w:hint="eastAsia" w:ascii="宋体" w:hAnsi="宋体" w:cs="宋体"/>
          <w:sz w:val="24"/>
          <w:lang w:bidi="ar"/>
        </w:rPr>
        <w:t>交流论坛：系统应提供一个在线论坛，供社团成员交流和讨论，增强</w:t>
      </w:r>
      <w:r>
        <w:rPr>
          <w:rFonts w:hint="eastAsia" w:ascii="宋体" w:hAnsi="宋体" w:cs="宋体"/>
          <w:sz w:val="24"/>
          <w:lang w:eastAsia="zh" w:bidi="ar"/>
        </w:rPr>
        <w:t>社团</w:t>
      </w:r>
      <w:r>
        <w:rPr>
          <w:rFonts w:hint="eastAsia" w:ascii="宋体" w:hAnsi="宋体" w:cs="宋体"/>
          <w:sz w:val="24"/>
          <w:lang w:bidi="ar"/>
        </w:rPr>
        <w:t>互动。</w:t>
      </w:r>
    </w:p>
    <w:p w14:paraId="56F16AD5">
      <w:pPr>
        <w:spacing w:before="0" w:after="0" w:line="440" w:lineRule="exact"/>
        <w:ind w:firstLine="480" w:firstLineChars="200"/>
        <w:jc w:val="left"/>
        <w:outlineLvl w:val="9"/>
        <w:rPr>
          <w:rFonts w:ascii="宋体" w:hAnsi="宋体" w:cs="宋体"/>
          <w:b w:val="0"/>
          <w:sz w:val="24"/>
          <w:lang w:eastAsia="zh"/>
        </w:rPr>
      </w:pPr>
      <w:bookmarkStart w:id="611" w:name="_Toc651286646"/>
      <w:bookmarkStart w:id="612" w:name="_Toc2125308269"/>
      <w:r>
        <w:rPr>
          <w:rFonts w:ascii="Times New Roman" w:hAnsi="Times New Roman"/>
          <w:b w:val="0"/>
          <w:sz w:val="24"/>
        </w:rPr>
        <w:t>2.1.2</w:t>
      </w:r>
      <w:r>
        <w:rPr>
          <w:rFonts w:hint="eastAsia" w:ascii="宋体" w:hAnsi="宋体" w:cs="宋体"/>
          <w:b w:val="0"/>
          <w:sz w:val="24"/>
          <w:lang w:eastAsia="zh"/>
        </w:rPr>
        <w:t xml:space="preserve"> </w:t>
      </w:r>
      <w:r>
        <w:rPr>
          <w:rFonts w:hint="eastAsia" w:ascii="宋体" w:hAnsi="宋体" w:cs="宋体"/>
          <w:b w:val="0"/>
          <w:sz w:val="24"/>
        </w:rPr>
        <w:t>非功能性需求</w:t>
      </w:r>
      <w:bookmarkEnd w:id="611"/>
      <w:bookmarkEnd w:id="612"/>
    </w:p>
    <w:p w14:paraId="46AABCA7">
      <w:pPr>
        <w:spacing w:line="440" w:lineRule="exact"/>
        <w:ind w:firstLine="480" w:firstLineChars="200"/>
        <w:outlineLvl w:val="9"/>
        <w:rPr>
          <w:rFonts w:ascii="宋体" w:hAnsi="宋体" w:cs="宋体"/>
          <w:sz w:val="24"/>
        </w:rPr>
      </w:pPr>
      <w:r>
        <w:rPr>
          <w:rFonts w:hint="eastAsia" w:ascii="宋体" w:hAnsi="宋体" w:cs="宋体"/>
          <w:sz w:val="24"/>
        </w:rPr>
        <w:t>性能需求：系统应能够处理高并发用户访问，保证响应时间和数据处理速度，</w:t>
      </w:r>
      <w:r>
        <w:rPr>
          <w:rFonts w:hint="eastAsia" w:ascii="宋体" w:hAnsi="宋体" w:cs="宋体"/>
          <w:sz w:val="24"/>
          <w:lang w:bidi="ar"/>
        </w:rPr>
        <w:t>以适应高校</w:t>
      </w:r>
      <w:r>
        <w:rPr>
          <w:rFonts w:hint="eastAsia" w:ascii="宋体" w:hAnsi="宋体" w:cs="宋体"/>
          <w:sz w:val="24"/>
          <w:lang w:eastAsia="zh" w:bidi="ar"/>
        </w:rPr>
        <w:t>社团</w:t>
      </w:r>
      <w:r>
        <w:rPr>
          <w:rFonts w:hint="eastAsia" w:ascii="宋体" w:hAnsi="宋体" w:cs="宋体"/>
          <w:sz w:val="24"/>
          <w:lang w:bidi="ar"/>
        </w:rPr>
        <w:t>的活跃度。</w:t>
      </w:r>
    </w:p>
    <w:p w14:paraId="0A68D8A1">
      <w:pPr>
        <w:spacing w:line="440" w:lineRule="exact"/>
        <w:ind w:firstLine="480" w:firstLineChars="200"/>
        <w:outlineLvl w:val="9"/>
        <w:rPr>
          <w:rFonts w:ascii="宋体" w:hAnsi="宋体" w:cs="宋体"/>
          <w:sz w:val="24"/>
        </w:rPr>
      </w:pPr>
      <w:r>
        <w:rPr>
          <w:rFonts w:hint="eastAsia" w:ascii="宋体" w:hAnsi="宋体" w:cs="宋体"/>
          <w:sz w:val="24"/>
          <w:lang w:bidi="ar"/>
        </w:rPr>
        <w:t>安全性需求：系统应确保用户数据的安全，包括数据加密、访问控制和防止</w:t>
      </w:r>
      <w:r>
        <w:rPr>
          <w:rFonts w:hint="eastAsia" w:ascii="Times New Roman" w:hAnsi="Times New Roman" w:cs="宋体"/>
          <w:sz w:val="24"/>
          <w:lang w:bidi="ar"/>
        </w:rPr>
        <w:t>SQL</w:t>
      </w:r>
      <w:r>
        <w:rPr>
          <w:rFonts w:hint="eastAsia" w:ascii="宋体" w:hAnsi="宋体" w:cs="宋体"/>
          <w:sz w:val="24"/>
          <w:lang w:bidi="ar"/>
        </w:rPr>
        <w:t>注入等，保护用户隐私和系统安全。</w:t>
      </w:r>
    </w:p>
    <w:p w14:paraId="66477D7E">
      <w:pPr>
        <w:spacing w:line="440" w:lineRule="exact"/>
        <w:ind w:firstLine="480" w:firstLineChars="200"/>
        <w:outlineLvl w:val="9"/>
        <w:rPr>
          <w:rFonts w:ascii="宋体" w:hAnsi="宋体" w:cs="宋体"/>
          <w:sz w:val="24"/>
        </w:rPr>
      </w:pPr>
      <w:r>
        <w:rPr>
          <w:rFonts w:hint="eastAsia" w:ascii="宋体" w:hAnsi="宋体" w:cs="宋体"/>
          <w:sz w:val="24"/>
          <w:lang w:bidi="ar"/>
        </w:rPr>
        <w:t>可用性需求：系统应易于使用，具有直观的用户界面和良好的用户体验，降低用户学习成本。</w:t>
      </w:r>
    </w:p>
    <w:p w14:paraId="635B084E">
      <w:pPr>
        <w:spacing w:line="440" w:lineRule="exact"/>
        <w:ind w:firstLine="480" w:firstLineChars="200"/>
        <w:outlineLvl w:val="9"/>
        <w:rPr>
          <w:rFonts w:ascii="宋体" w:hAnsi="宋体" w:cs="宋体"/>
          <w:sz w:val="24"/>
        </w:rPr>
      </w:pPr>
      <w:r>
        <w:rPr>
          <w:rFonts w:hint="eastAsia" w:ascii="宋体" w:hAnsi="宋体" w:cs="宋体"/>
          <w:sz w:val="24"/>
          <w:lang w:bidi="ar"/>
        </w:rPr>
        <w:t>可维护性需求：系统应易于维护和升级，代码应具有良好的结构和文档，以支持未来的功能扩展和问题修复。</w:t>
      </w:r>
    </w:p>
    <w:p w14:paraId="42BD610A">
      <w:pPr>
        <w:spacing w:before="0" w:after="0" w:line="440" w:lineRule="exact"/>
        <w:ind w:firstLine="480" w:firstLineChars="200"/>
        <w:jc w:val="left"/>
        <w:outlineLvl w:val="9"/>
        <w:rPr>
          <w:rFonts w:ascii="宋体" w:hAnsi="宋体" w:cs="宋体"/>
          <w:b w:val="0"/>
          <w:sz w:val="24"/>
          <w:lang w:eastAsia="zh"/>
        </w:rPr>
      </w:pPr>
      <w:bookmarkStart w:id="613" w:name="_Toc217006570"/>
      <w:bookmarkStart w:id="614" w:name="_Toc27860245"/>
      <w:r>
        <w:rPr>
          <w:rFonts w:ascii="Times New Roman" w:hAnsi="Times New Roman"/>
          <w:b w:val="0"/>
          <w:sz w:val="24"/>
        </w:rPr>
        <w:t>2.1.3</w:t>
      </w:r>
      <w:r>
        <w:rPr>
          <w:rFonts w:hint="eastAsia" w:ascii="宋体" w:hAnsi="宋体" w:cs="宋体"/>
          <w:b w:val="0"/>
          <w:sz w:val="24"/>
          <w:lang w:eastAsia="zh"/>
        </w:rPr>
        <w:t xml:space="preserve"> </w:t>
      </w:r>
      <w:r>
        <w:rPr>
          <w:rFonts w:hint="eastAsia" w:ascii="宋体" w:hAnsi="宋体" w:cs="宋体"/>
          <w:b w:val="0"/>
          <w:sz w:val="24"/>
        </w:rPr>
        <w:t>系统约束</w:t>
      </w:r>
      <w:bookmarkEnd w:id="613"/>
      <w:bookmarkEnd w:id="614"/>
    </w:p>
    <w:p w14:paraId="1B5F53BF">
      <w:pPr>
        <w:spacing w:line="440" w:lineRule="exact"/>
        <w:ind w:firstLine="480" w:firstLineChars="200"/>
        <w:jc w:val="left"/>
        <w:outlineLvl w:val="9"/>
        <w:rPr>
          <w:rFonts w:ascii="宋体" w:hAnsi="宋体" w:cs="宋体"/>
          <w:sz w:val="24"/>
          <w:lang w:bidi="ar"/>
        </w:rPr>
      </w:pPr>
      <w:r>
        <w:rPr>
          <w:rFonts w:hint="eastAsia" w:ascii="宋体" w:hAnsi="宋体" w:cs="宋体"/>
          <w:sz w:val="24"/>
          <w:lang w:bidi="ar"/>
        </w:rPr>
        <w:t>技术约束：系统开发应基于现有的技术栈，如</w:t>
      </w:r>
      <w:r>
        <w:rPr>
          <w:rFonts w:hint="eastAsia" w:ascii="Times New Roman" w:hAnsi="Times New Roman" w:cs="宋体"/>
          <w:sz w:val="24"/>
          <w:lang w:bidi="ar"/>
        </w:rPr>
        <w:t>Java</w:t>
      </w:r>
      <w:r>
        <w:rPr>
          <w:rFonts w:hint="eastAsia" w:ascii="宋体" w:hAnsi="宋体" w:cs="宋体"/>
          <w:sz w:val="24"/>
          <w:lang w:bidi="ar"/>
        </w:rPr>
        <w:t>、</w:t>
      </w:r>
      <w:r>
        <w:rPr>
          <w:rFonts w:hint="eastAsia" w:ascii="Times New Roman" w:hAnsi="Times New Roman" w:cs="宋体"/>
          <w:sz w:val="24"/>
          <w:lang w:bidi="ar"/>
        </w:rPr>
        <w:t>Spring</w:t>
      </w:r>
      <w:r>
        <w:rPr>
          <w:rFonts w:hint="eastAsia" w:ascii="宋体" w:hAnsi="宋体" w:cs="宋体"/>
          <w:sz w:val="24"/>
          <w:lang w:bidi="ar"/>
        </w:rPr>
        <w:t>框架、</w:t>
      </w:r>
      <w:r>
        <w:rPr>
          <w:rFonts w:hint="eastAsia" w:ascii="Times New Roman" w:hAnsi="Times New Roman" w:cs="宋体"/>
          <w:sz w:val="24"/>
          <w:lang w:bidi="ar"/>
        </w:rPr>
        <w:t>MySQL</w:t>
      </w:r>
      <w:r>
        <w:rPr>
          <w:rFonts w:hint="eastAsia" w:ascii="宋体" w:hAnsi="宋体" w:cs="宋体"/>
          <w:sz w:val="24"/>
          <w:lang w:bidi="ar"/>
        </w:rPr>
        <w:t>等，以确保开发效率和系统稳定性。</w:t>
      </w:r>
    </w:p>
    <w:p w14:paraId="743B4036">
      <w:pPr>
        <w:spacing w:line="440" w:lineRule="exact"/>
        <w:ind w:firstLine="480" w:firstLineChars="200"/>
        <w:outlineLvl w:val="9"/>
        <w:rPr>
          <w:rFonts w:ascii="宋体" w:hAnsi="宋体" w:cs="宋体"/>
          <w:sz w:val="24"/>
          <w:lang w:bidi="ar"/>
        </w:rPr>
      </w:pPr>
      <w:r>
        <w:rPr>
          <w:rFonts w:hint="eastAsia" w:ascii="宋体" w:hAnsi="宋体" w:cs="宋体"/>
          <w:sz w:val="24"/>
          <w:lang w:bidi="ar"/>
        </w:rPr>
        <w:t>资源约束：系统开发应在有限的时间和预算内完成，合理分配资源以满足项目需求。</w:t>
      </w:r>
    </w:p>
    <w:p w14:paraId="2AF2912E">
      <w:pPr>
        <w:spacing w:line="440" w:lineRule="exact"/>
        <w:ind w:firstLine="480" w:firstLineChars="200"/>
        <w:outlineLvl w:val="9"/>
        <w:rPr>
          <w:rFonts w:ascii="宋体" w:hAnsi="宋体" w:cs="宋体"/>
          <w:sz w:val="24"/>
          <w:lang w:bidi="ar"/>
        </w:rPr>
      </w:pPr>
      <w:r>
        <w:rPr>
          <w:rFonts w:hint="eastAsia" w:ascii="宋体" w:hAnsi="宋体" w:cs="宋体"/>
          <w:sz w:val="24"/>
          <w:lang w:bidi="ar"/>
        </w:rPr>
        <w:t>法律约束：系统开发应遵守相关的法律法规，如数据保护法规等，确保合法合规。</w:t>
      </w:r>
    </w:p>
    <w:p w14:paraId="0CB77D50">
      <w:pPr>
        <w:spacing w:after="80" w:line="440" w:lineRule="exact"/>
        <w:ind w:firstLine="480" w:firstLineChars="200"/>
        <w:outlineLvl w:val="9"/>
        <w:rPr>
          <w:rFonts w:ascii="宋体" w:hAnsi="宋体" w:cs="宋体"/>
          <w:sz w:val="24"/>
          <w:lang w:bidi="ar"/>
        </w:rPr>
      </w:pPr>
      <w:bookmarkStart w:id="615" w:name="_Toc1456045519"/>
      <w:bookmarkStart w:id="616" w:name="_Toc1272208850"/>
      <w:r>
        <w:rPr>
          <w:rFonts w:ascii="Times New Roman" w:hAnsi="Times New Roman"/>
          <w:sz w:val="24"/>
          <w:lang w:bidi="ar"/>
        </w:rPr>
        <w:t>2.1.4</w:t>
      </w:r>
      <w:r>
        <w:rPr>
          <w:rFonts w:hint="eastAsia" w:ascii="宋体" w:hAnsi="宋体" w:cs="宋体"/>
          <w:sz w:val="24"/>
          <w:lang w:eastAsia="zh" w:bidi="ar"/>
        </w:rPr>
        <w:t xml:space="preserve"> </w:t>
      </w:r>
      <w:r>
        <w:rPr>
          <w:rFonts w:hint="eastAsia" w:ascii="宋体" w:hAnsi="宋体" w:cs="宋体"/>
          <w:sz w:val="24"/>
          <w:lang w:bidi="ar"/>
        </w:rPr>
        <w:t>用户需求</w:t>
      </w:r>
      <w:bookmarkEnd w:id="615"/>
      <w:bookmarkEnd w:id="616"/>
    </w:p>
    <w:p w14:paraId="2FA35F6B">
      <w:pPr>
        <w:spacing w:line="440" w:lineRule="exact"/>
        <w:ind w:firstLine="480" w:firstLineChars="200"/>
        <w:outlineLvl w:val="9"/>
        <w:rPr>
          <w:rFonts w:ascii="宋体" w:hAnsi="宋体" w:cs="宋体"/>
          <w:sz w:val="24"/>
          <w:lang w:bidi="ar"/>
        </w:rPr>
      </w:pPr>
      <w:r>
        <w:rPr>
          <w:rFonts w:hint="eastAsia" w:ascii="宋体" w:hAnsi="宋体" w:cs="宋体"/>
          <w:sz w:val="24"/>
          <w:lang w:bidi="ar"/>
        </w:rPr>
        <w:t>社团成员：需要一个平台来参与社团活动、获取通知和与其他成员交流。</w:t>
      </w:r>
    </w:p>
    <w:p w14:paraId="532A176A">
      <w:pPr>
        <w:spacing w:line="440" w:lineRule="exact"/>
        <w:ind w:firstLine="480" w:firstLineChars="200"/>
        <w:outlineLvl w:val="9"/>
        <w:rPr>
          <w:rFonts w:ascii="宋体" w:hAnsi="宋体" w:cs="宋体"/>
          <w:sz w:val="24"/>
          <w:lang w:bidi="ar"/>
        </w:rPr>
      </w:pPr>
      <w:r>
        <w:rPr>
          <w:rFonts w:hint="eastAsia" w:ascii="宋体" w:hAnsi="宋体" w:cs="宋体"/>
          <w:sz w:val="24"/>
          <w:lang w:bidi="ar"/>
        </w:rPr>
        <w:t>社团管理者：需要工具来管理社团成员、活动和通知，提高管理效率。</w:t>
      </w:r>
    </w:p>
    <w:p w14:paraId="730E3DE3">
      <w:pPr>
        <w:spacing w:line="440" w:lineRule="exact"/>
        <w:ind w:firstLine="480" w:firstLineChars="200"/>
        <w:outlineLvl w:val="9"/>
        <w:rPr>
          <w:rFonts w:ascii="宋体" w:hAnsi="宋体" w:cs="宋体"/>
          <w:sz w:val="24"/>
          <w:lang w:bidi="ar"/>
        </w:rPr>
      </w:pPr>
      <w:r>
        <w:rPr>
          <w:rFonts w:hint="eastAsia" w:ascii="宋体" w:hAnsi="宋体" w:cs="宋体"/>
          <w:sz w:val="24"/>
          <w:lang w:bidi="ar"/>
        </w:rPr>
        <w:t>系统管理员：需要权限来管理系统用户、监控系统性能和维护系统安全。</w:t>
      </w:r>
    </w:p>
    <w:p w14:paraId="140B746D">
      <w:pPr>
        <w:spacing w:after="80" w:line="440" w:lineRule="exact"/>
        <w:ind w:firstLine="480" w:firstLineChars="200"/>
        <w:outlineLvl w:val="9"/>
        <w:rPr>
          <w:rFonts w:ascii="宋体" w:hAnsi="宋体" w:cs="宋体"/>
          <w:sz w:val="24"/>
          <w:lang w:bidi="ar"/>
        </w:rPr>
      </w:pPr>
      <w:bookmarkStart w:id="617" w:name="_Toc1012157065"/>
      <w:bookmarkStart w:id="618" w:name="_Toc173055844"/>
      <w:r>
        <w:rPr>
          <w:rFonts w:ascii="Times New Roman" w:hAnsi="Times New Roman"/>
          <w:sz w:val="24"/>
          <w:lang w:bidi="ar"/>
        </w:rPr>
        <w:t>2.1.</w:t>
      </w:r>
      <w:r>
        <w:rPr>
          <w:rFonts w:ascii="Times New Roman" w:hAnsi="Times New Roman"/>
          <w:sz w:val="24"/>
          <w:lang w:eastAsia="zh" w:bidi="ar"/>
        </w:rPr>
        <w:t>5</w:t>
      </w:r>
      <w:r>
        <w:rPr>
          <w:rFonts w:hint="eastAsia" w:ascii="宋体" w:hAnsi="宋体" w:cs="宋体"/>
          <w:sz w:val="24"/>
          <w:lang w:eastAsia="zh" w:bidi="ar"/>
        </w:rPr>
        <w:t xml:space="preserve"> </w:t>
      </w:r>
      <w:r>
        <w:rPr>
          <w:rFonts w:hint="eastAsia" w:ascii="宋体" w:hAnsi="宋体" w:cs="宋体"/>
          <w:sz w:val="24"/>
          <w:lang w:bidi="ar"/>
        </w:rPr>
        <w:t>业务流程需求</w:t>
      </w:r>
      <w:bookmarkEnd w:id="617"/>
      <w:bookmarkEnd w:id="618"/>
    </w:p>
    <w:p w14:paraId="12ED998A">
      <w:pPr>
        <w:spacing w:line="440" w:lineRule="exact"/>
        <w:ind w:firstLine="480" w:firstLineChars="200"/>
        <w:outlineLvl w:val="9"/>
        <w:rPr>
          <w:rFonts w:ascii="宋体" w:hAnsi="宋体" w:cs="宋体"/>
          <w:sz w:val="24"/>
          <w:lang w:bidi="ar"/>
        </w:rPr>
      </w:pPr>
      <w:r>
        <w:rPr>
          <w:rFonts w:hint="eastAsia" w:ascii="宋体" w:hAnsi="宋体" w:cs="宋体"/>
          <w:sz w:val="24"/>
          <w:lang w:bidi="ar"/>
        </w:rPr>
        <w:t>用户注册和登录流程：用户应能够轻松注册和登录系统，系统需验证用户身份并分配相应权限。</w:t>
      </w:r>
    </w:p>
    <w:p w14:paraId="0A9F368C">
      <w:pPr>
        <w:spacing w:line="440" w:lineRule="exact"/>
        <w:ind w:firstLine="480" w:firstLineChars="200"/>
        <w:outlineLvl w:val="9"/>
        <w:rPr>
          <w:rFonts w:ascii="宋体" w:hAnsi="宋体" w:cs="宋体"/>
          <w:sz w:val="24"/>
          <w:lang w:bidi="ar"/>
        </w:rPr>
      </w:pPr>
      <w:r>
        <w:rPr>
          <w:rFonts w:hint="eastAsia" w:ascii="宋体" w:hAnsi="宋体" w:cs="宋体"/>
          <w:sz w:val="24"/>
          <w:lang w:bidi="ar"/>
        </w:rPr>
        <w:t>社团创建和管理流程：社团管理者应能够创建社团、添加成员和管理社团信息，系统需提供相应的管理界面。</w:t>
      </w:r>
    </w:p>
    <w:p w14:paraId="00A81101">
      <w:pPr>
        <w:spacing w:line="440" w:lineRule="exact"/>
        <w:ind w:firstLine="480" w:firstLineChars="200"/>
        <w:outlineLvl w:val="9"/>
        <w:rPr>
          <w:rFonts w:ascii="宋体" w:hAnsi="宋体" w:cs="宋体"/>
          <w:sz w:val="24"/>
          <w:lang w:bidi="ar"/>
        </w:rPr>
      </w:pPr>
      <w:r>
        <w:rPr>
          <w:rFonts w:hint="eastAsia" w:ascii="宋体" w:hAnsi="宋体" w:cs="宋体"/>
          <w:sz w:val="24"/>
          <w:lang w:bidi="ar"/>
        </w:rPr>
        <w:t>活动发布和报名流程：社团管理者应能够发布活动，成员应能够报名参与活动，系统需确保活动信息的准确性和报名流程的便捷性。</w:t>
      </w:r>
    </w:p>
    <w:p w14:paraId="1B32F58A">
      <w:pPr>
        <w:keepNext w:val="0"/>
        <w:keepLines w:val="0"/>
        <w:spacing w:before="80" w:after="0" w:line="440" w:lineRule="exact"/>
        <w:ind w:firstLine="480" w:firstLineChars="200"/>
        <w:outlineLvl w:val="9"/>
        <w:rPr>
          <w:rFonts w:ascii="宋体" w:hAnsi="宋体" w:cs="宋体"/>
          <w:b w:val="0"/>
          <w:sz w:val="24"/>
          <w:lang w:bidi="ar"/>
        </w:rPr>
      </w:pPr>
      <w:bookmarkStart w:id="619" w:name="_Toc907306141"/>
      <w:bookmarkStart w:id="620" w:name="_Toc1782380726"/>
      <w:r>
        <w:rPr>
          <w:rFonts w:ascii="Times New Roman" w:hAnsi="Times New Roman"/>
          <w:b w:val="0"/>
          <w:sz w:val="24"/>
          <w:lang w:bidi="ar"/>
        </w:rPr>
        <w:t>2.1.</w:t>
      </w:r>
      <w:r>
        <w:rPr>
          <w:rFonts w:ascii="Times New Roman" w:hAnsi="Times New Roman"/>
          <w:b w:val="0"/>
          <w:sz w:val="24"/>
          <w:lang w:eastAsia="zh" w:bidi="ar"/>
        </w:rPr>
        <w:t>6</w:t>
      </w:r>
      <w:r>
        <w:rPr>
          <w:rFonts w:hint="eastAsia" w:ascii="宋体" w:hAnsi="宋体" w:cs="宋体"/>
          <w:b w:val="0"/>
          <w:sz w:val="24"/>
          <w:lang w:eastAsia="zh" w:bidi="ar"/>
        </w:rPr>
        <w:t xml:space="preserve"> </w:t>
      </w:r>
      <w:r>
        <w:rPr>
          <w:rFonts w:hint="eastAsia" w:ascii="宋体" w:hAnsi="宋体" w:cs="宋体"/>
          <w:b w:val="0"/>
          <w:sz w:val="24"/>
          <w:lang w:bidi="ar"/>
        </w:rPr>
        <w:t>数据需求</w:t>
      </w:r>
      <w:bookmarkEnd w:id="619"/>
      <w:bookmarkEnd w:id="620"/>
    </w:p>
    <w:p w14:paraId="71836936">
      <w:pPr>
        <w:tabs>
          <w:tab w:val="left" w:pos="312"/>
        </w:tabs>
        <w:spacing w:line="440" w:lineRule="exact"/>
        <w:ind w:firstLine="480" w:firstLineChars="200"/>
        <w:outlineLvl w:val="9"/>
        <w:rPr>
          <w:rFonts w:ascii="宋体" w:hAnsi="宋体" w:cs="宋体"/>
          <w:sz w:val="24"/>
          <w:lang w:bidi="ar"/>
        </w:rPr>
      </w:pPr>
      <w:r>
        <w:rPr>
          <w:rFonts w:hint="eastAsia" w:ascii="宋体" w:hAnsi="宋体" w:cs="宋体"/>
          <w:sz w:val="24"/>
          <w:lang w:bidi="ar"/>
        </w:rPr>
        <w:t>成员管理数据：</w:t>
      </w:r>
    </w:p>
    <w:p w14:paraId="5EA77DB6">
      <w:pPr>
        <w:numPr>
          <w:ilvl w:val="0"/>
          <w:numId w:val="11"/>
        </w:numPr>
        <w:tabs>
          <w:tab w:val="clear" w:pos="312"/>
        </w:tabs>
        <w:spacing w:line="440" w:lineRule="exact"/>
        <w:ind w:firstLine="480" w:firstLineChars="200"/>
        <w:outlineLvl w:val="9"/>
        <w:rPr>
          <w:rFonts w:ascii="宋体" w:hAnsi="宋体" w:cs="宋体"/>
          <w:sz w:val="24"/>
          <w:lang w:bidi="ar"/>
        </w:rPr>
      </w:pPr>
      <w:r>
        <w:rPr>
          <w:rFonts w:hint="eastAsia" w:ascii="宋体" w:hAnsi="宋体" w:cs="宋体"/>
          <w:sz w:val="24"/>
          <w:lang w:bidi="ar"/>
        </w:rPr>
        <w:t>能够录入、编辑和删除社团成员信息，包括姓名、学号/工号、年级、专业、联系方式等。</w:t>
      </w:r>
    </w:p>
    <w:p w14:paraId="60EFAE69">
      <w:pPr>
        <w:spacing w:line="440" w:lineRule="exact"/>
        <w:ind w:firstLine="480" w:firstLineChars="200"/>
        <w:outlineLvl w:val="9"/>
        <w:rPr>
          <w:rFonts w:ascii="宋体" w:hAnsi="宋体" w:cs="宋体"/>
          <w:sz w:val="24"/>
          <w:lang w:bidi="ar"/>
        </w:rPr>
      </w:pPr>
      <w:r>
        <w:rPr>
          <w:rFonts w:ascii="Times New Roman" w:hAnsi="Times New Roman"/>
          <w:sz w:val="24"/>
          <w:lang w:bidi="ar"/>
        </w:rPr>
        <w:t>2.</w:t>
      </w:r>
      <w:r>
        <w:rPr>
          <w:rFonts w:hint="eastAsia" w:ascii="宋体" w:hAnsi="宋体" w:cs="宋体"/>
          <w:sz w:val="24"/>
          <w:lang w:bidi="ar"/>
        </w:rPr>
        <w:t>对成员进行分类，如普通成员、干部成员，不同类别成员具有不同权限。</w:t>
      </w:r>
    </w:p>
    <w:p w14:paraId="73D90368">
      <w:pPr>
        <w:spacing w:line="440" w:lineRule="exact"/>
        <w:ind w:firstLine="480" w:firstLineChars="200"/>
        <w:outlineLvl w:val="9"/>
        <w:rPr>
          <w:rFonts w:ascii="宋体" w:hAnsi="宋体" w:cs="宋体"/>
          <w:sz w:val="24"/>
          <w:lang w:bidi="ar"/>
        </w:rPr>
      </w:pPr>
      <w:r>
        <w:rPr>
          <w:rFonts w:hint="eastAsia" w:ascii="宋体" w:hAnsi="宋体" w:cs="宋体"/>
          <w:sz w:val="24"/>
          <w:lang w:bidi="ar"/>
        </w:rPr>
        <w:t>资源管理数据：</w:t>
      </w:r>
    </w:p>
    <w:p w14:paraId="4C35F08D">
      <w:pPr>
        <w:spacing w:line="440" w:lineRule="exact"/>
        <w:ind w:firstLine="480" w:firstLineChars="200"/>
        <w:outlineLvl w:val="9"/>
        <w:rPr>
          <w:rFonts w:ascii="宋体" w:hAnsi="宋体" w:cs="宋体"/>
          <w:sz w:val="24"/>
          <w:lang w:bidi="ar"/>
        </w:rPr>
      </w:pPr>
      <w:r>
        <w:rPr>
          <w:rFonts w:hint="eastAsia" w:ascii="Times New Roman" w:hAnsi="Times New Roman" w:cs="宋体"/>
          <w:sz w:val="24"/>
          <w:lang w:bidi="ar"/>
        </w:rPr>
        <w:t>1</w:t>
      </w:r>
      <w:r>
        <w:rPr>
          <w:rFonts w:hint="eastAsia" w:ascii="宋体" w:hAnsi="宋体" w:cs="宋体"/>
          <w:sz w:val="24"/>
          <w:lang w:bidi="ar"/>
        </w:rPr>
        <w:t>.管理社团的物资，如设备、场地等。记录物资的借用情况，包括借用者、借用时间、归还时间等。</w:t>
      </w:r>
    </w:p>
    <w:p w14:paraId="25E90080">
      <w:pPr>
        <w:spacing w:line="440" w:lineRule="exact"/>
        <w:ind w:firstLine="480" w:firstLineChars="200"/>
        <w:outlineLvl w:val="9"/>
        <w:rPr>
          <w:rFonts w:ascii="宋体" w:hAnsi="宋体" w:cs="宋体"/>
          <w:sz w:val="24"/>
          <w:lang w:bidi="ar"/>
        </w:rPr>
      </w:pPr>
      <w:r>
        <w:rPr>
          <w:rFonts w:ascii="Times New Roman" w:hAnsi="Times New Roman"/>
          <w:sz w:val="24"/>
          <w:lang w:bidi="ar"/>
        </w:rPr>
        <w:t>2.</w:t>
      </w:r>
      <w:r>
        <w:rPr>
          <w:rFonts w:hint="eastAsia" w:ascii="宋体" w:hAnsi="宋体" w:cs="宋体"/>
          <w:sz w:val="24"/>
          <w:lang w:bidi="ar"/>
        </w:rPr>
        <w:t>管理社团的经费，记录收入（如会费、赞助等）和支出（如活动经费、物资采购等）情况。</w:t>
      </w:r>
    </w:p>
    <w:p w14:paraId="1B509F31">
      <w:pPr>
        <w:spacing w:line="440" w:lineRule="exact"/>
        <w:ind w:firstLine="480" w:firstLineChars="200"/>
        <w:outlineLvl w:val="9"/>
        <w:rPr>
          <w:rFonts w:ascii="宋体" w:hAnsi="宋体" w:cs="宋体"/>
          <w:sz w:val="24"/>
          <w:lang w:bidi="ar"/>
        </w:rPr>
      </w:pPr>
      <w:r>
        <w:rPr>
          <w:rFonts w:hint="eastAsia" w:ascii="宋体" w:hAnsi="宋体" w:cs="宋体"/>
          <w:sz w:val="24"/>
          <w:lang w:bidi="ar"/>
        </w:rPr>
        <w:t>通知和公告数据：</w:t>
      </w:r>
    </w:p>
    <w:p w14:paraId="288BF75B">
      <w:pPr>
        <w:spacing w:line="440" w:lineRule="exact"/>
        <w:ind w:firstLine="480" w:firstLineChars="200"/>
        <w:outlineLvl w:val="9"/>
        <w:rPr>
          <w:rFonts w:ascii="宋体" w:hAnsi="宋体" w:cs="宋体"/>
          <w:color w:val="FF0000"/>
          <w:sz w:val="24"/>
          <w:lang w:bidi="ar"/>
        </w:rPr>
      </w:pPr>
      <w:r>
        <w:rPr>
          <w:rFonts w:hint="eastAsia" w:ascii="宋体" w:hAnsi="宋体" w:cs="宋体"/>
          <w:sz w:val="24"/>
          <w:lang w:bidi="ar"/>
        </w:rPr>
        <w:t>包括发布者、内容、发布时间等，系统需确保信息的及时发布和有效传播。</w:t>
      </w:r>
    </w:p>
    <w:p w14:paraId="035C9EEE">
      <w:pPr>
        <w:keepNext w:val="0"/>
        <w:keepLines w:val="0"/>
        <w:spacing w:before="100" w:after="0" w:line="440" w:lineRule="exact"/>
        <w:ind w:firstLine="480" w:firstLineChars="200"/>
        <w:outlineLvl w:val="9"/>
        <w:rPr>
          <w:rFonts w:ascii="宋体" w:hAnsi="宋体" w:eastAsia="宋体" w:cs="宋体"/>
          <w:b w:val="0"/>
          <w:sz w:val="24"/>
          <w:lang w:eastAsia="zh" w:bidi="ar"/>
        </w:rPr>
      </w:pPr>
      <w:bookmarkStart w:id="621" w:name="_Toc906"/>
      <w:bookmarkStart w:id="622" w:name="_Toc675709479"/>
      <w:bookmarkStart w:id="623" w:name="_Toc10384"/>
      <w:bookmarkStart w:id="624" w:name="_Toc206748450"/>
      <w:bookmarkStart w:id="625" w:name="_Toc3271"/>
      <w:r>
        <w:rPr>
          <w:rFonts w:ascii="Times New Roman" w:hAnsi="Times New Roman" w:eastAsia="宋体"/>
          <w:b w:val="0"/>
          <w:sz w:val="24"/>
        </w:rPr>
        <w:t>2</w:t>
      </w:r>
      <w:r>
        <w:rPr>
          <w:rFonts w:ascii="Times New Roman" w:hAnsi="Times New Roman" w:eastAsia="宋体"/>
          <w:b w:val="0"/>
          <w:color w:val="000000" w:themeColor="text1"/>
          <w:sz w:val="24"/>
          <w14:textFill>
            <w14:solidFill>
              <w14:schemeClr w14:val="tx1"/>
            </w14:solidFill>
          </w14:textFill>
        </w:rPr>
        <w:t>.2</w:t>
      </w:r>
      <w:r>
        <w:rPr>
          <w:rFonts w:hint="eastAsia" w:ascii="Times New Roman" w:hAnsi="Times New Roman" w:eastAsia="宋体"/>
          <w:b w:val="0"/>
          <w:color w:val="000000" w:themeColor="text1"/>
          <w:sz w:val="24"/>
          <w14:textFill>
            <w14:solidFill>
              <w14:schemeClr w14:val="tx1"/>
            </w14:solidFill>
          </w14:textFill>
        </w:rPr>
        <w:t xml:space="preserve"> 可行性分析</w:t>
      </w:r>
      <w:bookmarkEnd w:id="621"/>
      <w:bookmarkEnd w:id="622"/>
      <w:bookmarkEnd w:id="623"/>
      <w:bookmarkEnd w:id="624"/>
      <w:bookmarkEnd w:id="625"/>
    </w:p>
    <w:p w14:paraId="5B2419BB">
      <w:pPr>
        <w:keepNext w:val="0"/>
        <w:keepLines w:val="0"/>
        <w:spacing w:before="0" w:after="0" w:line="440" w:lineRule="exact"/>
        <w:ind w:firstLine="480" w:firstLineChars="200"/>
        <w:outlineLvl w:val="9"/>
        <w:rPr>
          <w:rFonts w:ascii="宋体" w:hAnsi="宋体" w:cs="宋体"/>
          <w:b w:val="0"/>
          <w:sz w:val="24"/>
          <w:lang w:bidi="ar"/>
        </w:rPr>
      </w:pPr>
      <w:bookmarkStart w:id="626" w:name="_Toc1001910051"/>
      <w:bookmarkStart w:id="627" w:name="_Toc1199373050"/>
      <w:r>
        <w:rPr>
          <w:rFonts w:ascii="Times New Roman" w:hAnsi="Times New Roman"/>
          <w:b w:val="0"/>
          <w:sz w:val="24"/>
          <w:lang w:bidi="ar"/>
        </w:rPr>
        <w:t>2.2.1</w:t>
      </w:r>
      <w:r>
        <w:rPr>
          <w:rFonts w:hint="eastAsia" w:ascii="宋体" w:hAnsi="宋体" w:cs="宋体"/>
          <w:b w:val="0"/>
          <w:sz w:val="24"/>
          <w:lang w:eastAsia="zh" w:bidi="ar"/>
        </w:rPr>
        <w:t xml:space="preserve"> </w:t>
      </w:r>
      <w:r>
        <w:rPr>
          <w:rFonts w:hint="eastAsia" w:ascii="宋体" w:hAnsi="宋体" w:cs="宋体"/>
          <w:b w:val="0"/>
          <w:sz w:val="24"/>
          <w:lang w:bidi="ar"/>
        </w:rPr>
        <w:t>技术可行性</w:t>
      </w:r>
      <w:bookmarkEnd w:id="626"/>
      <w:bookmarkEnd w:id="627"/>
    </w:p>
    <w:p w14:paraId="3535C440">
      <w:pPr>
        <w:spacing w:line="440" w:lineRule="exact"/>
        <w:ind w:firstLine="480" w:firstLineChars="200"/>
        <w:outlineLvl w:val="9"/>
        <w:rPr>
          <w:rFonts w:ascii="宋体" w:hAnsi="宋体" w:cs="宋体"/>
          <w:sz w:val="24"/>
          <w:lang w:bidi="ar"/>
        </w:rPr>
      </w:pPr>
      <w:r>
        <w:rPr>
          <w:rFonts w:hint="eastAsia" w:ascii="宋体" w:hAnsi="宋体" w:cs="宋体"/>
          <w:sz w:val="24"/>
          <w:lang w:bidi="ar"/>
        </w:rPr>
        <w:t>技术成熟度：项目所采用的</w:t>
      </w:r>
      <w:r>
        <w:rPr>
          <w:rFonts w:hint="eastAsia" w:ascii="Times New Roman" w:hAnsi="Times New Roman" w:cs="宋体"/>
          <w:sz w:val="24"/>
          <w:lang w:bidi="ar"/>
        </w:rPr>
        <w:t>Java</w:t>
      </w:r>
      <w:r>
        <w:rPr>
          <w:rFonts w:hint="eastAsia" w:ascii="宋体" w:hAnsi="宋体" w:cs="宋体"/>
          <w:sz w:val="24"/>
          <w:lang w:bidi="ar"/>
        </w:rPr>
        <w:t>、</w:t>
      </w:r>
      <w:r>
        <w:rPr>
          <w:rFonts w:hint="eastAsia" w:ascii="Times New Roman" w:hAnsi="Times New Roman" w:cs="宋体"/>
          <w:sz w:val="24"/>
          <w:lang w:bidi="ar"/>
        </w:rPr>
        <w:t>Spring</w:t>
      </w:r>
      <w:r>
        <w:rPr>
          <w:rFonts w:hint="eastAsia" w:ascii="宋体" w:hAnsi="宋体" w:cs="宋体"/>
          <w:sz w:val="24"/>
          <w:lang w:bidi="ar"/>
        </w:rPr>
        <w:t>框架、</w:t>
      </w:r>
      <w:r>
        <w:rPr>
          <w:rFonts w:hint="eastAsia" w:ascii="Times New Roman" w:hAnsi="Times New Roman" w:cs="宋体"/>
          <w:sz w:val="24"/>
          <w:lang w:bidi="ar"/>
        </w:rPr>
        <w:t>Maven</w:t>
      </w:r>
      <w:r>
        <w:rPr>
          <w:rFonts w:hint="eastAsia" w:ascii="宋体" w:hAnsi="宋体" w:cs="宋体"/>
          <w:sz w:val="24"/>
          <w:lang w:bidi="ar"/>
        </w:rPr>
        <w:t>、</w:t>
      </w:r>
      <w:r>
        <w:rPr>
          <w:rFonts w:hint="eastAsia" w:ascii="Times New Roman" w:hAnsi="Times New Roman" w:cs="宋体"/>
          <w:sz w:val="24"/>
          <w:lang w:bidi="ar"/>
        </w:rPr>
        <w:t>MySQL</w:t>
      </w:r>
      <w:r>
        <w:rPr>
          <w:rFonts w:hint="eastAsia" w:ascii="宋体" w:hAnsi="宋体" w:cs="宋体"/>
          <w:sz w:val="24"/>
          <w:lang w:bidi="ar"/>
        </w:rPr>
        <w:t>等技术都是业界广泛使用且成熟的技术，具有稳定的性能和丰富的</w:t>
      </w:r>
      <w:r>
        <w:rPr>
          <w:rFonts w:hint="eastAsia" w:ascii="宋体" w:hAnsi="宋体" w:cs="宋体"/>
          <w:sz w:val="24"/>
          <w:lang w:eastAsia="zh" w:bidi="ar"/>
        </w:rPr>
        <w:t>社团</w:t>
      </w:r>
      <w:r>
        <w:rPr>
          <w:rFonts w:hint="eastAsia" w:ascii="宋体" w:hAnsi="宋体" w:cs="宋体"/>
          <w:sz w:val="24"/>
          <w:lang w:bidi="ar"/>
        </w:rPr>
        <w:t>支持，这为项目的技术实现提供了坚实的基础。</w:t>
      </w:r>
    </w:p>
    <w:p w14:paraId="0A28DDB5">
      <w:pPr>
        <w:spacing w:line="440" w:lineRule="exact"/>
        <w:ind w:firstLine="480" w:firstLineChars="200"/>
        <w:outlineLvl w:val="9"/>
        <w:rPr>
          <w:rFonts w:ascii="宋体" w:hAnsi="宋体" w:cs="宋体"/>
          <w:sz w:val="24"/>
          <w:lang w:bidi="ar"/>
        </w:rPr>
      </w:pPr>
      <w:r>
        <w:rPr>
          <w:rFonts w:hint="eastAsia" w:ascii="宋体" w:hAnsi="宋体" w:cs="宋体"/>
          <w:sz w:val="24"/>
          <w:lang w:bidi="ar"/>
        </w:rPr>
        <w:t>开发工具的可用性：</w:t>
      </w:r>
      <w:r>
        <w:rPr>
          <w:rFonts w:hint="eastAsia" w:ascii="Times New Roman" w:hAnsi="Times New Roman" w:cs="宋体"/>
          <w:sz w:val="24"/>
          <w:lang w:bidi="ar"/>
        </w:rPr>
        <w:t>IntelliJ</w:t>
      </w:r>
      <w:r>
        <w:rPr>
          <w:rFonts w:hint="eastAsia" w:ascii="宋体" w:hAnsi="宋体" w:cs="宋体"/>
          <w:sz w:val="24"/>
          <w:lang w:bidi="ar"/>
        </w:rPr>
        <w:t xml:space="preserve"> </w:t>
      </w:r>
      <w:r>
        <w:rPr>
          <w:rFonts w:hint="eastAsia" w:ascii="Times New Roman" w:hAnsi="Times New Roman" w:cs="宋体"/>
          <w:sz w:val="24"/>
          <w:lang w:bidi="ar"/>
        </w:rPr>
        <w:t>IDEA</w:t>
      </w:r>
      <w:r>
        <w:rPr>
          <w:rFonts w:hint="eastAsia" w:ascii="宋体" w:hAnsi="宋体" w:cs="宋体"/>
          <w:sz w:val="24"/>
          <w:lang w:bidi="ar"/>
        </w:rPr>
        <w:t>、</w:t>
      </w:r>
      <w:r>
        <w:rPr>
          <w:rFonts w:hint="eastAsia" w:ascii="Times New Roman" w:hAnsi="Times New Roman" w:cs="宋体"/>
          <w:sz w:val="24"/>
          <w:lang w:bidi="ar"/>
        </w:rPr>
        <w:t>Visual</w:t>
      </w:r>
      <w:r>
        <w:rPr>
          <w:rFonts w:hint="eastAsia" w:ascii="宋体" w:hAnsi="宋体" w:cs="宋体"/>
          <w:sz w:val="24"/>
          <w:lang w:bidi="ar"/>
        </w:rPr>
        <w:t xml:space="preserve"> </w:t>
      </w:r>
      <w:r>
        <w:rPr>
          <w:rFonts w:hint="eastAsia" w:ascii="Times New Roman" w:hAnsi="Times New Roman" w:cs="宋体"/>
          <w:sz w:val="24"/>
          <w:lang w:bidi="ar"/>
        </w:rPr>
        <w:t>Studio</w:t>
      </w:r>
      <w:r>
        <w:rPr>
          <w:rFonts w:hint="eastAsia" w:ascii="宋体" w:hAnsi="宋体" w:cs="宋体"/>
          <w:sz w:val="24"/>
          <w:lang w:bidi="ar"/>
        </w:rPr>
        <w:t xml:space="preserve"> </w:t>
      </w:r>
      <w:r>
        <w:rPr>
          <w:rFonts w:hint="eastAsia" w:ascii="Times New Roman" w:hAnsi="Times New Roman" w:cs="宋体"/>
          <w:sz w:val="24"/>
          <w:lang w:bidi="ar"/>
        </w:rPr>
        <w:t>Code</w:t>
      </w:r>
      <w:r>
        <w:rPr>
          <w:rFonts w:hint="eastAsia" w:ascii="宋体" w:hAnsi="宋体" w:cs="宋体"/>
          <w:sz w:val="24"/>
          <w:lang w:bidi="ar"/>
        </w:rPr>
        <w:t>、</w:t>
      </w:r>
      <w:r>
        <w:rPr>
          <w:rFonts w:hint="eastAsia" w:ascii="Times New Roman" w:hAnsi="Times New Roman" w:cs="宋体"/>
          <w:sz w:val="24"/>
          <w:lang w:bidi="ar"/>
        </w:rPr>
        <w:t>MySQL</w:t>
      </w:r>
      <w:r>
        <w:rPr>
          <w:rFonts w:hint="eastAsia" w:ascii="宋体" w:hAnsi="宋体" w:cs="宋体"/>
          <w:sz w:val="24"/>
          <w:lang w:bidi="ar"/>
        </w:rPr>
        <w:t xml:space="preserve"> </w:t>
      </w:r>
      <w:r>
        <w:rPr>
          <w:rFonts w:hint="eastAsia" w:ascii="Times New Roman" w:hAnsi="Times New Roman" w:cs="宋体"/>
          <w:sz w:val="24"/>
          <w:lang w:bidi="ar"/>
        </w:rPr>
        <w:t>Workbench</w:t>
      </w:r>
      <w:r>
        <w:rPr>
          <w:rFonts w:hint="eastAsia" w:ascii="宋体" w:hAnsi="宋体" w:cs="宋体"/>
          <w:sz w:val="24"/>
          <w:lang w:bidi="ar"/>
        </w:rPr>
        <w:t>等开发工具均可在</w:t>
      </w:r>
      <w:r>
        <w:rPr>
          <w:rFonts w:hint="eastAsia" w:ascii="Times New Roman" w:hAnsi="Times New Roman" w:cs="宋体"/>
          <w:sz w:val="24"/>
          <w:lang w:bidi="ar"/>
        </w:rPr>
        <w:t>Windows</w:t>
      </w:r>
      <w:r>
        <w:rPr>
          <w:rFonts w:hint="eastAsia" w:ascii="宋体" w:hAnsi="宋体" w:cs="宋体"/>
          <w:sz w:val="24"/>
          <w:lang w:bidi="ar"/>
        </w:rPr>
        <w:t xml:space="preserve"> </w:t>
      </w:r>
      <w:r>
        <w:rPr>
          <w:rFonts w:hint="eastAsia" w:ascii="Times New Roman" w:hAnsi="Times New Roman" w:cs="宋体"/>
          <w:sz w:val="24"/>
          <w:lang w:bidi="ar"/>
        </w:rPr>
        <w:t>11</w:t>
      </w:r>
      <w:r>
        <w:rPr>
          <w:rFonts w:hint="eastAsia" w:ascii="宋体" w:hAnsi="宋体" w:cs="宋体"/>
          <w:sz w:val="24"/>
          <w:lang w:bidi="ar"/>
        </w:rPr>
        <w:t>操作系统上高效运行，且这些工具都具有良好的用户界面和强大的功能，能够满足项目开发的需求。</w:t>
      </w:r>
    </w:p>
    <w:p w14:paraId="7DC97C86">
      <w:pPr>
        <w:spacing w:line="440" w:lineRule="exact"/>
        <w:ind w:firstLine="480" w:firstLineChars="200"/>
        <w:outlineLvl w:val="9"/>
        <w:rPr>
          <w:rFonts w:ascii="宋体" w:hAnsi="宋体" w:cs="宋体"/>
          <w:sz w:val="24"/>
          <w:lang w:bidi="ar"/>
        </w:rPr>
      </w:pPr>
      <w:r>
        <w:rPr>
          <w:rFonts w:hint="eastAsia" w:ascii="宋体" w:hAnsi="宋体" w:cs="宋体"/>
          <w:sz w:val="24"/>
          <w:lang w:bidi="ar"/>
        </w:rPr>
        <w:t>技术团队能力：项目团队成员具备相关的技术背景和开发经验，能够熟练运用项目所需的技术栈进行开发。</w:t>
      </w:r>
    </w:p>
    <w:p w14:paraId="6B957843">
      <w:pPr>
        <w:keepNext w:val="0"/>
        <w:keepLines w:val="0"/>
        <w:spacing w:before="0" w:after="0" w:line="440" w:lineRule="exact"/>
        <w:ind w:firstLine="480" w:firstLineChars="200"/>
        <w:outlineLvl w:val="9"/>
        <w:rPr>
          <w:rFonts w:ascii="宋体" w:hAnsi="宋体" w:cs="宋体"/>
          <w:b w:val="0"/>
          <w:sz w:val="24"/>
          <w:lang w:bidi="ar"/>
        </w:rPr>
      </w:pPr>
      <w:bookmarkStart w:id="628" w:name="_Toc898238464"/>
      <w:bookmarkStart w:id="629" w:name="_Toc707568994"/>
      <w:r>
        <w:rPr>
          <w:rFonts w:ascii="Times New Roman" w:hAnsi="Times New Roman"/>
          <w:b w:val="0"/>
          <w:sz w:val="24"/>
          <w:lang w:bidi="ar"/>
        </w:rPr>
        <w:t>2.2.3</w:t>
      </w:r>
      <w:r>
        <w:rPr>
          <w:rFonts w:hint="eastAsia" w:ascii="宋体" w:hAnsi="宋体" w:cs="宋体"/>
          <w:b w:val="0"/>
          <w:sz w:val="24"/>
          <w:lang w:bidi="ar"/>
        </w:rPr>
        <w:t>法律可行性</w:t>
      </w:r>
      <w:bookmarkEnd w:id="628"/>
      <w:bookmarkEnd w:id="629"/>
    </w:p>
    <w:p w14:paraId="2624BA72">
      <w:pPr>
        <w:spacing w:line="440" w:lineRule="exact"/>
        <w:ind w:firstLine="480" w:firstLineChars="200"/>
        <w:outlineLvl w:val="9"/>
        <w:rPr>
          <w:rFonts w:ascii="宋体" w:hAnsi="宋体" w:cs="宋体"/>
          <w:sz w:val="24"/>
          <w:lang w:bidi="ar"/>
        </w:rPr>
      </w:pPr>
      <w:r>
        <w:rPr>
          <w:rFonts w:hint="eastAsia" w:ascii="宋体" w:hAnsi="宋体" w:cs="宋体"/>
          <w:sz w:val="24"/>
          <w:lang w:bidi="ar"/>
        </w:rPr>
        <w:t>知识产权：项目开发过程中，将尊重和遵守相关的知识产权法律，避免使用未经授权的第三方代码或库。</w:t>
      </w:r>
    </w:p>
    <w:p w14:paraId="72EE6B6B">
      <w:pPr>
        <w:spacing w:line="440" w:lineRule="exact"/>
        <w:ind w:firstLine="480" w:firstLineChars="200"/>
        <w:outlineLvl w:val="9"/>
        <w:rPr>
          <w:rFonts w:ascii="宋体" w:hAnsi="宋体" w:cs="宋体"/>
          <w:sz w:val="24"/>
          <w:lang w:bidi="ar"/>
        </w:rPr>
      </w:pPr>
      <w:r>
        <w:rPr>
          <w:rFonts w:hint="eastAsia" w:ascii="宋体" w:hAnsi="宋体" w:cs="宋体"/>
          <w:sz w:val="24"/>
          <w:lang w:bidi="ar"/>
        </w:rPr>
        <w:t>数据保护：项目将严格遵守数据保护法规，确保用户数据的安全和隐私。</w:t>
      </w:r>
    </w:p>
    <w:p w14:paraId="4A997916">
      <w:pPr>
        <w:keepNext w:val="0"/>
        <w:keepLines w:val="0"/>
        <w:spacing w:before="0" w:after="0" w:line="440" w:lineRule="exact"/>
        <w:ind w:firstLine="480" w:firstLineChars="200"/>
        <w:outlineLvl w:val="9"/>
        <w:rPr>
          <w:rFonts w:ascii="宋体" w:hAnsi="宋体" w:cs="宋体"/>
          <w:b w:val="0"/>
          <w:sz w:val="24"/>
          <w:lang w:bidi="ar"/>
        </w:rPr>
      </w:pPr>
      <w:bookmarkStart w:id="630" w:name="_Toc2034969490"/>
      <w:bookmarkStart w:id="631" w:name="_Toc114998468"/>
      <w:r>
        <w:rPr>
          <w:rFonts w:ascii="Times New Roman" w:hAnsi="Times New Roman"/>
          <w:b w:val="0"/>
          <w:sz w:val="24"/>
          <w:lang w:bidi="ar"/>
        </w:rPr>
        <w:t>2.2.4</w:t>
      </w:r>
      <w:r>
        <w:rPr>
          <w:rFonts w:hint="eastAsia" w:ascii="宋体" w:hAnsi="宋体" w:cs="宋体"/>
          <w:b w:val="0"/>
          <w:sz w:val="24"/>
          <w:lang w:bidi="ar"/>
        </w:rPr>
        <w:t>操作可行性</w:t>
      </w:r>
      <w:bookmarkEnd w:id="630"/>
      <w:bookmarkEnd w:id="631"/>
    </w:p>
    <w:p w14:paraId="18D2DA50">
      <w:pPr>
        <w:spacing w:line="440" w:lineRule="exact"/>
        <w:ind w:firstLine="480" w:firstLineChars="200"/>
        <w:outlineLvl w:val="9"/>
        <w:rPr>
          <w:rFonts w:ascii="宋体" w:hAnsi="宋体" w:cs="宋体"/>
          <w:sz w:val="24"/>
          <w:lang w:bidi="ar"/>
        </w:rPr>
      </w:pPr>
      <w:r>
        <w:rPr>
          <w:rFonts w:hint="eastAsia" w:ascii="宋体" w:hAnsi="宋体" w:cs="宋体"/>
          <w:sz w:val="24"/>
          <w:lang w:bidi="ar"/>
        </w:rPr>
        <w:t>用户接受度：</w:t>
      </w:r>
      <w:r>
        <w:rPr>
          <w:rFonts w:hint="eastAsia" w:ascii="宋体" w:hAnsi="宋体" w:cs="宋体"/>
          <w:sz w:val="24"/>
          <w:lang w:eastAsia="zh" w:bidi="ar"/>
        </w:rPr>
        <w:t>社团</w:t>
      </w:r>
      <w:r>
        <w:rPr>
          <w:rFonts w:hint="eastAsia" w:ascii="宋体" w:hAnsi="宋体" w:cs="宋体"/>
          <w:sz w:val="24"/>
          <w:lang w:bidi="ar"/>
        </w:rPr>
        <w:t>管理系统旨在提高</w:t>
      </w:r>
      <w:r>
        <w:rPr>
          <w:rFonts w:hint="eastAsia" w:ascii="宋体" w:hAnsi="宋体" w:cs="宋体"/>
          <w:sz w:val="24"/>
          <w:lang w:eastAsia="zh" w:bidi="ar"/>
        </w:rPr>
        <w:t>社团</w:t>
      </w:r>
      <w:r>
        <w:rPr>
          <w:rFonts w:hint="eastAsia" w:ascii="宋体" w:hAnsi="宋体" w:cs="宋体"/>
          <w:sz w:val="24"/>
          <w:lang w:bidi="ar"/>
        </w:rPr>
        <w:t>管理的效率和质量，符合高校</w:t>
      </w:r>
      <w:r>
        <w:rPr>
          <w:rFonts w:hint="eastAsia" w:ascii="宋体" w:hAnsi="宋体" w:cs="宋体"/>
          <w:sz w:val="24"/>
          <w:lang w:eastAsia="zh" w:bidi="ar"/>
        </w:rPr>
        <w:t>社团</w:t>
      </w:r>
      <w:r>
        <w:rPr>
          <w:rFonts w:hint="eastAsia" w:ascii="宋体" w:hAnsi="宋体" w:cs="宋体"/>
          <w:sz w:val="24"/>
          <w:lang w:bidi="ar"/>
        </w:rPr>
        <w:t>管理的需求，因此具有较高的用户接受度。</w:t>
      </w:r>
    </w:p>
    <w:p w14:paraId="6DB8ECB5">
      <w:pPr>
        <w:spacing w:line="440" w:lineRule="exact"/>
        <w:ind w:firstLine="480" w:firstLineChars="200"/>
        <w:outlineLvl w:val="9"/>
        <w:rPr>
          <w:rFonts w:ascii="宋体" w:hAnsi="宋体" w:cs="宋体"/>
          <w:sz w:val="24"/>
          <w:lang w:bidi="ar"/>
        </w:rPr>
      </w:pPr>
      <w:r>
        <w:rPr>
          <w:rFonts w:hint="eastAsia" w:ascii="宋体" w:hAnsi="宋体" w:cs="宋体"/>
          <w:sz w:val="24"/>
          <w:lang w:bidi="ar"/>
        </w:rPr>
        <w:t>培训与支持：项目团队将提供必要的培训和技术支持，确保用户能够顺利使用系统。</w:t>
      </w:r>
      <w:bookmarkStart w:id="632" w:name="_Toc1658392751"/>
      <w:bookmarkStart w:id="633" w:name="_Toc1623767787"/>
    </w:p>
    <w:p w14:paraId="15AB0EAE">
      <w:pPr>
        <w:spacing w:line="440" w:lineRule="exact"/>
        <w:outlineLvl w:val="9"/>
        <w:rPr>
          <w:rFonts w:ascii="宋体" w:hAnsi="宋体" w:cs="宋体"/>
          <w:b/>
          <w:bCs/>
          <w:sz w:val="28"/>
          <w:szCs w:val="28"/>
          <w:lang w:eastAsia="zh"/>
        </w:rPr>
      </w:pPr>
      <w:bookmarkStart w:id="634" w:name="_Toc24212"/>
      <w:bookmarkStart w:id="635" w:name="_Toc13342"/>
      <w:bookmarkStart w:id="636" w:name="_Toc19413"/>
      <w:r>
        <w:rPr>
          <w:rFonts w:hint="eastAsia" w:ascii="Times New Roman" w:hAnsi="Times New Roman" w:cs="宋体"/>
          <w:b/>
          <w:bCs/>
          <w:sz w:val="28"/>
          <w:szCs w:val="28"/>
        </w:rPr>
        <w:t>3</w:t>
      </w:r>
      <w:r>
        <w:rPr>
          <w:rFonts w:hint="eastAsia" w:ascii="宋体" w:hAnsi="宋体" w:cs="宋体"/>
          <w:b/>
          <w:bCs/>
          <w:sz w:val="28"/>
          <w:szCs w:val="28"/>
        </w:rPr>
        <w:t>系统设计</w:t>
      </w:r>
      <w:bookmarkEnd w:id="632"/>
      <w:bookmarkEnd w:id="633"/>
      <w:bookmarkEnd w:id="634"/>
      <w:bookmarkEnd w:id="635"/>
      <w:bookmarkEnd w:id="636"/>
    </w:p>
    <w:p w14:paraId="0613F073">
      <w:pPr>
        <w:keepNext w:val="0"/>
        <w:keepLines w:val="0"/>
        <w:spacing w:before="100" w:after="0" w:line="440" w:lineRule="exact"/>
        <w:ind w:firstLine="480" w:firstLineChars="200"/>
        <w:outlineLvl w:val="9"/>
        <w:rPr>
          <w:rFonts w:ascii="Times New Roman" w:hAnsi="Times New Roman" w:eastAsia="宋体"/>
          <w:b w:val="0"/>
          <w:sz w:val="24"/>
        </w:rPr>
      </w:pPr>
      <w:bookmarkStart w:id="637" w:name="_Toc28063"/>
      <w:bookmarkStart w:id="638" w:name="_Toc16426"/>
      <w:bookmarkStart w:id="639" w:name="_Toc21969"/>
      <w:bookmarkStart w:id="640" w:name="_Toc582642812"/>
      <w:bookmarkStart w:id="641" w:name="_Toc608436652"/>
      <w:r>
        <w:rPr>
          <w:rFonts w:ascii="Times New Roman" w:hAnsi="Times New Roman" w:eastAsia="宋体"/>
          <w:b w:val="0"/>
          <w:sz w:val="24"/>
        </w:rPr>
        <w:t xml:space="preserve">3.1 </w:t>
      </w:r>
      <w:r>
        <w:rPr>
          <w:rFonts w:hint="eastAsia" w:ascii="Times New Roman" w:hAnsi="Times New Roman" w:eastAsia="宋体"/>
          <w:b w:val="0"/>
          <w:sz w:val="24"/>
        </w:rPr>
        <w:t>系统功能结构设计</w:t>
      </w:r>
      <w:bookmarkEnd w:id="637"/>
      <w:bookmarkEnd w:id="638"/>
      <w:bookmarkEnd w:id="639"/>
      <w:bookmarkEnd w:id="640"/>
      <w:bookmarkEnd w:id="641"/>
    </w:p>
    <w:p w14:paraId="66572D78">
      <w:pPr>
        <w:snapToGrid w:val="0"/>
        <w:spacing w:line="440" w:lineRule="exact"/>
        <w:ind w:firstLine="480" w:firstLineChars="200"/>
        <w:jc w:val="left"/>
        <w:outlineLvl w:val="9"/>
        <w:rPr>
          <w:rFonts w:ascii="宋体" w:hAnsi="宋体" w:cs="宋体"/>
          <w:sz w:val="24"/>
          <w:lang w:eastAsia="zh" w:bidi="ar"/>
        </w:rPr>
      </w:pPr>
      <w:r>
        <w:rPr>
          <w:rFonts w:hint="eastAsia" w:ascii="宋体" w:hAnsi="宋体" w:cs="宋体"/>
          <w:sz w:val="24"/>
          <w:lang w:eastAsia="zh" w:bidi="ar"/>
        </w:rPr>
        <w:t>社团</w:t>
      </w:r>
      <w:r>
        <w:rPr>
          <w:rFonts w:hint="eastAsia" w:ascii="宋体" w:hAnsi="宋体" w:cs="宋体"/>
          <w:sz w:val="24"/>
          <w:lang w:bidi="ar"/>
        </w:rPr>
        <w:t>管理系统的系统的功能结构设计遵循模块化、层次化和可扩展性原则，以确保系统的稳定性、可维护性和易于扩展，</w:t>
      </w:r>
      <w:r>
        <w:rPr>
          <w:rFonts w:hint="eastAsia" w:ascii="宋体" w:hAnsi="宋体" w:cs="宋体"/>
          <w:color w:val="000000" w:themeColor="text1"/>
          <w:sz w:val="24"/>
          <w:lang w:bidi="ar"/>
          <w14:textFill>
            <w14:solidFill>
              <w14:schemeClr w14:val="tx1"/>
            </w14:solidFill>
          </w14:textFill>
        </w:rPr>
        <w:t>如图</w:t>
      </w:r>
      <w:r>
        <w:rPr>
          <w:rFonts w:hint="eastAsia" w:ascii="Times New Roman" w:hAnsi="Times New Roman" w:cs="宋体"/>
          <w:color w:val="000000" w:themeColor="text1"/>
          <w:sz w:val="24"/>
          <w:lang w:bidi="ar"/>
          <w14:textFill>
            <w14:solidFill>
              <w14:schemeClr w14:val="tx1"/>
            </w14:solidFill>
          </w14:textFill>
        </w:rPr>
        <w:t>3-1</w:t>
      </w:r>
      <w:r>
        <w:rPr>
          <w:rFonts w:hint="eastAsia" w:ascii="宋体" w:hAnsi="宋体" w:cs="宋体"/>
          <w:color w:val="000000" w:themeColor="text1"/>
          <w:sz w:val="24"/>
          <w:lang w:bidi="ar"/>
          <w14:textFill>
            <w14:solidFill>
              <w14:schemeClr w14:val="tx1"/>
            </w14:solidFill>
          </w14:textFill>
        </w:rPr>
        <w:t>所示</w:t>
      </w:r>
      <w:r>
        <w:rPr>
          <w:rFonts w:hint="eastAsia" w:ascii="宋体" w:hAnsi="宋体" w:cs="宋体"/>
          <w:color w:val="000000" w:themeColor="text1"/>
          <w:sz w:val="24"/>
          <w:lang w:eastAsia="zh" w:bidi="ar"/>
          <w14:textFill>
            <w14:solidFill>
              <w14:schemeClr w14:val="tx1"/>
            </w14:solidFill>
          </w14:textFill>
        </w:rPr>
        <w:t>。</w:t>
      </w:r>
    </w:p>
    <w:p w14:paraId="3380DAE8">
      <w:pPr>
        <w:jc w:val="center"/>
        <w:rPr>
          <w:rFonts w:eastAsia="黑体"/>
          <w:lang w:eastAsia="zh"/>
        </w:rPr>
      </w:pPr>
      <w:r>
        <w:drawing>
          <wp:inline distT="0" distB="0" distL="114300" distR="114300">
            <wp:extent cx="5072380" cy="6799580"/>
            <wp:effectExtent l="0" t="0" r="2540" b="12700"/>
            <wp:docPr id="1898648849" name="图片 1898648849" descr="aea59e912478b8d4b86350645720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49" name="图片 1898648849" descr="aea59e912478b8d4b86350645720e55"/>
                    <pic:cNvPicPr>
                      <a:picLocks noChangeAspect="1"/>
                    </pic:cNvPicPr>
                  </pic:nvPicPr>
                  <pic:blipFill>
                    <a:blip r:embed="rId227"/>
                    <a:stretch>
                      <a:fillRect/>
                    </a:stretch>
                  </pic:blipFill>
                  <pic:spPr>
                    <a:xfrm>
                      <a:off x="0" y="0"/>
                      <a:ext cx="5072380" cy="6799580"/>
                    </a:xfrm>
                    <a:prstGeom prst="rect">
                      <a:avLst/>
                    </a:prstGeom>
                  </pic:spPr>
                </pic:pic>
              </a:graphicData>
            </a:graphic>
          </wp:inline>
        </w:drawing>
      </w:r>
    </w:p>
    <w:p w14:paraId="0567B51B">
      <w:pPr>
        <w:ind w:firstLine="420" w:firstLineChars="200"/>
        <w:jc w:val="left"/>
        <w:rPr>
          <w:rFonts w:eastAsia="黑体"/>
          <w:lang w:eastAsia="zh"/>
        </w:rPr>
      </w:pPr>
    </w:p>
    <w:p w14:paraId="57F2D631">
      <w:pPr>
        <w:ind w:firstLine="420" w:firstLineChars="200"/>
        <w:jc w:val="center"/>
        <w:rPr>
          <w:rFonts w:ascii="宋体" w:hAnsi="宋体" w:cs="宋体"/>
          <w:sz w:val="24"/>
        </w:rPr>
      </w:pPr>
      <w:r>
        <w:rPr>
          <w:rFonts w:hint="eastAsia" w:ascii="宋体" w:hAnsi="宋体" w:cs="宋体"/>
          <w:szCs w:val="21"/>
          <w:lang w:eastAsia="zh"/>
        </w:rPr>
        <w:t>图</w:t>
      </w:r>
      <w:r>
        <w:rPr>
          <w:rFonts w:hint="eastAsia" w:ascii="Times New Roman" w:hAnsi="Times New Roman" w:cs="宋体"/>
          <w:sz w:val="24"/>
          <w:lang w:eastAsia="zh"/>
        </w:rPr>
        <w:t>3-1</w:t>
      </w:r>
      <w:r>
        <w:rPr>
          <w:rFonts w:hint="eastAsia" w:ascii="宋体" w:hAnsi="宋体" w:cs="宋体"/>
          <w:sz w:val="24"/>
          <w:lang w:eastAsia="zh"/>
        </w:rPr>
        <w:t xml:space="preserve"> </w:t>
      </w:r>
      <w:r>
        <w:rPr>
          <w:rFonts w:hint="eastAsia" w:ascii="宋体" w:hAnsi="宋体" w:cs="宋体"/>
          <w:szCs w:val="21"/>
          <w:lang w:eastAsia="zh"/>
        </w:rPr>
        <w:t>系统</w:t>
      </w:r>
      <w:r>
        <w:rPr>
          <w:rFonts w:hint="eastAsia" w:ascii="宋体" w:hAnsi="宋体" w:cs="宋体"/>
          <w:szCs w:val="21"/>
        </w:rPr>
        <w:t>功能</w:t>
      </w:r>
      <w:r>
        <w:rPr>
          <w:rFonts w:hint="eastAsia" w:ascii="宋体" w:hAnsi="宋体" w:cs="宋体"/>
          <w:szCs w:val="21"/>
          <w:lang w:eastAsia="zh"/>
        </w:rPr>
        <w:t>结构</w:t>
      </w:r>
      <w:r>
        <w:rPr>
          <w:rFonts w:hint="eastAsia" w:ascii="宋体" w:hAnsi="宋体" w:cs="宋体"/>
          <w:szCs w:val="21"/>
        </w:rPr>
        <w:t>图</w:t>
      </w:r>
    </w:p>
    <w:p w14:paraId="071E7CFB">
      <w:pPr>
        <w:keepNext w:val="0"/>
        <w:keepLines w:val="0"/>
        <w:spacing w:before="100" w:after="0" w:line="440" w:lineRule="exact"/>
        <w:ind w:firstLine="480" w:firstLineChars="200"/>
        <w:outlineLvl w:val="9"/>
        <w:rPr>
          <w:rFonts w:ascii="Times New Roman" w:hAnsi="Times New Roman" w:eastAsia="宋体"/>
          <w:b w:val="0"/>
          <w:sz w:val="24"/>
        </w:rPr>
      </w:pPr>
      <w:bookmarkStart w:id="642" w:name="_Toc473714221"/>
      <w:bookmarkStart w:id="643" w:name="_Toc3267"/>
      <w:bookmarkStart w:id="644" w:name="_Toc1096"/>
      <w:bookmarkStart w:id="645" w:name="_Toc27824"/>
      <w:bookmarkStart w:id="646" w:name="_Toc24875"/>
      <w:r>
        <w:rPr>
          <w:rFonts w:ascii="Times New Roman" w:hAnsi="Times New Roman" w:eastAsia="宋体"/>
          <w:b w:val="0"/>
          <w:sz w:val="24"/>
        </w:rPr>
        <w:t>3.2</w:t>
      </w:r>
      <w:r>
        <w:rPr>
          <w:rFonts w:hint="eastAsia" w:ascii="Times New Roman" w:hAnsi="Times New Roman" w:eastAsia="宋体"/>
          <w:b w:val="0"/>
          <w:sz w:val="24"/>
        </w:rPr>
        <w:t>系统功能模块分析</w:t>
      </w:r>
      <w:bookmarkEnd w:id="642"/>
      <w:bookmarkEnd w:id="643"/>
      <w:bookmarkEnd w:id="644"/>
      <w:bookmarkEnd w:id="645"/>
      <w:bookmarkEnd w:id="646"/>
    </w:p>
    <w:p w14:paraId="685B0668">
      <w:pPr>
        <w:widowControl/>
        <w:spacing w:line="440" w:lineRule="exact"/>
        <w:ind w:firstLine="480" w:firstLineChars="200"/>
        <w:outlineLvl w:val="9"/>
        <w:rPr>
          <w:rFonts w:ascii="Times New Roman" w:hAnsi="Times New Roman" w:cstheme="minorEastAsia"/>
          <w:sz w:val="24"/>
        </w:rPr>
      </w:pPr>
      <w:bookmarkStart w:id="647" w:name="_Toc12273"/>
      <w:bookmarkStart w:id="648" w:name="_Toc29981"/>
      <w:bookmarkStart w:id="649" w:name="_Toc1352168876"/>
      <w:bookmarkStart w:id="650" w:name="_Toc1571941017"/>
      <w:r>
        <w:rPr>
          <w:rFonts w:ascii="Times New Roman" w:hAnsi="Times New Roman" w:cstheme="minorEastAsia"/>
          <w:sz w:val="24"/>
        </w:rPr>
        <w:t>登录模块用例中用户包括用户和管理员</w:t>
      </w:r>
      <w:r>
        <w:rPr>
          <w:rFonts w:hint="eastAsia" w:ascii="Times New Roman" w:hAnsi="Times New Roman" w:cstheme="minorEastAsia"/>
          <w:sz w:val="24"/>
          <w:lang w:eastAsia="zh"/>
        </w:rPr>
        <w:t>两</w:t>
      </w:r>
      <w:r>
        <w:rPr>
          <w:rFonts w:ascii="Times New Roman" w:hAnsi="Times New Roman" w:cstheme="minorEastAsia"/>
          <w:sz w:val="24"/>
        </w:rPr>
        <w:t>种角色，分别可以</w:t>
      </w:r>
      <w:r>
        <w:rPr>
          <w:rFonts w:hint="eastAsia" w:ascii="Times New Roman" w:hAnsi="Times New Roman" w:cstheme="minorEastAsia"/>
          <w:sz w:val="24"/>
          <w:lang w:eastAsia="zh"/>
        </w:rPr>
        <w:t>进</w:t>
      </w:r>
      <w:r>
        <w:rPr>
          <w:rFonts w:ascii="Times New Roman" w:hAnsi="Times New Roman" w:cstheme="minorEastAsia"/>
          <w:sz w:val="24"/>
        </w:rPr>
        <w:t>行其对应的身份登录或取消登录，关闭系统。登录模块用例图如图</w:t>
      </w:r>
      <w:r>
        <w:rPr>
          <w:rFonts w:hint="eastAsia" w:ascii="Times New Roman" w:hAnsi="Times New Roman" w:cstheme="minorEastAsia"/>
          <w:sz w:val="24"/>
        </w:rPr>
        <w:t>3-2</w:t>
      </w:r>
      <w:r>
        <w:rPr>
          <w:rFonts w:ascii="Times New Roman" w:hAnsi="Times New Roman" w:cstheme="minorEastAsia"/>
          <w:sz w:val="24"/>
        </w:rPr>
        <w:t>所示。</w:t>
      </w:r>
      <w:bookmarkEnd w:id="647"/>
      <w:bookmarkEnd w:id="648"/>
    </w:p>
    <w:p w14:paraId="52AC9F78">
      <w:pPr>
        <w:tabs>
          <w:tab w:val="left" w:pos="1584"/>
        </w:tabs>
        <w:outlineLvl w:val="9"/>
        <w:rPr>
          <w:rFonts w:ascii="Times New Roman" w:hAnsi="Times New Roman" w:cstheme="minorEastAsia"/>
          <w:sz w:val="24"/>
        </w:rPr>
      </w:pPr>
    </w:p>
    <w:p w14:paraId="6F69CE5C">
      <w:pPr>
        <w:outlineLvl w:val="9"/>
      </w:pPr>
    </w:p>
    <w:p w14:paraId="1CB5406A">
      <w:pPr>
        <w:widowControl/>
        <w:spacing w:line="440" w:lineRule="exact"/>
        <w:ind w:firstLine="420" w:firstLineChars="200"/>
        <w:outlineLvl w:val="9"/>
        <w:rPr>
          <w:rFonts w:ascii="Times New Roman" w:hAnsi="Times New Roman" w:cstheme="minorEastAsia"/>
          <w:sz w:val="24"/>
        </w:rPr>
      </w:pPr>
      <w:r>
        <w:rPr>
          <w:rFonts w:hint="eastAsia" w:eastAsia="黑体"/>
          <w:vertAlign w:val="subscript"/>
        </w:rPr>
        <w:drawing>
          <wp:anchor distT="0" distB="0" distL="114300" distR="114300" simplePos="0" relativeHeight="251722752" behindDoc="0" locked="0" layoutInCell="1" allowOverlap="1">
            <wp:simplePos x="0" y="0"/>
            <wp:positionH relativeFrom="column">
              <wp:posOffset>1562100</wp:posOffset>
            </wp:positionH>
            <wp:positionV relativeFrom="paragraph">
              <wp:posOffset>-20955</wp:posOffset>
            </wp:positionV>
            <wp:extent cx="1913255" cy="1630045"/>
            <wp:effectExtent l="0" t="0" r="0" b="0"/>
            <wp:wrapNone/>
            <wp:docPr id="1898648850" name="图片 189864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0" name="图片 1898648850"/>
                    <pic:cNvPicPr>
                      <a:picLocks noChangeAspect="1"/>
                    </pic:cNvPicPr>
                  </pic:nvPicPr>
                  <pic:blipFill>
                    <a:blip r:embed="rId228"/>
                    <a:srcRect r="4000"/>
                    <a:stretch>
                      <a:fillRect/>
                    </a:stretch>
                  </pic:blipFill>
                  <pic:spPr>
                    <a:xfrm>
                      <a:off x="0" y="0"/>
                      <a:ext cx="1913255" cy="1630045"/>
                    </a:xfrm>
                    <a:prstGeom prst="rect">
                      <a:avLst/>
                    </a:prstGeom>
                  </pic:spPr>
                </pic:pic>
              </a:graphicData>
            </a:graphic>
          </wp:anchor>
        </w:drawing>
      </w:r>
    </w:p>
    <w:p w14:paraId="16B84A9E">
      <w:pPr>
        <w:widowControl/>
        <w:spacing w:line="440" w:lineRule="exact"/>
        <w:ind w:firstLine="480" w:firstLineChars="200"/>
        <w:outlineLvl w:val="9"/>
        <w:rPr>
          <w:rFonts w:ascii="Times New Roman" w:hAnsi="Times New Roman" w:cstheme="minorEastAsia"/>
          <w:sz w:val="24"/>
        </w:rPr>
      </w:pPr>
    </w:p>
    <w:p w14:paraId="6F353F65">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7BBACD52">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68AEA6A2">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11DEB684">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3CCA4FD0">
      <w:pPr>
        <w:tabs>
          <w:tab w:val="left" w:pos="1584"/>
        </w:tabs>
        <w:spacing w:line="440" w:lineRule="exact"/>
        <w:jc w:val="center"/>
        <w:outlineLvl w:val="9"/>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3-</w:t>
      </w:r>
      <w:r>
        <w:rPr>
          <w:rFonts w:hint="eastAsia" w:ascii="Times New Roman" w:hAnsi="Times New Roman" w:cs="宋体"/>
          <w:sz w:val="24"/>
        </w:rPr>
        <w:t>2</w:t>
      </w:r>
      <w:r>
        <w:rPr>
          <w:rFonts w:hint="eastAsia" w:ascii="宋体" w:hAnsi="宋体" w:cs="宋体"/>
          <w:szCs w:val="21"/>
          <w:lang w:eastAsia="zh"/>
        </w:rPr>
        <w:t>登录用例图</w:t>
      </w:r>
    </w:p>
    <w:p w14:paraId="023D50ED">
      <w:pPr>
        <w:snapToGrid w:val="0"/>
        <w:spacing w:before="0" w:after="0" w:line="440" w:lineRule="exact"/>
        <w:ind w:firstLine="480" w:firstLineChars="200"/>
        <w:jc w:val="left"/>
        <w:outlineLvl w:val="9"/>
        <w:rPr>
          <w:rFonts w:ascii="宋体" w:hAnsi="宋体" w:eastAsia="宋体" w:cs="宋体"/>
          <w:b w:val="0"/>
          <w:sz w:val="24"/>
        </w:rPr>
      </w:pPr>
      <w:bookmarkStart w:id="651" w:name="_Toc15291"/>
      <w:bookmarkStart w:id="652" w:name="_Toc23019"/>
      <w:bookmarkStart w:id="653" w:name="_Toc21618"/>
      <w:r>
        <w:rPr>
          <w:rFonts w:hint="eastAsia" w:ascii="宋体" w:hAnsi="宋体" w:eastAsia="宋体" w:cs="宋体"/>
          <w:b w:val="0"/>
          <w:sz w:val="24"/>
        </w:rPr>
        <w:t>管理员可以实现系统用户管理、社团类型管理、社团信息管理、社团活动管理、通知信息管理、费用记录管理、入团申请记录管理等功能。管理员模块用例图如图</w:t>
      </w:r>
      <w:r>
        <w:rPr>
          <w:rFonts w:hint="eastAsia" w:ascii="Times New Roman" w:hAnsi="Times New Roman" w:eastAsia="宋体" w:cs="宋体"/>
          <w:b w:val="0"/>
          <w:sz w:val="24"/>
        </w:rPr>
        <w:t>3-3</w:t>
      </w:r>
      <w:r>
        <w:rPr>
          <w:rFonts w:hint="eastAsia" w:ascii="宋体" w:hAnsi="宋体" w:eastAsia="宋体" w:cs="宋体"/>
          <w:b w:val="0"/>
          <w:sz w:val="24"/>
        </w:rPr>
        <w:t>所示。</w:t>
      </w:r>
      <w:bookmarkEnd w:id="651"/>
      <w:bookmarkEnd w:id="652"/>
      <w:bookmarkEnd w:id="653"/>
    </w:p>
    <w:p w14:paraId="328C7DF7">
      <w:pPr>
        <w:jc w:val="center"/>
      </w:pPr>
      <w:r>
        <w:drawing>
          <wp:inline distT="0" distB="0" distL="114300" distR="114300">
            <wp:extent cx="3536315" cy="4812030"/>
            <wp:effectExtent l="0" t="0" r="14605" b="3810"/>
            <wp:docPr id="1898648851" name="图片 1898648851" descr="社管e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1" name="图片 1898648851" descr="社管e系统"/>
                    <pic:cNvPicPr>
                      <a:picLocks noChangeAspect="1"/>
                    </pic:cNvPicPr>
                  </pic:nvPicPr>
                  <pic:blipFill>
                    <a:blip r:embed="rId229"/>
                    <a:stretch>
                      <a:fillRect/>
                    </a:stretch>
                  </pic:blipFill>
                  <pic:spPr>
                    <a:xfrm>
                      <a:off x="0" y="0"/>
                      <a:ext cx="3536315" cy="4812030"/>
                    </a:xfrm>
                    <a:prstGeom prst="rect">
                      <a:avLst/>
                    </a:prstGeom>
                  </pic:spPr>
                </pic:pic>
              </a:graphicData>
            </a:graphic>
          </wp:inline>
        </w:drawing>
      </w:r>
    </w:p>
    <w:p w14:paraId="06C75B8A">
      <w:pPr>
        <w:tabs>
          <w:tab w:val="left" w:pos="1584"/>
        </w:tabs>
        <w:spacing w:line="440" w:lineRule="exact"/>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3-</w:t>
      </w:r>
      <w:r>
        <w:rPr>
          <w:rFonts w:hint="eastAsia" w:ascii="Times New Roman" w:hAnsi="Times New Roman" w:cs="宋体"/>
          <w:sz w:val="24"/>
        </w:rPr>
        <w:t>3</w:t>
      </w:r>
      <w:r>
        <w:rPr>
          <w:rFonts w:hint="eastAsia" w:ascii="宋体" w:hAnsi="宋体" w:cs="宋体"/>
          <w:szCs w:val="21"/>
          <w:lang w:eastAsia="zh"/>
        </w:rPr>
        <w:t>管理员用例图</w:t>
      </w:r>
    </w:p>
    <w:p w14:paraId="31CAF278">
      <w:pPr>
        <w:widowControl/>
        <w:spacing w:line="440" w:lineRule="exact"/>
        <w:ind w:firstLine="480" w:firstLineChars="200"/>
        <w:rPr>
          <w:rFonts w:ascii="宋体" w:hAnsi="宋体" w:cs="宋体"/>
          <w:sz w:val="24"/>
        </w:rPr>
      </w:pPr>
      <w:r>
        <w:rPr>
          <w:rFonts w:hint="eastAsia" w:ascii="宋体" w:hAnsi="宋体" w:cs="宋体"/>
          <w:sz w:val="24"/>
        </w:rPr>
        <w:t>用户可以实现登录首页、注册、浏览社团信息、修改个人资料、查看社团活动、查看通知信息、退出登录等功能，用户模块</w:t>
      </w:r>
      <w:r>
        <w:fldChar w:fldCharType="begin"/>
      </w:r>
      <w:r>
        <w:instrText xml:space="preserve"> HYPERLINK "https://so.csdn.net/so/search?q=%E7%94%A8%E4%BE%8B%E5%9B%BE&amp;spm=1001.2101.3001.7020" \t "_blank" </w:instrText>
      </w:r>
      <w:r>
        <w:fldChar w:fldCharType="separate"/>
      </w:r>
      <w:r>
        <w:rPr>
          <w:rFonts w:hint="eastAsia" w:ascii="宋体" w:hAnsi="宋体" w:cs="宋体"/>
          <w:sz w:val="24"/>
        </w:rPr>
        <w:t>用例图</w:t>
      </w:r>
      <w:r>
        <w:rPr>
          <w:rFonts w:hint="eastAsia" w:ascii="宋体" w:hAnsi="宋体" w:cs="宋体"/>
          <w:sz w:val="24"/>
        </w:rPr>
        <w:fldChar w:fldCharType="end"/>
      </w:r>
      <w:r>
        <w:rPr>
          <w:rFonts w:hint="eastAsia" w:ascii="宋体" w:hAnsi="宋体" w:cs="宋体"/>
          <w:sz w:val="24"/>
        </w:rPr>
        <w:t>如图</w:t>
      </w:r>
      <w:r>
        <w:rPr>
          <w:rFonts w:hint="eastAsia" w:ascii="Times New Roman" w:hAnsi="Times New Roman" w:cs="宋体"/>
          <w:sz w:val="24"/>
        </w:rPr>
        <w:t>3-4</w:t>
      </w:r>
      <w:r>
        <w:rPr>
          <w:rFonts w:hint="eastAsia" w:ascii="宋体" w:hAnsi="宋体" w:cs="宋体"/>
          <w:sz w:val="24"/>
        </w:rPr>
        <w:t>所示。</w:t>
      </w:r>
    </w:p>
    <w:p w14:paraId="7FFDD46F">
      <w:pPr>
        <w:widowControl/>
        <w:spacing w:line="440" w:lineRule="exact"/>
        <w:ind w:firstLine="480" w:firstLineChars="200"/>
        <w:outlineLvl w:val="9"/>
        <w:rPr>
          <w:rFonts w:ascii="Times New Roman" w:hAnsi="Times New Roman" w:cstheme="minorEastAsia"/>
          <w:sz w:val="24"/>
        </w:rPr>
      </w:pPr>
      <w:r>
        <w:rPr>
          <w:rFonts w:hint="eastAsia" w:ascii="Times New Roman" w:hAnsi="Times New Roman" w:cstheme="minorEastAsia"/>
          <w:sz w:val="24"/>
        </w:rPr>
        <w:drawing>
          <wp:anchor distT="0" distB="0" distL="114300" distR="114300" simplePos="0" relativeHeight="251723776" behindDoc="0" locked="0" layoutInCell="1" allowOverlap="1">
            <wp:simplePos x="0" y="0"/>
            <wp:positionH relativeFrom="column">
              <wp:posOffset>1091565</wp:posOffset>
            </wp:positionH>
            <wp:positionV relativeFrom="paragraph">
              <wp:posOffset>35560</wp:posOffset>
            </wp:positionV>
            <wp:extent cx="2871470" cy="3733165"/>
            <wp:effectExtent l="0" t="0" r="8890" b="635"/>
            <wp:wrapNone/>
            <wp:docPr id="1898648852" name="图片 1898648852" descr="社管e系统-用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2" name="图片 1898648852" descr="社管e系统-用户"/>
                    <pic:cNvPicPr>
                      <a:picLocks noChangeAspect="1"/>
                    </pic:cNvPicPr>
                  </pic:nvPicPr>
                  <pic:blipFill>
                    <a:blip r:embed="rId230"/>
                    <a:stretch>
                      <a:fillRect/>
                    </a:stretch>
                  </pic:blipFill>
                  <pic:spPr>
                    <a:xfrm>
                      <a:off x="0" y="0"/>
                      <a:ext cx="2871470" cy="3733165"/>
                    </a:xfrm>
                    <a:prstGeom prst="rect">
                      <a:avLst/>
                    </a:prstGeom>
                  </pic:spPr>
                </pic:pic>
              </a:graphicData>
            </a:graphic>
          </wp:anchor>
        </w:drawing>
      </w:r>
    </w:p>
    <w:p w14:paraId="69131C2E">
      <w:pPr>
        <w:tabs>
          <w:tab w:val="left" w:pos="1584"/>
        </w:tabs>
        <w:spacing w:line="440" w:lineRule="exact"/>
        <w:jc w:val="center"/>
        <w:outlineLvl w:val="9"/>
        <w:rPr>
          <w:rFonts w:ascii="宋体" w:hAnsi="宋体" w:cs="宋体"/>
          <w:sz w:val="24"/>
        </w:rPr>
      </w:pPr>
    </w:p>
    <w:p w14:paraId="12C515C2">
      <w:pPr>
        <w:spacing w:line="440" w:lineRule="exact"/>
        <w:jc w:val="center"/>
        <w:outlineLvl w:val="9"/>
        <w:rPr>
          <w:sz w:val="24"/>
        </w:rPr>
      </w:pPr>
    </w:p>
    <w:p w14:paraId="0A92AC1D">
      <w:pPr>
        <w:spacing w:line="440" w:lineRule="exact"/>
        <w:jc w:val="center"/>
        <w:outlineLvl w:val="9"/>
        <w:rPr>
          <w:sz w:val="24"/>
        </w:rPr>
      </w:pPr>
    </w:p>
    <w:p w14:paraId="30E95CFA">
      <w:pPr>
        <w:spacing w:line="440" w:lineRule="exact"/>
        <w:jc w:val="center"/>
        <w:outlineLvl w:val="9"/>
        <w:rPr>
          <w:sz w:val="24"/>
        </w:rPr>
      </w:pPr>
    </w:p>
    <w:p w14:paraId="042B5E1B">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5B2DE98B">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71E6240F">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6CFE9BA0">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15436860">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3090342B">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28D99206">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1574F542">
      <w:pPr>
        <w:snapToGrid w:val="0"/>
        <w:spacing w:before="0" w:after="0" w:line="440" w:lineRule="exact"/>
        <w:ind w:firstLine="240" w:firstLineChars="100"/>
        <w:jc w:val="left"/>
        <w:outlineLvl w:val="9"/>
        <w:rPr>
          <w:rFonts w:asciiTheme="minorEastAsia" w:hAnsiTheme="minorEastAsia" w:eastAsiaTheme="minorEastAsia" w:cstheme="minorEastAsia"/>
          <w:b w:val="0"/>
          <w:sz w:val="24"/>
        </w:rPr>
      </w:pPr>
    </w:p>
    <w:p w14:paraId="3F944B79">
      <w:pPr>
        <w:snapToGrid w:val="0"/>
        <w:spacing w:before="0" w:after="0" w:line="440" w:lineRule="exact"/>
        <w:jc w:val="left"/>
        <w:outlineLvl w:val="9"/>
        <w:rPr>
          <w:rFonts w:asciiTheme="minorEastAsia" w:hAnsiTheme="minorEastAsia" w:eastAsiaTheme="minorEastAsia" w:cstheme="minorEastAsia"/>
          <w:b w:val="0"/>
          <w:sz w:val="24"/>
        </w:rPr>
      </w:pPr>
    </w:p>
    <w:p w14:paraId="7E25749D">
      <w:pPr>
        <w:spacing w:line="440" w:lineRule="exact"/>
        <w:jc w:val="center"/>
        <w:rPr>
          <w:rFonts w:ascii="宋体" w:hAnsi="宋体" w:cs="宋体"/>
          <w:sz w:val="24"/>
        </w:rPr>
      </w:pPr>
      <w:r>
        <w:rPr>
          <w:rFonts w:hint="eastAsia" w:ascii="宋体" w:hAnsi="宋体" w:cs="宋体"/>
          <w:szCs w:val="21"/>
        </w:rPr>
        <w:t>图</w:t>
      </w:r>
      <w:r>
        <w:rPr>
          <w:rFonts w:hint="eastAsia" w:ascii="Times New Roman" w:hAnsi="Times New Roman" w:cs="宋体"/>
          <w:sz w:val="24"/>
        </w:rPr>
        <w:t>3-4</w:t>
      </w:r>
      <w:r>
        <w:rPr>
          <w:rFonts w:hint="eastAsia" w:ascii="宋体" w:hAnsi="宋体" w:cs="宋体"/>
          <w:szCs w:val="21"/>
        </w:rPr>
        <w:t>用户用例图</w:t>
      </w:r>
    </w:p>
    <w:p w14:paraId="335ACD3E">
      <w:pPr>
        <w:widowControl/>
        <w:spacing w:line="440" w:lineRule="exact"/>
        <w:ind w:firstLine="480" w:firstLineChars="200"/>
        <w:rPr>
          <w:rFonts w:ascii="宋体" w:hAnsi="宋体" w:cs="宋体"/>
          <w:sz w:val="24"/>
          <w:lang w:eastAsia="zh"/>
        </w:rPr>
      </w:pPr>
      <w:r>
        <w:rPr>
          <w:rFonts w:hint="eastAsia" w:ascii="宋体" w:hAnsi="宋体" w:cs="宋体"/>
          <w:sz w:val="24"/>
        </w:rPr>
        <w:t>社团</w:t>
      </w:r>
      <w:r>
        <w:rPr>
          <w:rFonts w:hint="eastAsia" w:ascii="宋体" w:hAnsi="宋体" w:cs="宋体"/>
          <w:sz w:val="24"/>
          <w:lang w:eastAsia="zh"/>
        </w:rPr>
        <w:t>管理系统总体设计主要有两类用户，分别是用户模块和管理员模块，详细规划如图</w:t>
      </w:r>
      <w:r>
        <w:rPr>
          <w:rFonts w:hint="eastAsia" w:ascii="Times New Roman" w:hAnsi="Times New Roman" w:cs="宋体"/>
          <w:sz w:val="24"/>
          <w:lang w:eastAsia="zh"/>
        </w:rPr>
        <w:t>3-</w:t>
      </w:r>
      <w:r>
        <w:rPr>
          <w:rFonts w:hint="eastAsia" w:ascii="Times New Roman" w:hAnsi="Times New Roman" w:cs="宋体"/>
          <w:sz w:val="24"/>
        </w:rPr>
        <w:t>5</w:t>
      </w:r>
      <w:r>
        <w:rPr>
          <w:rFonts w:hint="eastAsia" w:ascii="宋体" w:hAnsi="宋体" w:cs="宋体"/>
          <w:sz w:val="24"/>
          <w:lang w:eastAsia="zh"/>
        </w:rPr>
        <w:t>所示。</w:t>
      </w:r>
    </w:p>
    <w:p w14:paraId="580B8247">
      <w:pPr>
        <w:widowControl/>
        <w:spacing w:line="440" w:lineRule="exact"/>
        <w:rPr>
          <w:rFonts w:ascii="宋体" w:hAnsi="宋体" w:cs="宋体"/>
          <w:sz w:val="24"/>
        </w:rPr>
      </w:pPr>
      <w:r>
        <w:rPr>
          <w:rFonts w:hint="eastAsia" w:ascii="宋体" w:hAnsi="宋体" w:cs="宋体"/>
          <w:sz w:val="24"/>
        </w:rPr>
        <w:drawing>
          <wp:anchor distT="0" distB="0" distL="114300" distR="114300" simplePos="0" relativeHeight="251724800" behindDoc="0" locked="0" layoutInCell="1" allowOverlap="1">
            <wp:simplePos x="0" y="0"/>
            <wp:positionH relativeFrom="column">
              <wp:posOffset>409575</wp:posOffset>
            </wp:positionH>
            <wp:positionV relativeFrom="paragraph">
              <wp:posOffset>91440</wp:posOffset>
            </wp:positionV>
            <wp:extent cx="4633595" cy="2959100"/>
            <wp:effectExtent l="0" t="0" r="0" b="0"/>
            <wp:wrapNone/>
            <wp:docPr id="1898648853" name="图片 1898648853" descr="f53eb7da73304bb0f8d54b250138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3" name="图片 1898648853" descr="f53eb7da73304bb0f8d54b250138d7a"/>
                    <pic:cNvPicPr>
                      <a:picLocks noChangeAspect="1"/>
                    </pic:cNvPicPr>
                  </pic:nvPicPr>
                  <pic:blipFill>
                    <a:blip r:embed="rId231"/>
                    <a:stretch>
                      <a:fillRect/>
                    </a:stretch>
                  </pic:blipFill>
                  <pic:spPr>
                    <a:xfrm>
                      <a:off x="0" y="0"/>
                      <a:ext cx="4662709" cy="2977341"/>
                    </a:xfrm>
                    <a:prstGeom prst="rect">
                      <a:avLst/>
                    </a:prstGeom>
                  </pic:spPr>
                </pic:pic>
              </a:graphicData>
            </a:graphic>
          </wp:anchor>
        </w:drawing>
      </w:r>
    </w:p>
    <w:p w14:paraId="6B7FB5FF">
      <w:pPr>
        <w:spacing w:line="440" w:lineRule="exact"/>
        <w:jc w:val="center"/>
        <w:rPr>
          <w:rFonts w:asciiTheme="minorEastAsia" w:hAnsiTheme="minorEastAsia" w:cstheme="minorEastAsia"/>
          <w:sz w:val="24"/>
        </w:rPr>
      </w:pPr>
    </w:p>
    <w:p w14:paraId="0C5CB453">
      <w:pPr>
        <w:spacing w:line="440" w:lineRule="exact"/>
        <w:jc w:val="center"/>
        <w:rPr>
          <w:rFonts w:asciiTheme="minorEastAsia" w:hAnsiTheme="minorEastAsia" w:cstheme="minorEastAsia"/>
          <w:sz w:val="24"/>
        </w:rPr>
      </w:pPr>
    </w:p>
    <w:p w14:paraId="3257150D">
      <w:pPr>
        <w:spacing w:line="440" w:lineRule="exact"/>
        <w:jc w:val="center"/>
        <w:rPr>
          <w:rFonts w:asciiTheme="minorEastAsia" w:hAnsiTheme="minorEastAsia" w:cstheme="minorEastAsia"/>
          <w:sz w:val="24"/>
        </w:rPr>
      </w:pPr>
    </w:p>
    <w:p w14:paraId="44BA892B">
      <w:pPr>
        <w:spacing w:line="440" w:lineRule="exact"/>
        <w:jc w:val="center"/>
        <w:rPr>
          <w:rFonts w:asciiTheme="minorEastAsia" w:hAnsiTheme="minorEastAsia" w:cstheme="minorEastAsia"/>
          <w:sz w:val="24"/>
        </w:rPr>
      </w:pPr>
    </w:p>
    <w:p w14:paraId="49878836">
      <w:pPr>
        <w:spacing w:line="440" w:lineRule="exact"/>
        <w:jc w:val="center"/>
        <w:rPr>
          <w:rFonts w:asciiTheme="minorEastAsia" w:hAnsiTheme="minorEastAsia" w:cstheme="minorEastAsia"/>
          <w:sz w:val="24"/>
        </w:rPr>
      </w:pPr>
    </w:p>
    <w:p w14:paraId="791DA1E6">
      <w:pPr>
        <w:spacing w:line="440" w:lineRule="exact"/>
        <w:jc w:val="center"/>
        <w:rPr>
          <w:rFonts w:asciiTheme="minorEastAsia" w:hAnsiTheme="minorEastAsia" w:cstheme="minorEastAsia"/>
          <w:sz w:val="24"/>
        </w:rPr>
      </w:pPr>
    </w:p>
    <w:p w14:paraId="4F735A49">
      <w:pPr>
        <w:spacing w:line="440" w:lineRule="exact"/>
        <w:jc w:val="center"/>
        <w:rPr>
          <w:rFonts w:asciiTheme="minorEastAsia" w:hAnsiTheme="minorEastAsia" w:cstheme="minorEastAsia"/>
          <w:sz w:val="24"/>
        </w:rPr>
      </w:pPr>
    </w:p>
    <w:p w14:paraId="256EE7D1">
      <w:pPr>
        <w:spacing w:line="440" w:lineRule="exact"/>
        <w:jc w:val="center"/>
        <w:rPr>
          <w:rFonts w:asciiTheme="minorEastAsia" w:hAnsiTheme="minorEastAsia" w:cstheme="minorEastAsia"/>
          <w:sz w:val="24"/>
        </w:rPr>
      </w:pPr>
    </w:p>
    <w:p w14:paraId="4CB748E7">
      <w:pPr>
        <w:spacing w:line="440" w:lineRule="exact"/>
        <w:jc w:val="center"/>
        <w:rPr>
          <w:rFonts w:asciiTheme="minorEastAsia" w:hAnsiTheme="minorEastAsia" w:cstheme="minorEastAsia"/>
          <w:sz w:val="24"/>
        </w:rPr>
      </w:pPr>
    </w:p>
    <w:p w14:paraId="01A84BB1">
      <w:pPr>
        <w:spacing w:line="440" w:lineRule="exact"/>
        <w:jc w:val="center"/>
        <w:rPr>
          <w:rFonts w:asciiTheme="minorEastAsia" w:hAnsiTheme="minorEastAsia" w:cstheme="minorEastAsia"/>
          <w:sz w:val="24"/>
        </w:rPr>
      </w:pPr>
    </w:p>
    <w:p w14:paraId="2CF85334">
      <w:pPr>
        <w:spacing w:line="440" w:lineRule="exact"/>
        <w:jc w:val="center"/>
        <w:rPr>
          <w:rFonts w:asciiTheme="minorEastAsia" w:hAnsiTheme="minorEastAsia" w:cstheme="minorEastAsia"/>
          <w:sz w:val="24"/>
        </w:rPr>
      </w:pPr>
      <w:r>
        <w:rPr>
          <w:rFonts w:hint="eastAsia" w:asciiTheme="minorEastAsia" w:hAnsiTheme="minorEastAsia" w:cstheme="minorEastAsia"/>
          <w:szCs w:val="21"/>
        </w:rPr>
        <w:t>图</w:t>
      </w:r>
      <w:r>
        <w:rPr>
          <w:rFonts w:hint="eastAsia" w:ascii="Times New Roman" w:hAnsi="Times New Roman" w:cstheme="minorEastAsia"/>
          <w:sz w:val="24"/>
        </w:rPr>
        <w:t>3-5</w:t>
      </w:r>
      <w:r>
        <w:rPr>
          <w:rFonts w:hint="eastAsia" w:asciiTheme="minorEastAsia" w:hAnsiTheme="minorEastAsia" w:cstheme="minorEastAsia"/>
          <w:szCs w:val="21"/>
        </w:rPr>
        <w:t>系统规划图</w:t>
      </w:r>
      <w:bookmarkStart w:id="654" w:name="_Toc28047"/>
      <w:bookmarkStart w:id="655" w:name="_Toc1231"/>
    </w:p>
    <w:p w14:paraId="69A4F2E4">
      <w:pPr>
        <w:spacing w:line="440" w:lineRule="exact"/>
        <w:ind w:firstLine="480" w:firstLineChars="200"/>
        <w:jc w:val="left"/>
        <w:outlineLvl w:val="9"/>
        <w:rPr>
          <w:rFonts w:ascii="宋体" w:hAnsi="宋体" w:cs="宋体"/>
          <w:color w:val="000000"/>
          <w:sz w:val="24"/>
        </w:rPr>
      </w:pPr>
      <w:bookmarkStart w:id="656" w:name="_Toc22044"/>
      <w:bookmarkStart w:id="657" w:name="_Toc13107"/>
      <w:r>
        <w:rPr>
          <w:rFonts w:ascii="Times New Roman" w:hAnsi="Times New Roman"/>
          <w:color w:val="000000"/>
          <w:sz w:val="24"/>
        </w:rPr>
        <w:t>3.3</w:t>
      </w:r>
      <w:r>
        <w:rPr>
          <w:rFonts w:hint="eastAsia" w:ascii="宋体" w:hAnsi="宋体" w:cs="宋体"/>
          <w:color w:val="000000"/>
          <w:sz w:val="24"/>
        </w:rPr>
        <w:t>系统详细设计</w:t>
      </w:r>
      <w:bookmarkEnd w:id="654"/>
      <w:bookmarkEnd w:id="656"/>
      <w:bookmarkEnd w:id="657"/>
    </w:p>
    <w:p w14:paraId="39859DE8">
      <w:pPr>
        <w:spacing w:line="440" w:lineRule="exact"/>
        <w:ind w:firstLine="480" w:firstLineChars="200"/>
        <w:outlineLvl w:val="9"/>
        <w:rPr>
          <w:rFonts w:ascii="宋体" w:hAnsi="宋体" w:cs="宋体"/>
          <w:color w:val="000000"/>
          <w:sz w:val="24"/>
        </w:rPr>
      </w:pPr>
      <w:r>
        <w:rPr>
          <w:rFonts w:ascii="Times New Roman" w:hAnsi="Times New Roman"/>
          <w:color w:val="000000"/>
          <w:sz w:val="24"/>
        </w:rPr>
        <w:t>3.3.1</w:t>
      </w:r>
      <w:r>
        <w:rPr>
          <w:rFonts w:hint="eastAsia" w:ascii="宋体" w:hAnsi="宋体" w:cs="宋体"/>
          <w:color w:val="000000"/>
          <w:sz w:val="24"/>
        </w:rPr>
        <w:t>登录和注册模块</w:t>
      </w:r>
    </w:p>
    <w:p w14:paraId="07F82611">
      <w:pPr>
        <w:spacing w:line="440" w:lineRule="exact"/>
        <w:ind w:firstLine="480" w:firstLineChars="200"/>
        <w:outlineLvl w:val="9"/>
        <w:rPr>
          <w:rFonts w:ascii="宋体" w:hAnsi="宋体" w:cs="宋体"/>
          <w:color w:val="000000"/>
          <w:sz w:val="24"/>
        </w:rPr>
      </w:pPr>
      <w:r>
        <w:rPr>
          <w:rFonts w:hint="eastAsia" w:ascii="宋体" w:hAnsi="宋体" w:cs="宋体"/>
          <w:color w:val="000000"/>
          <w:sz w:val="24"/>
        </w:rPr>
        <w:t>模块描述：实现用户的登录和注册</w:t>
      </w:r>
      <w:r>
        <w:rPr>
          <w:rFonts w:hint="eastAsia" w:ascii="宋体" w:hAnsi="宋体" w:cs="宋体"/>
          <w:sz w:val="24"/>
        </w:rPr>
        <w:t>。</w:t>
      </w:r>
    </w:p>
    <w:p w14:paraId="14222AF6">
      <w:pPr>
        <w:widowControl/>
        <w:tabs>
          <w:tab w:val="left" w:pos="165"/>
        </w:tabs>
        <w:spacing w:line="440" w:lineRule="exact"/>
        <w:ind w:firstLine="425"/>
        <w:outlineLvl w:val="9"/>
        <w:rPr>
          <w:rFonts w:ascii="宋体" w:hAnsi="宋体" w:cs="宋体"/>
          <w:color w:val="000000"/>
          <w:sz w:val="24"/>
        </w:rPr>
      </w:pPr>
      <w:r>
        <w:rPr>
          <w:rFonts w:hint="eastAsia" w:ascii="宋体" w:hAnsi="宋体" w:cs="宋体"/>
          <w:color w:val="000000"/>
          <w:sz w:val="24"/>
        </w:rPr>
        <w:t>主要功能：登录和注册</w:t>
      </w:r>
    </w:p>
    <w:p w14:paraId="0DC0F671">
      <w:pPr>
        <w:widowControl/>
        <w:tabs>
          <w:tab w:val="left" w:pos="165"/>
        </w:tabs>
        <w:spacing w:line="440" w:lineRule="exact"/>
        <w:ind w:firstLine="425"/>
        <w:outlineLvl w:val="9"/>
        <w:rPr>
          <w:rFonts w:ascii="宋体" w:hAnsi="宋体" w:cs="宋体"/>
          <w:color w:val="000000"/>
          <w:sz w:val="24"/>
        </w:rPr>
      </w:pPr>
      <w:r>
        <w:rPr>
          <w:rFonts w:hint="eastAsia" w:ascii="宋体" w:hAnsi="宋体" w:cs="宋体"/>
          <w:color w:val="000000"/>
          <w:sz w:val="24"/>
        </w:rPr>
        <w:t>(</w:t>
      </w:r>
      <w:r>
        <w:rPr>
          <w:rFonts w:hint="eastAsia" w:ascii="Times New Roman" w:hAnsi="Times New Roman" w:cs="宋体"/>
          <w:color w:val="000000"/>
          <w:sz w:val="24"/>
        </w:rPr>
        <w:t>1</w:t>
      </w:r>
      <w:r>
        <w:rPr>
          <w:rFonts w:hint="eastAsia" w:ascii="宋体" w:hAnsi="宋体" w:cs="宋体"/>
          <w:color w:val="000000"/>
          <w:sz w:val="24"/>
        </w:rPr>
        <w:t>)登录</w:t>
      </w:r>
    </w:p>
    <w:p w14:paraId="7B35CEDE">
      <w:pPr>
        <w:widowControl/>
        <w:tabs>
          <w:tab w:val="left" w:pos="165"/>
        </w:tabs>
        <w:spacing w:line="440" w:lineRule="exact"/>
        <w:ind w:firstLine="480" w:firstLineChars="200"/>
        <w:outlineLvl w:val="9"/>
        <w:rPr>
          <w:rFonts w:ascii="宋体" w:hAnsi="宋体" w:cs="宋体"/>
          <w:color w:val="000000"/>
          <w:sz w:val="24"/>
        </w:rPr>
      </w:pPr>
      <w:r>
        <w:rPr>
          <w:rFonts w:hint="eastAsia" w:ascii="Times New Roman" w:hAnsi="Times New Roman" w:cs="宋体"/>
          <w:color w:val="000000"/>
          <w:sz w:val="24"/>
        </w:rPr>
        <w:t>1</w:t>
      </w:r>
      <w:r>
        <w:rPr>
          <w:rFonts w:hint="eastAsia" w:ascii="宋体" w:hAnsi="宋体" w:cs="宋体"/>
          <w:color w:val="000000"/>
          <w:sz w:val="24"/>
        </w:rPr>
        <w:t>)流程图</w:t>
      </w:r>
    </w:p>
    <w:p w14:paraId="3135676B">
      <w:pPr>
        <w:snapToGrid w:val="0"/>
        <w:spacing w:before="0" w:after="0" w:line="440" w:lineRule="exact"/>
        <w:ind w:firstLine="480" w:firstLineChars="200"/>
        <w:jc w:val="left"/>
        <w:outlineLvl w:val="9"/>
        <w:rPr>
          <w:rFonts w:ascii="宋体" w:hAnsi="宋体" w:eastAsia="宋体" w:cs="宋体"/>
          <w:b w:val="0"/>
          <w:sz w:val="24"/>
        </w:rPr>
      </w:pPr>
      <w:bookmarkStart w:id="658" w:name="_Toc5401"/>
      <w:bookmarkStart w:id="659" w:name="_Toc12999"/>
      <w:r>
        <w:rPr>
          <w:rFonts w:hint="eastAsia" w:ascii="宋体" w:hAnsi="宋体" w:eastAsia="宋体" w:cs="宋体"/>
          <w:b w:val="0"/>
          <w:sz w:val="24"/>
        </w:rPr>
        <w:t>登录首页流程图，</w:t>
      </w:r>
      <w:r>
        <w:rPr>
          <w:rFonts w:hint="eastAsia" w:ascii="宋体" w:hAnsi="宋体" w:eastAsia="宋体" w:cs="宋体"/>
          <w:b w:val="0"/>
          <w:color w:val="000000"/>
          <w:sz w:val="24"/>
        </w:rPr>
        <w:t>社团管理系统的登录页面是需要账号登录的，</w:t>
      </w:r>
      <w:r>
        <w:rPr>
          <w:rFonts w:hint="eastAsia" w:ascii="宋体" w:hAnsi="宋体" w:eastAsia="宋体" w:cs="宋体"/>
          <w:b w:val="0"/>
          <w:sz w:val="24"/>
        </w:rPr>
        <w:t>用户也可输入用户名和密码登录系统，登录成功后可进入系统首页，浏览相关社团信息。失败则返回错误信息，重新输入账号和密码。无账号也可注册新账号，注册成功后登录系统首页。如图</w:t>
      </w:r>
      <w:r>
        <w:rPr>
          <w:rFonts w:hint="eastAsia" w:ascii="Times New Roman" w:hAnsi="Times New Roman" w:eastAsia="宋体" w:cs="宋体"/>
          <w:b w:val="0"/>
          <w:sz w:val="24"/>
        </w:rPr>
        <w:t>3-6</w:t>
      </w:r>
      <w:r>
        <w:rPr>
          <w:rFonts w:hint="eastAsia" w:ascii="宋体" w:hAnsi="宋体" w:eastAsia="宋体" w:cs="宋体"/>
          <w:b w:val="0"/>
          <w:sz w:val="24"/>
        </w:rPr>
        <w:t>所示。</w:t>
      </w:r>
      <w:bookmarkEnd w:id="658"/>
      <w:bookmarkEnd w:id="659"/>
    </w:p>
    <w:p w14:paraId="79EC058B">
      <w:pPr>
        <w:jc w:val="center"/>
        <w:rPr>
          <w:rFonts w:ascii="宋体" w:hAnsi="宋体" w:cs="宋体"/>
          <w:sz w:val="24"/>
        </w:rPr>
      </w:pPr>
      <w:r>
        <w:rPr>
          <w:rFonts w:hint="eastAsia" w:ascii="宋体" w:hAnsi="宋体" w:cs="宋体"/>
          <w:sz w:val="24"/>
        </w:rPr>
        <w:drawing>
          <wp:inline distT="0" distB="0" distL="114300" distR="114300">
            <wp:extent cx="3719830" cy="5199380"/>
            <wp:effectExtent l="0" t="0" r="13970" b="12700"/>
            <wp:docPr id="1898648854" name="图片 1898648854" descr="8dcd47b6042ba19afa0b3013f986d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4" name="图片 1898648854" descr="8dcd47b6042ba19afa0b3013f986d64"/>
                    <pic:cNvPicPr>
                      <a:picLocks noChangeAspect="1"/>
                    </pic:cNvPicPr>
                  </pic:nvPicPr>
                  <pic:blipFill>
                    <a:blip r:embed="rId232"/>
                    <a:stretch>
                      <a:fillRect/>
                    </a:stretch>
                  </pic:blipFill>
                  <pic:spPr>
                    <a:xfrm>
                      <a:off x="0" y="0"/>
                      <a:ext cx="3719830" cy="5199380"/>
                    </a:xfrm>
                    <a:prstGeom prst="rect">
                      <a:avLst/>
                    </a:prstGeom>
                  </pic:spPr>
                </pic:pic>
              </a:graphicData>
            </a:graphic>
          </wp:inline>
        </w:drawing>
      </w:r>
    </w:p>
    <w:p w14:paraId="07AC1744">
      <w:pPr>
        <w:tabs>
          <w:tab w:val="left" w:pos="2659"/>
          <w:tab w:val="center" w:pos="4213"/>
        </w:tabs>
        <w:spacing w:line="440" w:lineRule="exact"/>
        <w:jc w:val="center"/>
        <w:rPr>
          <w:rFonts w:ascii="宋体" w:hAnsi="宋体" w:cs="宋体"/>
          <w:sz w:val="24"/>
        </w:rPr>
      </w:pPr>
      <w:bookmarkStart w:id="660" w:name="_Toc1243"/>
      <w:r>
        <w:rPr>
          <w:rFonts w:hint="eastAsia" w:ascii="宋体" w:hAnsi="宋体" w:cs="宋体"/>
          <w:szCs w:val="21"/>
        </w:rPr>
        <w:t>图</w:t>
      </w:r>
      <w:r>
        <w:rPr>
          <w:rFonts w:hint="eastAsia" w:ascii="Times New Roman" w:hAnsi="Times New Roman" w:cs="宋体"/>
          <w:sz w:val="24"/>
        </w:rPr>
        <w:t>3-6</w:t>
      </w:r>
      <w:r>
        <w:rPr>
          <w:rFonts w:hint="eastAsia" w:ascii="宋体" w:hAnsi="宋体" w:cs="宋体"/>
          <w:szCs w:val="21"/>
        </w:rPr>
        <w:t>系统登录页面流程图</w:t>
      </w:r>
      <w:bookmarkEnd w:id="660"/>
    </w:p>
    <w:p w14:paraId="72B59026">
      <w:pPr>
        <w:tabs>
          <w:tab w:val="left" w:pos="2659"/>
          <w:tab w:val="center" w:pos="4213"/>
        </w:tabs>
        <w:spacing w:line="440" w:lineRule="exact"/>
        <w:ind w:firstLine="480" w:firstLineChars="200"/>
        <w:jc w:val="left"/>
        <w:rPr>
          <w:rFonts w:ascii="宋体" w:hAnsi="宋体" w:cs="宋体"/>
          <w:sz w:val="24"/>
        </w:rPr>
      </w:pPr>
    </w:p>
    <w:p w14:paraId="4C378296">
      <w:pPr>
        <w:tabs>
          <w:tab w:val="left" w:pos="2659"/>
          <w:tab w:val="center" w:pos="4213"/>
        </w:tabs>
        <w:spacing w:line="440" w:lineRule="exact"/>
        <w:ind w:firstLine="480" w:firstLineChars="200"/>
        <w:jc w:val="left"/>
        <w:rPr>
          <w:rFonts w:ascii="宋体" w:hAnsi="宋体" w:cs="宋体"/>
          <w:color w:val="000000"/>
          <w:sz w:val="24"/>
        </w:rPr>
      </w:pPr>
      <w:r>
        <w:rPr>
          <w:rFonts w:hint="eastAsia" w:ascii="Times New Roman" w:hAnsi="Times New Roman" w:cs="宋体"/>
          <w:color w:val="000000"/>
          <w:sz w:val="24"/>
        </w:rPr>
        <w:t>2</w:t>
      </w:r>
      <w:r>
        <w:rPr>
          <w:rFonts w:hint="eastAsia" w:ascii="宋体" w:hAnsi="宋体" w:cs="宋体"/>
          <w:color w:val="000000"/>
          <w:sz w:val="24"/>
        </w:rPr>
        <w:t>)用户登录输入项</w:t>
      </w:r>
    </w:p>
    <w:p w14:paraId="34C489C5">
      <w:pPr>
        <w:pStyle w:val="69"/>
        <w:spacing w:line="440" w:lineRule="exact"/>
        <w:ind w:firstLine="480"/>
        <w:rPr>
          <w:rFonts w:ascii="宋体" w:hAnsi="宋体" w:cs="宋体"/>
          <w:szCs w:val="24"/>
        </w:rPr>
      </w:pPr>
      <w:r>
        <w:rPr>
          <w:rFonts w:hint="eastAsia" w:ascii="宋体" w:hAnsi="宋体" w:cs="宋体"/>
          <w:szCs w:val="24"/>
        </w:rPr>
        <w:t>登录首页功能需要的输入项如表</w:t>
      </w:r>
      <w:r>
        <w:rPr>
          <w:rFonts w:hint="eastAsia" w:cs="宋体"/>
          <w:szCs w:val="24"/>
        </w:rPr>
        <w:t>3-8</w:t>
      </w:r>
      <w:r>
        <w:rPr>
          <w:rFonts w:hint="eastAsia" w:ascii="宋体" w:hAnsi="宋体" w:cs="宋体"/>
          <w:szCs w:val="24"/>
        </w:rPr>
        <w:t>所示。</w:t>
      </w:r>
    </w:p>
    <w:p w14:paraId="2DE33C25">
      <w:pPr>
        <w:pStyle w:val="69"/>
        <w:spacing w:line="440" w:lineRule="exact"/>
        <w:ind w:firstLine="420"/>
        <w:jc w:val="center"/>
        <w:rPr>
          <w:rFonts w:ascii="宋体" w:hAnsi="宋体" w:cs="宋体"/>
          <w:color w:val="000000"/>
          <w:szCs w:val="24"/>
        </w:rPr>
      </w:pPr>
      <w:r>
        <w:rPr>
          <w:rFonts w:hint="eastAsia" w:ascii="宋体" w:hAnsi="宋体" w:cs="宋体"/>
          <w:color w:val="000000"/>
          <w:sz w:val="21"/>
          <w:szCs w:val="21"/>
        </w:rPr>
        <w:t>表</w:t>
      </w:r>
      <w:r>
        <w:rPr>
          <w:rFonts w:hint="eastAsia" w:cs="宋体"/>
          <w:color w:val="000000"/>
          <w:szCs w:val="24"/>
        </w:rPr>
        <w:t>3-1</w:t>
      </w:r>
      <w:r>
        <w:rPr>
          <w:rFonts w:hint="eastAsia" w:ascii="宋体" w:hAnsi="宋体" w:cs="宋体"/>
          <w:color w:val="000000"/>
          <w:sz w:val="21"/>
          <w:szCs w:val="21"/>
        </w:rPr>
        <w:t>登录账号信息表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2"/>
        <w:gridCol w:w="2206"/>
        <w:gridCol w:w="2210"/>
      </w:tblGrid>
      <w:tr w14:paraId="6D2E5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202" w:type="dxa"/>
            <w:vAlign w:val="center"/>
          </w:tcPr>
          <w:p w14:paraId="150C7475">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输入项名称</w:t>
            </w:r>
          </w:p>
        </w:tc>
        <w:tc>
          <w:tcPr>
            <w:tcW w:w="2206" w:type="dxa"/>
            <w:vAlign w:val="center"/>
          </w:tcPr>
          <w:p w14:paraId="63B39A2D">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类型</w:t>
            </w:r>
          </w:p>
        </w:tc>
        <w:tc>
          <w:tcPr>
            <w:tcW w:w="2210" w:type="dxa"/>
            <w:vAlign w:val="center"/>
          </w:tcPr>
          <w:p w14:paraId="539B7CB7">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说明</w:t>
            </w:r>
          </w:p>
        </w:tc>
      </w:tr>
      <w:tr w14:paraId="2F8ED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202" w:type="dxa"/>
            <w:vAlign w:val="center"/>
          </w:tcPr>
          <w:p w14:paraId="4205D300">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用户名</w:t>
            </w:r>
          </w:p>
        </w:tc>
        <w:tc>
          <w:tcPr>
            <w:tcW w:w="2206" w:type="dxa"/>
            <w:vAlign w:val="center"/>
          </w:tcPr>
          <w:p w14:paraId="7E306DBE">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10" w:type="dxa"/>
            <w:vAlign w:val="center"/>
          </w:tcPr>
          <w:p w14:paraId="2772BC38">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6DBD6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2" w:type="dxa"/>
            <w:vAlign w:val="center"/>
          </w:tcPr>
          <w:p w14:paraId="040781FD">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用户密码</w:t>
            </w:r>
          </w:p>
        </w:tc>
        <w:tc>
          <w:tcPr>
            <w:tcW w:w="2206" w:type="dxa"/>
            <w:vAlign w:val="center"/>
          </w:tcPr>
          <w:p w14:paraId="191A3D1D">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10" w:type="dxa"/>
            <w:vAlign w:val="center"/>
          </w:tcPr>
          <w:p w14:paraId="4BAFE5F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bl>
    <w:p w14:paraId="17CFCA88">
      <w:pPr>
        <w:tabs>
          <w:tab w:val="left" w:pos="1584"/>
        </w:tabs>
        <w:spacing w:line="440" w:lineRule="exact"/>
        <w:ind w:left="0" w:firstLine="480" w:firstLineChars="200"/>
        <w:outlineLvl w:val="9"/>
        <w:rPr>
          <w:rFonts w:ascii="宋体" w:hAnsi="宋体" w:eastAsia="宋体" w:cs="宋体"/>
          <w:color w:val="000000"/>
          <w:sz w:val="24"/>
        </w:rPr>
      </w:pPr>
      <w:r>
        <w:rPr>
          <w:rFonts w:hint="eastAsia" w:ascii="Times New Roman" w:hAnsi="Times New Roman" w:eastAsia="宋体" w:cs="宋体"/>
          <w:color w:val="000000"/>
          <w:sz w:val="24"/>
        </w:rPr>
        <w:t>3</w:t>
      </w:r>
      <w:r>
        <w:rPr>
          <w:rFonts w:hint="eastAsia" w:ascii="宋体" w:hAnsi="宋体" w:eastAsia="宋体" w:cs="宋体"/>
          <w:color w:val="000000"/>
          <w:sz w:val="24"/>
        </w:rPr>
        <w:t>)输出项</w:t>
      </w:r>
    </w:p>
    <w:p w14:paraId="6E1D6F67">
      <w:pPr>
        <w:widowControl/>
        <w:tabs>
          <w:tab w:val="left" w:pos="165"/>
          <w:tab w:val="left" w:pos="845"/>
        </w:tabs>
        <w:spacing w:line="440" w:lineRule="exact"/>
        <w:ind w:firstLine="480" w:firstLineChars="200"/>
        <w:outlineLvl w:val="9"/>
        <w:rPr>
          <w:rFonts w:ascii="宋体" w:hAnsi="宋体" w:cs="宋体"/>
          <w:color w:val="000000"/>
          <w:sz w:val="24"/>
        </w:rPr>
      </w:pPr>
      <w:r>
        <w:rPr>
          <w:rFonts w:hint="eastAsia" w:ascii="宋体" w:hAnsi="宋体" w:cs="宋体"/>
          <w:color w:val="000000"/>
          <w:sz w:val="24"/>
        </w:rPr>
        <w:t>①成功，</w:t>
      </w:r>
      <w:r>
        <w:rPr>
          <w:rFonts w:hint="eastAsia" w:ascii="Times New Roman" w:hAnsi="Times New Roman" w:cs="宋体"/>
          <w:color w:val="000000"/>
          <w:sz w:val="24"/>
        </w:rPr>
        <w:t>UI</w:t>
      </w:r>
      <w:r>
        <w:rPr>
          <w:rFonts w:hint="eastAsia" w:ascii="宋体" w:hAnsi="宋体" w:cs="宋体"/>
          <w:color w:val="000000"/>
          <w:sz w:val="24"/>
        </w:rPr>
        <w:t>提示用户登录完成；</w:t>
      </w:r>
    </w:p>
    <w:p w14:paraId="1D72710E">
      <w:pPr>
        <w:widowControl/>
        <w:tabs>
          <w:tab w:val="left" w:pos="165"/>
          <w:tab w:val="left" w:pos="845"/>
        </w:tabs>
        <w:spacing w:line="440" w:lineRule="exact"/>
        <w:ind w:firstLine="480" w:firstLineChars="200"/>
        <w:outlineLvl w:val="9"/>
        <w:rPr>
          <w:rFonts w:ascii="宋体" w:hAnsi="宋体" w:cs="宋体"/>
          <w:color w:val="000000"/>
          <w:sz w:val="24"/>
        </w:rPr>
      </w:pPr>
      <w:r>
        <w:rPr>
          <w:rFonts w:hint="eastAsia" w:ascii="宋体" w:hAnsi="宋体" w:cs="宋体"/>
          <w:color w:val="000000"/>
          <w:sz w:val="24"/>
        </w:rPr>
        <w:t>②失败，</w:t>
      </w:r>
      <w:r>
        <w:rPr>
          <w:rFonts w:hint="eastAsia" w:ascii="Times New Roman" w:hAnsi="Times New Roman" w:cs="宋体"/>
          <w:color w:val="000000"/>
          <w:sz w:val="24"/>
        </w:rPr>
        <w:t>UI</w:t>
      </w:r>
      <w:r>
        <w:rPr>
          <w:rFonts w:hint="eastAsia" w:ascii="宋体" w:hAnsi="宋体" w:cs="宋体"/>
          <w:color w:val="000000"/>
          <w:sz w:val="24"/>
        </w:rPr>
        <w:t>提示重新输入用户名和密码。</w:t>
      </w:r>
    </w:p>
    <w:p w14:paraId="3CACCACB">
      <w:pPr>
        <w:widowControl/>
        <w:tabs>
          <w:tab w:val="left" w:pos="165"/>
          <w:tab w:val="left" w:pos="845"/>
        </w:tabs>
        <w:spacing w:line="440" w:lineRule="exact"/>
        <w:ind w:firstLine="480" w:firstLineChars="200"/>
        <w:outlineLvl w:val="9"/>
        <w:rPr>
          <w:rFonts w:ascii="宋体" w:hAnsi="宋体" w:cs="宋体"/>
          <w:color w:val="000000"/>
          <w:sz w:val="24"/>
        </w:rPr>
      </w:pPr>
      <w:r>
        <w:rPr>
          <w:rFonts w:hint="eastAsia" w:ascii="Times New Roman" w:hAnsi="Times New Roman" w:cs="宋体"/>
          <w:color w:val="000000"/>
          <w:sz w:val="24"/>
        </w:rPr>
        <w:t>4</w:t>
      </w:r>
      <w:r>
        <w:rPr>
          <w:rFonts w:hint="eastAsia" w:ascii="宋体" w:hAnsi="宋体" w:cs="宋体"/>
          <w:color w:val="000000"/>
          <w:sz w:val="24"/>
        </w:rPr>
        <w:t>)算法描述：</w:t>
      </w:r>
    </w:p>
    <w:p w14:paraId="49FC1B56">
      <w:pPr>
        <w:widowControl/>
        <w:tabs>
          <w:tab w:val="left" w:pos="165"/>
          <w:tab w:val="left" w:pos="845"/>
        </w:tabs>
        <w:spacing w:line="440" w:lineRule="exact"/>
        <w:ind w:firstLine="480" w:firstLineChars="200"/>
        <w:outlineLvl w:val="9"/>
        <w:rPr>
          <w:color w:val="000000"/>
          <w:sz w:val="24"/>
        </w:rPr>
      </w:pPr>
      <w:r>
        <w:rPr>
          <w:rFonts w:hint="eastAsia" w:ascii="宋体" w:hAnsi="宋体" w:cs="宋体"/>
          <w:color w:val="000000"/>
          <w:sz w:val="24"/>
        </w:rPr>
        <w:t>①</w:t>
      </w:r>
      <w:r>
        <w:rPr>
          <w:rFonts w:ascii="宋体" w:hAnsi="宋体" w:cs="宋体"/>
          <w:color w:val="1A1A1A"/>
          <w:sz w:val="24"/>
          <w:shd w:val="clear" w:color="auto" w:fill="FFFFFF"/>
        </w:rPr>
        <w:t>前端</w:t>
      </w:r>
      <w:r>
        <w:rPr>
          <w:rFonts w:ascii="Times New Roman" w:hAnsi="Times New Roman" w:cs="宋体"/>
          <w:color w:val="1A1A1A"/>
          <w:sz w:val="24"/>
          <w:shd w:val="clear" w:color="auto" w:fill="FFFFFF"/>
        </w:rPr>
        <w:t>js</w:t>
      </w:r>
      <w:r>
        <w:rPr>
          <w:rFonts w:ascii="宋体" w:hAnsi="宋体" w:cs="宋体"/>
          <w:color w:val="1A1A1A"/>
          <w:sz w:val="24"/>
          <w:shd w:val="clear" w:color="auto" w:fill="FFFFFF"/>
        </w:rPr>
        <w:t>判断必填项的输入</w:t>
      </w:r>
      <w:r>
        <w:rPr>
          <w:color w:val="000000"/>
          <w:sz w:val="24"/>
        </w:rPr>
        <w:t>；</w:t>
      </w:r>
    </w:p>
    <w:p w14:paraId="7BC6D6E9">
      <w:pPr>
        <w:widowControl/>
        <w:tabs>
          <w:tab w:val="left" w:pos="165"/>
          <w:tab w:val="left" w:pos="845"/>
        </w:tabs>
        <w:spacing w:line="440" w:lineRule="exact"/>
        <w:ind w:firstLine="480" w:firstLineChars="200"/>
        <w:outlineLvl w:val="9"/>
        <w:rPr>
          <w:color w:val="000000"/>
          <w:sz w:val="24"/>
        </w:rPr>
      </w:pPr>
      <w:r>
        <w:rPr>
          <w:rFonts w:hint="eastAsia" w:ascii="宋体" w:hAnsi="宋体" w:cs="宋体"/>
          <w:color w:val="000000"/>
          <w:sz w:val="24"/>
        </w:rPr>
        <w:t>②调用相关接口</w:t>
      </w:r>
      <w:r>
        <w:rPr>
          <w:color w:val="000000"/>
          <w:sz w:val="24"/>
        </w:rPr>
        <w:t>，</w:t>
      </w:r>
      <w:r>
        <w:rPr>
          <w:rFonts w:hint="eastAsia"/>
          <w:color w:val="000000"/>
          <w:sz w:val="24"/>
        </w:rPr>
        <w:t>判断用户名是否存在</w:t>
      </w:r>
      <w:r>
        <w:rPr>
          <w:color w:val="000000"/>
          <w:sz w:val="24"/>
        </w:rPr>
        <w:t>；</w:t>
      </w:r>
    </w:p>
    <w:p w14:paraId="1CBECF94">
      <w:pPr>
        <w:widowControl/>
        <w:tabs>
          <w:tab w:val="left" w:pos="165"/>
          <w:tab w:val="left" w:pos="845"/>
        </w:tabs>
        <w:spacing w:line="440" w:lineRule="exact"/>
        <w:ind w:firstLine="480" w:firstLineChars="200"/>
        <w:outlineLvl w:val="9"/>
        <w:rPr>
          <w:rStyle w:val="41"/>
          <w:sz w:val="24"/>
        </w:rPr>
      </w:pPr>
      <w:r>
        <w:rPr>
          <w:rStyle w:val="41"/>
          <w:rFonts w:hint="eastAsia"/>
          <w:sz w:val="24"/>
        </w:rPr>
        <w:t>③登录成功，进入首页面。</w:t>
      </w:r>
    </w:p>
    <w:p w14:paraId="27CD183C">
      <w:pPr>
        <w:widowControl/>
        <w:tabs>
          <w:tab w:val="left" w:pos="165"/>
        </w:tabs>
        <w:spacing w:line="440" w:lineRule="exact"/>
        <w:ind w:firstLine="425"/>
        <w:outlineLvl w:val="9"/>
        <w:rPr>
          <w:rFonts w:ascii="宋体" w:hAnsi="宋体" w:cs="宋体"/>
          <w:bCs/>
          <w:color w:val="000000"/>
          <w:sz w:val="24"/>
        </w:rPr>
      </w:pPr>
      <w:r>
        <w:rPr>
          <w:rFonts w:hint="eastAsia" w:ascii="宋体" w:hAnsi="宋体" w:cs="宋体"/>
          <w:bCs/>
          <w:color w:val="000000"/>
          <w:sz w:val="24"/>
        </w:rPr>
        <w:t>(</w:t>
      </w:r>
      <w:r>
        <w:rPr>
          <w:rFonts w:hint="eastAsia" w:ascii="Times New Roman" w:hAnsi="Times New Roman" w:cs="宋体"/>
          <w:bCs/>
          <w:color w:val="000000"/>
          <w:sz w:val="24"/>
        </w:rPr>
        <w:t>2</w:t>
      </w:r>
      <w:r>
        <w:rPr>
          <w:rFonts w:hint="eastAsia" w:ascii="宋体" w:hAnsi="宋体" w:cs="宋体"/>
          <w:bCs/>
          <w:color w:val="000000"/>
          <w:sz w:val="24"/>
        </w:rPr>
        <w:t>)注册</w:t>
      </w:r>
    </w:p>
    <w:p w14:paraId="7F482B45">
      <w:pPr>
        <w:widowControl/>
        <w:tabs>
          <w:tab w:val="left" w:pos="165"/>
        </w:tabs>
        <w:spacing w:line="440" w:lineRule="exact"/>
        <w:ind w:firstLine="480" w:firstLineChars="200"/>
        <w:outlineLvl w:val="9"/>
        <w:rPr>
          <w:rFonts w:ascii="宋体" w:hAnsi="宋体" w:cs="宋体"/>
          <w:bCs/>
          <w:color w:val="000000"/>
          <w:sz w:val="24"/>
        </w:rPr>
      </w:pPr>
      <w:r>
        <w:rPr>
          <w:rFonts w:hint="eastAsia" w:ascii="Times New Roman" w:hAnsi="Times New Roman" w:cs="宋体"/>
          <w:bCs/>
          <w:color w:val="000000"/>
          <w:sz w:val="24"/>
        </w:rPr>
        <w:t>1</w:t>
      </w:r>
      <w:r>
        <w:rPr>
          <w:rFonts w:hint="eastAsia" w:ascii="宋体" w:hAnsi="宋体" w:cs="宋体"/>
          <w:bCs/>
          <w:color w:val="000000"/>
          <w:sz w:val="24"/>
        </w:rPr>
        <w:t>)流程图</w:t>
      </w:r>
    </w:p>
    <w:p w14:paraId="5C2C57D7">
      <w:pPr>
        <w:pStyle w:val="69"/>
        <w:widowControl/>
        <w:spacing w:line="440" w:lineRule="exact"/>
        <w:ind w:firstLine="480"/>
        <w:outlineLvl w:val="9"/>
        <w:rPr>
          <w:rFonts w:ascii="宋体" w:hAnsi="宋体" w:cs="宋体"/>
        </w:rPr>
      </w:pPr>
      <w:r>
        <w:rPr>
          <w:rFonts w:hint="eastAsia" w:ascii="宋体" w:hAnsi="宋体" w:cs="宋体"/>
        </w:rPr>
        <w:t>注册流程图，如图</w:t>
      </w:r>
      <w:r>
        <w:rPr>
          <w:rFonts w:hint="eastAsia" w:cs="宋体"/>
        </w:rPr>
        <w:t>3-7</w:t>
      </w:r>
      <w:r>
        <w:rPr>
          <w:rFonts w:hint="eastAsia" w:ascii="宋体" w:hAnsi="宋体" w:cs="宋体"/>
        </w:rPr>
        <w:t>所示。</w:t>
      </w:r>
    </w:p>
    <w:p w14:paraId="295EBCAF">
      <w:pPr>
        <w:pStyle w:val="69"/>
        <w:widowControl/>
        <w:spacing w:line="440" w:lineRule="exact"/>
        <w:ind w:firstLine="480"/>
        <w:outlineLvl w:val="9"/>
        <w:rPr>
          <w:rFonts w:ascii="宋体" w:hAnsi="宋体" w:cs="宋体"/>
        </w:rPr>
      </w:pPr>
      <w:r>
        <w:rPr>
          <w:rFonts w:hint="eastAsia" w:ascii="宋体" w:hAnsi="宋体" w:cs="宋体"/>
        </w:rPr>
        <w:drawing>
          <wp:anchor distT="0" distB="0" distL="114300" distR="114300" simplePos="0" relativeHeight="251727872" behindDoc="0" locked="0" layoutInCell="1" allowOverlap="1">
            <wp:simplePos x="0" y="0"/>
            <wp:positionH relativeFrom="column">
              <wp:posOffset>1419225</wp:posOffset>
            </wp:positionH>
            <wp:positionV relativeFrom="paragraph">
              <wp:posOffset>56515</wp:posOffset>
            </wp:positionV>
            <wp:extent cx="2617470" cy="3698875"/>
            <wp:effectExtent l="0" t="0" r="3810" b="4445"/>
            <wp:wrapNone/>
            <wp:docPr id="1898648856" name="图片 1898648856" descr="1b13e14422c5926a5912990794f5c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6" name="图片 1898648856" descr="1b13e14422c5926a5912990794f5c5a"/>
                    <pic:cNvPicPr>
                      <a:picLocks noChangeAspect="1"/>
                    </pic:cNvPicPr>
                  </pic:nvPicPr>
                  <pic:blipFill>
                    <a:blip r:embed="rId233"/>
                    <a:stretch>
                      <a:fillRect/>
                    </a:stretch>
                  </pic:blipFill>
                  <pic:spPr>
                    <a:xfrm>
                      <a:off x="0" y="0"/>
                      <a:ext cx="2617470" cy="3698875"/>
                    </a:xfrm>
                    <a:prstGeom prst="rect">
                      <a:avLst/>
                    </a:prstGeom>
                  </pic:spPr>
                </pic:pic>
              </a:graphicData>
            </a:graphic>
          </wp:anchor>
        </w:drawing>
      </w:r>
    </w:p>
    <w:p w14:paraId="666A1847">
      <w:pPr>
        <w:tabs>
          <w:tab w:val="left" w:pos="1584"/>
        </w:tabs>
        <w:jc w:val="center"/>
        <w:outlineLvl w:val="9"/>
        <w:rPr>
          <w:rFonts w:ascii="宋体" w:hAnsi="宋体" w:eastAsia="宋体" w:cs="宋体"/>
          <w:sz w:val="24"/>
        </w:rPr>
      </w:pPr>
    </w:p>
    <w:p w14:paraId="27C94612">
      <w:pPr>
        <w:widowControl/>
        <w:tabs>
          <w:tab w:val="left" w:pos="165"/>
          <w:tab w:val="left" w:pos="786"/>
        </w:tabs>
        <w:spacing w:line="440" w:lineRule="atLeast"/>
        <w:ind w:firstLine="480" w:firstLineChars="200"/>
        <w:outlineLvl w:val="9"/>
        <w:rPr>
          <w:rFonts w:ascii="宋体" w:hAnsi="宋体" w:cs="宋体"/>
          <w:bCs/>
          <w:color w:val="000000"/>
          <w:sz w:val="24"/>
        </w:rPr>
      </w:pPr>
    </w:p>
    <w:p w14:paraId="46896B26">
      <w:pPr>
        <w:widowControl/>
        <w:tabs>
          <w:tab w:val="left" w:pos="165"/>
          <w:tab w:val="left" w:pos="786"/>
        </w:tabs>
        <w:spacing w:line="440" w:lineRule="atLeast"/>
        <w:ind w:firstLine="480" w:firstLineChars="200"/>
        <w:outlineLvl w:val="9"/>
        <w:rPr>
          <w:rFonts w:ascii="宋体" w:hAnsi="宋体" w:cs="宋体"/>
          <w:bCs/>
          <w:color w:val="000000"/>
          <w:sz w:val="24"/>
        </w:rPr>
      </w:pPr>
    </w:p>
    <w:p w14:paraId="10741003">
      <w:pPr>
        <w:widowControl/>
        <w:tabs>
          <w:tab w:val="left" w:pos="165"/>
          <w:tab w:val="left" w:pos="786"/>
        </w:tabs>
        <w:spacing w:line="440" w:lineRule="atLeast"/>
        <w:ind w:firstLine="480" w:firstLineChars="200"/>
        <w:outlineLvl w:val="9"/>
        <w:rPr>
          <w:rFonts w:ascii="宋体" w:hAnsi="宋体" w:cs="宋体"/>
          <w:bCs/>
          <w:color w:val="000000"/>
          <w:sz w:val="24"/>
        </w:rPr>
      </w:pPr>
    </w:p>
    <w:p w14:paraId="03C9E05F">
      <w:pPr>
        <w:widowControl/>
        <w:tabs>
          <w:tab w:val="left" w:pos="165"/>
          <w:tab w:val="left" w:pos="786"/>
        </w:tabs>
        <w:spacing w:line="440" w:lineRule="atLeast"/>
        <w:ind w:firstLine="480" w:firstLineChars="200"/>
        <w:outlineLvl w:val="9"/>
        <w:rPr>
          <w:rFonts w:ascii="宋体" w:hAnsi="宋体" w:cs="宋体"/>
          <w:bCs/>
          <w:color w:val="000000"/>
          <w:sz w:val="24"/>
        </w:rPr>
      </w:pPr>
    </w:p>
    <w:p w14:paraId="042814A3">
      <w:pPr>
        <w:widowControl/>
        <w:tabs>
          <w:tab w:val="left" w:pos="165"/>
          <w:tab w:val="left" w:pos="786"/>
        </w:tabs>
        <w:spacing w:line="440" w:lineRule="atLeast"/>
        <w:ind w:firstLine="480" w:firstLineChars="200"/>
        <w:outlineLvl w:val="9"/>
        <w:rPr>
          <w:rFonts w:ascii="宋体" w:hAnsi="宋体" w:cs="宋体"/>
          <w:bCs/>
          <w:color w:val="000000"/>
          <w:sz w:val="24"/>
        </w:rPr>
      </w:pPr>
    </w:p>
    <w:p w14:paraId="17708FA6">
      <w:pPr>
        <w:widowControl/>
        <w:tabs>
          <w:tab w:val="left" w:pos="165"/>
          <w:tab w:val="left" w:pos="786"/>
        </w:tabs>
        <w:spacing w:line="440" w:lineRule="atLeast"/>
        <w:ind w:firstLine="480" w:firstLineChars="200"/>
        <w:outlineLvl w:val="9"/>
        <w:rPr>
          <w:rFonts w:ascii="宋体" w:hAnsi="宋体" w:cs="宋体"/>
          <w:bCs/>
          <w:color w:val="000000"/>
          <w:sz w:val="24"/>
        </w:rPr>
      </w:pPr>
    </w:p>
    <w:p w14:paraId="08A17D48">
      <w:pPr>
        <w:widowControl/>
        <w:tabs>
          <w:tab w:val="left" w:pos="165"/>
          <w:tab w:val="left" w:pos="786"/>
        </w:tabs>
        <w:spacing w:line="440" w:lineRule="atLeast"/>
        <w:ind w:firstLine="480" w:firstLineChars="200"/>
        <w:outlineLvl w:val="9"/>
        <w:rPr>
          <w:rFonts w:ascii="宋体" w:hAnsi="宋体" w:cs="宋体"/>
          <w:bCs/>
          <w:color w:val="000000"/>
          <w:sz w:val="24"/>
        </w:rPr>
      </w:pPr>
    </w:p>
    <w:p w14:paraId="3CDC7773">
      <w:pPr>
        <w:widowControl/>
        <w:tabs>
          <w:tab w:val="left" w:pos="165"/>
          <w:tab w:val="left" w:pos="786"/>
        </w:tabs>
        <w:spacing w:line="440" w:lineRule="atLeast"/>
        <w:ind w:firstLine="480" w:firstLineChars="200"/>
        <w:outlineLvl w:val="9"/>
        <w:rPr>
          <w:rFonts w:ascii="宋体" w:hAnsi="宋体" w:cs="宋体"/>
          <w:bCs/>
          <w:color w:val="000000"/>
          <w:sz w:val="24"/>
        </w:rPr>
      </w:pPr>
    </w:p>
    <w:p w14:paraId="30162F5B">
      <w:pPr>
        <w:widowControl/>
        <w:tabs>
          <w:tab w:val="left" w:pos="165"/>
          <w:tab w:val="left" w:pos="786"/>
        </w:tabs>
        <w:spacing w:line="440" w:lineRule="atLeast"/>
        <w:ind w:firstLine="480" w:firstLineChars="200"/>
        <w:outlineLvl w:val="9"/>
        <w:rPr>
          <w:rFonts w:ascii="宋体" w:hAnsi="宋体" w:cs="宋体"/>
          <w:bCs/>
          <w:color w:val="000000"/>
          <w:sz w:val="24"/>
        </w:rPr>
      </w:pPr>
    </w:p>
    <w:p w14:paraId="06B57363">
      <w:pPr>
        <w:widowControl/>
        <w:tabs>
          <w:tab w:val="left" w:pos="165"/>
          <w:tab w:val="left" w:pos="786"/>
        </w:tabs>
        <w:spacing w:line="440" w:lineRule="atLeast"/>
        <w:ind w:firstLine="480" w:firstLineChars="200"/>
        <w:outlineLvl w:val="9"/>
        <w:rPr>
          <w:rFonts w:ascii="宋体" w:hAnsi="宋体" w:cs="宋体"/>
          <w:bCs/>
          <w:color w:val="000000"/>
          <w:sz w:val="24"/>
        </w:rPr>
      </w:pPr>
    </w:p>
    <w:p w14:paraId="1431E266">
      <w:pPr>
        <w:tabs>
          <w:tab w:val="left" w:pos="2659"/>
          <w:tab w:val="center" w:pos="4213"/>
        </w:tabs>
        <w:spacing w:line="440" w:lineRule="exact"/>
        <w:jc w:val="center"/>
        <w:rPr>
          <w:rFonts w:ascii="宋体" w:hAnsi="宋体" w:cs="宋体"/>
          <w:sz w:val="24"/>
        </w:rPr>
      </w:pPr>
    </w:p>
    <w:p w14:paraId="03E91BD5">
      <w:pPr>
        <w:tabs>
          <w:tab w:val="left" w:pos="2659"/>
          <w:tab w:val="center" w:pos="4213"/>
        </w:tabs>
        <w:spacing w:line="440" w:lineRule="exact"/>
        <w:jc w:val="center"/>
        <w:rPr>
          <w:rFonts w:ascii="宋体" w:hAnsi="宋体" w:cs="宋体"/>
          <w:szCs w:val="21"/>
        </w:rPr>
      </w:pPr>
      <w:r>
        <w:rPr>
          <w:rFonts w:hint="eastAsia" w:ascii="宋体" w:hAnsi="宋体" w:cs="宋体"/>
          <w:szCs w:val="21"/>
        </w:rPr>
        <w:t>图</w:t>
      </w:r>
      <w:r>
        <w:rPr>
          <w:rFonts w:hint="eastAsia" w:ascii="Times New Roman" w:hAnsi="Times New Roman" w:cs="宋体"/>
          <w:sz w:val="24"/>
        </w:rPr>
        <w:t>3-7</w:t>
      </w:r>
      <w:r>
        <w:rPr>
          <w:rFonts w:hint="eastAsia" w:ascii="宋体" w:hAnsi="宋体" w:cs="宋体"/>
          <w:szCs w:val="21"/>
        </w:rPr>
        <w:t>系统注册页面流程图</w:t>
      </w:r>
    </w:p>
    <w:p w14:paraId="22B01C60">
      <w:pPr>
        <w:widowControl/>
        <w:tabs>
          <w:tab w:val="left" w:pos="165"/>
          <w:tab w:val="left" w:pos="786"/>
        </w:tabs>
        <w:spacing w:line="440" w:lineRule="exact"/>
        <w:ind w:firstLine="480" w:firstLineChars="200"/>
        <w:outlineLvl w:val="9"/>
        <w:rPr>
          <w:rFonts w:ascii="宋体" w:hAnsi="宋体" w:cs="宋体"/>
          <w:bCs/>
          <w:color w:val="000000"/>
          <w:sz w:val="24"/>
        </w:rPr>
      </w:pPr>
      <w:r>
        <w:rPr>
          <w:rFonts w:hint="eastAsia" w:ascii="Times New Roman" w:hAnsi="Times New Roman" w:cs="宋体"/>
          <w:bCs/>
          <w:color w:val="000000"/>
          <w:sz w:val="24"/>
        </w:rPr>
        <w:t>2</w:t>
      </w:r>
      <w:r>
        <w:rPr>
          <w:rFonts w:hint="eastAsia" w:ascii="宋体" w:hAnsi="宋体" w:cs="宋体"/>
          <w:bCs/>
          <w:color w:val="000000"/>
          <w:sz w:val="24"/>
        </w:rPr>
        <w:t>)输入项</w:t>
      </w:r>
    </w:p>
    <w:p w14:paraId="21C584C5">
      <w:pPr>
        <w:pStyle w:val="69"/>
        <w:spacing w:line="440" w:lineRule="exact"/>
        <w:ind w:firstLine="480"/>
        <w:outlineLvl w:val="9"/>
        <w:rPr>
          <w:rFonts w:ascii="宋体" w:hAnsi="宋体" w:cs="宋体"/>
          <w:szCs w:val="24"/>
        </w:rPr>
      </w:pPr>
      <w:r>
        <w:rPr>
          <w:rFonts w:hint="eastAsia" w:ascii="宋体" w:hAnsi="宋体" w:cs="宋体"/>
          <w:szCs w:val="24"/>
        </w:rPr>
        <w:t>注册功能需要的输入项如表</w:t>
      </w:r>
      <w:r>
        <w:rPr>
          <w:rFonts w:hint="eastAsia" w:cs="宋体"/>
          <w:szCs w:val="24"/>
        </w:rPr>
        <w:t>3-2</w:t>
      </w:r>
      <w:r>
        <w:rPr>
          <w:rFonts w:hint="eastAsia" w:ascii="宋体" w:hAnsi="宋体" w:cs="宋体"/>
          <w:szCs w:val="24"/>
        </w:rPr>
        <w:t>所示。</w:t>
      </w:r>
    </w:p>
    <w:p w14:paraId="3C17E54E">
      <w:pPr>
        <w:pStyle w:val="69"/>
        <w:spacing w:line="440" w:lineRule="exact"/>
        <w:ind w:firstLine="420"/>
        <w:jc w:val="center"/>
        <w:rPr>
          <w:rFonts w:ascii="宋体" w:hAnsi="宋体" w:cs="宋体"/>
          <w:color w:val="000000"/>
          <w:szCs w:val="24"/>
        </w:rPr>
      </w:pPr>
      <w:r>
        <w:rPr>
          <w:rFonts w:hint="eastAsia" w:ascii="宋体" w:hAnsi="宋体" w:cs="宋体"/>
          <w:color w:val="000000"/>
          <w:sz w:val="21"/>
          <w:szCs w:val="21"/>
        </w:rPr>
        <w:t>表</w:t>
      </w:r>
      <w:r>
        <w:rPr>
          <w:rFonts w:hint="eastAsia" w:cs="宋体"/>
          <w:color w:val="000000"/>
          <w:szCs w:val="24"/>
        </w:rPr>
        <w:t>3-2</w:t>
      </w:r>
      <w:r>
        <w:rPr>
          <w:rFonts w:hint="eastAsia" w:ascii="宋体" w:hAnsi="宋体" w:cs="宋体"/>
          <w:color w:val="000000"/>
          <w:sz w:val="21"/>
          <w:szCs w:val="21"/>
        </w:rPr>
        <w:t>注册账号信息表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5"/>
        <w:gridCol w:w="2280"/>
        <w:gridCol w:w="2284"/>
      </w:tblGrid>
      <w:tr w14:paraId="25EC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028D198B">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输入项名称</w:t>
            </w:r>
          </w:p>
        </w:tc>
        <w:tc>
          <w:tcPr>
            <w:tcW w:w="2280" w:type="dxa"/>
            <w:vAlign w:val="center"/>
          </w:tcPr>
          <w:p w14:paraId="51D1D071">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类型</w:t>
            </w:r>
          </w:p>
        </w:tc>
        <w:tc>
          <w:tcPr>
            <w:tcW w:w="2284" w:type="dxa"/>
            <w:vAlign w:val="center"/>
          </w:tcPr>
          <w:p w14:paraId="45E21ADC">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说明</w:t>
            </w:r>
          </w:p>
        </w:tc>
      </w:tr>
      <w:tr w14:paraId="0CEE6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25F9812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用户账号</w:t>
            </w:r>
          </w:p>
        </w:tc>
        <w:tc>
          <w:tcPr>
            <w:tcW w:w="2280" w:type="dxa"/>
            <w:vAlign w:val="center"/>
          </w:tcPr>
          <w:p w14:paraId="5131331F">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3766EDE9">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56231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7D89F0E8">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用户姓名</w:t>
            </w:r>
          </w:p>
        </w:tc>
        <w:tc>
          <w:tcPr>
            <w:tcW w:w="2280" w:type="dxa"/>
            <w:vAlign w:val="center"/>
          </w:tcPr>
          <w:p w14:paraId="72F2462B">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4C432BFD">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52DDE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2BE81968">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用户密码</w:t>
            </w:r>
          </w:p>
        </w:tc>
        <w:tc>
          <w:tcPr>
            <w:tcW w:w="2280" w:type="dxa"/>
            <w:vAlign w:val="center"/>
          </w:tcPr>
          <w:p w14:paraId="0EBE9D02">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75CEF74B">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53CEC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0A34551A">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用户性别</w:t>
            </w:r>
          </w:p>
        </w:tc>
        <w:tc>
          <w:tcPr>
            <w:tcW w:w="2280" w:type="dxa"/>
            <w:vAlign w:val="center"/>
          </w:tcPr>
          <w:p w14:paraId="3E872F2C">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698C7AB5">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3BB88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6227EDD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用户年龄</w:t>
            </w:r>
          </w:p>
        </w:tc>
        <w:tc>
          <w:tcPr>
            <w:tcW w:w="2280" w:type="dxa"/>
            <w:vAlign w:val="center"/>
          </w:tcPr>
          <w:p w14:paraId="102EC5DF">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2DA52228">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60BA6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2275" w:type="dxa"/>
            <w:vAlign w:val="center"/>
          </w:tcPr>
          <w:p w14:paraId="401D8DEB">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用户地址</w:t>
            </w:r>
          </w:p>
        </w:tc>
        <w:tc>
          <w:tcPr>
            <w:tcW w:w="2280" w:type="dxa"/>
            <w:vAlign w:val="center"/>
          </w:tcPr>
          <w:p w14:paraId="57F36C2B">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4DA059E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68568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2275" w:type="dxa"/>
            <w:vAlign w:val="center"/>
          </w:tcPr>
          <w:p w14:paraId="6F480F7E">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联系电话</w:t>
            </w:r>
          </w:p>
        </w:tc>
        <w:tc>
          <w:tcPr>
            <w:tcW w:w="2280" w:type="dxa"/>
            <w:vAlign w:val="center"/>
          </w:tcPr>
          <w:p w14:paraId="6A5C9B59">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84" w:type="dxa"/>
            <w:vAlign w:val="center"/>
          </w:tcPr>
          <w:p w14:paraId="1C6BCCB0">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bl>
    <w:p w14:paraId="62A59939">
      <w:pPr>
        <w:widowControl/>
        <w:tabs>
          <w:tab w:val="left" w:pos="165"/>
          <w:tab w:val="left" w:pos="786"/>
        </w:tabs>
        <w:spacing w:before="156" w:beforeLines="50"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3</w:t>
      </w:r>
      <w:r>
        <w:rPr>
          <w:rFonts w:hint="eastAsia" w:ascii="宋体" w:hAnsi="宋体" w:cs="宋体"/>
          <w:bCs/>
          <w:color w:val="000000"/>
          <w:sz w:val="24"/>
        </w:rPr>
        <w:t>)输出项</w:t>
      </w:r>
    </w:p>
    <w:p w14:paraId="06B8F12B">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①成功，</w:t>
      </w:r>
      <w:r>
        <w:rPr>
          <w:rFonts w:hint="eastAsia" w:ascii="Times New Roman" w:hAnsi="Times New Roman" w:cs="宋体"/>
          <w:bCs/>
          <w:color w:val="000000"/>
          <w:sz w:val="24"/>
        </w:rPr>
        <w:t>UI</w:t>
      </w:r>
      <w:r>
        <w:rPr>
          <w:rFonts w:hint="eastAsia" w:ascii="宋体" w:hAnsi="宋体" w:cs="宋体"/>
          <w:bCs/>
          <w:color w:val="000000"/>
          <w:sz w:val="24"/>
        </w:rPr>
        <w:t>提示用户注册完成；</w:t>
      </w:r>
    </w:p>
    <w:p w14:paraId="2A8C1AFD">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②失败，</w:t>
      </w:r>
      <w:r>
        <w:rPr>
          <w:rFonts w:hint="eastAsia" w:ascii="Times New Roman" w:hAnsi="Times New Roman" w:cs="宋体"/>
          <w:bCs/>
          <w:color w:val="000000"/>
          <w:sz w:val="24"/>
        </w:rPr>
        <w:t>UI</w:t>
      </w:r>
      <w:r>
        <w:rPr>
          <w:rFonts w:hint="eastAsia" w:ascii="宋体" w:hAnsi="宋体" w:cs="宋体"/>
          <w:bCs/>
          <w:color w:val="000000"/>
          <w:sz w:val="24"/>
        </w:rPr>
        <w:t>提示具体信息。</w:t>
      </w:r>
    </w:p>
    <w:p w14:paraId="6DBD8C91">
      <w:pPr>
        <w:widowControl/>
        <w:tabs>
          <w:tab w:val="left" w:pos="165"/>
          <w:tab w:val="left" w:pos="786"/>
        </w:tabs>
        <w:spacing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4</w:t>
      </w:r>
      <w:r>
        <w:rPr>
          <w:rFonts w:hint="eastAsia" w:ascii="宋体" w:hAnsi="宋体" w:cs="宋体"/>
          <w:bCs/>
          <w:color w:val="000000"/>
          <w:sz w:val="24"/>
        </w:rPr>
        <w:t>)算法描述</w:t>
      </w:r>
    </w:p>
    <w:p w14:paraId="6C7FF633">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①</w:t>
      </w:r>
      <w:r>
        <w:rPr>
          <w:rFonts w:hint="eastAsia" w:ascii="宋体" w:hAnsi="宋体" w:cs="宋体"/>
          <w:bCs/>
          <w:color w:val="1A1A1A"/>
          <w:sz w:val="24"/>
          <w:shd w:val="clear" w:color="auto" w:fill="FFFFFF"/>
        </w:rPr>
        <w:t>前端</w:t>
      </w:r>
      <w:r>
        <w:rPr>
          <w:rFonts w:hint="eastAsia" w:ascii="Times New Roman" w:hAnsi="Times New Roman" w:cs="宋体"/>
          <w:bCs/>
          <w:color w:val="1A1A1A"/>
          <w:sz w:val="24"/>
          <w:shd w:val="clear" w:color="auto" w:fill="FFFFFF"/>
        </w:rPr>
        <w:t>js</w:t>
      </w:r>
      <w:r>
        <w:rPr>
          <w:rFonts w:hint="eastAsia" w:ascii="宋体" w:hAnsi="宋体" w:cs="宋体"/>
          <w:bCs/>
          <w:color w:val="1A1A1A"/>
          <w:sz w:val="24"/>
          <w:shd w:val="clear" w:color="auto" w:fill="FFFFFF"/>
        </w:rPr>
        <w:t>判断必填项的输入</w:t>
      </w:r>
      <w:r>
        <w:rPr>
          <w:rFonts w:hint="eastAsia" w:ascii="宋体" w:hAnsi="宋体" w:cs="宋体"/>
          <w:bCs/>
          <w:color w:val="000000"/>
          <w:sz w:val="24"/>
        </w:rPr>
        <w:t>；</w:t>
      </w:r>
    </w:p>
    <w:p w14:paraId="3D058063">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②调用相关接口，判断用户名是否存在；</w:t>
      </w:r>
    </w:p>
    <w:p w14:paraId="47E37706">
      <w:pPr>
        <w:spacing w:line="440" w:lineRule="exact"/>
        <w:ind w:firstLine="480" w:firstLineChars="200"/>
        <w:rPr>
          <w:rStyle w:val="41"/>
          <w:rFonts w:ascii="宋体" w:hAnsi="宋体" w:cs="宋体"/>
          <w:bCs/>
          <w:sz w:val="24"/>
        </w:rPr>
      </w:pPr>
      <w:r>
        <w:rPr>
          <w:rStyle w:val="41"/>
          <w:rFonts w:hint="eastAsia" w:ascii="宋体" w:hAnsi="宋体" w:cs="宋体"/>
          <w:bCs/>
          <w:sz w:val="24"/>
        </w:rPr>
        <w:t>③如果不存在，那么将信息写入数据库，否则返回注册失败信息。</w:t>
      </w:r>
    </w:p>
    <w:p w14:paraId="0681D452">
      <w:pPr>
        <w:spacing w:line="440" w:lineRule="exact"/>
        <w:ind w:left="420" w:leftChars="200"/>
        <w:rPr>
          <w:rFonts w:ascii="宋体" w:hAnsi="宋体" w:cs="宋体"/>
          <w:color w:val="000000"/>
          <w:sz w:val="24"/>
        </w:rPr>
      </w:pPr>
      <w:r>
        <w:rPr>
          <w:rFonts w:ascii="Times New Roman" w:hAnsi="Times New Roman"/>
          <w:color w:val="000000"/>
          <w:sz w:val="24"/>
        </w:rPr>
        <w:t>3.3.2</w:t>
      </w:r>
      <w:r>
        <w:rPr>
          <w:rFonts w:hint="eastAsia" w:ascii="宋体" w:hAnsi="宋体" w:cs="宋体"/>
          <w:color w:val="000000"/>
          <w:sz w:val="24"/>
        </w:rPr>
        <w:t>社团成员模块</w:t>
      </w:r>
    </w:p>
    <w:p w14:paraId="7C8A16A4">
      <w:pPr>
        <w:spacing w:line="440" w:lineRule="exact"/>
        <w:ind w:firstLine="480" w:firstLineChars="200"/>
        <w:rPr>
          <w:rFonts w:ascii="宋体" w:hAnsi="宋体" w:cs="宋体"/>
          <w:color w:val="000000"/>
          <w:sz w:val="24"/>
        </w:rPr>
      </w:pPr>
      <w:r>
        <w:rPr>
          <w:rFonts w:hint="eastAsia" w:ascii="宋体" w:hAnsi="宋体" w:cs="宋体"/>
          <w:color w:val="000000"/>
          <w:sz w:val="24"/>
        </w:rPr>
        <w:t>模块描述：查询社团信息</w:t>
      </w:r>
      <w:r>
        <w:rPr>
          <w:rFonts w:hint="eastAsia" w:ascii="宋体" w:hAnsi="宋体" w:cs="宋体"/>
          <w:sz w:val="24"/>
        </w:rPr>
        <w:t>。</w:t>
      </w:r>
    </w:p>
    <w:p w14:paraId="54EA909D">
      <w:pPr>
        <w:spacing w:line="440" w:lineRule="exact"/>
        <w:ind w:firstLine="420"/>
        <w:rPr>
          <w:rFonts w:ascii="宋体" w:hAnsi="宋体" w:cs="宋体"/>
          <w:sz w:val="24"/>
        </w:rPr>
      </w:pPr>
      <w:r>
        <w:rPr>
          <w:rFonts w:hint="eastAsia" w:ascii="宋体" w:hAnsi="宋体" w:cs="宋体"/>
          <w:color w:val="000000"/>
          <w:sz w:val="24"/>
        </w:rPr>
        <w:t>主要功能：查看社团信息、申请加入社团</w:t>
      </w:r>
      <w:r>
        <w:rPr>
          <w:rFonts w:hint="eastAsia" w:ascii="宋体" w:hAnsi="宋体" w:cs="宋体"/>
          <w:sz w:val="24"/>
        </w:rPr>
        <w:t>等。</w:t>
      </w:r>
    </w:p>
    <w:p w14:paraId="1C7ACC91">
      <w:pPr>
        <w:widowControl/>
        <w:tabs>
          <w:tab w:val="left" w:pos="165"/>
        </w:tabs>
        <w:spacing w:line="440" w:lineRule="exact"/>
        <w:ind w:firstLine="425"/>
        <w:rPr>
          <w:rFonts w:ascii="宋体" w:hAnsi="宋体" w:cs="宋体"/>
          <w:color w:val="000000"/>
          <w:sz w:val="24"/>
        </w:rPr>
      </w:pPr>
      <w:r>
        <w:rPr>
          <w:rFonts w:hint="eastAsia" w:ascii="宋体" w:hAnsi="宋体" w:cs="宋体"/>
          <w:color w:val="000000"/>
          <w:sz w:val="24"/>
        </w:rPr>
        <w:t>(</w:t>
      </w:r>
      <w:r>
        <w:rPr>
          <w:rFonts w:hint="eastAsia" w:ascii="Times New Roman" w:hAnsi="Times New Roman" w:cs="宋体"/>
          <w:color w:val="000000"/>
          <w:sz w:val="24"/>
        </w:rPr>
        <w:t>1</w:t>
      </w:r>
      <w:r>
        <w:rPr>
          <w:rFonts w:hint="eastAsia" w:ascii="宋体" w:hAnsi="宋体" w:cs="宋体"/>
          <w:color w:val="000000"/>
          <w:sz w:val="24"/>
        </w:rPr>
        <w:t>)查看社团信息</w:t>
      </w:r>
    </w:p>
    <w:p w14:paraId="0E273F38">
      <w:pPr>
        <w:widowControl/>
        <w:tabs>
          <w:tab w:val="left" w:pos="165"/>
        </w:tabs>
        <w:spacing w:line="440" w:lineRule="exact"/>
        <w:ind w:firstLine="480" w:firstLineChars="200"/>
        <w:rPr>
          <w:rFonts w:ascii="宋体" w:hAnsi="宋体" w:cs="宋体"/>
          <w:color w:val="000000"/>
          <w:sz w:val="24"/>
        </w:rPr>
      </w:pPr>
      <w:r>
        <w:rPr>
          <w:rFonts w:hint="eastAsia" w:ascii="Times New Roman" w:hAnsi="Times New Roman" w:cs="宋体"/>
          <w:color w:val="000000"/>
          <w:sz w:val="24"/>
        </w:rPr>
        <w:t>1</w:t>
      </w:r>
      <w:r>
        <w:rPr>
          <w:rFonts w:hint="eastAsia" w:ascii="宋体" w:hAnsi="宋体" w:cs="宋体"/>
          <w:color w:val="000000"/>
          <w:sz w:val="24"/>
        </w:rPr>
        <w:t>)流程图</w:t>
      </w:r>
    </w:p>
    <w:p w14:paraId="70438FA3">
      <w:pPr>
        <w:pStyle w:val="69"/>
        <w:widowControl/>
        <w:spacing w:line="440" w:lineRule="exact"/>
        <w:ind w:firstLine="480"/>
        <w:rPr>
          <w:rFonts w:ascii="宋体" w:hAnsi="宋体" w:cs="宋体"/>
          <w:bCs w:val="0"/>
        </w:rPr>
      </w:pPr>
      <w:r>
        <w:rPr>
          <w:rFonts w:hint="eastAsia" w:ascii="宋体" w:hAnsi="宋体" w:cs="宋体"/>
          <w:bCs w:val="0"/>
        </w:rPr>
        <w:t>社团成员查看社团信息模块业务流程图，如图</w:t>
      </w:r>
      <w:r>
        <w:rPr>
          <w:rFonts w:hint="eastAsia" w:cs="宋体"/>
          <w:bCs w:val="0"/>
        </w:rPr>
        <w:t>3-8</w:t>
      </w:r>
      <w:r>
        <w:rPr>
          <w:rFonts w:hint="eastAsia" w:ascii="宋体" w:hAnsi="宋体" w:cs="宋体"/>
          <w:bCs w:val="0"/>
        </w:rPr>
        <w:t>所示。</w:t>
      </w:r>
    </w:p>
    <w:p w14:paraId="579B7E62">
      <w:pPr>
        <w:tabs>
          <w:tab w:val="left" w:pos="1584"/>
        </w:tabs>
        <w:spacing w:before="0" w:after="0" w:line="240" w:lineRule="auto"/>
        <w:ind w:left="0" w:firstLine="0"/>
        <w:jc w:val="center"/>
        <w:outlineLvl w:val="9"/>
      </w:pPr>
      <w:r>
        <w:rPr>
          <w:rFonts w:hint="eastAsia"/>
        </w:rPr>
        <w:drawing>
          <wp:inline distT="0" distB="0" distL="114300" distR="114300">
            <wp:extent cx="3694430" cy="3110865"/>
            <wp:effectExtent l="0" t="0" r="8890" b="13335"/>
            <wp:docPr id="1898648857" name="图片 1898648857" descr="deb1bd225b2413673d6a0290404c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7" name="图片 1898648857" descr="deb1bd225b2413673d6a0290404c418"/>
                    <pic:cNvPicPr>
                      <a:picLocks noChangeAspect="1"/>
                    </pic:cNvPicPr>
                  </pic:nvPicPr>
                  <pic:blipFill>
                    <a:blip r:embed="rId234"/>
                    <a:stretch>
                      <a:fillRect/>
                    </a:stretch>
                  </pic:blipFill>
                  <pic:spPr>
                    <a:xfrm>
                      <a:off x="0" y="0"/>
                      <a:ext cx="3694430" cy="3110865"/>
                    </a:xfrm>
                    <a:prstGeom prst="rect">
                      <a:avLst/>
                    </a:prstGeom>
                  </pic:spPr>
                </pic:pic>
              </a:graphicData>
            </a:graphic>
          </wp:inline>
        </w:drawing>
      </w:r>
    </w:p>
    <w:p w14:paraId="5DEACBD5">
      <w:pPr>
        <w:spacing w:line="440" w:lineRule="exact"/>
        <w:jc w:val="center"/>
        <w:rPr>
          <w:rFonts w:ascii="宋体" w:hAnsi="宋体" w:cs="宋体"/>
          <w:sz w:val="24"/>
        </w:rPr>
      </w:pPr>
      <w:r>
        <w:rPr>
          <w:rFonts w:hint="eastAsia" w:ascii="宋体" w:hAnsi="宋体" w:cs="宋体"/>
          <w:szCs w:val="21"/>
        </w:rPr>
        <w:t>图</w:t>
      </w:r>
      <w:r>
        <w:rPr>
          <w:rFonts w:hint="eastAsia" w:ascii="Times New Roman" w:hAnsi="Times New Roman" w:cs="宋体"/>
          <w:sz w:val="24"/>
        </w:rPr>
        <w:t>3-8</w:t>
      </w:r>
      <w:r>
        <w:rPr>
          <w:rFonts w:hint="eastAsia" w:ascii="宋体" w:hAnsi="宋体" w:cs="宋体"/>
          <w:szCs w:val="21"/>
        </w:rPr>
        <w:t>查看社团信息业务流程图</w:t>
      </w:r>
    </w:p>
    <w:p w14:paraId="4EBB4F39">
      <w:pPr>
        <w:widowControl/>
        <w:tabs>
          <w:tab w:val="left" w:pos="165"/>
          <w:tab w:val="left" w:pos="786"/>
        </w:tabs>
        <w:spacing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2</w:t>
      </w:r>
      <w:r>
        <w:rPr>
          <w:rFonts w:hint="eastAsia" w:ascii="宋体" w:hAnsi="宋体" w:cs="宋体"/>
          <w:bCs/>
          <w:color w:val="000000"/>
          <w:sz w:val="24"/>
        </w:rPr>
        <w:t>)查看项</w:t>
      </w:r>
    </w:p>
    <w:p w14:paraId="2E9DAF1A">
      <w:pPr>
        <w:pStyle w:val="69"/>
        <w:spacing w:line="440" w:lineRule="exact"/>
        <w:ind w:firstLine="480"/>
        <w:rPr>
          <w:rFonts w:ascii="宋体" w:hAnsi="宋体" w:cs="宋体"/>
          <w:szCs w:val="24"/>
        </w:rPr>
      </w:pPr>
      <w:r>
        <w:rPr>
          <w:rFonts w:hint="eastAsia" w:ascii="宋体" w:hAnsi="宋体" w:cs="宋体"/>
          <w:szCs w:val="24"/>
        </w:rPr>
        <w:t>本功能查看项如表</w:t>
      </w:r>
      <w:r>
        <w:rPr>
          <w:rFonts w:hint="eastAsia" w:cs="宋体"/>
          <w:szCs w:val="24"/>
        </w:rPr>
        <w:t>3-3</w:t>
      </w:r>
      <w:r>
        <w:rPr>
          <w:rFonts w:hint="eastAsia" w:ascii="宋体" w:hAnsi="宋体" w:cs="宋体"/>
          <w:szCs w:val="24"/>
        </w:rPr>
        <w:t>所示。</w:t>
      </w:r>
    </w:p>
    <w:p w14:paraId="2562650F">
      <w:pPr>
        <w:widowControl/>
        <w:tabs>
          <w:tab w:val="left" w:pos="165"/>
          <w:tab w:val="left" w:pos="786"/>
        </w:tabs>
        <w:spacing w:before="156" w:beforeLines="50"/>
        <w:jc w:val="center"/>
        <w:rPr>
          <w:rFonts w:ascii="宋体" w:hAnsi="宋体" w:cs="宋体"/>
          <w:color w:val="000000"/>
          <w:szCs w:val="21"/>
        </w:rPr>
      </w:pPr>
      <w:r>
        <w:rPr>
          <w:rFonts w:hint="eastAsia" w:ascii="宋体" w:hAnsi="宋体" w:cs="宋体"/>
          <w:bCs/>
          <w:color w:val="000000"/>
          <w:szCs w:val="21"/>
        </w:rPr>
        <w:t>表</w:t>
      </w:r>
      <w:r>
        <w:rPr>
          <w:rFonts w:hint="eastAsia" w:ascii="Times New Roman" w:hAnsi="Times New Roman" w:cs="宋体"/>
          <w:bCs/>
          <w:color w:val="000000"/>
          <w:sz w:val="24"/>
        </w:rPr>
        <w:t>3-3</w:t>
      </w:r>
      <w:r>
        <w:rPr>
          <w:rFonts w:hint="eastAsia" w:ascii="宋体" w:hAnsi="宋体" w:cs="宋体"/>
          <w:bCs/>
          <w:color w:val="000000"/>
          <w:szCs w:val="21"/>
        </w:rPr>
        <w:t>社团</w:t>
      </w:r>
      <w:r>
        <w:rPr>
          <w:rFonts w:hint="eastAsia" w:ascii="宋体" w:hAnsi="宋体" w:cs="宋体"/>
          <w:bCs/>
          <w:szCs w:val="21"/>
        </w:rPr>
        <w:t>信息表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7"/>
        <w:gridCol w:w="2482"/>
      </w:tblGrid>
      <w:tr w14:paraId="131D2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0CF6CDA1">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输入项名称</w:t>
            </w:r>
          </w:p>
        </w:tc>
        <w:tc>
          <w:tcPr>
            <w:tcW w:w="2482" w:type="dxa"/>
            <w:vAlign w:val="center"/>
          </w:tcPr>
          <w:p w14:paraId="75F6BB05">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类型</w:t>
            </w:r>
          </w:p>
        </w:tc>
      </w:tr>
      <w:tr w14:paraId="64D95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65848CD4">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社团名称</w:t>
            </w:r>
          </w:p>
        </w:tc>
        <w:tc>
          <w:tcPr>
            <w:tcW w:w="2482" w:type="dxa"/>
            <w:vAlign w:val="center"/>
          </w:tcPr>
          <w:p w14:paraId="6AB035C8">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r w14:paraId="402CD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2AD4ECF8">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社团类型</w:t>
            </w:r>
          </w:p>
        </w:tc>
        <w:tc>
          <w:tcPr>
            <w:tcW w:w="2482" w:type="dxa"/>
            <w:vAlign w:val="center"/>
          </w:tcPr>
          <w:p w14:paraId="615D1743">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r w14:paraId="56DBF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28A3BE6C">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社团团长</w:t>
            </w:r>
          </w:p>
        </w:tc>
        <w:tc>
          <w:tcPr>
            <w:tcW w:w="2482" w:type="dxa"/>
            <w:vAlign w:val="center"/>
          </w:tcPr>
          <w:p w14:paraId="7C152692">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r w14:paraId="614C3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4C94FCFC">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建立时间</w:t>
            </w:r>
          </w:p>
        </w:tc>
        <w:tc>
          <w:tcPr>
            <w:tcW w:w="2482" w:type="dxa"/>
            <w:vAlign w:val="center"/>
          </w:tcPr>
          <w:p w14:paraId="3F17CE60">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r w14:paraId="22A21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77" w:type="dxa"/>
            <w:vAlign w:val="center"/>
          </w:tcPr>
          <w:p w14:paraId="1A8BF869">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社团人数</w:t>
            </w:r>
          </w:p>
        </w:tc>
        <w:tc>
          <w:tcPr>
            <w:tcW w:w="2482" w:type="dxa"/>
            <w:vAlign w:val="center"/>
          </w:tcPr>
          <w:p w14:paraId="2803B694">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r w14:paraId="54E13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2477" w:type="dxa"/>
            <w:vAlign w:val="center"/>
          </w:tcPr>
          <w:p w14:paraId="39206C9F">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操作处理</w:t>
            </w:r>
          </w:p>
        </w:tc>
        <w:tc>
          <w:tcPr>
            <w:tcW w:w="2482" w:type="dxa"/>
            <w:vAlign w:val="center"/>
          </w:tcPr>
          <w:p w14:paraId="3C02A5DA">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r>
    </w:tbl>
    <w:p w14:paraId="50BE20F9">
      <w:pPr>
        <w:spacing w:line="440" w:lineRule="exact"/>
        <w:ind w:firstLine="480" w:firstLineChars="200"/>
        <w:rPr>
          <w:rFonts w:ascii="宋体" w:hAnsi="宋体" w:cs="宋体"/>
          <w:color w:val="000000"/>
          <w:sz w:val="24"/>
        </w:rPr>
      </w:pPr>
      <w:r>
        <w:rPr>
          <w:rFonts w:hint="eastAsia" w:ascii="Times New Roman" w:hAnsi="Times New Roman" w:cs="宋体"/>
          <w:color w:val="000000"/>
          <w:sz w:val="24"/>
        </w:rPr>
        <w:t>3</w:t>
      </w:r>
      <w:r>
        <w:rPr>
          <w:rFonts w:hint="eastAsia" w:ascii="宋体" w:hAnsi="宋体" w:cs="宋体"/>
          <w:color w:val="000000"/>
          <w:sz w:val="24"/>
        </w:rPr>
        <w:t>.</w:t>
      </w:r>
      <w:r>
        <w:rPr>
          <w:rFonts w:hint="eastAsia" w:ascii="Times New Roman" w:hAnsi="Times New Roman" w:cs="宋体"/>
          <w:color w:val="000000"/>
          <w:sz w:val="24"/>
        </w:rPr>
        <w:t>3</w:t>
      </w:r>
      <w:r>
        <w:rPr>
          <w:rFonts w:hint="eastAsia" w:ascii="宋体" w:hAnsi="宋体" w:cs="宋体"/>
          <w:color w:val="000000"/>
          <w:sz w:val="24"/>
        </w:rPr>
        <w:t>.</w:t>
      </w:r>
      <w:r>
        <w:rPr>
          <w:rFonts w:hint="eastAsia" w:ascii="Times New Roman" w:hAnsi="Times New Roman" w:cs="宋体"/>
          <w:color w:val="000000"/>
          <w:sz w:val="24"/>
        </w:rPr>
        <w:t>3</w:t>
      </w:r>
      <w:r>
        <w:rPr>
          <w:rFonts w:hint="eastAsia" w:ascii="宋体" w:hAnsi="宋体" w:cs="宋体"/>
          <w:color w:val="000000"/>
          <w:sz w:val="24"/>
        </w:rPr>
        <w:t>社团团长模块</w:t>
      </w:r>
    </w:p>
    <w:p w14:paraId="536BDF2A">
      <w:pPr>
        <w:spacing w:line="440" w:lineRule="exact"/>
        <w:ind w:firstLine="480" w:firstLineChars="200"/>
        <w:rPr>
          <w:rFonts w:ascii="宋体" w:hAnsi="宋体" w:cs="宋体"/>
          <w:color w:val="000000"/>
          <w:sz w:val="24"/>
        </w:rPr>
      </w:pPr>
      <w:r>
        <w:rPr>
          <w:rFonts w:hint="eastAsia" w:ascii="宋体" w:hAnsi="宋体" w:cs="宋体"/>
          <w:color w:val="000000"/>
          <w:sz w:val="24"/>
        </w:rPr>
        <w:t>模块描述：查询社团信息</w:t>
      </w:r>
      <w:r>
        <w:rPr>
          <w:rFonts w:hint="eastAsia" w:ascii="宋体" w:hAnsi="宋体" w:cs="宋体"/>
          <w:sz w:val="24"/>
        </w:rPr>
        <w:t>。</w:t>
      </w:r>
    </w:p>
    <w:p w14:paraId="3B0B8896">
      <w:pPr>
        <w:spacing w:line="440" w:lineRule="exact"/>
        <w:ind w:firstLine="420"/>
        <w:rPr>
          <w:rFonts w:ascii="宋体" w:hAnsi="宋体" w:cs="宋体"/>
          <w:sz w:val="24"/>
        </w:rPr>
      </w:pPr>
      <w:r>
        <w:rPr>
          <w:rFonts w:hint="eastAsia" w:ascii="宋体" w:hAnsi="宋体" w:cs="宋体"/>
          <w:color w:val="000000"/>
          <w:sz w:val="24"/>
        </w:rPr>
        <w:t>主要功能：查看社团信息、后台审核入团申请、发布通知、发布活动</w:t>
      </w:r>
      <w:r>
        <w:rPr>
          <w:rFonts w:hint="eastAsia" w:ascii="宋体" w:hAnsi="宋体" w:cs="宋体"/>
          <w:sz w:val="24"/>
        </w:rPr>
        <w:t>等。</w:t>
      </w:r>
    </w:p>
    <w:p w14:paraId="3B820FEE">
      <w:pPr>
        <w:widowControl/>
        <w:tabs>
          <w:tab w:val="left" w:pos="165"/>
        </w:tabs>
        <w:spacing w:line="440" w:lineRule="exact"/>
        <w:ind w:firstLine="425"/>
        <w:rPr>
          <w:rFonts w:ascii="宋体" w:hAnsi="宋体" w:cs="宋体"/>
          <w:color w:val="000000"/>
          <w:sz w:val="24"/>
        </w:rPr>
      </w:pPr>
      <w:r>
        <w:rPr>
          <w:rFonts w:hint="eastAsia" w:ascii="宋体" w:hAnsi="宋体" w:cs="宋体"/>
          <w:color w:val="000000"/>
          <w:sz w:val="24"/>
        </w:rPr>
        <w:t>(</w:t>
      </w:r>
      <w:r>
        <w:rPr>
          <w:rFonts w:hint="eastAsia" w:ascii="Times New Roman" w:hAnsi="Times New Roman" w:cs="宋体"/>
          <w:color w:val="000000"/>
          <w:sz w:val="24"/>
        </w:rPr>
        <w:t>1</w:t>
      </w:r>
      <w:r>
        <w:rPr>
          <w:rFonts w:hint="eastAsia" w:ascii="宋体" w:hAnsi="宋体" w:cs="宋体"/>
          <w:color w:val="000000"/>
          <w:sz w:val="24"/>
        </w:rPr>
        <w:t>)查看社团信息</w:t>
      </w:r>
    </w:p>
    <w:p w14:paraId="0D115D2A">
      <w:pPr>
        <w:widowControl/>
        <w:tabs>
          <w:tab w:val="left" w:pos="165"/>
        </w:tabs>
        <w:spacing w:line="440" w:lineRule="exact"/>
        <w:ind w:firstLine="480" w:firstLineChars="200"/>
        <w:rPr>
          <w:rFonts w:ascii="宋体" w:hAnsi="宋体" w:cs="宋体"/>
          <w:color w:val="000000"/>
          <w:sz w:val="24"/>
        </w:rPr>
      </w:pPr>
      <w:r>
        <w:rPr>
          <w:rFonts w:hint="eastAsia" w:ascii="Times New Roman" w:hAnsi="Times New Roman" w:cs="宋体"/>
          <w:color w:val="000000"/>
          <w:sz w:val="24"/>
        </w:rPr>
        <w:t>1</w:t>
      </w:r>
      <w:r>
        <w:rPr>
          <w:rFonts w:hint="eastAsia" w:ascii="宋体" w:hAnsi="宋体" w:cs="宋体"/>
          <w:color w:val="000000"/>
          <w:sz w:val="24"/>
        </w:rPr>
        <w:t>)流程图</w:t>
      </w:r>
    </w:p>
    <w:p w14:paraId="194DC65E">
      <w:pPr>
        <w:widowControl/>
        <w:tabs>
          <w:tab w:val="left" w:pos="165"/>
        </w:tabs>
        <w:spacing w:line="440" w:lineRule="exact"/>
        <w:ind w:firstLine="480" w:firstLineChars="200"/>
        <w:rPr>
          <w:rFonts w:ascii="宋体" w:hAnsi="宋体" w:cs="宋体"/>
          <w:sz w:val="24"/>
        </w:rPr>
      </w:pPr>
      <w:r>
        <w:rPr>
          <w:rFonts w:hint="eastAsia" w:ascii="宋体" w:hAnsi="宋体" w:cs="宋体"/>
          <w:sz w:val="24"/>
        </w:rPr>
        <w:t>社团团长查看社团信息模块业务流程图，如图</w:t>
      </w:r>
      <w:r>
        <w:rPr>
          <w:rFonts w:hint="eastAsia" w:ascii="Times New Roman" w:hAnsi="Times New Roman" w:cs="宋体"/>
          <w:sz w:val="24"/>
        </w:rPr>
        <w:t>3-9</w:t>
      </w:r>
      <w:r>
        <w:rPr>
          <w:rFonts w:hint="eastAsia" w:ascii="宋体" w:hAnsi="宋体" w:cs="宋体"/>
          <w:sz w:val="24"/>
        </w:rPr>
        <w:t>所示。</w:t>
      </w:r>
    </w:p>
    <w:p w14:paraId="4F8B8DA8">
      <w:pPr>
        <w:tabs>
          <w:tab w:val="left" w:pos="1584"/>
        </w:tabs>
        <w:jc w:val="center"/>
        <w:outlineLvl w:val="9"/>
        <w:rPr>
          <w:rFonts w:eastAsia="宋体"/>
        </w:rPr>
      </w:pPr>
      <w:r>
        <w:rPr>
          <w:rFonts w:hint="eastAsia" w:eastAsia="宋体"/>
        </w:rPr>
        <w:drawing>
          <wp:inline distT="0" distB="0" distL="114300" distR="114300">
            <wp:extent cx="4117340" cy="2707005"/>
            <wp:effectExtent l="0" t="0" r="12700" b="5715"/>
            <wp:docPr id="1898648858" name="图片 1898648858" descr="8ccf794470b05e7b6c91246f81d5f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8" name="图片 1898648858" descr="8ccf794470b05e7b6c91246f81d5fdf"/>
                    <pic:cNvPicPr>
                      <a:picLocks noChangeAspect="1"/>
                    </pic:cNvPicPr>
                  </pic:nvPicPr>
                  <pic:blipFill>
                    <a:blip r:embed="rId235"/>
                    <a:stretch>
                      <a:fillRect/>
                    </a:stretch>
                  </pic:blipFill>
                  <pic:spPr>
                    <a:xfrm>
                      <a:off x="0" y="0"/>
                      <a:ext cx="4117340" cy="2707005"/>
                    </a:xfrm>
                    <a:prstGeom prst="rect">
                      <a:avLst/>
                    </a:prstGeom>
                  </pic:spPr>
                </pic:pic>
              </a:graphicData>
            </a:graphic>
          </wp:inline>
        </w:drawing>
      </w:r>
    </w:p>
    <w:p w14:paraId="2C773DDB">
      <w:pPr>
        <w:spacing w:line="440" w:lineRule="exact"/>
        <w:jc w:val="center"/>
        <w:rPr>
          <w:rFonts w:ascii="宋体" w:hAnsi="宋体" w:cs="宋体"/>
          <w:szCs w:val="21"/>
        </w:rPr>
      </w:pPr>
      <w:r>
        <w:rPr>
          <w:rFonts w:hint="eastAsia" w:ascii="宋体" w:hAnsi="宋体" w:cs="宋体"/>
          <w:szCs w:val="21"/>
        </w:rPr>
        <w:t>图</w:t>
      </w:r>
      <w:r>
        <w:rPr>
          <w:rFonts w:hint="eastAsia" w:ascii="Times New Roman" w:hAnsi="Times New Roman" w:cs="宋体"/>
          <w:sz w:val="24"/>
        </w:rPr>
        <w:t>3-9</w:t>
      </w:r>
      <w:r>
        <w:rPr>
          <w:rFonts w:hint="eastAsia" w:ascii="宋体" w:hAnsi="宋体" w:cs="宋体"/>
          <w:szCs w:val="21"/>
        </w:rPr>
        <w:t>查看社团信息业务流程图</w:t>
      </w:r>
    </w:p>
    <w:p w14:paraId="10A738C6">
      <w:pPr>
        <w:widowControl/>
        <w:tabs>
          <w:tab w:val="left" w:pos="165"/>
        </w:tabs>
        <w:spacing w:line="440" w:lineRule="exact"/>
        <w:ind w:firstLine="480" w:firstLineChars="200"/>
        <w:rPr>
          <w:rFonts w:ascii="宋体" w:hAnsi="宋体" w:cs="宋体"/>
          <w:color w:val="000000"/>
          <w:sz w:val="24"/>
        </w:rPr>
      </w:pPr>
      <w:r>
        <w:rPr>
          <w:rFonts w:hint="eastAsia" w:ascii="宋体" w:hAnsi="宋体" w:cs="宋体"/>
          <w:color w:val="000000"/>
          <w:sz w:val="24"/>
        </w:rPr>
        <w:t>(</w:t>
      </w:r>
      <w:r>
        <w:rPr>
          <w:rFonts w:hint="eastAsia" w:ascii="Times New Roman" w:hAnsi="Times New Roman" w:cs="宋体"/>
          <w:color w:val="000000"/>
          <w:sz w:val="24"/>
        </w:rPr>
        <w:t>1</w:t>
      </w:r>
      <w:r>
        <w:rPr>
          <w:rFonts w:hint="eastAsia" w:ascii="宋体" w:hAnsi="宋体" w:cs="宋体"/>
          <w:color w:val="000000"/>
          <w:sz w:val="24"/>
        </w:rPr>
        <w:t>)添加活动信息</w:t>
      </w:r>
    </w:p>
    <w:p w14:paraId="1274F876">
      <w:pPr>
        <w:widowControl/>
        <w:tabs>
          <w:tab w:val="left" w:pos="165"/>
        </w:tabs>
        <w:spacing w:line="440" w:lineRule="exact"/>
        <w:ind w:firstLine="480" w:firstLineChars="200"/>
        <w:rPr>
          <w:rFonts w:ascii="宋体" w:hAnsi="宋体" w:cs="宋体"/>
          <w:color w:val="000000"/>
          <w:sz w:val="24"/>
        </w:rPr>
      </w:pPr>
      <w:r>
        <w:rPr>
          <w:rFonts w:hint="eastAsia" w:ascii="Times New Roman" w:hAnsi="Times New Roman" w:cs="宋体"/>
          <w:color w:val="000000"/>
          <w:sz w:val="24"/>
        </w:rPr>
        <w:t>1</w:t>
      </w:r>
      <w:r>
        <w:rPr>
          <w:rFonts w:hint="eastAsia" w:ascii="宋体" w:hAnsi="宋体" w:cs="宋体"/>
          <w:color w:val="000000"/>
          <w:sz w:val="24"/>
        </w:rPr>
        <w:t>)流程图</w:t>
      </w:r>
    </w:p>
    <w:p w14:paraId="363BC701">
      <w:pPr>
        <w:widowControl/>
        <w:tabs>
          <w:tab w:val="left" w:pos="165"/>
        </w:tabs>
        <w:spacing w:line="440" w:lineRule="exact"/>
        <w:ind w:firstLine="480" w:firstLineChars="200"/>
        <w:rPr>
          <w:rFonts w:ascii="宋体" w:hAnsi="宋体" w:cs="宋体"/>
          <w:sz w:val="24"/>
        </w:rPr>
      </w:pPr>
      <w:r>
        <w:rPr>
          <w:rFonts w:hint="eastAsia" w:ascii="宋体" w:hAnsi="宋体" w:cs="宋体"/>
          <w:sz w:val="24"/>
        </w:rPr>
        <w:t>社团团长添加社团活动模块业务流程图，如图</w:t>
      </w:r>
      <w:r>
        <w:rPr>
          <w:rFonts w:hint="eastAsia" w:ascii="Times New Roman" w:hAnsi="Times New Roman" w:cs="宋体"/>
          <w:sz w:val="24"/>
        </w:rPr>
        <w:t>3-10</w:t>
      </w:r>
      <w:r>
        <w:rPr>
          <w:rFonts w:hint="eastAsia" w:ascii="宋体" w:hAnsi="宋体" w:cs="宋体"/>
          <w:sz w:val="24"/>
        </w:rPr>
        <w:t>所示。</w:t>
      </w:r>
    </w:p>
    <w:p w14:paraId="44DFFB79">
      <w:pPr>
        <w:tabs>
          <w:tab w:val="left" w:pos="1584"/>
        </w:tabs>
        <w:outlineLvl w:val="9"/>
      </w:pPr>
      <w:r>
        <w:rPr>
          <w:rFonts w:hint="eastAsia" w:eastAsia="宋体"/>
        </w:rPr>
        <w:drawing>
          <wp:anchor distT="0" distB="0" distL="114300" distR="114300" simplePos="0" relativeHeight="251725824" behindDoc="0" locked="0" layoutInCell="1" allowOverlap="1">
            <wp:simplePos x="0" y="0"/>
            <wp:positionH relativeFrom="column">
              <wp:posOffset>734695</wp:posOffset>
            </wp:positionH>
            <wp:positionV relativeFrom="paragraph">
              <wp:posOffset>38735</wp:posOffset>
            </wp:positionV>
            <wp:extent cx="3899535" cy="3773805"/>
            <wp:effectExtent l="0" t="0" r="1905" b="5715"/>
            <wp:wrapNone/>
            <wp:docPr id="1898648859" name="图片 1898648859" descr="1a2138b9883d41a9d49a0c3cf1bf1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59" name="图片 1898648859" descr="1a2138b9883d41a9d49a0c3cf1bf10e"/>
                    <pic:cNvPicPr>
                      <a:picLocks noChangeAspect="1"/>
                    </pic:cNvPicPr>
                  </pic:nvPicPr>
                  <pic:blipFill>
                    <a:blip r:embed="rId236"/>
                    <a:stretch>
                      <a:fillRect/>
                    </a:stretch>
                  </pic:blipFill>
                  <pic:spPr>
                    <a:xfrm>
                      <a:off x="0" y="0"/>
                      <a:ext cx="3899535" cy="3773805"/>
                    </a:xfrm>
                    <a:prstGeom prst="rect">
                      <a:avLst/>
                    </a:prstGeom>
                  </pic:spPr>
                </pic:pic>
              </a:graphicData>
            </a:graphic>
          </wp:anchor>
        </w:drawing>
      </w:r>
    </w:p>
    <w:p w14:paraId="234778A9">
      <w:pPr>
        <w:tabs>
          <w:tab w:val="left" w:pos="1584"/>
        </w:tabs>
        <w:jc w:val="center"/>
        <w:outlineLvl w:val="9"/>
        <w:rPr>
          <w:rFonts w:eastAsia="宋体"/>
        </w:rPr>
      </w:pPr>
    </w:p>
    <w:p w14:paraId="3B996695">
      <w:pPr>
        <w:jc w:val="center"/>
        <w:outlineLvl w:val="9"/>
        <w:rPr>
          <w:rFonts w:ascii="宋体" w:hAnsi="宋体" w:cs="宋体"/>
          <w:sz w:val="24"/>
        </w:rPr>
      </w:pPr>
    </w:p>
    <w:p w14:paraId="2AA8C67D">
      <w:pPr>
        <w:jc w:val="center"/>
        <w:outlineLvl w:val="9"/>
        <w:rPr>
          <w:rFonts w:ascii="宋体" w:hAnsi="宋体" w:cs="宋体"/>
          <w:sz w:val="24"/>
        </w:rPr>
      </w:pPr>
    </w:p>
    <w:p w14:paraId="7277D084">
      <w:pPr>
        <w:jc w:val="center"/>
        <w:outlineLvl w:val="9"/>
        <w:rPr>
          <w:rFonts w:ascii="宋体" w:hAnsi="宋体" w:cs="宋体"/>
          <w:sz w:val="24"/>
        </w:rPr>
      </w:pPr>
    </w:p>
    <w:p w14:paraId="37B8FB26">
      <w:pPr>
        <w:jc w:val="center"/>
        <w:outlineLvl w:val="9"/>
        <w:rPr>
          <w:rFonts w:ascii="宋体" w:hAnsi="宋体" w:cs="宋体"/>
          <w:sz w:val="24"/>
        </w:rPr>
      </w:pPr>
    </w:p>
    <w:p w14:paraId="19847785">
      <w:pPr>
        <w:jc w:val="center"/>
        <w:outlineLvl w:val="9"/>
        <w:rPr>
          <w:rFonts w:ascii="宋体" w:hAnsi="宋体" w:cs="宋体"/>
          <w:sz w:val="24"/>
        </w:rPr>
      </w:pPr>
    </w:p>
    <w:p w14:paraId="682AFF52">
      <w:pPr>
        <w:jc w:val="center"/>
        <w:outlineLvl w:val="9"/>
        <w:rPr>
          <w:rFonts w:ascii="宋体" w:hAnsi="宋体" w:cs="宋体"/>
          <w:sz w:val="24"/>
        </w:rPr>
      </w:pPr>
    </w:p>
    <w:p w14:paraId="038C6B47">
      <w:pPr>
        <w:jc w:val="center"/>
        <w:outlineLvl w:val="9"/>
        <w:rPr>
          <w:rFonts w:ascii="宋体" w:hAnsi="宋体" w:cs="宋体"/>
          <w:sz w:val="24"/>
        </w:rPr>
      </w:pPr>
    </w:p>
    <w:p w14:paraId="0AB27A49">
      <w:pPr>
        <w:jc w:val="center"/>
        <w:outlineLvl w:val="9"/>
        <w:rPr>
          <w:rFonts w:ascii="宋体" w:hAnsi="宋体" w:cs="宋体"/>
          <w:sz w:val="24"/>
        </w:rPr>
      </w:pPr>
    </w:p>
    <w:p w14:paraId="5BEB440D">
      <w:pPr>
        <w:jc w:val="center"/>
        <w:outlineLvl w:val="9"/>
        <w:rPr>
          <w:rFonts w:ascii="宋体" w:hAnsi="宋体" w:cs="宋体"/>
          <w:sz w:val="24"/>
        </w:rPr>
      </w:pPr>
    </w:p>
    <w:p w14:paraId="5239EB16">
      <w:pPr>
        <w:jc w:val="center"/>
        <w:outlineLvl w:val="9"/>
        <w:rPr>
          <w:rFonts w:ascii="宋体" w:hAnsi="宋体" w:cs="宋体"/>
          <w:sz w:val="24"/>
        </w:rPr>
      </w:pPr>
    </w:p>
    <w:p w14:paraId="729606AF">
      <w:pPr>
        <w:jc w:val="center"/>
        <w:outlineLvl w:val="9"/>
        <w:rPr>
          <w:rFonts w:ascii="宋体" w:hAnsi="宋体" w:cs="宋体"/>
          <w:sz w:val="24"/>
        </w:rPr>
      </w:pPr>
    </w:p>
    <w:p w14:paraId="565BAA8F">
      <w:pPr>
        <w:jc w:val="center"/>
        <w:outlineLvl w:val="9"/>
        <w:rPr>
          <w:rFonts w:ascii="宋体" w:hAnsi="宋体" w:cs="宋体"/>
          <w:sz w:val="24"/>
        </w:rPr>
      </w:pPr>
    </w:p>
    <w:p w14:paraId="3D496CEA">
      <w:pPr>
        <w:jc w:val="center"/>
        <w:outlineLvl w:val="9"/>
        <w:rPr>
          <w:rFonts w:ascii="宋体" w:hAnsi="宋体" w:cs="宋体"/>
          <w:sz w:val="24"/>
        </w:rPr>
      </w:pPr>
    </w:p>
    <w:p w14:paraId="7E39CA15">
      <w:pPr>
        <w:jc w:val="center"/>
        <w:outlineLvl w:val="9"/>
        <w:rPr>
          <w:rFonts w:ascii="宋体" w:hAnsi="宋体" w:cs="宋体"/>
          <w:sz w:val="24"/>
        </w:rPr>
      </w:pPr>
    </w:p>
    <w:p w14:paraId="6C49F16C">
      <w:pPr>
        <w:jc w:val="center"/>
        <w:outlineLvl w:val="9"/>
        <w:rPr>
          <w:rFonts w:ascii="宋体" w:hAnsi="宋体" w:cs="宋体"/>
          <w:sz w:val="24"/>
        </w:rPr>
      </w:pPr>
    </w:p>
    <w:p w14:paraId="6856C73C">
      <w:pPr>
        <w:jc w:val="center"/>
        <w:rPr>
          <w:rFonts w:ascii="宋体" w:hAnsi="宋体" w:cs="宋体"/>
          <w:sz w:val="24"/>
        </w:rPr>
      </w:pPr>
    </w:p>
    <w:p w14:paraId="787DA8D2">
      <w:pPr>
        <w:jc w:val="center"/>
        <w:rPr>
          <w:rFonts w:ascii="宋体" w:hAnsi="宋体" w:cs="宋体"/>
          <w:sz w:val="24"/>
        </w:rPr>
      </w:pPr>
      <w:r>
        <w:rPr>
          <w:rFonts w:hint="eastAsia" w:ascii="宋体" w:hAnsi="宋体" w:cs="宋体"/>
          <w:szCs w:val="21"/>
        </w:rPr>
        <w:t>图</w:t>
      </w:r>
      <w:r>
        <w:rPr>
          <w:rFonts w:hint="eastAsia" w:ascii="Times New Roman" w:hAnsi="Times New Roman" w:cs="宋体"/>
          <w:sz w:val="24"/>
        </w:rPr>
        <w:t>3-10</w:t>
      </w:r>
      <w:r>
        <w:rPr>
          <w:rFonts w:hint="eastAsia" w:ascii="宋体" w:hAnsi="宋体" w:cs="宋体"/>
          <w:szCs w:val="21"/>
        </w:rPr>
        <w:t>添加社团活动模块业务流程图</w:t>
      </w:r>
    </w:p>
    <w:p w14:paraId="698BABCF">
      <w:pPr>
        <w:widowControl/>
        <w:tabs>
          <w:tab w:val="left" w:pos="165"/>
          <w:tab w:val="left" w:pos="786"/>
        </w:tabs>
        <w:spacing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2</w:t>
      </w:r>
      <w:r>
        <w:rPr>
          <w:rFonts w:hint="eastAsia" w:ascii="宋体" w:hAnsi="宋体" w:cs="宋体"/>
          <w:bCs/>
          <w:color w:val="000000"/>
          <w:sz w:val="24"/>
        </w:rPr>
        <w:t>)输入项</w:t>
      </w:r>
    </w:p>
    <w:p w14:paraId="7996BCE5">
      <w:pPr>
        <w:pStyle w:val="69"/>
        <w:spacing w:line="440" w:lineRule="exact"/>
        <w:ind w:firstLine="480"/>
      </w:pPr>
      <w:r>
        <w:rPr>
          <w:rFonts w:hint="eastAsia" w:ascii="宋体" w:hAnsi="宋体" w:cs="宋体"/>
          <w:szCs w:val="24"/>
        </w:rPr>
        <w:t>本功能输入项如表</w:t>
      </w:r>
      <w:r>
        <w:rPr>
          <w:rFonts w:hint="eastAsia" w:cs="宋体"/>
          <w:szCs w:val="24"/>
        </w:rPr>
        <w:t>3-5</w:t>
      </w:r>
      <w:r>
        <w:rPr>
          <w:rFonts w:hint="eastAsia" w:ascii="宋体" w:hAnsi="宋体" w:cs="宋体"/>
          <w:szCs w:val="24"/>
        </w:rPr>
        <w:t>所示。</w:t>
      </w:r>
    </w:p>
    <w:p w14:paraId="58AC9513">
      <w:pPr>
        <w:pStyle w:val="69"/>
        <w:spacing w:line="440" w:lineRule="exact"/>
        <w:ind w:firstLine="420"/>
        <w:jc w:val="center"/>
        <w:rPr>
          <w:rFonts w:ascii="宋体" w:hAnsi="宋体" w:cs="宋体"/>
          <w:szCs w:val="24"/>
        </w:rPr>
      </w:pPr>
      <w:r>
        <w:rPr>
          <w:rFonts w:hint="eastAsia" w:ascii="宋体" w:hAnsi="宋体" w:cs="宋体"/>
          <w:sz w:val="21"/>
          <w:szCs w:val="21"/>
        </w:rPr>
        <w:t>表</w:t>
      </w:r>
      <w:r>
        <w:rPr>
          <w:rFonts w:hint="eastAsia" w:cs="宋体"/>
          <w:szCs w:val="24"/>
        </w:rPr>
        <w:t>3-5</w:t>
      </w:r>
      <w:r>
        <w:rPr>
          <w:rFonts w:hint="eastAsia" w:ascii="宋体" w:hAnsi="宋体" w:cs="宋体"/>
          <w:sz w:val="21"/>
          <w:szCs w:val="21"/>
        </w:rPr>
        <w:t>添加信息表</w:t>
      </w:r>
    </w:p>
    <w:tbl>
      <w:tblPr>
        <w:tblStyle w:val="35"/>
        <w:tblW w:w="6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5"/>
        <w:gridCol w:w="2260"/>
        <w:gridCol w:w="2264"/>
      </w:tblGrid>
      <w:tr w14:paraId="78BF9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41DDF1F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输入项名称</w:t>
            </w:r>
          </w:p>
        </w:tc>
        <w:tc>
          <w:tcPr>
            <w:tcW w:w="2260" w:type="dxa"/>
            <w:vAlign w:val="center"/>
          </w:tcPr>
          <w:p w14:paraId="7142C894">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类型</w:t>
            </w:r>
          </w:p>
        </w:tc>
        <w:tc>
          <w:tcPr>
            <w:tcW w:w="2264" w:type="dxa"/>
            <w:vAlign w:val="center"/>
          </w:tcPr>
          <w:p w14:paraId="5AE973E0">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说明</w:t>
            </w:r>
          </w:p>
        </w:tc>
      </w:tr>
      <w:tr w14:paraId="25282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52FB8A0B">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活动名称</w:t>
            </w:r>
          </w:p>
        </w:tc>
        <w:tc>
          <w:tcPr>
            <w:tcW w:w="2260" w:type="dxa"/>
            <w:vAlign w:val="center"/>
          </w:tcPr>
          <w:p w14:paraId="101CF88E">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579E1331">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5F32E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3EF78A1C">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活动时间</w:t>
            </w:r>
          </w:p>
        </w:tc>
        <w:tc>
          <w:tcPr>
            <w:tcW w:w="2260" w:type="dxa"/>
            <w:vAlign w:val="center"/>
          </w:tcPr>
          <w:p w14:paraId="066D8077">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3F11806E">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2A98C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06E30527">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发布社团</w:t>
            </w:r>
          </w:p>
        </w:tc>
        <w:tc>
          <w:tcPr>
            <w:tcW w:w="2260" w:type="dxa"/>
            <w:vAlign w:val="center"/>
          </w:tcPr>
          <w:p w14:paraId="3FC4E100">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68C3A95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4701C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1BF97B69">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活动概述</w:t>
            </w:r>
          </w:p>
        </w:tc>
        <w:tc>
          <w:tcPr>
            <w:tcW w:w="2260" w:type="dxa"/>
            <w:vAlign w:val="center"/>
          </w:tcPr>
          <w:p w14:paraId="22FC53B3">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41555CE9">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393A8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2255" w:type="dxa"/>
            <w:vAlign w:val="center"/>
          </w:tcPr>
          <w:p w14:paraId="7097B472">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活动要求</w:t>
            </w:r>
          </w:p>
        </w:tc>
        <w:tc>
          <w:tcPr>
            <w:tcW w:w="2260" w:type="dxa"/>
            <w:vAlign w:val="center"/>
          </w:tcPr>
          <w:p w14:paraId="70558BC1">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63BE5C2A">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r w14:paraId="22AA4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2255" w:type="dxa"/>
            <w:vAlign w:val="center"/>
          </w:tcPr>
          <w:p w14:paraId="51CCE724">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活动详情</w:t>
            </w:r>
          </w:p>
        </w:tc>
        <w:tc>
          <w:tcPr>
            <w:tcW w:w="2260" w:type="dxa"/>
            <w:vAlign w:val="center"/>
          </w:tcPr>
          <w:p w14:paraId="68EBD15B">
            <w:pPr>
              <w:widowControl/>
              <w:spacing w:line="440" w:lineRule="exact"/>
              <w:jc w:val="center"/>
              <w:rPr>
                <w:rFonts w:cs="宋体" w:asciiTheme="minorEastAsia" w:hAnsiTheme="minorEastAsia"/>
                <w:color w:val="000000"/>
                <w:szCs w:val="21"/>
              </w:rPr>
            </w:pPr>
            <w:r>
              <w:rPr>
                <w:rFonts w:hint="eastAsia" w:ascii="Times New Roman" w:hAnsi="Times New Roman" w:cs="宋体"/>
                <w:color w:val="000000"/>
                <w:szCs w:val="21"/>
              </w:rPr>
              <w:t>string</w:t>
            </w:r>
          </w:p>
        </w:tc>
        <w:tc>
          <w:tcPr>
            <w:tcW w:w="2264" w:type="dxa"/>
            <w:vAlign w:val="center"/>
          </w:tcPr>
          <w:p w14:paraId="63ED6661">
            <w:pPr>
              <w:widowControl/>
              <w:spacing w:line="440" w:lineRule="exact"/>
              <w:jc w:val="center"/>
              <w:rPr>
                <w:rFonts w:cs="宋体" w:asciiTheme="minorEastAsia" w:hAnsiTheme="minorEastAsia"/>
                <w:color w:val="000000"/>
                <w:szCs w:val="21"/>
              </w:rPr>
            </w:pPr>
            <w:r>
              <w:rPr>
                <w:rFonts w:hint="eastAsia" w:cs="宋体" w:asciiTheme="minorEastAsia" w:hAnsiTheme="minorEastAsia"/>
                <w:color w:val="000000"/>
                <w:szCs w:val="21"/>
              </w:rPr>
              <w:t>必填</w:t>
            </w:r>
          </w:p>
        </w:tc>
      </w:tr>
    </w:tbl>
    <w:p w14:paraId="3F73F12A">
      <w:pPr>
        <w:widowControl/>
        <w:tabs>
          <w:tab w:val="left" w:pos="165"/>
          <w:tab w:val="left" w:pos="786"/>
        </w:tabs>
        <w:spacing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3</w:t>
      </w:r>
      <w:r>
        <w:rPr>
          <w:rFonts w:hint="eastAsia" w:ascii="宋体" w:hAnsi="宋体" w:cs="宋体"/>
          <w:bCs/>
          <w:color w:val="000000"/>
          <w:sz w:val="24"/>
        </w:rPr>
        <w:t>)输出项</w:t>
      </w:r>
    </w:p>
    <w:p w14:paraId="33C4231E">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①成功，</w:t>
      </w:r>
      <w:r>
        <w:rPr>
          <w:rFonts w:hint="eastAsia" w:ascii="Times New Roman" w:hAnsi="Times New Roman" w:cs="宋体"/>
          <w:bCs/>
          <w:color w:val="000000"/>
          <w:sz w:val="24"/>
        </w:rPr>
        <w:t>UI</w:t>
      </w:r>
      <w:r>
        <w:rPr>
          <w:rFonts w:hint="eastAsia" w:ascii="宋体" w:hAnsi="宋体" w:cs="宋体"/>
          <w:bCs/>
          <w:color w:val="000000"/>
          <w:sz w:val="24"/>
        </w:rPr>
        <w:t>提示活动添加完成；</w:t>
      </w:r>
    </w:p>
    <w:p w14:paraId="34A7703E">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②失败，</w:t>
      </w:r>
      <w:r>
        <w:rPr>
          <w:rFonts w:hint="eastAsia" w:ascii="Times New Roman" w:hAnsi="Times New Roman" w:cs="宋体"/>
          <w:bCs/>
          <w:color w:val="000000"/>
          <w:sz w:val="24"/>
        </w:rPr>
        <w:t>UI</w:t>
      </w:r>
      <w:r>
        <w:rPr>
          <w:rFonts w:hint="eastAsia" w:ascii="宋体" w:hAnsi="宋体" w:cs="宋体"/>
          <w:bCs/>
          <w:color w:val="000000"/>
          <w:sz w:val="24"/>
        </w:rPr>
        <w:t>提示系统异常。</w:t>
      </w:r>
    </w:p>
    <w:p w14:paraId="40666B0A">
      <w:pPr>
        <w:widowControl/>
        <w:tabs>
          <w:tab w:val="left" w:pos="165"/>
          <w:tab w:val="left" w:pos="786"/>
        </w:tabs>
        <w:spacing w:line="440" w:lineRule="exact"/>
        <w:ind w:firstLine="480" w:firstLineChars="200"/>
        <w:rPr>
          <w:rFonts w:ascii="宋体" w:hAnsi="宋体" w:cs="宋体"/>
          <w:bCs/>
          <w:color w:val="000000"/>
          <w:sz w:val="24"/>
        </w:rPr>
      </w:pPr>
      <w:r>
        <w:rPr>
          <w:rFonts w:hint="eastAsia" w:ascii="Times New Roman" w:hAnsi="Times New Roman" w:cs="宋体"/>
          <w:bCs/>
          <w:color w:val="000000"/>
          <w:sz w:val="24"/>
        </w:rPr>
        <w:t>4</w:t>
      </w:r>
      <w:r>
        <w:rPr>
          <w:rFonts w:hint="eastAsia" w:ascii="宋体" w:hAnsi="宋体" w:cs="宋体"/>
          <w:bCs/>
          <w:color w:val="000000"/>
          <w:sz w:val="24"/>
        </w:rPr>
        <w:t>)算法描述</w:t>
      </w:r>
    </w:p>
    <w:p w14:paraId="60D7D03A">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①</w:t>
      </w:r>
      <w:r>
        <w:rPr>
          <w:rFonts w:hint="eastAsia" w:ascii="宋体" w:hAnsi="宋体" w:cs="宋体"/>
          <w:bCs/>
          <w:color w:val="1A1A1A"/>
          <w:sz w:val="24"/>
          <w:shd w:val="clear" w:color="auto" w:fill="FFFFFF"/>
        </w:rPr>
        <w:t>前端</w:t>
      </w:r>
      <w:r>
        <w:rPr>
          <w:rFonts w:hint="eastAsia" w:ascii="Times New Roman" w:hAnsi="Times New Roman" w:cs="宋体"/>
          <w:bCs/>
          <w:color w:val="1A1A1A"/>
          <w:sz w:val="24"/>
          <w:shd w:val="clear" w:color="auto" w:fill="FFFFFF"/>
        </w:rPr>
        <w:t>js</w:t>
      </w:r>
      <w:r>
        <w:rPr>
          <w:rFonts w:hint="eastAsia" w:ascii="宋体" w:hAnsi="宋体" w:cs="宋体"/>
          <w:bCs/>
          <w:color w:val="1A1A1A"/>
          <w:sz w:val="24"/>
          <w:shd w:val="clear" w:color="auto" w:fill="FFFFFF"/>
        </w:rPr>
        <w:t>判断必填项的输入</w:t>
      </w:r>
      <w:r>
        <w:rPr>
          <w:rFonts w:hint="eastAsia" w:ascii="宋体" w:hAnsi="宋体" w:cs="宋体"/>
          <w:bCs/>
          <w:color w:val="000000"/>
          <w:sz w:val="24"/>
        </w:rPr>
        <w:t>；</w:t>
      </w:r>
    </w:p>
    <w:p w14:paraId="30ECC1C2">
      <w:pPr>
        <w:widowControl/>
        <w:tabs>
          <w:tab w:val="left" w:pos="165"/>
          <w:tab w:val="left" w:pos="845"/>
        </w:tabs>
        <w:spacing w:line="440" w:lineRule="exact"/>
        <w:ind w:firstLine="480" w:firstLineChars="200"/>
        <w:rPr>
          <w:rFonts w:ascii="宋体" w:hAnsi="宋体" w:cs="宋体"/>
          <w:bCs/>
          <w:color w:val="000000"/>
          <w:sz w:val="24"/>
        </w:rPr>
      </w:pPr>
      <w:r>
        <w:rPr>
          <w:rFonts w:hint="eastAsia" w:ascii="宋体" w:hAnsi="宋体" w:cs="宋体"/>
          <w:bCs/>
          <w:color w:val="000000"/>
          <w:sz w:val="24"/>
        </w:rPr>
        <w:t>②调用相关接口，判断社团是否存在；</w:t>
      </w:r>
    </w:p>
    <w:p w14:paraId="4C3FCFDD">
      <w:pPr>
        <w:spacing w:line="440" w:lineRule="exact"/>
        <w:ind w:firstLine="480" w:firstLineChars="200"/>
        <w:rPr>
          <w:rStyle w:val="41"/>
          <w:rFonts w:ascii="宋体" w:hAnsi="宋体" w:cs="宋体"/>
          <w:bCs/>
          <w:sz w:val="24"/>
        </w:rPr>
      </w:pPr>
      <w:r>
        <w:rPr>
          <w:rStyle w:val="41"/>
          <w:rFonts w:hint="eastAsia" w:ascii="宋体" w:hAnsi="宋体" w:cs="宋体"/>
          <w:bCs/>
          <w:sz w:val="24"/>
        </w:rPr>
        <w:t>③如果不存在，那么信息无法写入数据库，返回系统异常。</w:t>
      </w:r>
    </w:p>
    <w:p w14:paraId="44FD1AC8">
      <w:pPr>
        <w:spacing w:line="440" w:lineRule="exact"/>
        <w:ind w:firstLine="480" w:firstLineChars="200"/>
        <w:jc w:val="left"/>
        <w:outlineLvl w:val="9"/>
        <w:rPr>
          <w:rFonts w:ascii="Times New Roman" w:hAnsi="Times New Roman"/>
          <w:color w:val="000000"/>
          <w:sz w:val="24"/>
        </w:rPr>
      </w:pPr>
      <w:bookmarkStart w:id="661" w:name="_Toc6048"/>
      <w:bookmarkStart w:id="662" w:name="_Toc27204"/>
      <w:r>
        <w:rPr>
          <w:rFonts w:ascii="Times New Roman" w:hAnsi="Times New Roman"/>
          <w:color w:val="000000"/>
          <w:sz w:val="24"/>
        </w:rPr>
        <w:t>3.4</w:t>
      </w:r>
      <w:r>
        <w:rPr>
          <w:rFonts w:hint="eastAsia" w:ascii="Times New Roman" w:hAnsi="Times New Roman"/>
          <w:color w:val="000000"/>
          <w:sz w:val="24"/>
        </w:rPr>
        <w:t xml:space="preserve"> 数据库设计</w:t>
      </w:r>
      <w:bookmarkEnd w:id="649"/>
      <w:bookmarkEnd w:id="650"/>
      <w:bookmarkEnd w:id="655"/>
      <w:bookmarkEnd w:id="661"/>
      <w:bookmarkEnd w:id="662"/>
    </w:p>
    <w:p w14:paraId="01F4A446">
      <w:pPr>
        <w:autoSpaceDE w:val="0"/>
        <w:spacing w:line="440" w:lineRule="exact"/>
        <w:ind w:firstLine="480" w:firstLineChars="200"/>
        <w:outlineLvl w:val="9"/>
        <w:rPr>
          <w:rFonts w:ascii="宋体" w:hAnsi="宋体" w:cs="宋体"/>
          <w:sz w:val="24"/>
          <w:lang w:bidi="ar"/>
        </w:rPr>
      </w:pPr>
      <w:r>
        <w:rPr>
          <w:rFonts w:ascii="Times New Roman" w:hAnsi="Times New Roman"/>
          <w:sz w:val="24"/>
          <w:lang w:bidi="ar"/>
        </w:rPr>
        <w:t>3.4.1</w:t>
      </w:r>
      <w:r>
        <w:rPr>
          <w:rFonts w:hint="eastAsia" w:ascii="宋体" w:hAnsi="宋体" w:cs="宋体"/>
          <w:sz w:val="24"/>
          <w:lang w:bidi="ar"/>
        </w:rPr>
        <w:t>报名记录表</w:t>
      </w:r>
    </w:p>
    <w:p w14:paraId="7E203080">
      <w:pPr>
        <w:autoSpaceDE w:val="0"/>
        <w:spacing w:line="440" w:lineRule="exact"/>
        <w:ind w:firstLine="480" w:firstLineChars="200"/>
        <w:outlineLvl w:val="9"/>
        <w:rPr>
          <w:rFonts w:ascii="宋体" w:hAnsi="宋体" w:cs="宋体"/>
          <w:sz w:val="24"/>
          <w:lang w:bidi="ar"/>
        </w:rPr>
      </w:pPr>
      <w:r>
        <w:rPr>
          <w:rFonts w:hint="eastAsia" w:ascii="宋体" w:hAnsi="宋体" w:cs="宋体"/>
          <w:sz w:val="24"/>
          <w:lang w:bidi="ar"/>
        </w:rPr>
        <w:t>报名记录表用来存储用户报名活动的相关信息，具体的表结构如表</w:t>
      </w:r>
      <w:r>
        <w:rPr>
          <w:rFonts w:hint="eastAsia" w:ascii="Times New Roman" w:hAnsi="Times New Roman" w:cs="宋体"/>
          <w:sz w:val="24"/>
          <w:lang w:bidi="ar"/>
        </w:rPr>
        <w:t>3-6</w:t>
      </w:r>
      <w:r>
        <w:rPr>
          <w:rFonts w:hint="eastAsia" w:ascii="宋体" w:hAnsi="宋体" w:cs="宋体"/>
          <w:sz w:val="24"/>
          <w:lang w:bidi="ar"/>
        </w:rPr>
        <w:t>所示。</w:t>
      </w:r>
    </w:p>
    <w:p w14:paraId="5A929B80">
      <w:pPr>
        <w:tabs>
          <w:tab w:val="left" w:pos="1584"/>
        </w:tabs>
        <w:spacing w:before="0" w:after="0" w:line="440" w:lineRule="exact"/>
        <w:ind w:left="0" w:firstLine="0"/>
        <w:jc w:val="center"/>
        <w:outlineLvl w:val="9"/>
        <w:rPr>
          <w:rFonts w:ascii="宋体" w:hAnsi="宋体" w:eastAsia="宋体" w:cs="宋体"/>
          <w:sz w:val="24"/>
        </w:rPr>
      </w:pPr>
      <w:r>
        <w:rPr>
          <w:rFonts w:hint="eastAsia" w:ascii="宋体" w:hAnsi="宋体" w:eastAsia="宋体" w:cs="宋体"/>
          <w:szCs w:val="21"/>
        </w:rPr>
        <w:t>表</w:t>
      </w:r>
      <w:r>
        <w:rPr>
          <w:rFonts w:hint="eastAsia" w:ascii="Times New Roman" w:hAnsi="Times New Roman" w:eastAsia="宋体" w:cs="宋体"/>
          <w:sz w:val="24"/>
        </w:rPr>
        <w:t>3-6</w:t>
      </w:r>
      <w:r>
        <w:rPr>
          <w:rFonts w:hint="eastAsia" w:ascii="宋体" w:hAnsi="宋体" w:eastAsia="宋体" w:cs="宋体"/>
          <w:szCs w:val="21"/>
          <w:lang w:bidi="ar"/>
        </w:rPr>
        <w:t>报名记录表</w:t>
      </w:r>
    </w:p>
    <w:tbl>
      <w:tblPr>
        <w:tblStyle w:val="35"/>
        <w:tblpPr w:leftFromText="180" w:rightFromText="180" w:vertAnchor="page" w:horzAnchor="page" w:tblpX="2627" w:tblpY="10455"/>
        <w:tblOverlap w:val="never"/>
        <w:tblW w:w="0" w:type="auto"/>
        <w:tblInd w:w="0" w:type="dxa"/>
        <w:tblLayout w:type="autofit"/>
        <w:tblCellMar>
          <w:top w:w="0" w:type="dxa"/>
          <w:left w:w="108" w:type="dxa"/>
          <w:bottom w:w="0" w:type="dxa"/>
          <w:right w:w="108" w:type="dxa"/>
        </w:tblCellMar>
      </w:tblPr>
      <w:tblGrid>
        <w:gridCol w:w="1757"/>
        <w:gridCol w:w="1757"/>
        <w:gridCol w:w="1757"/>
        <w:gridCol w:w="1757"/>
      </w:tblGrid>
      <w:tr w14:paraId="58CC37BC">
        <w:tblPrEx>
          <w:tblCellMar>
            <w:top w:w="0" w:type="dxa"/>
            <w:left w:w="108" w:type="dxa"/>
            <w:bottom w:w="0" w:type="dxa"/>
            <w:right w:w="108" w:type="dxa"/>
          </w:tblCellMar>
        </w:tblPrEx>
        <w:trPr>
          <w:trHeight w:val="648" w:hRule="atLeast"/>
        </w:trPr>
        <w:tc>
          <w:tcPr>
            <w:tcW w:w="1757" w:type="dxa"/>
            <w:tcBorders>
              <w:top w:val="single" w:color="000000" w:sz="4" w:space="0"/>
              <w:left w:val="single" w:color="000000" w:sz="4" w:space="0"/>
              <w:bottom w:val="single" w:color="000000" w:sz="4" w:space="0"/>
              <w:right w:val="single" w:color="000000" w:sz="4" w:space="0"/>
            </w:tcBorders>
            <w:vAlign w:val="center"/>
          </w:tcPr>
          <w:p w14:paraId="679D54CC">
            <w:pPr>
              <w:jc w:val="center"/>
              <w:rPr>
                <w:rFonts w:cs="宋体" w:asciiTheme="minorEastAsia" w:hAnsiTheme="minorEastAsia"/>
                <w:szCs w:val="21"/>
              </w:rPr>
            </w:pPr>
            <w:r>
              <w:rPr>
                <w:rFonts w:hint="eastAsia" w:cs="宋体" w:asciiTheme="minorEastAsia" w:hAnsiTheme="minorEastAsia"/>
                <w:szCs w:val="21"/>
              </w:rPr>
              <w:t>字段名</w:t>
            </w:r>
          </w:p>
        </w:tc>
        <w:tc>
          <w:tcPr>
            <w:tcW w:w="1757" w:type="dxa"/>
            <w:tcBorders>
              <w:top w:val="single" w:color="000000" w:sz="4" w:space="0"/>
              <w:left w:val="single" w:color="000000" w:sz="4" w:space="0"/>
              <w:bottom w:val="single" w:color="000000" w:sz="4" w:space="0"/>
              <w:right w:val="single" w:color="000000" w:sz="4" w:space="0"/>
            </w:tcBorders>
            <w:vAlign w:val="center"/>
          </w:tcPr>
          <w:p w14:paraId="3E30D71C">
            <w:pPr>
              <w:jc w:val="center"/>
              <w:rPr>
                <w:rFonts w:cs="宋体" w:asciiTheme="minorEastAsia" w:hAnsiTheme="minorEastAsia"/>
                <w:szCs w:val="21"/>
              </w:rPr>
            </w:pPr>
            <w:r>
              <w:rPr>
                <w:rFonts w:hint="eastAsia" w:cs="宋体" w:asciiTheme="minorEastAsia" w:hAnsiTheme="minorEastAsia"/>
                <w:szCs w:val="21"/>
              </w:rPr>
              <w:t>名称</w:t>
            </w:r>
          </w:p>
        </w:tc>
        <w:tc>
          <w:tcPr>
            <w:tcW w:w="1757" w:type="dxa"/>
            <w:tcBorders>
              <w:top w:val="single" w:color="000000" w:sz="4" w:space="0"/>
              <w:left w:val="single" w:color="000000" w:sz="4" w:space="0"/>
              <w:bottom w:val="single" w:color="000000" w:sz="4" w:space="0"/>
              <w:right w:val="single" w:color="000000" w:sz="4" w:space="0"/>
            </w:tcBorders>
            <w:vAlign w:val="center"/>
          </w:tcPr>
          <w:p w14:paraId="466434AF">
            <w:pPr>
              <w:jc w:val="center"/>
              <w:rPr>
                <w:rFonts w:cs="宋体" w:asciiTheme="minorEastAsia" w:hAnsiTheme="minorEastAsia"/>
                <w:szCs w:val="21"/>
              </w:rPr>
            </w:pPr>
            <w:r>
              <w:rPr>
                <w:rFonts w:hint="eastAsia" w:cs="宋体" w:asciiTheme="minorEastAsia" w:hAnsiTheme="minorEastAsia"/>
                <w:szCs w:val="21"/>
              </w:rPr>
              <w:t>数据类型</w:t>
            </w:r>
          </w:p>
        </w:tc>
        <w:tc>
          <w:tcPr>
            <w:tcW w:w="1757" w:type="dxa"/>
            <w:tcBorders>
              <w:top w:val="single" w:color="000000" w:sz="4" w:space="0"/>
              <w:left w:val="single" w:color="000000" w:sz="4" w:space="0"/>
              <w:bottom w:val="single" w:color="000000" w:sz="4" w:space="0"/>
              <w:right w:val="single" w:color="000000" w:sz="4" w:space="0"/>
            </w:tcBorders>
            <w:vAlign w:val="center"/>
          </w:tcPr>
          <w:p w14:paraId="5980B867">
            <w:pPr>
              <w:jc w:val="center"/>
              <w:rPr>
                <w:rFonts w:cs="宋体" w:asciiTheme="minorEastAsia" w:hAnsiTheme="minorEastAsia"/>
                <w:szCs w:val="21"/>
              </w:rPr>
            </w:pPr>
            <w:r>
              <w:rPr>
                <w:rFonts w:hint="eastAsia" w:cs="宋体" w:asciiTheme="minorEastAsia" w:hAnsiTheme="minorEastAsia"/>
                <w:szCs w:val="21"/>
              </w:rPr>
              <w:t>主键</w:t>
            </w:r>
          </w:p>
        </w:tc>
      </w:tr>
      <w:tr w14:paraId="2D9A1DB7">
        <w:tblPrEx>
          <w:tblCellMar>
            <w:top w:w="0" w:type="dxa"/>
            <w:left w:w="108" w:type="dxa"/>
            <w:bottom w:w="0" w:type="dxa"/>
            <w:right w:w="108" w:type="dxa"/>
          </w:tblCellMar>
        </w:tblPrEx>
        <w:trPr>
          <w:trHeight w:val="648" w:hRule="atLeast"/>
        </w:trPr>
        <w:tc>
          <w:tcPr>
            <w:tcW w:w="1757" w:type="dxa"/>
            <w:tcBorders>
              <w:top w:val="single" w:color="000000" w:sz="4" w:space="0"/>
              <w:left w:val="single" w:color="000000" w:sz="4" w:space="0"/>
              <w:bottom w:val="single" w:color="000000" w:sz="4" w:space="0"/>
              <w:right w:val="single" w:color="000000" w:sz="4" w:space="0"/>
            </w:tcBorders>
            <w:vAlign w:val="center"/>
          </w:tcPr>
          <w:p w14:paraId="24B778B3">
            <w:pPr>
              <w:jc w:val="center"/>
              <w:rPr>
                <w:rFonts w:cs="宋体" w:asciiTheme="minorEastAsia" w:hAnsiTheme="minorEastAsia"/>
                <w:szCs w:val="21"/>
              </w:rPr>
            </w:pPr>
            <w:r>
              <w:rPr>
                <w:rFonts w:hint="eastAsia" w:ascii="Times New Roman" w:hAnsi="Times New Roman" w:cs="宋体"/>
                <w:szCs w:val="21"/>
              </w:rPr>
              <w:t>id</w:t>
            </w:r>
          </w:p>
        </w:tc>
        <w:tc>
          <w:tcPr>
            <w:tcW w:w="1757" w:type="dxa"/>
            <w:tcBorders>
              <w:top w:val="single" w:color="000000" w:sz="4" w:space="0"/>
              <w:left w:val="single" w:color="000000" w:sz="4" w:space="0"/>
              <w:bottom w:val="single" w:color="000000" w:sz="4" w:space="0"/>
              <w:right w:val="single" w:color="000000" w:sz="4" w:space="0"/>
            </w:tcBorders>
            <w:vAlign w:val="center"/>
          </w:tcPr>
          <w:p w14:paraId="035B0478">
            <w:pPr>
              <w:jc w:val="center"/>
              <w:rPr>
                <w:rFonts w:cs="宋体" w:asciiTheme="minorEastAsia" w:hAnsiTheme="minorEastAsia"/>
                <w:szCs w:val="21"/>
              </w:rPr>
            </w:pPr>
            <w:r>
              <w:rPr>
                <w:rFonts w:hint="eastAsia" w:cs="宋体" w:asciiTheme="minorEastAsia" w:hAnsiTheme="minorEastAsia"/>
                <w:szCs w:val="21"/>
              </w:rPr>
              <w:t>序号</w:t>
            </w:r>
          </w:p>
        </w:tc>
        <w:tc>
          <w:tcPr>
            <w:tcW w:w="1757" w:type="dxa"/>
            <w:tcBorders>
              <w:top w:val="single" w:color="000000" w:sz="4" w:space="0"/>
              <w:left w:val="single" w:color="000000" w:sz="4" w:space="0"/>
              <w:bottom w:val="single" w:color="000000" w:sz="4" w:space="0"/>
              <w:right w:val="single" w:color="000000" w:sz="4" w:space="0"/>
            </w:tcBorders>
            <w:vAlign w:val="center"/>
          </w:tcPr>
          <w:p w14:paraId="41F05395">
            <w:pPr>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57" w:type="dxa"/>
            <w:tcBorders>
              <w:top w:val="single" w:color="000000" w:sz="4" w:space="0"/>
              <w:left w:val="single" w:color="000000" w:sz="4" w:space="0"/>
              <w:bottom w:val="single" w:color="000000" w:sz="4" w:space="0"/>
              <w:right w:val="single" w:color="000000" w:sz="4" w:space="0"/>
            </w:tcBorders>
            <w:vAlign w:val="center"/>
          </w:tcPr>
          <w:p w14:paraId="198FE846">
            <w:pPr>
              <w:jc w:val="center"/>
              <w:rPr>
                <w:rFonts w:cs="宋体" w:asciiTheme="minorEastAsia" w:hAnsiTheme="minorEastAsia"/>
                <w:szCs w:val="21"/>
              </w:rPr>
            </w:pPr>
            <w:r>
              <w:rPr>
                <w:rFonts w:hint="eastAsia" w:ascii="Times New Roman" w:hAnsi="Times New Roman" w:cs="宋体"/>
                <w:szCs w:val="21"/>
              </w:rPr>
              <w:t>PRI</w:t>
            </w:r>
          </w:p>
        </w:tc>
      </w:tr>
      <w:tr w14:paraId="733BD369">
        <w:tblPrEx>
          <w:tblCellMar>
            <w:top w:w="0" w:type="dxa"/>
            <w:left w:w="108" w:type="dxa"/>
            <w:bottom w:w="0" w:type="dxa"/>
            <w:right w:w="108" w:type="dxa"/>
          </w:tblCellMar>
        </w:tblPrEx>
        <w:trPr>
          <w:trHeight w:val="648" w:hRule="atLeast"/>
        </w:trPr>
        <w:tc>
          <w:tcPr>
            <w:tcW w:w="1757" w:type="dxa"/>
            <w:tcBorders>
              <w:top w:val="single" w:color="000000" w:sz="4" w:space="0"/>
              <w:left w:val="single" w:color="000000" w:sz="4" w:space="0"/>
              <w:bottom w:val="single" w:color="000000" w:sz="4" w:space="0"/>
              <w:right w:val="single" w:color="000000" w:sz="4" w:space="0"/>
            </w:tcBorders>
            <w:vAlign w:val="center"/>
          </w:tcPr>
          <w:p w14:paraId="1FDD4A07">
            <w:pPr>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757" w:type="dxa"/>
            <w:tcBorders>
              <w:top w:val="single" w:color="000000" w:sz="4" w:space="0"/>
              <w:left w:val="single" w:color="000000" w:sz="4" w:space="0"/>
              <w:bottom w:val="single" w:color="000000" w:sz="4" w:space="0"/>
              <w:right w:val="single" w:color="000000" w:sz="4" w:space="0"/>
            </w:tcBorders>
            <w:vAlign w:val="center"/>
          </w:tcPr>
          <w:p w14:paraId="249AF7D4">
            <w:pPr>
              <w:jc w:val="center"/>
              <w:rPr>
                <w:rFonts w:cs="宋体" w:asciiTheme="minorEastAsia" w:hAnsiTheme="minorEastAsia"/>
                <w:szCs w:val="21"/>
              </w:rPr>
            </w:pPr>
            <w:r>
              <w:rPr>
                <w:rFonts w:hint="eastAsia" w:cs="宋体" w:asciiTheme="minorEastAsia" w:hAnsiTheme="minorEastAsia"/>
                <w:szCs w:val="21"/>
              </w:rPr>
              <w:t>报名时间</w:t>
            </w:r>
          </w:p>
        </w:tc>
        <w:tc>
          <w:tcPr>
            <w:tcW w:w="1757" w:type="dxa"/>
            <w:tcBorders>
              <w:top w:val="single" w:color="000000" w:sz="4" w:space="0"/>
              <w:left w:val="single" w:color="000000" w:sz="4" w:space="0"/>
              <w:bottom w:val="single" w:color="000000" w:sz="4" w:space="0"/>
              <w:right w:val="single" w:color="000000" w:sz="4" w:space="0"/>
            </w:tcBorders>
            <w:vAlign w:val="center"/>
          </w:tcPr>
          <w:p w14:paraId="05B598EB">
            <w:pPr>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57" w:type="dxa"/>
            <w:tcBorders>
              <w:top w:val="single" w:color="000000" w:sz="4" w:space="0"/>
              <w:left w:val="single" w:color="000000" w:sz="4" w:space="0"/>
              <w:bottom w:val="single" w:color="000000" w:sz="4" w:space="0"/>
              <w:right w:val="single" w:color="000000" w:sz="4" w:space="0"/>
            </w:tcBorders>
            <w:vAlign w:val="center"/>
          </w:tcPr>
          <w:p w14:paraId="0A179202">
            <w:pPr>
              <w:jc w:val="center"/>
              <w:rPr>
                <w:rFonts w:cs="宋体" w:asciiTheme="minorEastAsia" w:hAnsiTheme="minorEastAsia"/>
                <w:szCs w:val="21"/>
              </w:rPr>
            </w:pPr>
          </w:p>
        </w:tc>
      </w:tr>
      <w:tr w14:paraId="25BE7DB6">
        <w:tblPrEx>
          <w:tblCellMar>
            <w:top w:w="0" w:type="dxa"/>
            <w:left w:w="108" w:type="dxa"/>
            <w:bottom w:w="0" w:type="dxa"/>
            <w:right w:w="108" w:type="dxa"/>
          </w:tblCellMar>
        </w:tblPrEx>
        <w:trPr>
          <w:trHeight w:val="648" w:hRule="atLeast"/>
        </w:trPr>
        <w:tc>
          <w:tcPr>
            <w:tcW w:w="1757" w:type="dxa"/>
            <w:tcBorders>
              <w:top w:val="single" w:color="000000" w:sz="4" w:space="0"/>
              <w:left w:val="single" w:color="000000" w:sz="4" w:space="0"/>
              <w:bottom w:val="single" w:color="000000" w:sz="4" w:space="0"/>
              <w:right w:val="single" w:color="000000" w:sz="4" w:space="0"/>
            </w:tcBorders>
            <w:vAlign w:val="center"/>
          </w:tcPr>
          <w:p w14:paraId="0B655559">
            <w:pPr>
              <w:jc w:val="center"/>
              <w:rPr>
                <w:rFonts w:cs="宋体" w:asciiTheme="minorEastAsia" w:hAnsiTheme="minorEastAsia"/>
                <w:szCs w:val="21"/>
              </w:rPr>
            </w:pPr>
            <w:r>
              <w:rPr>
                <w:rFonts w:hint="eastAsia" w:ascii="Times New Roman" w:hAnsi="Times New Roman" w:cs="宋体"/>
                <w:szCs w:val="21"/>
              </w:rPr>
              <w:t>active</w:t>
            </w:r>
            <w:r>
              <w:rPr>
                <w:rFonts w:hint="eastAsia" w:cs="宋体" w:asciiTheme="minorEastAsia" w:hAnsiTheme="minorEastAsia"/>
                <w:szCs w:val="21"/>
              </w:rPr>
              <w:t>_</w:t>
            </w:r>
            <w:r>
              <w:rPr>
                <w:rFonts w:hint="eastAsia" w:ascii="Times New Roman" w:hAnsi="Times New Roman" w:cs="宋体"/>
                <w:szCs w:val="21"/>
              </w:rPr>
              <w:t>id</w:t>
            </w:r>
          </w:p>
        </w:tc>
        <w:tc>
          <w:tcPr>
            <w:tcW w:w="1757" w:type="dxa"/>
            <w:tcBorders>
              <w:top w:val="single" w:color="000000" w:sz="4" w:space="0"/>
              <w:left w:val="single" w:color="000000" w:sz="4" w:space="0"/>
              <w:bottom w:val="single" w:color="000000" w:sz="4" w:space="0"/>
              <w:right w:val="single" w:color="000000" w:sz="4" w:space="0"/>
            </w:tcBorders>
            <w:vAlign w:val="center"/>
          </w:tcPr>
          <w:p w14:paraId="1B604C06">
            <w:pPr>
              <w:jc w:val="center"/>
              <w:rPr>
                <w:rFonts w:cs="宋体" w:asciiTheme="minorEastAsia" w:hAnsiTheme="minorEastAsia"/>
                <w:szCs w:val="21"/>
              </w:rPr>
            </w:pPr>
            <w:r>
              <w:rPr>
                <w:rFonts w:hint="eastAsia" w:cs="宋体" w:asciiTheme="minorEastAsia" w:hAnsiTheme="minorEastAsia"/>
                <w:szCs w:val="21"/>
              </w:rPr>
              <w:t>活动序号</w:t>
            </w:r>
          </w:p>
        </w:tc>
        <w:tc>
          <w:tcPr>
            <w:tcW w:w="1757" w:type="dxa"/>
            <w:tcBorders>
              <w:top w:val="single" w:color="000000" w:sz="4" w:space="0"/>
              <w:left w:val="single" w:color="000000" w:sz="4" w:space="0"/>
              <w:bottom w:val="single" w:color="000000" w:sz="4" w:space="0"/>
              <w:right w:val="single" w:color="000000" w:sz="4" w:space="0"/>
            </w:tcBorders>
            <w:vAlign w:val="center"/>
          </w:tcPr>
          <w:p w14:paraId="291B60A6">
            <w:pPr>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57" w:type="dxa"/>
            <w:tcBorders>
              <w:top w:val="single" w:color="000000" w:sz="4" w:space="0"/>
              <w:left w:val="single" w:color="000000" w:sz="4" w:space="0"/>
              <w:bottom w:val="single" w:color="000000" w:sz="4" w:space="0"/>
              <w:right w:val="single" w:color="000000" w:sz="4" w:space="0"/>
            </w:tcBorders>
            <w:vAlign w:val="center"/>
          </w:tcPr>
          <w:p w14:paraId="3BE3B79F">
            <w:pPr>
              <w:jc w:val="center"/>
              <w:rPr>
                <w:rFonts w:cs="宋体" w:asciiTheme="minorEastAsia" w:hAnsiTheme="minorEastAsia"/>
                <w:szCs w:val="21"/>
              </w:rPr>
            </w:pPr>
          </w:p>
        </w:tc>
      </w:tr>
      <w:tr w14:paraId="200C57C6">
        <w:tblPrEx>
          <w:tblCellMar>
            <w:top w:w="0" w:type="dxa"/>
            <w:left w:w="108" w:type="dxa"/>
            <w:bottom w:w="0" w:type="dxa"/>
            <w:right w:w="108" w:type="dxa"/>
          </w:tblCellMar>
        </w:tblPrEx>
        <w:trPr>
          <w:trHeight w:val="705" w:hRule="atLeast"/>
        </w:trPr>
        <w:tc>
          <w:tcPr>
            <w:tcW w:w="1757" w:type="dxa"/>
            <w:tcBorders>
              <w:top w:val="single" w:color="000000" w:sz="4" w:space="0"/>
              <w:left w:val="single" w:color="000000" w:sz="4" w:space="0"/>
              <w:bottom w:val="single" w:color="000000" w:sz="4" w:space="0"/>
              <w:right w:val="single" w:color="000000" w:sz="4" w:space="0"/>
            </w:tcBorders>
            <w:vAlign w:val="center"/>
          </w:tcPr>
          <w:p w14:paraId="622C84EE">
            <w:pPr>
              <w:jc w:val="center"/>
              <w:outlineLvl w:val="9"/>
              <w:rPr>
                <w:rFonts w:cs="宋体" w:asciiTheme="minorEastAsia" w:hAnsiTheme="minorEastAsia"/>
                <w:szCs w:val="21"/>
              </w:rPr>
            </w:pPr>
            <w:r>
              <w:rPr>
                <w:rFonts w:hint="eastAsia" w:ascii="Times New Roman" w:hAnsi="Times New Roman" w:cs="宋体"/>
                <w:szCs w:val="21"/>
              </w:rPr>
              <w:t>user</w:t>
            </w:r>
            <w:r>
              <w:rPr>
                <w:rFonts w:hint="eastAsia" w:cs="宋体" w:asciiTheme="minorEastAsia" w:hAnsiTheme="minorEastAsia"/>
                <w:szCs w:val="21"/>
              </w:rPr>
              <w:t>_</w:t>
            </w:r>
            <w:r>
              <w:rPr>
                <w:rFonts w:hint="eastAsia" w:ascii="Times New Roman" w:hAnsi="Times New Roman" w:cs="宋体"/>
                <w:szCs w:val="21"/>
              </w:rPr>
              <w:t>id</w:t>
            </w:r>
          </w:p>
        </w:tc>
        <w:tc>
          <w:tcPr>
            <w:tcW w:w="1757" w:type="dxa"/>
            <w:tcBorders>
              <w:top w:val="single" w:color="000000" w:sz="4" w:space="0"/>
              <w:left w:val="single" w:color="000000" w:sz="4" w:space="0"/>
              <w:bottom w:val="single" w:color="000000" w:sz="4" w:space="0"/>
              <w:right w:val="single" w:color="000000" w:sz="4" w:space="0"/>
            </w:tcBorders>
            <w:vAlign w:val="center"/>
          </w:tcPr>
          <w:p w14:paraId="52D52B99">
            <w:pPr>
              <w:jc w:val="center"/>
              <w:outlineLvl w:val="9"/>
              <w:rPr>
                <w:rFonts w:cs="宋体" w:asciiTheme="minorEastAsia" w:hAnsiTheme="minorEastAsia"/>
                <w:szCs w:val="21"/>
              </w:rPr>
            </w:pPr>
            <w:r>
              <w:rPr>
                <w:rFonts w:hint="eastAsia" w:cs="宋体" w:asciiTheme="minorEastAsia" w:hAnsiTheme="minorEastAsia"/>
                <w:szCs w:val="21"/>
              </w:rPr>
              <w:t>用户</w:t>
            </w:r>
            <w:r>
              <w:rPr>
                <w:rFonts w:hint="eastAsia" w:ascii="Times New Roman" w:hAnsi="Times New Roman" w:cs="宋体"/>
                <w:szCs w:val="21"/>
              </w:rPr>
              <w:t>ID</w:t>
            </w:r>
          </w:p>
        </w:tc>
        <w:tc>
          <w:tcPr>
            <w:tcW w:w="1757" w:type="dxa"/>
            <w:tcBorders>
              <w:top w:val="single" w:color="000000" w:sz="4" w:space="0"/>
              <w:left w:val="single" w:color="000000" w:sz="4" w:space="0"/>
              <w:bottom w:val="single" w:color="000000" w:sz="4" w:space="0"/>
              <w:right w:val="single" w:color="000000" w:sz="4" w:space="0"/>
            </w:tcBorders>
            <w:vAlign w:val="center"/>
          </w:tcPr>
          <w:p w14:paraId="53ACBEAB">
            <w:pPr>
              <w:jc w:val="center"/>
              <w:outlineLvl w:val="9"/>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57" w:type="dxa"/>
            <w:tcBorders>
              <w:top w:val="single" w:color="000000" w:sz="4" w:space="0"/>
              <w:left w:val="single" w:color="000000" w:sz="4" w:space="0"/>
              <w:bottom w:val="single" w:color="000000" w:sz="4" w:space="0"/>
              <w:right w:val="single" w:color="000000" w:sz="4" w:space="0"/>
            </w:tcBorders>
            <w:vAlign w:val="center"/>
          </w:tcPr>
          <w:p w14:paraId="43AC53C6">
            <w:pPr>
              <w:jc w:val="center"/>
              <w:outlineLvl w:val="9"/>
              <w:rPr>
                <w:rFonts w:cs="宋体" w:asciiTheme="minorEastAsia" w:hAnsiTheme="minorEastAsia"/>
                <w:szCs w:val="21"/>
              </w:rPr>
            </w:pPr>
          </w:p>
        </w:tc>
      </w:tr>
    </w:tbl>
    <w:p w14:paraId="478CA439">
      <w:pPr>
        <w:spacing w:line="440" w:lineRule="exact"/>
        <w:jc w:val="center"/>
        <w:outlineLvl w:val="9"/>
        <w:rPr>
          <w:rFonts w:ascii="宋体" w:hAnsi="宋体" w:cs="宋体"/>
          <w:sz w:val="24"/>
        </w:rPr>
      </w:pPr>
    </w:p>
    <w:p w14:paraId="7225463B">
      <w:pPr>
        <w:tabs>
          <w:tab w:val="left" w:pos="1584"/>
        </w:tabs>
        <w:outlineLvl w:val="9"/>
      </w:pPr>
    </w:p>
    <w:p w14:paraId="4AD40DD1">
      <w:pPr>
        <w:tabs>
          <w:tab w:val="left" w:pos="1584"/>
        </w:tabs>
        <w:outlineLvl w:val="9"/>
      </w:pPr>
    </w:p>
    <w:p w14:paraId="76E808AF">
      <w:pPr>
        <w:tabs>
          <w:tab w:val="left" w:pos="1584"/>
        </w:tabs>
        <w:outlineLvl w:val="9"/>
      </w:pPr>
    </w:p>
    <w:p w14:paraId="4F688036">
      <w:pPr>
        <w:tabs>
          <w:tab w:val="left" w:pos="1584"/>
        </w:tabs>
        <w:outlineLvl w:val="9"/>
        <w:rPr>
          <w:rFonts w:ascii="宋体" w:hAnsi="宋体" w:eastAsia="宋体" w:cs="宋体"/>
          <w:sz w:val="24"/>
        </w:rPr>
      </w:pPr>
    </w:p>
    <w:p w14:paraId="05A051D8">
      <w:pPr>
        <w:outlineLvl w:val="9"/>
        <w:rPr>
          <w:rFonts w:ascii="宋体" w:hAnsi="宋体" w:cs="宋体"/>
          <w:sz w:val="24"/>
        </w:rPr>
      </w:pPr>
    </w:p>
    <w:p w14:paraId="16983F4B">
      <w:pPr>
        <w:autoSpaceDE w:val="0"/>
        <w:spacing w:line="440" w:lineRule="exact"/>
        <w:ind w:firstLine="480" w:firstLineChars="200"/>
        <w:outlineLvl w:val="9"/>
        <w:rPr>
          <w:rFonts w:ascii="宋体" w:hAnsi="宋体" w:cs="宋体"/>
          <w:sz w:val="24"/>
          <w:lang w:bidi="ar"/>
        </w:rPr>
      </w:pPr>
      <w:r>
        <w:rPr>
          <w:rFonts w:ascii="Times New Roman" w:hAnsi="Times New Roman"/>
          <w:sz w:val="24"/>
          <w:lang w:bidi="ar"/>
        </w:rPr>
        <w:t>3.4.2</w:t>
      </w:r>
      <w:r>
        <w:rPr>
          <w:rFonts w:hint="eastAsia" w:ascii="宋体" w:hAnsi="宋体" w:cs="宋体"/>
          <w:sz w:val="24"/>
          <w:lang w:bidi="ar"/>
        </w:rPr>
        <w:t>活动信息表</w:t>
      </w:r>
    </w:p>
    <w:p w14:paraId="53C189C9">
      <w:pPr>
        <w:spacing w:line="440" w:lineRule="exact"/>
        <w:ind w:firstLine="480" w:firstLineChars="200"/>
        <w:rPr>
          <w:rFonts w:ascii="宋体" w:hAnsi="宋体" w:cs="宋体"/>
          <w:sz w:val="24"/>
        </w:rPr>
      </w:pPr>
      <w:r>
        <w:rPr>
          <w:rFonts w:hint="eastAsia" w:ascii="宋体" w:hAnsi="宋体" w:cs="宋体"/>
          <w:sz w:val="24"/>
          <w:lang w:bidi="ar"/>
        </w:rPr>
        <w:t>活动信息表用来存储社团团长发布的活动的相关信息，具体的表结构如表</w:t>
      </w:r>
      <w:r>
        <w:rPr>
          <w:rFonts w:hint="eastAsia" w:ascii="Times New Roman" w:hAnsi="Times New Roman" w:cs="宋体"/>
          <w:sz w:val="24"/>
          <w:lang w:bidi="ar"/>
        </w:rPr>
        <w:t>3-7</w:t>
      </w:r>
      <w:r>
        <w:rPr>
          <w:rFonts w:hint="eastAsia" w:ascii="宋体" w:hAnsi="宋体" w:cs="宋体"/>
          <w:sz w:val="24"/>
          <w:lang w:bidi="ar"/>
        </w:rPr>
        <w:t>所示。</w:t>
      </w:r>
    </w:p>
    <w:p w14:paraId="2ED63BD3">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3-7</w:t>
      </w:r>
      <w:r>
        <w:rPr>
          <w:rFonts w:hint="eastAsia" w:ascii="宋体" w:hAnsi="宋体" w:cs="宋体"/>
          <w:szCs w:val="21"/>
        </w:rPr>
        <w:t>活动信息表</w:t>
      </w:r>
    </w:p>
    <w:tbl>
      <w:tblPr>
        <w:tblStyle w:val="35"/>
        <w:tblpPr w:leftFromText="180" w:rightFromText="180" w:vertAnchor="text" w:horzAnchor="page" w:tblpXSpec="center" w:tblpY="74"/>
        <w:tblOverlap w:val="never"/>
        <w:tblW w:w="0" w:type="auto"/>
        <w:jc w:val="center"/>
        <w:tblLayout w:type="autofit"/>
        <w:tblCellMar>
          <w:top w:w="0" w:type="dxa"/>
          <w:left w:w="108" w:type="dxa"/>
          <w:bottom w:w="0" w:type="dxa"/>
          <w:right w:w="108" w:type="dxa"/>
        </w:tblCellMar>
      </w:tblPr>
      <w:tblGrid>
        <w:gridCol w:w="1561"/>
        <w:gridCol w:w="1516"/>
        <w:gridCol w:w="1683"/>
        <w:gridCol w:w="1517"/>
      </w:tblGrid>
      <w:tr w14:paraId="0FE5B98B">
        <w:tblPrEx>
          <w:tblCellMar>
            <w:top w:w="0" w:type="dxa"/>
            <w:left w:w="108" w:type="dxa"/>
            <w:bottom w:w="0" w:type="dxa"/>
            <w:right w:w="108" w:type="dxa"/>
          </w:tblCellMar>
        </w:tblPrEx>
        <w:trPr>
          <w:trHeight w:val="488"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51522FA5">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516" w:type="dxa"/>
            <w:tcBorders>
              <w:top w:val="single" w:color="000000" w:sz="4" w:space="0"/>
              <w:left w:val="single" w:color="000000" w:sz="4" w:space="0"/>
              <w:bottom w:val="single" w:color="000000" w:sz="4" w:space="0"/>
              <w:right w:val="single" w:color="000000" w:sz="4" w:space="0"/>
            </w:tcBorders>
          </w:tcPr>
          <w:p w14:paraId="46340738">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683" w:type="dxa"/>
            <w:tcBorders>
              <w:top w:val="single" w:color="000000" w:sz="4" w:space="0"/>
              <w:left w:val="single" w:color="000000" w:sz="4" w:space="0"/>
              <w:bottom w:val="single" w:color="000000" w:sz="4" w:space="0"/>
              <w:right w:val="single" w:color="000000" w:sz="4" w:space="0"/>
            </w:tcBorders>
          </w:tcPr>
          <w:p w14:paraId="3BFBAF18">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517" w:type="dxa"/>
            <w:tcBorders>
              <w:top w:val="single" w:color="000000" w:sz="4" w:space="0"/>
              <w:left w:val="single" w:color="000000" w:sz="4" w:space="0"/>
              <w:bottom w:val="single" w:color="000000" w:sz="4" w:space="0"/>
              <w:right w:val="single" w:color="000000" w:sz="4" w:space="0"/>
            </w:tcBorders>
          </w:tcPr>
          <w:p w14:paraId="792C1FE5">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79AF4369">
        <w:tblPrEx>
          <w:tblCellMar>
            <w:top w:w="0" w:type="dxa"/>
            <w:left w:w="108" w:type="dxa"/>
            <w:bottom w:w="0" w:type="dxa"/>
            <w:right w:w="108" w:type="dxa"/>
          </w:tblCellMar>
        </w:tblPrEx>
        <w:trPr>
          <w:trHeight w:val="488"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5AD1C7FD">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516" w:type="dxa"/>
            <w:tcBorders>
              <w:top w:val="single" w:color="000000" w:sz="4" w:space="0"/>
              <w:left w:val="single" w:color="000000" w:sz="4" w:space="0"/>
              <w:bottom w:val="single" w:color="000000" w:sz="4" w:space="0"/>
              <w:right w:val="single" w:color="000000" w:sz="4" w:space="0"/>
            </w:tcBorders>
          </w:tcPr>
          <w:p w14:paraId="06B572EC">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683" w:type="dxa"/>
            <w:tcBorders>
              <w:top w:val="single" w:color="000000" w:sz="4" w:space="0"/>
              <w:left w:val="single" w:color="000000" w:sz="4" w:space="0"/>
              <w:bottom w:val="single" w:color="000000" w:sz="4" w:space="0"/>
              <w:right w:val="single" w:color="000000" w:sz="4" w:space="0"/>
            </w:tcBorders>
          </w:tcPr>
          <w:p w14:paraId="6E2A8C30">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6F1ED78C">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53368CBE">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1329436E">
            <w:pPr>
              <w:spacing w:line="440" w:lineRule="exact"/>
              <w:jc w:val="center"/>
              <w:rPr>
                <w:rFonts w:cs="宋体" w:asciiTheme="minorEastAsia" w:hAnsiTheme="minorEastAsia"/>
                <w:szCs w:val="21"/>
              </w:rPr>
            </w:pPr>
            <w:r>
              <w:rPr>
                <w:rFonts w:hint="eastAsia" w:ascii="Times New Roman" w:hAnsi="Times New Roman" w:cs="宋体"/>
                <w:szCs w:val="21"/>
              </w:rPr>
              <w:t>Name</w:t>
            </w:r>
          </w:p>
        </w:tc>
        <w:tc>
          <w:tcPr>
            <w:tcW w:w="1516" w:type="dxa"/>
            <w:tcBorders>
              <w:top w:val="single" w:color="000000" w:sz="4" w:space="0"/>
              <w:left w:val="single" w:color="000000" w:sz="4" w:space="0"/>
              <w:bottom w:val="single" w:color="000000" w:sz="4" w:space="0"/>
              <w:right w:val="single" w:color="000000" w:sz="4" w:space="0"/>
            </w:tcBorders>
          </w:tcPr>
          <w:p w14:paraId="6956DF58">
            <w:pPr>
              <w:spacing w:line="440" w:lineRule="exact"/>
              <w:jc w:val="center"/>
              <w:rPr>
                <w:rFonts w:cs="宋体" w:asciiTheme="minorEastAsia" w:hAnsiTheme="minorEastAsia"/>
                <w:szCs w:val="21"/>
              </w:rPr>
            </w:pPr>
            <w:r>
              <w:rPr>
                <w:rFonts w:hint="eastAsia" w:cs="宋体" w:asciiTheme="minorEastAsia" w:hAnsiTheme="minorEastAsia"/>
                <w:szCs w:val="21"/>
              </w:rPr>
              <w:t>活动名称</w:t>
            </w:r>
          </w:p>
        </w:tc>
        <w:tc>
          <w:tcPr>
            <w:tcW w:w="1683" w:type="dxa"/>
            <w:tcBorders>
              <w:top w:val="single" w:color="000000" w:sz="4" w:space="0"/>
              <w:left w:val="single" w:color="000000" w:sz="4" w:space="0"/>
              <w:bottom w:val="single" w:color="000000" w:sz="4" w:space="0"/>
              <w:right w:val="single" w:color="000000" w:sz="4" w:space="0"/>
            </w:tcBorders>
          </w:tcPr>
          <w:p w14:paraId="4A8D0FDE">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3A1BAFC8">
            <w:pPr>
              <w:spacing w:line="440" w:lineRule="exact"/>
              <w:jc w:val="center"/>
              <w:rPr>
                <w:rFonts w:cs="宋体" w:asciiTheme="minorEastAsia" w:hAnsiTheme="minorEastAsia"/>
                <w:szCs w:val="21"/>
              </w:rPr>
            </w:pPr>
          </w:p>
        </w:tc>
      </w:tr>
      <w:tr w14:paraId="3C2D9871">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5CE77B9D">
            <w:pPr>
              <w:spacing w:line="440" w:lineRule="exact"/>
              <w:jc w:val="center"/>
              <w:rPr>
                <w:rFonts w:cs="宋体" w:asciiTheme="minorEastAsia" w:hAnsiTheme="minorEastAsia"/>
                <w:szCs w:val="21"/>
              </w:rPr>
            </w:pPr>
            <w:r>
              <w:rPr>
                <w:rFonts w:hint="eastAsia" w:ascii="Times New Roman" w:hAnsi="Times New Roman" w:cs="宋体"/>
                <w:szCs w:val="21"/>
              </w:rPr>
              <w:t>comm</w:t>
            </w:r>
          </w:p>
        </w:tc>
        <w:tc>
          <w:tcPr>
            <w:tcW w:w="1516" w:type="dxa"/>
            <w:tcBorders>
              <w:top w:val="single" w:color="000000" w:sz="4" w:space="0"/>
              <w:left w:val="single" w:color="000000" w:sz="4" w:space="0"/>
              <w:bottom w:val="single" w:color="000000" w:sz="4" w:space="0"/>
              <w:right w:val="single" w:color="000000" w:sz="4" w:space="0"/>
            </w:tcBorders>
          </w:tcPr>
          <w:p w14:paraId="24AB37FC">
            <w:pPr>
              <w:spacing w:line="440" w:lineRule="exact"/>
              <w:jc w:val="center"/>
              <w:rPr>
                <w:rFonts w:cs="宋体" w:asciiTheme="minorEastAsia" w:hAnsiTheme="minorEastAsia"/>
                <w:szCs w:val="21"/>
              </w:rPr>
            </w:pPr>
            <w:r>
              <w:rPr>
                <w:rFonts w:hint="eastAsia" w:cs="宋体" w:asciiTheme="minorEastAsia" w:hAnsiTheme="minorEastAsia"/>
                <w:szCs w:val="21"/>
              </w:rPr>
              <w:t>活动标题</w:t>
            </w:r>
          </w:p>
        </w:tc>
        <w:tc>
          <w:tcPr>
            <w:tcW w:w="1683" w:type="dxa"/>
            <w:tcBorders>
              <w:top w:val="single" w:color="000000" w:sz="4" w:space="0"/>
              <w:left w:val="single" w:color="000000" w:sz="4" w:space="0"/>
              <w:bottom w:val="single" w:color="000000" w:sz="4" w:space="0"/>
              <w:right w:val="single" w:color="000000" w:sz="4" w:space="0"/>
            </w:tcBorders>
          </w:tcPr>
          <w:p w14:paraId="0BE4F75B">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4B176922">
            <w:pPr>
              <w:spacing w:line="440" w:lineRule="exact"/>
              <w:jc w:val="center"/>
              <w:rPr>
                <w:rFonts w:cs="宋体" w:asciiTheme="minorEastAsia" w:hAnsiTheme="minorEastAsia"/>
                <w:szCs w:val="21"/>
              </w:rPr>
            </w:pPr>
          </w:p>
        </w:tc>
      </w:tr>
      <w:tr w14:paraId="62125BC1">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44EA5120">
            <w:pPr>
              <w:spacing w:line="440" w:lineRule="exact"/>
              <w:jc w:val="center"/>
              <w:rPr>
                <w:rFonts w:cs="宋体" w:asciiTheme="minorEastAsia" w:hAnsiTheme="minorEastAsia"/>
                <w:szCs w:val="21"/>
              </w:rPr>
            </w:pPr>
            <w:r>
              <w:rPr>
                <w:rFonts w:hint="eastAsia" w:ascii="Times New Roman" w:hAnsi="Times New Roman" w:cs="宋体"/>
                <w:szCs w:val="21"/>
              </w:rPr>
              <w:t>detail</w:t>
            </w:r>
          </w:p>
        </w:tc>
        <w:tc>
          <w:tcPr>
            <w:tcW w:w="1516" w:type="dxa"/>
            <w:tcBorders>
              <w:top w:val="single" w:color="000000" w:sz="4" w:space="0"/>
              <w:left w:val="single" w:color="000000" w:sz="4" w:space="0"/>
              <w:bottom w:val="single" w:color="000000" w:sz="4" w:space="0"/>
              <w:right w:val="single" w:color="000000" w:sz="4" w:space="0"/>
            </w:tcBorders>
          </w:tcPr>
          <w:p w14:paraId="42990638">
            <w:pPr>
              <w:spacing w:line="440" w:lineRule="exact"/>
              <w:jc w:val="center"/>
              <w:rPr>
                <w:rFonts w:cs="宋体" w:asciiTheme="minorEastAsia" w:hAnsiTheme="minorEastAsia"/>
                <w:szCs w:val="21"/>
              </w:rPr>
            </w:pPr>
            <w:r>
              <w:rPr>
                <w:rFonts w:hint="eastAsia" w:cs="宋体" w:asciiTheme="minorEastAsia" w:hAnsiTheme="minorEastAsia"/>
                <w:szCs w:val="21"/>
              </w:rPr>
              <w:t>活动概述</w:t>
            </w:r>
          </w:p>
        </w:tc>
        <w:tc>
          <w:tcPr>
            <w:tcW w:w="1683" w:type="dxa"/>
            <w:tcBorders>
              <w:top w:val="single" w:color="000000" w:sz="4" w:space="0"/>
              <w:left w:val="single" w:color="000000" w:sz="4" w:space="0"/>
              <w:bottom w:val="single" w:color="000000" w:sz="4" w:space="0"/>
              <w:right w:val="single" w:color="000000" w:sz="4" w:space="0"/>
            </w:tcBorders>
          </w:tcPr>
          <w:p w14:paraId="67D63ED4">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31624EE7">
            <w:pPr>
              <w:spacing w:line="440" w:lineRule="exact"/>
              <w:jc w:val="center"/>
              <w:rPr>
                <w:rFonts w:cs="宋体" w:asciiTheme="minorEastAsia" w:hAnsiTheme="minorEastAsia"/>
                <w:szCs w:val="21"/>
              </w:rPr>
            </w:pPr>
          </w:p>
        </w:tc>
      </w:tr>
      <w:tr w14:paraId="58E4129D">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0A79B3C4">
            <w:pPr>
              <w:spacing w:line="440" w:lineRule="exact"/>
              <w:jc w:val="center"/>
              <w:rPr>
                <w:rFonts w:cs="宋体" w:asciiTheme="minorEastAsia" w:hAnsiTheme="minorEastAsia"/>
                <w:szCs w:val="21"/>
              </w:rPr>
            </w:pPr>
            <w:r>
              <w:rPr>
                <w:rFonts w:hint="eastAsia" w:ascii="Times New Roman" w:hAnsi="Times New Roman" w:cs="宋体"/>
                <w:szCs w:val="21"/>
              </w:rPr>
              <w:t>ask</w:t>
            </w:r>
          </w:p>
        </w:tc>
        <w:tc>
          <w:tcPr>
            <w:tcW w:w="1516" w:type="dxa"/>
            <w:tcBorders>
              <w:top w:val="single" w:color="000000" w:sz="4" w:space="0"/>
              <w:left w:val="single" w:color="000000" w:sz="4" w:space="0"/>
              <w:bottom w:val="single" w:color="000000" w:sz="4" w:space="0"/>
              <w:right w:val="single" w:color="000000" w:sz="4" w:space="0"/>
            </w:tcBorders>
          </w:tcPr>
          <w:p w14:paraId="2D59CCC2">
            <w:pPr>
              <w:spacing w:line="440" w:lineRule="exact"/>
              <w:jc w:val="center"/>
              <w:rPr>
                <w:rFonts w:cs="宋体" w:asciiTheme="minorEastAsia" w:hAnsiTheme="minorEastAsia"/>
                <w:szCs w:val="21"/>
              </w:rPr>
            </w:pPr>
            <w:r>
              <w:rPr>
                <w:rFonts w:hint="eastAsia" w:cs="宋体" w:asciiTheme="minorEastAsia" w:hAnsiTheme="minorEastAsia"/>
                <w:szCs w:val="21"/>
              </w:rPr>
              <w:t>活动要求</w:t>
            </w:r>
          </w:p>
        </w:tc>
        <w:tc>
          <w:tcPr>
            <w:tcW w:w="1683" w:type="dxa"/>
            <w:tcBorders>
              <w:top w:val="single" w:color="000000" w:sz="4" w:space="0"/>
              <w:left w:val="single" w:color="000000" w:sz="4" w:space="0"/>
              <w:bottom w:val="single" w:color="000000" w:sz="4" w:space="0"/>
              <w:right w:val="single" w:color="000000" w:sz="4" w:space="0"/>
            </w:tcBorders>
          </w:tcPr>
          <w:p w14:paraId="664AB86B">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3BE50D7A">
            <w:pPr>
              <w:spacing w:line="440" w:lineRule="exact"/>
              <w:jc w:val="center"/>
              <w:rPr>
                <w:rFonts w:cs="宋体" w:asciiTheme="minorEastAsia" w:hAnsiTheme="minorEastAsia"/>
                <w:szCs w:val="21"/>
              </w:rPr>
            </w:pPr>
          </w:p>
        </w:tc>
      </w:tr>
      <w:tr w14:paraId="0E29F8C2">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6732DEE3">
            <w:pPr>
              <w:spacing w:line="440" w:lineRule="exact"/>
              <w:jc w:val="center"/>
              <w:rPr>
                <w:rFonts w:cs="宋体" w:asciiTheme="minorEastAsia" w:hAnsiTheme="minorEastAsia"/>
                <w:szCs w:val="21"/>
              </w:rPr>
            </w:pPr>
            <w:r>
              <w:rPr>
                <w:rFonts w:hint="eastAsia" w:ascii="Times New Roman" w:hAnsi="Times New Roman" w:cs="宋体"/>
                <w:szCs w:val="21"/>
              </w:rPr>
              <w:t>total</w:t>
            </w:r>
          </w:p>
        </w:tc>
        <w:tc>
          <w:tcPr>
            <w:tcW w:w="1516" w:type="dxa"/>
            <w:tcBorders>
              <w:top w:val="single" w:color="000000" w:sz="4" w:space="0"/>
              <w:left w:val="single" w:color="000000" w:sz="4" w:space="0"/>
              <w:bottom w:val="single" w:color="000000" w:sz="4" w:space="0"/>
              <w:right w:val="single" w:color="000000" w:sz="4" w:space="0"/>
            </w:tcBorders>
          </w:tcPr>
          <w:p w14:paraId="1EAD0C92">
            <w:pPr>
              <w:spacing w:line="440" w:lineRule="exact"/>
              <w:jc w:val="center"/>
              <w:rPr>
                <w:rFonts w:cs="宋体" w:asciiTheme="minorEastAsia" w:hAnsiTheme="minorEastAsia"/>
                <w:szCs w:val="21"/>
              </w:rPr>
            </w:pPr>
            <w:r>
              <w:rPr>
                <w:rFonts w:hint="eastAsia" w:cs="宋体" w:asciiTheme="minorEastAsia" w:hAnsiTheme="minorEastAsia"/>
                <w:szCs w:val="21"/>
              </w:rPr>
              <w:t>参与人数</w:t>
            </w:r>
          </w:p>
        </w:tc>
        <w:tc>
          <w:tcPr>
            <w:tcW w:w="1683" w:type="dxa"/>
            <w:tcBorders>
              <w:top w:val="single" w:color="000000" w:sz="4" w:space="0"/>
              <w:left w:val="single" w:color="000000" w:sz="4" w:space="0"/>
              <w:bottom w:val="single" w:color="000000" w:sz="4" w:space="0"/>
              <w:right w:val="single" w:color="000000" w:sz="4" w:space="0"/>
            </w:tcBorders>
          </w:tcPr>
          <w:p w14:paraId="4F232F97">
            <w:pPr>
              <w:spacing w:line="440" w:lineRule="exact"/>
              <w:jc w:val="center"/>
              <w:rPr>
                <w:rFonts w:cs="宋体" w:asciiTheme="minorEastAsia" w:hAnsiTheme="minorEastAsia"/>
                <w:szCs w:val="21"/>
              </w:rPr>
            </w:pPr>
            <w:r>
              <w:rPr>
                <w:rFonts w:hint="eastAsia" w:ascii="Times New Roman" w:hAnsi="Times New Roman" w:cs="宋体"/>
                <w:szCs w:val="21"/>
              </w:rPr>
              <w:t>int</w:t>
            </w:r>
          </w:p>
        </w:tc>
        <w:tc>
          <w:tcPr>
            <w:tcW w:w="1517" w:type="dxa"/>
            <w:tcBorders>
              <w:top w:val="single" w:color="000000" w:sz="4" w:space="0"/>
              <w:left w:val="single" w:color="000000" w:sz="4" w:space="0"/>
              <w:bottom w:val="single" w:color="000000" w:sz="4" w:space="0"/>
              <w:right w:val="single" w:color="000000" w:sz="4" w:space="0"/>
            </w:tcBorders>
          </w:tcPr>
          <w:p w14:paraId="099EA329">
            <w:pPr>
              <w:spacing w:line="440" w:lineRule="exact"/>
              <w:jc w:val="center"/>
              <w:rPr>
                <w:rFonts w:cs="宋体" w:asciiTheme="minorEastAsia" w:hAnsiTheme="minorEastAsia"/>
                <w:szCs w:val="21"/>
              </w:rPr>
            </w:pPr>
          </w:p>
        </w:tc>
      </w:tr>
      <w:tr w14:paraId="1D3A2905">
        <w:tblPrEx>
          <w:tblCellMar>
            <w:top w:w="0" w:type="dxa"/>
            <w:left w:w="108" w:type="dxa"/>
            <w:bottom w:w="0" w:type="dxa"/>
            <w:right w:w="108" w:type="dxa"/>
          </w:tblCellMar>
        </w:tblPrEx>
        <w:trPr>
          <w:trHeight w:val="50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24A3F30D">
            <w:pPr>
              <w:spacing w:line="440" w:lineRule="exact"/>
              <w:jc w:val="center"/>
              <w:rPr>
                <w:rFonts w:cs="宋体" w:asciiTheme="minorEastAsia" w:hAnsiTheme="minorEastAsia"/>
                <w:szCs w:val="21"/>
              </w:rPr>
            </w:pPr>
            <w:r>
              <w:rPr>
                <w:rFonts w:hint="eastAsia" w:ascii="Times New Roman" w:hAnsi="Times New Roman" w:cs="宋体"/>
                <w:szCs w:val="21"/>
              </w:rPr>
              <w:t>active</w:t>
            </w:r>
            <w:r>
              <w:rPr>
                <w:rFonts w:hint="eastAsia" w:cs="宋体" w:asciiTheme="minorEastAsia" w:hAnsiTheme="minorEastAsia"/>
                <w:szCs w:val="21"/>
              </w:rPr>
              <w:t>_</w:t>
            </w:r>
            <w:r>
              <w:rPr>
                <w:rFonts w:hint="eastAsia" w:ascii="Times New Roman" w:hAnsi="Times New Roman" w:cs="宋体"/>
                <w:szCs w:val="21"/>
              </w:rPr>
              <w:t>time</w:t>
            </w:r>
          </w:p>
        </w:tc>
        <w:tc>
          <w:tcPr>
            <w:tcW w:w="1516" w:type="dxa"/>
            <w:tcBorders>
              <w:top w:val="single" w:color="000000" w:sz="4" w:space="0"/>
              <w:left w:val="single" w:color="000000" w:sz="4" w:space="0"/>
              <w:bottom w:val="single" w:color="000000" w:sz="4" w:space="0"/>
              <w:right w:val="single" w:color="000000" w:sz="4" w:space="0"/>
            </w:tcBorders>
          </w:tcPr>
          <w:p w14:paraId="1EE4C75F">
            <w:pPr>
              <w:spacing w:line="440" w:lineRule="exact"/>
              <w:jc w:val="center"/>
              <w:rPr>
                <w:rFonts w:cs="宋体" w:asciiTheme="minorEastAsia" w:hAnsiTheme="minorEastAsia"/>
                <w:szCs w:val="21"/>
              </w:rPr>
            </w:pPr>
            <w:r>
              <w:rPr>
                <w:rFonts w:hint="eastAsia" w:cs="宋体" w:asciiTheme="minorEastAsia" w:hAnsiTheme="minorEastAsia"/>
                <w:szCs w:val="21"/>
              </w:rPr>
              <w:t>活动时间</w:t>
            </w:r>
          </w:p>
        </w:tc>
        <w:tc>
          <w:tcPr>
            <w:tcW w:w="1683" w:type="dxa"/>
            <w:tcBorders>
              <w:top w:val="single" w:color="000000" w:sz="4" w:space="0"/>
              <w:left w:val="single" w:color="000000" w:sz="4" w:space="0"/>
              <w:bottom w:val="single" w:color="000000" w:sz="4" w:space="0"/>
              <w:right w:val="single" w:color="000000" w:sz="4" w:space="0"/>
            </w:tcBorders>
          </w:tcPr>
          <w:p w14:paraId="677E3A87">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188FDD9F">
            <w:pPr>
              <w:spacing w:line="440" w:lineRule="exact"/>
              <w:jc w:val="center"/>
              <w:rPr>
                <w:rFonts w:cs="宋体" w:asciiTheme="minorEastAsia" w:hAnsiTheme="minorEastAsia"/>
                <w:szCs w:val="21"/>
              </w:rPr>
            </w:pPr>
          </w:p>
        </w:tc>
      </w:tr>
      <w:tr w14:paraId="2FE7A152">
        <w:tblPrEx>
          <w:tblCellMar>
            <w:top w:w="0" w:type="dxa"/>
            <w:left w:w="108" w:type="dxa"/>
            <w:bottom w:w="0" w:type="dxa"/>
            <w:right w:w="108" w:type="dxa"/>
          </w:tblCellMar>
        </w:tblPrEx>
        <w:trPr>
          <w:trHeight w:val="525" w:hRule="atLeast"/>
          <w:jc w:val="center"/>
        </w:trPr>
        <w:tc>
          <w:tcPr>
            <w:tcW w:w="1561" w:type="dxa"/>
            <w:tcBorders>
              <w:top w:val="single" w:color="000000" w:sz="4" w:space="0"/>
              <w:left w:val="single" w:color="000000" w:sz="4" w:space="0"/>
              <w:bottom w:val="single" w:color="000000" w:sz="4" w:space="0"/>
              <w:right w:val="single" w:color="000000" w:sz="4" w:space="0"/>
            </w:tcBorders>
          </w:tcPr>
          <w:p w14:paraId="145AE313">
            <w:pPr>
              <w:spacing w:line="440" w:lineRule="exact"/>
              <w:jc w:val="center"/>
              <w:rPr>
                <w:rFonts w:cs="宋体" w:asciiTheme="minorEastAsia" w:hAnsiTheme="minorEastAsia"/>
                <w:szCs w:val="21"/>
              </w:rPr>
            </w:pPr>
            <w:r>
              <w:rPr>
                <w:rFonts w:hint="eastAsia" w:ascii="Times New Roman" w:hAnsi="Times New Roman" w:cs="宋体"/>
                <w:szCs w:val="21"/>
              </w:rPr>
              <w:t>team</w:t>
            </w:r>
            <w:r>
              <w:rPr>
                <w:rFonts w:hint="eastAsia" w:cs="宋体" w:asciiTheme="minorEastAsia" w:hAnsiTheme="minorEastAsia"/>
                <w:szCs w:val="21"/>
              </w:rPr>
              <w:t>_</w:t>
            </w:r>
            <w:r>
              <w:rPr>
                <w:rFonts w:hint="eastAsia" w:ascii="Times New Roman" w:hAnsi="Times New Roman" w:cs="宋体"/>
                <w:szCs w:val="21"/>
              </w:rPr>
              <w:t>id</w:t>
            </w:r>
          </w:p>
        </w:tc>
        <w:tc>
          <w:tcPr>
            <w:tcW w:w="1516" w:type="dxa"/>
            <w:tcBorders>
              <w:top w:val="single" w:color="000000" w:sz="4" w:space="0"/>
              <w:left w:val="single" w:color="000000" w:sz="4" w:space="0"/>
              <w:bottom w:val="single" w:color="000000" w:sz="4" w:space="0"/>
              <w:right w:val="single" w:color="000000" w:sz="4" w:space="0"/>
            </w:tcBorders>
          </w:tcPr>
          <w:p w14:paraId="5CBFF933">
            <w:pPr>
              <w:spacing w:line="440" w:lineRule="exact"/>
              <w:jc w:val="center"/>
              <w:rPr>
                <w:rFonts w:cs="宋体" w:asciiTheme="minorEastAsia" w:hAnsiTheme="minorEastAsia"/>
                <w:szCs w:val="21"/>
              </w:rPr>
            </w:pPr>
            <w:r>
              <w:rPr>
                <w:rFonts w:hint="eastAsia" w:cs="宋体" w:asciiTheme="minorEastAsia" w:hAnsiTheme="minorEastAsia"/>
                <w:szCs w:val="21"/>
              </w:rPr>
              <w:t>发布社团</w:t>
            </w:r>
          </w:p>
        </w:tc>
        <w:tc>
          <w:tcPr>
            <w:tcW w:w="1683" w:type="dxa"/>
            <w:tcBorders>
              <w:top w:val="single" w:color="000000" w:sz="4" w:space="0"/>
              <w:left w:val="single" w:color="000000" w:sz="4" w:space="0"/>
              <w:bottom w:val="single" w:color="000000" w:sz="4" w:space="0"/>
              <w:right w:val="single" w:color="000000" w:sz="4" w:space="0"/>
            </w:tcBorders>
          </w:tcPr>
          <w:p w14:paraId="5C4E622A">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517" w:type="dxa"/>
            <w:tcBorders>
              <w:top w:val="single" w:color="000000" w:sz="4" w:space="0"/>
              <w:left w:val="single" w:color="000000" w:sz="4" w:space="0"/>
              <w:bottom w:val="single" w:color="000000" w:sz="4" w:space="0"/>
              <w:right w:val="single" w:color="000000" w:sz="4" w:space="0"/>
            </w:tcBorders>
          </w:tcPr>
          <w:p w14:paraId="25BDA657">
            <w:pPr>
              <w:spacing w:line="440" w:lineRule="exact"/>
              <w:jc w:val="center"/>
              <w:rPr>
                <w:rFonts w:cs="宋体" w:asciiTheme="minorEastAsia" w:hAnsiTheme="minorEastAsia"/>
                <w:szCs w:val="21"/>
              </w:rPr>
            </w:pPr>
          </w:p>
        </w:tc>
      </w:tr>
    </w:tbl>
    <w:p w14:paraId="0BD66816">
      <w:pPr>
        <w:spacing w:line="440" w:lineRule="exact"/>
        <w:rPr>
          <w:rFonts w:ascii="宋体" w:hAnsi="宋体" w:cs="宋体"/>
          <w:sz w:val="24"/>
        </w:rPr>
      </w:pPr>
    </w:p>
    <w:p w14:paraId="3321A751">
      <w:pPr>
        <w:spacing w:line="440" w:lineRule="exact"/>
        <w:rPr>
          <w:rFonts w:ascii="宋体" w:hAnsi="宋体" w:cs="宋体"/>
          <w:sz w:val="24"/>
        </w:rPr>
      </w:pPr>
    </w:p>
    <w:p w14:paraId="3D6D72B7">
      <w:pPr>
        <w:spacing w:line="440" w:lineRule="exact"/>
        <w:jc w:val="left"/>
        <w:rPr>
          <w:rFonts w:ascii="宋体" w:hAnsi="宋体" w:cs="宋体"/>
          <w:sz w:val="24"/>
        </w:rPr>
      </w:pPr>
    </w:p>
    <w:p w14:paraId="64F7C157">
      <w:pPr>
        <w:autoSpaceDE w:val="0"/>
        <w:spacing w:line="440" w:lineRule="exact"/>
        <w:rPr>
          <w:rFonts w:ascii="宋体" w:hAnsi="宋体" w:cs="宋体"/>
          <w:sz w:val="24"/>
        </w:rPr>
      </w:pPr>
    </w:p>
    <w:p w14:paraId="4C7E7238">
      <w:pPr>
        <w:autoSpaceDE w:val="0"/>
        <w:spacing w:line="440" w:lineRule="exact"/>
        <w:rPr>
          <w:rFonts w:ascii="宋体" w:hAnsi="宋体" w:cs="宋体"/>
          <w:sz w:val="24"/>
          <w:lang w:bidi="ar"/>
        </w:rPr>
      </w:pPr>
    </w:p>
    <w:p w14:paraId="2F8C84ED">
      <w:pPr>
        <w:autoSpaceDE w:val="0"/>
        <w:spacing w:line="440" w:lineRule="exact"/>
        <w:ind w:firstLine="480" w:firstLineChars="200"/>
        <w:rPr>
          <w:rFonts w:ascii="宋体" w:hAnsi="宋体" w:cs="宋体"/>
          <w:sz w:val="24"/>
          <w:lang w:bidi="ar"/>
        </w:rPr>
      </w:pPr>
    </w:p>
    <w:p w14:paraId="3D7BBD33">
      <w:pPr>
        <w:autoSpaceDE w:val="0"/>
        <w:spacing w:line="440" w:lineRule="exact"/>
        <w:ind w:firstLine="480" w:firstLineChars="200"/>
        <w:rPr>
          <w:rFonts w:ascii="宋体" w:hAnsi="宋体" w:cs="宋体"/>
          <w:sz w:val="24"/>
          <w:lang w:bidi="ar"/>
        </w:rPr>
      </w:pPr>
    </w:p>
    <w:p w14:paraId="7BE8E3C7">
      <w:pPr>
        <w:autoSpaceDE w:val="0"/>
        <w:spacing w:line="440" w:lineRule="exact"/>
        <w:ind w:firstLine="480" w:firstLineChars="200"/>
        <w:rPr>
          <w:rFonts w:ascii="宋体" w:hAnsi="宋体" w:cs="宋体"/>
          <w:sz w:val="24"/>
          <w:lang w:bidi="ar"/>
        </w:rPr>
      </w:pPr>
    </w:p>
    <w:p w14:paraId="0FA6265D">
      <w:pPr>
        <w:spacing w:line="440" w:lineRule="exact"/>
        <w:rPr>
          <w:rFonts w:ascii="宋体" w:hAnsi="宋体" w:cs="宋体"/>
          <w:sz w:val="24"/>
          <w:lang w:bidi="ar"/>
        </w:rPr>
      </w:pPr>
    </w:p>
    <w:p w14:paraId="6D1E878B">
      <w:pPr>
        <w:spacing w:line="440" w:lineRule="exact"/>
        <w:rPr>
          <w:rFonts w:ascii="宋体" w:hAnsi="宋体" w:cs="宋体"/>
          <w:sz w:val="24"/>
          <w:lang w:bidi="ar"/>
        </w:rPr>
      </w:pPr>
    </w:p>
    <w:p w14:paraId="7C6E1F4C">
      <w:pPr>
        <w:spacing w:line="440" w:lineRule="exact"/>
        <w:ind w:firstLine="480" w:firstLineChars="200"/>
        <w:rPr>
          <w:rFonts w:ascii="Times New Roman" w:hAnsi="Times New Roman"/>
          <w:sz w:val="24"/>
          <w:lang w:bidi="ar"/>
        </w:rPr>
      </w:pPr>
    </w:p>
    <w:p w14:paraId="682BDC38">
      <w:pPr>
        <w:spacing w:line="440" w:lineRule="exact"/>
        <w:ind w:firstLine="480" w:firstLineChars="200"/>
        <w:rPr>
          <w:rFonts w:ascii="宋体" w:hAnsi="宋体" w:cs="宋体"/>
          <w:sz w:val="24"/>
          <w:lang w:bidi="ar"/>
        </w:rPr>
      </w:pPr>
      <w:r>
        <w:rPr>
          <w:rFonts w:ascii="Times New Roman" w:hAnsi="Times New Roman"/>
          <w:sz w:val="24"/>
          <w:lang w:bidi="ar"/>
        </w:rPr>
        <w:t>3.4.3</w:t>
      </w:r>
      <w:r>
        <w:rPr>
          <w:rFonts w:hint="eastAsia" w:ascii="宋体" w:hAnsi="宋体" w:cs="宋体"/>
          <w:sz w:val="24"/>
          <w:lang w:bidi="ar"/>
        </w:rPr>
        <w:t>申请记录表</w:t>
      </w:r>
    </w:p>
    <w:p w14:paraId="6BC14E35">
      <w:pPr>
        <w:spacing w:line="440" w:lineRule="exact"/>
        <w:ind w:firstLine="480" w:firstLineChars="200"/>
        <w:rPr>
          <w:rFonts w:ascii="宋体" w:hAnsi="宋体" w:cs="宋体"/>
          <w:sz w:val="24"/>
          <w:lang w:bidi="ar"/>
        </w:rPr>
      </w:pPr>
      <w:r>
        <w:rPr>
          <w:rFonts w:hint="eastAsia" w:ascii="宋体" w:hAnsi="宋体" w:cs="宋体"/>
          <w:sz w:val="24"/>
          <w:lang w:bidi="ar"/>
        </w:rPr>
        <w:t>申请记录表用来存储寄用户申请加入社团的相关信息，具体的表结构如表</w:t>
      </w:r>
      <w:r>
        <w:rPr>
          <w:rFonts w:hint="eastAsia" w:ascii="Times New Roman" w:hAnsi="Times New Roman" w:cs="宋体"/>
          <w:sz w:val="24"/>
          <w:lang w:bidi="ar"/>
        </w:rPr>
        <w:t>3-8</w:t>
      </w:r>
      <w:r>
        <w:rPr>
          <w:rFonts w:hint="eastAsia" w:ascii="宋体" w:hAnsi="宋体" w:cs="宋体"/>
          <w:sz w:val="24"/>
          <w:lang w:bidi="ar"/>
        </w:rPr>
        <w:t>所示。</w:t>
      </w:r>
    </w:p>
    <w:p w14:paraId="6D047DD5">
      <w:pPr>
        <w:spacing w:line="440" w:lineRule="exact"/>
        <w:jc w:val="center"/>
        <w:rPr>
          <w:rFonts w:ascii="Times New Roman" w:hAnsi="Times New Roman" w:cs="宋体"/>
          <w:sz w:val="24"/>
          <w:lang w:bidi="ar"/>
        </w:rPr>
      </w:pPr>
      <w:r>
        <w:rPr>
          <w:rFonts w:hint="eastAsia" w:ascii="宋体" w:hAnsi="宋体" w:cs="宋体"/>
          <w:szCs w:val="21"/>
          <w:lang w:bidi="ar"/>
        </w:rPr>
        <w:t>表</w:t>
      </w:r>
      <w:r>
        <w:rPr>
          <w:rFonts w:hint="eastAsia" w:ascii="Times New Roman" w:hAnsi="Times New Roman" w:cs="宋体"/>
          <w:sz w:val="24"/>
          <w:lang w:bidi="ar"/>
        </w:rPr>
        <w:t>3-8</w:t>
      </w:r>
      <w:r>
        <w:rPr>
          <w:rFonts w:hint="eastAsia" w:ascii="宋体" w:hAnsi="宋体" w:cs="宋体"/>
          <w:szCs w:val="21"/>
          <w:lang w:bidi="ar"/>
        </w:rPr>
        <w:t>申请记录表</w:t>
      </w:r>
    </w:p>
    <w:tbl>
      <w:tblPr>
        <w:tblStyle w:val="35"/>
        <w:tblW w:w="0" w:type="auto"/>
        <w:jc w:val="center"/>
        <w:tblLayout w:type="autofit"/>
        <w:tblCellMar>
          <w:top w:w="0" w:type="dxa"/>
          <w:left w:w="108" w:type="dxa"/>
          <w:bottom w:w="0" w:type="dxa"/>
          <w:right w:w="108" w:type="dxa"/>
        </w:tblCellMar>
      </w:tblPr>
      <w:tblGrid>
        <w:gridCol w:w="1666"/>
        <w:gridCol w:w="1666"/>
        <w:gridCol w:w="1699"/>
        <w:gridCol w:w="1667"/>
      </w:tblGrid>
      <w:tr w14:paraId="2BF4AC14">
        <w:tblPrEx>
          <w:tblCellMar>
            <w:top w:w="0" w:type="dxa"/>
            <w:left w:w="108" w:type="dxa"/>
            <w:bottom w:w="0" w:type="dxa"/>
            <w:right w:w="108" w:type="dxa"/>
          </w:tblCellMar>
        </w:tblPrEx>
        <w:trPr>
          <w:trHeight w:val="624"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32B96809">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666" w:type="dxa"/>
            <w:tcBorders>
              <w:top w:val="single" w:color="000000" w:sz="4" w:space="0"/>
              <w:left w:val="single" w:color="000000" w:sz="4" w:space="0"/>
              <w:bottom w:val="single" w:color="000000" w:sz="4" w:space="0"/>
              <w:right w:val="single" w:color="000000" w:sz="4" w:space="0"/>
            </w:tcBorders>
          </w:tcPr>
          <w:p w14:paraId="74076F9B">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699" w:type="dxa"/>
            <w:tcBorders>
              <w:top w:val="single" w:color="000000" w:sz="4" w:space="0"/>
              <w:left w:val="single" w:color="000000" w:sz="4" w:space="0"/>
              <w:bottom w:val="single" w:color="000000" w:sz="4" w:space="0"/>
              <w:right w:val="single" w:color="000000" w:sz="4" w:space="0"/>
            </w:tcBorders>
          </w:tcPr>
          <w:p w14:paraId="343BDFB6">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667" w:type="dxa"/>
            <w:tcBorders>
              <w:top w:val="single" w:color="000000" w:sz="4" w:space="0"/>
              <w:left w:val="single" w:color="000000" w:sz="4" w:space="0"/>
              <w:bottom w:val="single" w:color="000000" w:sz="4" w:space="0"/>
              <w:right w:val="single" w:color="000000" w:sz="4" w:space="0"/>
            </w:tcBorders>
          </w:tcPr>
          <w:p w14:paraId="05AB8479">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075C2D48">
        <w:tblPrEx>
          <w:tblCellMar>
            <w:top w:w="0" w:type="dxa"/>
            <w:left w:w="108" w:type="dxa"/>
            <w:bottom w:w="0" w:type="dxa"/>
            <w:right w:w="108" w:type="dxa"/>
          </w:tblCellMar>
        </w:tblPrEx>
        <w:trPr>
          <w:trHeight w:val="624"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20937C77">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666" w:type="dxa"/>
            <w:tcBorders>
              <w:top w:val="single" w:color="000000" w:sz="4" w:space="0"/>
              <w:left w:val="single" w:color="000000" w:sz="4" w:space="0"/>
              <w:bottom w:val="single" w:color="000000" w:sz="4" w:space="0"/>
              <w:right w:val="single" w:color="000000" w:sz="4" w:space="0"/>
            </w:tcBorders>
          </w:tcPr>
          <w:p w14:paraId="44BE1D90">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699" w:type="dxa"/>
            <w:tcBorders>
              <w:top w:val="single" w:color="000000" w:sz="4" w:space="0"/>
              <w:left w:val="single" w:color="000000" w:sz="4" w:space="0"/>
              <w:bottom w:val="single" w:color="000000" w:sz="4" w:space="0"/>
              <w:right w:val="single" w:color="000000" w:sz="4" w:space="0"/>
            </w:tcBorders>
          </w:tcPr>
          <w:p w14:paraId="643A377E">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7" w:type="dxa"/>
            <w:tcBorders>
              <w:top w:val="single" w:color="000000" w:sz="4" w:space="0"/>
              <w:left w:val="single" w:color="000000" w:sz="4" w:space="0"/>
              <w:bottom w:val="single" w:color="000000" w:sz="4" w:space="0"/>
              <w:right w:val="single" w:color="000000" w:sz="4" w:space="0"/>
            </w:tcBorders>
          </w:tcPr>
          <w:p w14:paraId="512749F0">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1C5109F7">
        <w:tblPrEx>
          <w:tblCellMar>
            <w:top w:w="0" w:type="dxa"/>
            <w:left w:w="108" w:type="dxa"/>
            <w:bottom w:w="0" w:type="dxa"/>
            <w:right w:w="108" w:type="dxa"/>
          </w:tblCellMar>
        </w:tblPrEx>
        <w:trPr>
          <w:trHeight w:val="624"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7AC037AE">
            <w:pPr>
              <w:spacing w:line="440" w:lineRule="exact"/>
              <w:jc w:val="center"/>
              <w:rPr>
                <w:rFonts w:cs="宋体" w:asciiTheme="minorEastAsia" w:hAnsiTheme="minorEastAsia"/>
                <w:szCs w:val="21"/>
              </w:rPr>
            </w:pPr>
            <w:r>
              <w:rPr>
                <w:rFonts w:hint="eastAsia" w:ascii="Times New Roman" w:hAnsi="Times New Roman" w:cs="宋体"/>
                <w:szCs w:val="21"/>
              </w:rPr>
              <w:t>status</w:t>
            </w:r>
          </w:p>
        </w:tc>
        <w:tc>
          <w:tcPr>
            <w:tcW w:w="1666" w:type="dxa"/>
            <w:tcBorders>
              <w:top w:val="single" w:color="000000" w:sz="4" w:space="0"/>
              <w:left w:val="single" w:color="000000" w:sz="4" w:space="0"/>
              <w:bottom w:val="single" w:color="000000" w:sz="4" w:space="0"/>
              <w:right w:val="single" w:color="000000" w:sz="4" w:space="0"/>
            </w:tcBorders>
          </w:tcPr>
          <w:p w14:paraId="7EA8C47F">
            <w:pPr>
              <w:spacing w:line="440" w:lineRule="exact"/>
              <w:jc w:val="center"/>
              <w:rPr>
                <w:rFonts w:cs="宋体" w:asciiTheme="minorEastAsia" w:hAnsiTheme="minorEastAsia"/>
                <w:szCs w:val="21"/>
              </w:rPr>
            </w:pPr>
            <w:r>
              <w:rPr>
                <w:rFonts w:hint="eastAsia" w:cs="宋体" w:asciiTheme="minorEastAsia" w:hAnsiTheme="minorEastAsia"/>
                <w:szCs w:val="21"/>
              </w:rPr>
              <w:t>申请状态</w:t>
            </w:r>
          </w:p>
        </w:tc>
        <w:tc>
          <w:tcPr>
            <w:tcW w:w="1699" w:type="dxa"/>
            <w:tcBorders>
              <w:top w:val="single" w:color="000000" w:sz="4" w:space="0"/>
              <w:left w:val="single" w:color="000000" w:sz="4" w:space="0"/>
              <w:bottom w:val="single" w:color="000000" w:sz="4" w:space="0"/>
              <w:right w:val="single" w:color="000000" w:sz="4" w:space="0"/>
            </w:tcBorders>
          </w:tcPr>
          <w:p w14:paraId="4673FC36">
            <w:pPr>
              <w:spacing w:line="440" w:lineRule="exact"/>
              <w:ind w:firstLine="420" w:firstLineChars="200"/>
              <w:rPr>
                <w:rFonts w:cs="宋体" w:asciiTheme="minorEastAsia" w:hAnsiTheme="minorEastAsia"/>
                <w:szCs w:val="21"/>
              </w:rPr>
            </w:pPr>
            <w:r>
              <w:rPr>
                <w:rFonts w:hint="eastAsia" w:ascii="Times New Roman" w:hAnsi="Times New Roman" w:cs="宋体"/>
                <w:szCs w:val="21"/>
              </w:rPr>
              <w:t>int</w:t>
            </w:r>
          </w:p>
        </w:tc>
        <w:tc>
          <w:tcPr>
            <w:tcW w:w="1667" w:type="dxa"/>
            <w:tcBorders>
              <w:top w:val="single" w:color="000000" w:sz="4" w:space="0"/>
              <w:left w:val="single" w:color="000000" w:sz="4" w:space="0"/>
              <w:bottom w:val="single" w:color="000000" w:sz="4" w:space="0"/>
              <w:right w:val="single" w:color="000000" w:sz="4" w:space="0"/>
            </w:tcBorders>
          </w:tcPr>
          <w:p w14:paraId="09A05E50">
            <w:pPr>
              <w:spacing w:line="440" w:lineRule="exact"/>
              <w:jc w:val="center"/>
              <w:rPr>
                <w:rFonts w:cs="宋体" w:asciiTheme="minorEastAsia" w:hAnsiTheme="minorEastAsia"/>
                <w:szCs w:val="21"/>
              </w:rPr>
            </w:pPr>
          </w:p>
        </w:tc>
      </w:tr>
      <w:tr w14:paraId="4ADF182C">
        <w:tblPrEx>
          <w:tblCellMar>
            <w:top w:w="0" w:type="dxa"/>
            <w:left w:w="108" w:type="dxa"/>
            <w:bottom w:w="0" w:type="dxa"/>
            <w:right w:w="108" w:type="dxa"/>
          </w:tblCellMar>
        </w:tblPrEx>
        <w:trPr>
          <w:trHeight w:val="624"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1CE3C30E">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666" w:type="dxa"/>
            <w:tcBorders>
              <w:top w:val="single" w:color="000000" w:sz="4" w:space="0"/>
              <w:left w:val="single" w:color="000000" w:sz="4" w:space="0"/>
              <w:bottom w:val="single" w:color="000000" w:sz="4" w:space="0"/>
              <w:right w:val="single" w:color="000000" w:sz="4" w:space="0"/>
            </w:tcBorders>
          </w:tcPr>
          <w:p w14:paraId="5947BF1A">
            <w:pPr>
              <w:spacing w:line="440" w:lineRule="exact"/>
              <w:jc w:val="center"/>
              <w:rPr>
                <w:rFonts w:cs="宋体" w:asciiTheme="minorEastAsia" w:hAnsiTheme="minorEastAsia"/>
                <w:szCs w:val="21"/>
              </w:rPr>
            </w:pPr>
            <w:r>
              <w:rPr>
                <w:rFonts w:hint="eastAsia" w:cs="宋体" w:asciiTheme="minorEastAsia" w:hAnsiTheme="minorEastAsia"/>
                <w:szCs w:val="21"/>
              </w:rPr>
              <w:t>申请时间</w:t>
            </w:r>
          </w:p>
        </w:tc>
        <w:tc>
          <w:tcPr>
            <w:tcW w:w="1699" w:type="dxa"/>
            <w:tcBorders>
              <w:top w:val="single" w:color="000000" w:sz="4" w:space="0"/>
              <w:left w:val="single" w:color="000000" w:sz="4" w:space="0"/>
              <w:bottom w:val="single" w:color="000000" w:sz="4" w:space="0"/>
              <w:right w:val="single" w:color="000000" w:sz="4" w:space="0"/>
            </w:tcBorders>
          </w:tcPr>
          <w:p w14:paraId="52579717">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7" w:type="dxa"/>
            <w:tcBorders>
              <w:top w:val="single" w:color="000000" w:sz="4" w:space="0"/>
              <w:left w:val="single" w:color="000000" w:sz="4" w:space="0"/>
              <w:bottom w:val="single" w:color="000000" w:sz="4" w:space="0"/>
              <w:right w:val="single" w:color="000000" w:sz="4" w:space="0"/>
            </w:tcBorders>
          </w:tcPr>
          <w:p w14:paraId="54388C82">
            <w:pPr>
              <w:spacing w:line="440" w:lineRule="exact"/>
              <w:jc w:val="center"/>
              <w:rPr>
                <w:rFonts w:cs="宋体" w:asciiTheme="minorEastAsia" w:hAnsiTheme="minorEastAsia"/>
                <w:szCs w:val="21"/>
              </w:rPr>
            </w:pPr>
          </w:p>
        </w:tc>
      </w:tr>
      <w:tr w14:paraId="76D0233F">
        <w:tblPrEx>
          <w:tblCellMar>
            <w:top w:w="0" w:type="dxa"/>
            <w:left w:w="108" w:type="dxa"/>
            <w:bottom w:w="0" w:type="dxa"/>
            <w:right w:w="108" w:type="dxa"/>
          </w:tblCellMar>
        </w:tblPrEx>
        <w:trPr>
          <w:trHeight w:val="624"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43FD66B4">
            <w:pPr>
              <w:spacing w:line="440" w:lineRule="exact"/>
              <w:jc w:val="center"/>
              <w:rPr>
                <w:rFonts w:cs="宋体" w:asciiTheme="minorEastAsia" w:hAnsiTheme="minorEastAsia"/>
                <w:szCs w:val="21"/>
              </w:rPr>
            </w:pPr>
            <w:r>
              <w:rPr>
                <w:rFonts w:hint="eastAsia" w:ascii="Times New Roman" w:hAnsi="Times New Roman" w:cs="宋体"/>
                <w:szCs w:val="21"/>
              </w:rPr>
              <w:t>team</w:t>
            </w:r>
            <w:r>
              <w:rPr>
                <w:rFonts w:hint="eastAsia" w:cs="宋体" w:asciiTheme="minorEastAsia" w:hAnsiTheme="minorEastAsia"/>
                <w:szCs w:val="21"/>
              </w:rPr>
              <w:t>_</w:t>
            </w:r>
            <w:r>
              <w:rPr>
                <w:rFonts w:hint="eastAsia" w:ascii="Times New Roman" w:hAnsi="Times New Roman" w:cs="宋体"/>
                <w:szCs w:val="21"/>
              </w:rPr>
              <w:t>id</w:t>
            </w:r>
          </w:p>
        </w:tc>
        <w:tc>
          <w:tcPr>
            <w:tcW w:w="1666" w:type="dxa"/>
            <w:tcBorders>
              <w:top w:val="single" w:color="000000" w:sz="4" w:space="0"/>
              <w:left w:val="single" w:color="000000" w:sz="4" w:space="0"/>
              <w:bottom w:val="single" w:color="000000" w:sz="4" w:space="0"/>
              <w:right w:val="single" w:color="000000" w:sz="4" w:space="0"/>
            </w:tcBorders>
          </w:tcPr>
          <w:p w14:paraId="597A0AF3">
            <w:pPr>
              <w:spacing w:line="440" w:lineRule="exact"/>
              <w:jc w:val="center"/>
              <w:rPr>
                <w:rFonts w:cs="宋体" w:asciiTheme="minorEastAsia" w:hAnsiTheme="minorEastAsia"/>
                <w:szCs w:val="21"/>
              </w:rPr>
            </w:pPr>
            <w:r>
              <w:rPr>
                <w:rFonts w:hint="eastAsia" w:cs="宋体" w:asciiTheme="minorEastAsia" w:hAnsiTheme="minorEastAsia"/>
                <w:szCs w:val="21"/>
              </w:rPr>
              <w:t>社团名称</w:t>
            </w:r>
          </w:p>
        </w:tc>
        <w:tc>
          <w:tcPr>
            <w:tcW w:w="1699" w:type="dxa"/>
            <w:tcBorders>
              <w:top w:val="single" w:color="000000" w:sz="4" w:space="0"/>
              <w:left w:val="single" w:color="000000" w:sz="4" w:space="0"/>
              <w:bottom w:val="single" w:color="000000" w:sz="4" w:space="0"/>
              <w:right w:val="single" w:color="000000" w:sz="4" w:space="0"/>
            </w:tcBorders>
          </w:tcPr>
          <w:p w14:paraId="64CE51E3">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7" w:type="dxa"/>
            <w:tcBorders>
              <w:top w:val="single" w:color="000000" w:sz="4" w:space="0"/>
              <w:left w:val="single" w:color="000000" w:sz="4" w:space="0"/>
              <w:bottom w:val="single" w:color="000000" w:sz="4" w:space="0"/>
              <w:right w:val="single" w:color="000000" w:sz="4" w:space="0"/>
            </w:tcBorders>
          </w:tcPr>
          <w:p w14:paraId="58E1A65F">
            <w:pPr>
              <w:spacing w:line="440" w:lineRule="exact"/>
              <w:jc w:val="center"/>
              <w:rPr>
                <w:rFonts w:cs="宋体" w:asciiTheme="minorEastAsia" w:hAnsiTheme="minorEastAsia"/>
                <w:szCs w:val="21"/>
              </w:rPr>
            </w:pPr>
          </w:p>
        </w:tc>
      </w:tr>
      <w:tr w14:paraId="7A5B95EE">
        <w:tblPrEx>
          <w:tblCellMar>
            <w:top w:w="0" w:type="dxa"/>
            <w:left w:w="108" w:type="dxa"/>
            <w:bottom w:w="0" w:type="dxa"/>
            <w:right w:w="108" w:type="dxa"/>
          </w:tblCellMar>
        </w:tblPrEx>
        <w:trPr>
          <w:trHeight w:val="690" w:hRule="atLeast"/>
          <w:jc w:val="center"/>
        </w:trPr>
        <w:tc>
          <w:tcPr>
            <w:tcW w:w="1666" w:type="dxa"/>
            <w:tcBorders>
              <w:top w:val="single" w:color="000000" w:sz="4" w:space="0"/>
              <w:left w:val="single" w:color="000000" w:sz="4" w:space="0"/>
              <w:bottom w:val="single" w:color="000000" w:sz="4" w:space="0"/>
              <w:right w:val="single" w:color="000000" w:sz="4" w:space="0"/>
            </w:tcBorders>
          </w:tcPr>
          <w:p w14:paraId="625C68CD">
            <w:pPr>
              <w:spacing w:line="440" w:lineRule="exact"/>
              <w:jc w:val="center"/>
              <w:rPr>
                <w:rFonts w:cs="宋体" w:asciiTheme="minorEastAsia" w:hAnsiTheme="minorEastAsia"/>
                <w:szCs w:val="21"/>
              </w:rPr>
            </w:pPr>
            <w:r>
              <w:rPr>
                <w:rFonts w:hint="eastAsia" w:ascii="Times New Roman" w:hAnsi="Times New Roman" w:cs="宋体"/>
                <w:szCs w:val="21"/>
              </w:rPr>
              <w:t>user</w:t>
            </w:r>
            <w:r>
              <w:rPr>
                <w:rFonts w:hint="eastAsia" w:cs="宋体" w:asciiTheme="minorEastAsia" w:hAnsiTheme="minorEastAsia"/>
                <w:szCs w:val="21"/>
              </w:rPr>
              <w:t>_</w:t>
            </w:r>
            <w:r>
              <w:rPr>
                <w:rFonts w:hint="eastAsia" w:ascii="Times New Roman" w:hAnsi="Times New Roman" w:cs="宋体"/>
                <w:szCs w:val="21"/>
              </w:rPr>
              <w:t>id</w:t>
            </w:r>
          </w:p>
        </w:tc>
        <w:tc>
          <w:tcPr>
            <w:tcW w:w="1666" w:type="dxa"/>
            <w:tcBorders>
              <w:top w:val="single" w:color="000000" w:sz="4" w:space="0"/>
              <w:left w:val="single" w:color="000000" w:sz="4" w:space="0"/>
              <w:bottom w:val="single" w:color="000000" w:sz="4" w:space="0"/>
              <w:right w:val="single" w:color="000000" w:sz="4" w:space="0"/>
            </w:tcBorders>
          </w:tcPr>
          <w:p w14:paraId="2D0477C8">
            <w:pPr>
              <w:spacing w:line="440" w:lineRule="exact"/>
              <w:jc w:val="center"/>
              <w:rPr>
                <w:rFonts w:cs="宋体" w:asciiTheme="minorEastAsia" w:hAnsiTheme="minorEastAsia"/>
                <w:szCs w:val="21"/>
              </w:rPr>
            </w:pPr>
            <w:r>
              <w:rPr>
                <w:rFonts w:hint="eastAsia" w:cs="宋体" w:asciiTheme="minorEastAsia" w:hAnsiTheme="minorEastAsia"/>
                <w:szCs w:val="21"/>
              </w:rPr>
              <w:t>申请人</w:t>
            </w:r>
            <w:r>
              <w:rPr>
                <w:rFonts w:hint="eastAsia" w:ascii="Times New Roman" w:hAnsi="Times New Roman" w:cs="宋体"/>
                <w:szCs w:val="21"/>
              </w:rPr>
              <w:t>ID</w:t>
            </w:r>
          </w:p>
        </w:tc>
        <w:tc>
          <w:tcPr>
            <w:tcW w:w="1699" w:type="dxa"/>
            <w:tcBorders>
              <w:top w:val="single" w:color="000000" w:sz="4" w:space="0"/>
              <w:left w:val="single" w:color="000000" w:sz="4" w:space="0"/>
              <w:bottom w:val="single" w:color="000000" w:sz="4" w:space="0"/>
              <w:right w:val="single" w:color="000000" w:sz="4" w:space="0"/>
            </w:tcBorders>
          </w:tcPr>
          <w:p w14:paraId="3C0BFA43">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7" w:type="dxa"/>
            <w:tcBorders>
              <w:top w:val="single" w:color="000000" w:sz="4" w:space="0"/>
              <w:left w:val="single" w:color="000000" w:sz="4" w:space="0"/>
              <w:bottom w:val="single" w:color="000000" w:sz="4" w:space="0"/>
              <w:right w:val="single" w:color="000000" w:sz="4" w:space="0"/>
            </w:tcBorders>
          </w:tcPr>
          <w:p w14:paraId="512BE4E6">
            <w:pPr>
              <w:spacing w:line="440" w:lineRule="exact"/>
              <w:jc w:val="center"/>
              <w:rPr>
                <w:rFonts w:cs="宋体" w:asciiTheme="minorEastAsia" w:hAnsiTheme="minorEastAsia"/>
                <w:szCs w:val="21"/>
              </w:rPr>
            </w:pPr>
          </w:p>
        </w:tc>
      </w:tr>
    </w:tbl>
    <w:p w14:paraId="38989A7E">
      <w:pPr>
        <w:autoSpaceDE w:val="0"/>
        <w:spacing w:line="440" w:lineRule="exact"/>
        <w:ind w:firstLine="480" w:firstLineChars="200"/>
        <w:rPr>
          <w:rFonts w:ascii="宋体" w:hAnsi="宋体" w:cs="宋体"/>
          <w:sz w:val="24"/>
          <w:lang w:bidi="ar"/>
        </w:rPr>
      </w:pPr>
      <w:r>
        <w:rPr>
          <w:rFonts w:ascii="Times New Roman" w:hAnsi="Times New Roman"/>
          <w:sz w:val="24"/>
          <w:lang w:bidi="ar"/>
        </w:rPr>
        <w:t>3.4.4</w:t>
      </w:r>
      <w:r>
        <w:rPr>
          <w:rFonts w:hint="eastAsia" w:ascii="宋体" w:hAnsi="宋体" w:cs="宋体"/>
          <w:sz w:val="24"/>
          <w:lang w:bidi="ar"/>
        </w:rPr>
        <w:t>成员信息表</w:t>
      </w:r>
    </w:p>
    <w:p w14:paraId="14EBDB39">
      <w:pPr>
        <w:spacing w:line="440" w:lineRule="exact"/>
        <w:ind w:firstLine="480" w:firstLineChars="200"/>
        <w:rPr>
          <w:rFonts w:ascii="宋体" w:hAnsi="宋体" w:cs="宋体"/>
          <w:sz w:val="24"/>
          <w:lang w:bidi="ar"/>
        </w:rPr>
      </w:pPr>
      <w:r>
        <w:rPr>
          <w:rFonts w:hint="eastAsia" w:ascii="宋体" w:hAnsi="宋体" w:cs="宋体"/>
          <w:sz w:val="24"/>
          <w:lang w:bidi="ar"/>
        </w:rPr>
        <w:t>成员信息表用来存储用户注册、加入社团的相关信息，具体的表结构如表</w:t>
      </w:r>
      <w:r>
        <w:rPr>
          <w:rFonts w:hint="eastAsia" w:ascii="Times New Roman" w:hAnsi="Times New Roman" w:cs="宋体"/>
          <w:sz w:val="24"/>
          <w:lang w:bidi="ar"/>
        </w:rPr>
        <w:t>3-9</w:t>
      </w:r>
      <w:r>
        <w:rPr>
          <w:rFonts w:hint="eastAsia" w:ascii="宋体" w:hAnsi="宋体" w:cs="宋体"/>
          <w:sz w:val="24"/>
          <w:lang w:bidi="ar"/>
        </w:rPr>
        <w:t>所示。</w:t>
      </w:r>
    </w:p>
    <w:p w14:paraId="09AD41AD">
      <w:pPr>
        <w:spacing w:line="440" w:lineRule="exact"/>
        <w:jc w:val="center"/>
        <w:rPr>
          <w:rFonts w:hint="eastAsia" w:ascii="宋体" w:hAnsi="宋体" w:cs="宋体"/>
          <w:szCs w:val="21"/>
        </w:rPr>
      </w:pPr>
    </w:p>
    <w:p w14:paraId="3B8F6376">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3-9</w:t>
      </w:r>
      <w:r>
        <w:rPr>
          <w:rFonts w:hint="eastAsia" w:ascii="宋体" w:hAnsi="宋体" w:cs="宋体"/>
          <w:szCs w:val="21"/>
        </w:rPr>
        <w:t>成员信息表</w:t>
      </w:r>
    </w:p>
    <w:tbl>
      <w:tblPr>
        <w:tblStyle w:val="35"/>
        <w:tblW w:w="0" w:type="auto"/>
        <w:jc w:val="center"/>
        <w:tblLayout w:type="autofit"/>
        <w:tblCellMar>
          <w:top w:w="0" w:type="dxa"/>
          <w:left w:w="108" w:type="dxa"/>
          <w:bottom w:w="0" w:type="dxa"/>
          <w:right w:w="108" w:type="dxa"/>
        </w:tblCellMar>
      </w:tblPr>
      <w:tblGrid>
        <w:gridCol w:w="1660"/>
        <w:gridCol w:w="1660"/>
        <w:gridCol w:w="1697"/>
        <w:gridCol w:w="1661"/>
      </w:tblGrid>
      <w:tr w14:paraId="2CBCEC59">
        <w:tblPrEx>
          <w:tblCellMar>
            <w:top w:w="0" w:type="dxa"/>
            <w:left w:w="108" w:type="dxa"/>
            <w:bottom w:w="0" w:type="dxa"/>
            <w:right w:w="108" w:type="dxa"/>
          </w:tblCellMar>
        </w:tblPrEx>
        <w:trPr>
          <w:trHeight w:val="554" w:hRule="atLeast"/>
          <w:jc w:val="center"/>
        </w:trPr>
        <w:tc>
          <w:tcPr>
            <w:tcW w:w="1660" w:type="dxa"/>
            <w:tcBorders>
              <w:top w:val="single" w:color="000000" w:sz="4" w:space="0"/>
              <w:left w:val="single" w:color="000000" w:sz="4" w:space="0"/>
              <w:bottom w:val="single" w:color="000000" w:sz="4" w:space="0"/>
              <w:right w:val="single" w:color="000000" w:sz="4" w:space="0"/>
            </w:tcBorders>
          </w:tcPr>
          <w:p w14:paraId="34F0DA56">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660" w:type="dxa"/>
            <w:tcBorders>
              <w:top w:val="single" w:color="000000" w:sz="4" w:space="0"/>
              <w:left w:val="single" w:color="000000" w:sz="4" w:space="0"/>
              <w:bottom w:val="single" w:color="000000" w:sz="4" w:space="0"/>
              <w:right w:val="single" w:color="000000" w:sz="4" w:space="0"/>
            </w:tcBorders>
          </w:tcPr>
          <w:p w14:paraId="3BB2A3AC">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697" w:type="dxa"/>
            <w:tcBorders>
              <w:top w:val="single" w:color="000000" w:sz="4" w:space="0"/>
              <w:left w:val="single" w:color="000000" w:sz="4" w:space="0"/>
              <w:bottom w:val="single" w:color="000000" w:sz="4" w:space="0"/>
              <w:right w:val="single" w:color="000000" w:sz="4" w:space="0"/>
            </w:tcBorders>
          </w:tcPr>
          <w:p w14:paraId="4C79A6F6">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661" w:type="dxa"/>
            <w:tcBorders>
              <w:top w:val="single" w:color="000000" w:sz="4" w:space="0"/>
              <w:left w:val="single" w:color="000000" w:sz="4" w:space="0"/>
              <w:bottom w:val="single" w:color="000000" w:sz="4" w:space="0"/>
              <w:right w:val="single" w:color="000000" w:sz="4" w:space="0"/>
            </w:tcBorders>
          </w:tcPr>
          <w:p w14:paraId="6D2A7CDB">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0EC12376">
        <w:tblPrEx>
          <w:tblCellMar>
            <w:top w:w="0" w:type="dxa"/>
            <w:left w:w="108" w:type="dxa"/>
            <w:bottom w:w="0" w:type="dxa"/>
            <w:right w:w="108" w:type="dxa"/>
          </w:tblCellMar>
        </w:tblPrEx>
        <w:trPr>
          <w:trHeight w:val="554" w:hRule="atLeast"/>
          <w:jc w:val="center"/>
        </w:trPr>
        <w:tc>
          <w:tcPr>
            <w:tcW w:w="1660" w:type="dxa"/>
            <w:tcBorders>
              <w:top w:val="single" w:color="000000" w:sz="4" w:space="0"/>
              <w:left w:val="single" w:color="000000" w:sz="4" w:space="0"/>
              <w:bottom w:val="single" w:color="000000" w:sz="4" w:space="0"/>
              <w:right w:val="single" w:color="000000" w:sz="4" w:space="0"/>
            </w:tcBorders>
          </w:tcPr>
          <w:p w14:paraId="1ED8F6FA">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660" w:type="dxa"/>
            <w:tcBorders>
              <w:top w:val="single" w:color="000000" w:sz="4" w:space="0"/>
              <w:left w:val="single" w:color="000000" w:sz="4" w:space="0"/>
              <w:bottom w:val="single" w:color="000000" w:sz="4" w:space="0"/>
              <w:right w:val="single" w:color="000000" w:sz="4" w:space="0"/>
            </w:tcBorders>
          </w:tcPr>
          <w:p w14:paraId="7F0C3761">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697" w:type="dxa"/>
            <w:tcBorders>
              <w:top w:val="single" w:color="000000" w:sz="4" w:space="0"/>
              <w:left w:val="single" w:color="000000" w:sz="4" w:space="0"/>
              <w:bottom w:val="single" w:color="000000" w:sz="4" w:space="0"/>
              <w:right w:val="single" w:color="000000" w:sz="4" w:space="0"/>
            </w:tcBorders>
          </w:tcPr>
          <w:p w14:paraId="11F21E03">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1" w:type="dxa"/>
            <w:tcBorders>
              <w:top w:val="single" w:color="000000" w:sz="4" w:space="0"/>
              <w:left w:val="single" w:color="000000" w:sz="4" w:space="0"/>
              <w:bottom w:val="single" w:color="000000" w:sz="4" w:space="0"/>
              <w:right w:val="single" w:color="000000" w:sz="4" w:space="0"/>
            </w:tcBorders>
          </w:tcPr>
          <w:p w14:paraId="42AF1148">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6A71E52A">
        <w:tblPrEx>
          <w:tblCellMar>
            <w:top w:w="0" w:type="dxa"/>
            <w:left w:w="108" w:type="dxa"/>
            <w:bottom w:w="0" w:type="dxa"/>
            <w:right w:w="108" w:type="dxa"/>
          </w:tblCellMar>
        </w:tblPrEx>
        <w:trPr>
          <w:trHeight w:val="554" w:hRule="atLeast"/>
          <w:jc w:val="center"/>
        </w:trPr>
        <w:tc>
          <w:tcPr>
            <w:tcW w:w="1660" w:type="dxa"/>
            <w:tcBorders>
              <w:top w:val="single" w:color="000000" w:sz="4" w:space="0"/>
              <w:left w:val="single" w:color="000000" w:sz="4" w:space="0"/>
              <w:bottom w:val="single" w:color="000000" w:sz="4" w:space="0"/>
              <w:right w:val="single" w:color="000000" w:sz="4" w:space="0"/>
            </w:tcBorders>
          </w:tcPr>
          <w:p w14:paraId="246A5C95">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660" w:type="dxa"/>
            <w:tcBorders>
              <w:top w:val="single" w:color="000000" w:sz="4" w:space="0"/>
              <w:left w:val="single" w:color="000000" w:sz="4" w:space="0"/>
              <w:bottom w:val="single" w:color="000000" w:sz="4" w:space="0"/>
              <w:right w:val="single" w:color="000000" w:sz="4" w:space="0"/>
            </w:tcBorders>
          </w:tcPr>
          <w:p w14:paraId="0F544553">
            <w:pPr>
              <w:spacing w:line="440" w:lineRule="exact"/>
              <w:jc w:val="center"/>
              <w:rPr>
                <w:rFonts w:cs="宋体" w:asciiTheme="minorEastAsia" w:hAnsiTheme="minorEastAsia"/>
                <w:szCs w:val="21"/>
              </w:rPr>
            </w:pPr>
            <w:r>
              <w:rPr>
                <w:rFonts w:hint="eastAsia" w:cs="宋体" w:asciiTheme="minorEastAsia" w:hAnsiTheme="minorEastAsia"/>
                <w:szCs w:val="21"/>
              </w:rPr>
              <w:t>创建时间</w:t>
            </w:r>
          </w:p>
        </w:tc>
        <w:tc>
          <w:tcPr>
            <w:tcW w:w="1697" w:type="dxa"/>
            <w:tcBorders>
              <w:top w:val="single" w:color="000000" w:sz="4" w:space="0"/>
              <w:left w:val="single" w:color="000000" w:sz="4" w:space="0"/>
              <w:bottom w:val="single" w:color="000000" w:sz="4" w:space="0"/>
              <w:right w:val="single" w:color="000000" w:sz="4" w:space="0"/>
            </w:tcBorders>
          </w:tcPr>
          <w:p w14:paraId="25B67238">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1" w:type="dxa"/>
            <w:tcBorders>
              <w:top w:val="single" w:color="000000" w:sz="4" w:space="0"/>
              <w:left w:val="single" w:color="000000" w:sz="4" w:space="0"/>
              <w:bottom w:val="single" w:color="000000" w:sz="4" w:space="0"/>
              <w:right w:val="single" w:color="000000" w:sz="4" w:space="0"/>
            </w:tcBorders>
          </w:tcPr>
          <w:p w14:paraId="3052A226">
            <w:pPr>
              <w:spacing w:line="440" w:lineRule="exact"/>
              <w:jc w:val="center"/>
              <w:rPr>
                <w:rFonts w:cs="宋体" w:asciiTheme="minorEastAsia" w:hAnsiTheme="minorEastAsia"/>
                <w:szCs w:val="21"/>
              </w:rPr>
            </w:pPr>
          </w:p>
        </w:tc>
      </w:tr>
      <w:tr w14:paraId="0FE3F952">
        <w:tblPrEx>
          <w:tblCellMar>
            <w:top w:w="0" w:type="dxa"/>
            <w:left w:w="108" w:type="dxa"/>
            <w:bottom w:w="0" w:type="dxa"/>
            <w:right w:w="108" w:type="dxa"/>
          </w:tblCellMar>
        </w:tblPrEx>
        <w:trPr>
          <w:trHeight w:val="554" w:hRule="atLeast"/>
          <w:jc w:val="center"/>
        </w:trPr>
        <w:tc>
          <w:tcPr>
            <w:tcW w:w="1660" w:type="dxa"/>
            <w:tcBorders>
              <w:top w:val="single" w:color="000000" w:sz="4" w:space="0"/>
              <w:left w:val="single" w:color="000000" w:sz="4" w:space="0"/>
              <w:bottom w:val="single" w:color="000000" w:sz="4" w:space="0"/>
              <w:right w:val="single" w:color="000000" w:sz="4" w:space="0"/>
            </w:tcBorders>
          </w:tcPr>
          <w:p w14:paraId="19C263CC">
            <w:pPr>
              <w:spacing w:line="440" w:lineRule="exact"/>
              <w:jc w:val="center"/>
              <w:rPr>
                <w:rFonts w:cs="宋体" w:asciiTheme="minorEastAsia" w:hAnsiTheme="minorEastAsia"/>
                <w:szCs w:val="21"/>
              </w:rPr>
            </w:pPr>
            <w:r>
              <w:rPr>
                <w:rFonts w:hint="eastAsia" w:ascii="Times New Roman" w:hAnsi="Times New Roman" w:cs="宋体"/>
                <w:szCs w:val="21"/>
              </w:rPr>
              <w:t>team</w:t>
            </w:r>
            <w:r>
              <w:rPr>
                <w:rFonts w:hint="eastAsia" w:cs="宋体" w:asciiTheme="minorEastAsia" w:hAnsiTheme="minorEastAsia"/>
                <w:szCs w:val="21"/>
              </w:rPr>
              <w:t>_</w:t>
            </w:r>
            <w:r>
              <w:rPr>
                <w:rFonts w:hint="eastAsia" w:ascii="Times New Roman" w:hAnsi="Times New Roman" w:cs="宋体"/>
                <w:szCs w:val="21"/>
              </w:rPr>
              <w:t>id</w:t>
            </w:r>
          </w:p>
        </w:tc>
        <w:tc>
          <w:tcPr>
            <w:tcW w:w="1660" w:type="dxa"/>
            <w:tcBorders>
              <w:top w:val="single" w:color="000000" w:sz="4" w:space="0"/>
              <w:left w:val="single" w:color="000000" w:sz="4" w:space="0"/>
              <w:bottom w:val="single" w:color="000000" w:sz="4" w:space="0"/>
              <w:right w:val="single" w:color="000000" w:sz="4" w:space="0"/>
            </w:tcBorders>
          </w:tcPr>
          <w:p w14:paraId="30E9B04C">
            <w:pPr>
              <w:spacing w:line="440" w:lineRule="exact"/>
              <w:jc w:val="center"/>
              <w:rPr>
                <w:rFonts w:cs="宋体" w:asciiTheme="minorEastAsia" w:hAnsiTheme="minorEastAsia"/>
                <w:szCs w:val="21"/>
              </w:rPr>
            </w:pPr>
            <w:r>
              <w:rPr>
                <w:rFonts w:hint="eastAsia" w:cs="宋体" w:asciiTheme="minorEastAsia" w:hAnsiTheme="minorEastAsia"/>
                <w:szCs w:val="21"/>
              </w:rPr>
              <w:t>社团</w:t>
            </w:r>
            <w:r>
              <w:rPr>
                <w:rFonts w:hint="eastAsia" w:ascii="Times New Roman" w:hAnsi="Times New Roman" w:cs="宋体"/>
                <w:szCs w:val="21"/>
              </w:rPr>
              <w:t>ID</w:t>
            </w:r>
          </w:p>
        </w:tc>
        <w:tc>
          <w:tcPr>
            <w:tcW w:w="1697" w:type="dxa"/>
            <w:tcBorders>
              <w:top w:val="single" w:color="000000" w:sz="4" w:space="0"/>
              <w:left w:val="single" w:color="000000" w:sz="4" w:space="0"/>
              <w:bottom w:val="single" w:color="000000" w:sz="4" w:space="0"/>
              <w:right w:val="single" w:color="000000" w:sz="4" w:space="0"/>
            </w:tcBorders>
          </w:tcPr>
          <w:p w14:paraId="25F5223E">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1" w:type="dxa"/>
            <w:tcBorders>
              <w:top w:val="single" w:color="000000" w:sz="4" w:space="0"/>
              <w:left w:val="single" w:color="000000" w:sz="4" w:space="0"/>
              <w:bottom w:val="single" w:color="000000" w:sz="4" w:space="0"/>
              <w:right w:val="single" w:color="000000" w:sz="4" w:space="0"/>
            </w:tcBorders>
          </w:tcPr>
          <w:p w14:paraId="7D71E901">
            <w:pPr>
              <w:spacing w:line="440" w:lineRule="exact"/>
              <w:jc w:val="center"/>
              <w:rPr>
                <w:rFonts w:cs="宋体" w:asciiTheme="minorEastAsia" w:hAnsiTheme="minorEastAsia"/>
                <w:szCs w:val="21"/>
              </w:rPr>
            </w:pPr>
          </w:p>
        </w:tc>
      </w:tr>
      <w:tr w14:paraId="3229CEE2">
        <w:tblPrEx>
          <w:tblCellMar>
            <w:top w:w="0" w:type="dxa"/>
            <w:left w:w="108" w:type="dxa"/>
            <w:bottom w:w="0" w:type="dxa"/>
            <w:right w:w="108" w:type="dxa"/>
          </w:tblCellMar>
        </w:tblPrEx>
        <w:trPr>
          <w:trHeight w:val="595" w:hRule="atLeast"/>
          <w:jc w:val="center"/>
        </w:trPr>
        <w:tc>
          <w:tcPr>
            <w:tcW w:w="1660" w:type="dxa"/>
            <w:tcBorders>
              <w:top w:val="single" w:color="000000" w:sz="4" w:space="0"/>
              <w:left w:val="single" w:color="000000" w:sz="4" w:space="0"/>
              <w:bottom w:val="single" w:color="000000" w:sz="4" w:space="0"/>
              <w:right w:val="single" w:color="000000" w:sz="4" w:space="0"/>
            </w:tcBorders>
          </w:tcPr>
          <w:p w14:paraId="31610761">
            <w:pPr>
              <w:spacing w:line="440" w:lineRule="exact"/>
              <w:jc w:val="center"/>
              <w:rPr>
                <w:rFonts w:cs="宋体" w:asciiTheme="minorEastAsia" w:hAnsiTheme="minorEastAsia"/>
                <w:szCs w:val="21"/>
              </w:rPr>
            </w:pPr>
            <w:r>
              <w:rPr>
                <w:rFonts w:hint="eastAsia" w:ascii="Times New Roman" w:hAnsi="Times New Roman" w:cs="宋体"/>
                <w:szCs w:val="21"/>
              </w:rPr>
              <w:t>user</w:t>
            </w:r>
            <w:r>
              <w:rPr>
                <w:rFonts w:hint="eastAsia" w:cs="宋体" w:asciiTheme="minorEastAsia" w:hAnsiTheme="minorEastAsia"/>
                <w:szCs w:val="21"/>
              </w:rPr>
              <w:t>_</w:t>
            </w:r>
            <w:r>
              <w:rPr>
                <w:rFonts w:hint="eastAsia" w:ascii="Times New Roman" w:hAnsi="Times New Roman" w:cs="宋体"/>
                <w:szCs w:val="21"/>
              </w:rPr>
              <w:t>id</w:t>
            </w:r>
          </w:p>
        </w:tc>
        <w:tc>
          <w:tcPr>
            <w:tcW w:w="1660" w:type="dxa"/>
            <w:tcBorders>
              <w:top w:val="single" w:color="000000" w:sz="4" w:space="0"/>
              <w:left w:val="single" w:color="000000" w:sz="4" w:space="0"/>
              <w:bottom w:val="single" w:color="000000" w:sz="4" w:space="0"/>
              <w:right w:val="single" w:color="000000" w:sz="4" w:space="0"/>
            </w:tcBorders>
          </w:tcPr>
          <w:p w14:paraId="01CD3A5E">
            <w:pPr>
              <w:spacing w:line="440" w:lineRule="exact"/>
              <w:jc w:val="center"/>
              <w:rPr>
                <w:rFonts w:cs="宋体" w:asciiTheme="minorEastAsia" w:hAnsiTheme="minorEastAsia"/>
                <w:szCs w:val="21"/>
              </w:rPr>
            </w:pPr>
            <w:r>
              <w:rPr>
                <w:rFonts w:hint="eastAsia" w:cs="宋体" w:asciiTheme="minorEastAsia" w:hAnsiTheme="minorEastAsia"/>
                <w:szCs w:val="21"/>
              </w:rPr>
              <w:t>用户</w:t>
            </w:r>
            <w:r>
              <w:rPr>
                <w:rFonts w:hint="eastAsia" w:ascii="Times New Roman" w:hAnsi="Times New Roman" w:cs="宋体"/>
                <w:szCs w:val="21"/>
              </w:rPr>
              <w:t>ID</w:t>
            </w:r>
          </w:p>
        </w:tc>
        <w:tc>
          <w:tcPr>
            <w:tcW w:w="1697" w:type="dxa"/>
            <w:tcBorders>
              <w:top w:val="single" w:color="000000" w:sz="4" w:space="0"/>
              <w:left w:val="single" w:color="000000" w:sz="4" w:space="0"/>
              <w:bottom w:val="single" w:color="000000" w:sz="4" w:space="0"/>
              <w:right w:val="single" w:color="000000" w:sz="4" w:space="0"/>
            </w:tcBorders>
          </w:tcPr>
          <w:p w14:paraId="65468EDF">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61" w:type="dxa"/>
            <w:tcBorders>
              <w:top w:val="single" w:color="000000" w:sz="4" w:space="0"/>
              <w:left w:val="single" w:color="000000" w:sz="4" w:space="0"/>
              <w:bottom w:val="single" w:color="000000" w:sz="4" w:space="0"/>
              <w:right w:val="single" w:color="000000" w:sz="4" w:space="0"/>
            </w:tcBorders>
          </w:tcPr>
          <w:p w14:paraId="0C7E5502">
            <w:pPr>
              <w:spacing w:line="440" w:lineRule="exact"/>
              <w:jc w:val="center"/>
              <w:rPr>
                <w:rFonts w:cs="宋体" w:asciiTheme="minorEastAsia" w:hAnsiTheme="minorEastAsia"/>
                <w:szCs w:val="21"/>
              </w:rPr>
            </w:pPr>
          </w:p>
        </w:tc>
      </w:tr>
    </w:tbl>
    <w:p w14:paraId="1D35F24C">
      <w:pPr>
        <w:autoSpaceDE w:val="0"/>
        <w:spacing w:line="440" w:lineRule="exact"/>
        <w:ind w:firstLine="480" w:firstLineChars="200"/>
        <w:rPr>
          <w:rFonts w:ascii="宋体" w:hAnsi="宋体" w:cs="宋体"/>
          <w:sz w:val="24"/>
          <w:lang w:bidi="ar"/>
        </w:rPr>
      </w:pPr>
      <w:r>
        <w:rPr>
          <w:rFonts w:ascii="Times New Roman" w:hAnsi="Times New Roman"/>
          <w:sz w:val="24"/>
          <w:lang w:bidi="ar"/>
        </w:rPr>
        <w:t>3.4.5</w:t>
      </w:r>
      <w:r>
        <w:rPr>
          <w:rFonts w:hint="eastAsia" w:ascii="宋体" w:hAnsi="宋体" w:cs="宋体"/>
          <w:sz w:val="24"/>
          <w:lang w:bidi="ar"/>
        </w:rPr>
        <w:t>通知记录表</w:t>
      </w:r>
    </w:p>
    <w:p w14:paraId="42B51DE9">
      <w:pPr>
        <w:spacing w:line="440" w:lineRule="exact"/>
        <w:ind w:firstLine="480" w:firstLineChars="200"/>
        <w:rPr>
          <w:rFonts w:ascii="宋体" w:hAnsi="宋体" w:cs="宋体"/>
          <w:sz w:val="24"/>
          <w:lang w:bidi="ar"/>
        </w:rPr>
      </w:pPr>
      <w:r>
        <w:rPr>
          <w:rFonts w:hint="eastAsia" w:ascii="宋体" w:hAnsi="宋体" w:cs="宋体"/>
          <w:sz w:val="24"/>
          <w:lang w:bidi="ar"/>
        </w:rPr>
        <w:t>通知记录表用来存储社团团长、系统管理员发布通知的相关信息，具体的表结构如表</w:t>
      </w:r>
      <w:r>
        <w:rPr>
          <w:rFonts w:hint="eastAsia" w:ascii="Times New Roman" w:hAnsi="Times New Roman" w:cs="宋体"/>
          <w:sz w:val="24"/>
          <w:lang w:bidi="ar"/>
        </w:rPr>
        <w:t>3-10</w:t>
      </w:r>
      <w:r>
        <w:rPr>
          <w:rFonts w:hint="eastAsia" w:ascii="宋体" w:hAnsi="宋体" w:cs="宋体"/>
          <w:sz w:val="24"/>
          <w:lang w:bidi="ar"/>
        </w:rPr>
        <w:t>所示。</w:t>
      </w:r>
    </w:p>
    <w:p w14:paraId="4E723A03">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3-10</w:t>
      </w:r>
      <w:r>
        <w:rPr>
          <w:rFonts w:hint="eastAsia" w:ascii="宋体" w:hAnsi="宋体" w:cs="宋体"/>
          <w:szCs w:val="21"/>
        </w:rPr>
        <w:t>通知记录表</w:t>
      </w:r>
    </w:p>
    <w:tbl>
      <w:tblPr>
        <w:tblStyle w:val="35"/>
        <w:tblW w:w="0" w:type="auto"/>
        <w:jc w:val="center"/>
        <w:tblLayout w:type="autofit"/>
        <w:tblCellMar>
          <w:top w:w="0" w:type="dxa"/>
          <w:left w:w="108" w:type="dxa"/>
          <w:bottom w:w="0" w:type="dxa"/>
          <w:right w:w="108" w:type="dxa"/>
        </w:tblCellMar>
      </w:tblPr>
      <w:tblGrid>
        <w:gridCol w:w="1744"/>
        <w:gridCol w:w="1744"/>
        <w:gridCol w:w="1745"/>
        <w:gridCol w:w="1745"/>
      </w:tblGrid>
      <w:tr w14:paraId="10CB7DE9">
        <w:tblPrEx>
          <w:tblCellMar>
            <w:top w:w="0" w:type="dxa"/>
            <w:left w:w="108" w:type="dxa"/>
            <w:bottom w:w="0" w:type="dxa"/>
            <w:right w:w="108" w:type="dxa"/>
          </w:tblCellMar>
        </w:tblPrEx>
        <w:trPr>
          <w:trHeight w:val="483"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74BE0067">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744" w:type="dxa"/>
            <w:tcBorders>
              <w:top w:val="single" w:color="000000" w:sz="4" w:space="0"/>
              <w:left w:val="single" w:color="000000" w:sz="4" w:space="0"/>
              <w:bottom w:val="single" w:color="000000" w:sz="4" w:space="0"/>
              <w:right w:val="single" w:color="000000" w:sz="4" w:space="0"/>
            </w:tcBorders>
          </w:tcPr>
          <w:p w14:paraId="372C6B28">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745" w:type="dxa"/>
            <w:tcBorders>
              <w:top w:val="single" w:color="000000" w:sz="4" w:space="0"/>
              <w:left w:val="single" w:color="000000" w:sz="4" w:space="0"/>
              <w:bottom w:val="single" w:color="000000" w:sz="4" w:space="0"/>
              <w:right w:val="single" w:color="000000" w:sz="4" w:space="0"/>
            </w:tcBorders>
          </w:tcPr>
          <w:p w14:paraId="08AE7DE1">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745" w:type="dxa"/>
            <w:tcBorders>
              <w:top w:val="single" w:color="000000" w:sz="4" w:space="0"/>
              <w:left w:val="single" w:color="000000" w:sz="4" w:space="0"/>
              <w:bottom w:val="single" w:color="000000" w:sz="4" w:space="0"/>
              <w:right w:val="single" w:color="000000" w:sz="4" w:space="0"/>
            </w:tcBorders>
          </w:tcPr>
          <w:p w14:paraId="0AC938A4">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0A5F27DB">
        <w:tblPrEx>
          <w:tblCellMar>
            <w:top w:w="0" w:type="dxa"/>
            <w:left w:w="108" w:type="dxa"/>
            <w:bottom w:w="0" w:type="dxa"/>
            <w:right w:w="108" w:type="dxa"/>
          </w:tblCellMar>
        </w:tblPrEx>
        <w:trPr>
          <w:trHeight w:val="483"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1A53FF1F">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744" w:type="dxa"/>
            <w:tcBorders>
              <w:top w:val="single" w:color="000000" w:sz="4" w:space="0"/>
              <w:left w:val="single" w:color="000000" w:sz="4" w:space="0"/>
              <w:bottom w:val="single" w:color="000000" w:sz="4" w:space="0"/>
              <w:right w:val="single" w:color="000000" w:sz="4" w:space="0"/>
            </w:tcBorders>
          </w:tcPr>
          <w:p w14:paraId="42374EB7">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745" w:type="dxa"/>
            <w:tcBorders>
              <w:top w:val="single" w:color="000000" w:sz="4" w:space="0"/>
              <w:left w:val="single" w:color="000000" w:sz="4" w:space="0"/>
              <w:bottom w:val="single" w:color="000000" w:sz="4" w:space="0"/>
              <w:right w:val="single" w:color="000000" w:sz="4" w:space="0"/>
            </w:tcBorders>
          </w:tcPr>
          <w:p w14:paraId="5E8D56F0">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45" w:type="dxa"/>
            <w:tcBorders>
              <w:top w:val="single" w:color="000000" w:sz="4" w:space="0"/>
              <w:left w:val="single" w:color="000000" w:sz="4" w:space="0"/>
              <w:bottom w:val="single" w:color="000000" w:sz="4" w:space="0"/>
              <w:right w:val="single" w:color="000000" w:sz="4" w:space="0"/>
            </w:tcBorders>
          </w:tcPr>
          <w:p w14:paraId="1113F4A0">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2FBE6979">
        <w:tblPrEx>
          <w:tblCellMar>
            <w:top w:w="0" w:type="dxa"/>
            <w:left w:w="108" w:type="dxa"/>
            <w:bottom w:w="0" w:type="dxa"/>
            <w:right w:w="108" w:type="dxa"/>
          </w:tblCellMar>
        </w:tblPrEx>
        <w:trPr>
          <w:trHeight w:val="483"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76B21ED3">
            <w:pPr>
              <w:spacing w:line="440" w:lineRule="exact"/>
              <w:jc w:val="center"/>
              <w:rPr>
                <w:rFonts w:cs="宋体" w:asciiTheme="minorEastAsia" w:hAnsiTheme="minorEastAsia"/>
                <w:szCs w:val="21"/>
              </w:rPr>
            </w:pPr>
            <w:r>
              <w:rPr>
                <w:rFonts w:hint="eastAsia" w:ascii="Times New Roman" w:hAnsi="Times New Roman" w:cs="宋体"/>
                <w:szCs w:val="21"/>
              </w:rPr>
              <w:t>title</w:t>
            </w:r>
          </w:p>
        </w:tc>
        <w:tc>
          <w:tcPr>
            <w:tcW w:w="1744" w:type="dxa"/>
            <w:tcBorders>
              <w:top w:val="single" w:color="000000" w:sz="4" w:space="0"/>
              <w:left w:val="single" w:color="000000" w:sz="4" w:space="0"/>
              <w:bottom w:val="single" w:color="000000" w:sz="4" w:space="0"/>
              <w:right w:val="single" w:color="000000" w:sz="4" w:space="0"/>
            </w:tcBorders>
          </w:tcPr>
          <w:p w14:paraId="0A3497D3">
            <w:pPr>
              <w:spacing w:line="440" w:lineRule="exact"/>
              <w:jc w:val="center"/>
              <w:rPr>
                <w:rFonts w:cs="宋体" w:asciiTheme="minorEastAsia" w:hAnsiTheme="minorEastAsia"/>
                <w:szCs w:val="21"/>
              </w:rPr>
            </w:pPr>
            <w:r>
              <w:rPr>
                <w:rFonts w:hint="eastAsia" w:cs="宋体" w:asciiTheme="minorEastAsia" w:hAnsiTheme="minorEastAsia"/>
                <w:szCs w:val="21"/>
              </w:rPr>
              <w:t>通知标题</w:t>
            </w:r>
          </w:p>
        </w:tc>
        <w:tc>
          <w:tcPr>
            <w:tcW w:w="1745" w:type="dxa"/>
            <w:tcBorders>
              <w:top w:val="single" w:color="000000" w:sz="4" w:space="0"/>
              <w:left w:val="single" w:color="000000" w:sz="4" w:space="0"/>
              <w:bottom w:val="single" w:color="000000" w:sz="4" w:space="0"/>
              <w:right w:val="single" w:color="000000" w:sz="4" w:space="0"/>
            </w:tcBorders>
          </w:tcPr>
          <w:p w14:paraId="4E28098B">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45" w:type="dxa"/>
            <w:tcBorders>
              <w:top w:val="single" w:color="000000" w:sz="4" w:space="0"/>
              <w:left w:val="single" w:color="000000" w:sz="4" w:space="0"/>
              <w:bottom w:val="single" w:color="000000" w:sz="4" w:space="0"/>
              <w:right w:val="single" w:color="000000" w:sz="4" w:space="0"/>
            </w:tcBorders>
          </w:tcPr>
          <w:p w14:paraId="70000502">
            <w:pPr>
              <w:spacing w:line="440" w:lineRule="exact"/>
              <w:jc w:val="center"/>
              <w:rPr>
                <w:rFonts w:cs="宋体" w:asciiTheme="minorEastAsia" w:hAnsiTheme="minorEastAsia"/>
                <w:szCs w:val="21"/>
              </w:rPr>
            </w:pPr>
          </w:p>
        </w:tc>
      </w:tr>
      <w:tr w14:paraId="059E6633">
        <w:tblPrEx>
          <w:tblCellMar>
            <w:top w:w="0" w:type="dxa"/>
            <w:left w:w="108" w:type="dxa"/>
            <w:bottom w:w="0" w:type="dxa"/>
            <w:right w:w="108" w:type="dxa"/>
          </w:tblCellMar>
        </w:tblPrEx>
        <w:trPr>
          <w:trHeight w:val="483"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1DE25AD7">
            <w:pPr>
              <w:spacing w:line="440" w:lineRule="exact"/>
              <w:jc w:val="center"/>
              <w:rPr>
                <w:rFonts w:cs="宋体" w:asciiTheme="minorEastAsia" w:hAnsiTheme="minorEastAsia"/>
                <w:szCs w:val="21"/>
              </w:rPr>
            </w:pPr>
            <w:r>
              <w:rPr>
                <w:rFonts w:hint="eastAsia" w:ascii="Times New Roman" w:hAnsi="Times New Roman" w:cs="宋体"/>
                <w:szCs w:val="21"/>
              </w:rPr>
              <w:t>detail</w:t>
            </w:r>
          </w:p>
        </w:tc>
        <w:tc>
          <w:tcPr>
            <w:tcW w:w="1744" w:type="dxa"/>
            <w:tcBorders>
              <w:top w:val="single" w:color="000000" w:sz="4" w:space="0"/>
              <w:left w:val="single" w:color="000000" w:sz="4" w:space="0"/>
              <w:bottom w:val="single" w:color="000000" w:sz="4" w:space="0"/>
              <w:right w:val="single" w:color="000000" w:sz="4" w:space="0"/>
            </w:tcBorders>
          </w:tcPr>
          <w:p w14:paraId="67270C87">
            <w:pPr>
              <w:spacing w:line="440" w:lineRule="exact"/>
              <w:jc w:val="center"/>
              <w:rPr>
                <w:rFonts w:cs="宋体" w:asciiTheme="minorEastAsia" w:hAnsiTheme="minorEastAsia"/>
                <w:szCs w:val="21"/>
              </w:rPr>
            </w:pPr>
            <w:r>
              <w:rPr>
                <w:rFonts w:hint="eastAsia" w:cs="宋体" w:asciiTheme="minorEastAsia" w:hAnsiTheme="minorEastAsia"/>
                <w:szCs w:val="21"/>
              </w:rPr>
              <w:t>通知详情</w:t>
            </w:r>
          </w:p>
        </w:tc>
        <w:tc>
          <w:tcPr>
            <w:tcW w:w="1745" w:type="dxa"/>
            <w:tcBorders>
              <w:top w:val="single" w:color="000000" w:sz="4" w:space="0"/>
              <w:left w:val="single" w:color="000000" w:sz="4" w:space="0"/>
              <w:bottom w:val="single" w:color="000000" w:sz="4" w:space="0"/>
              <w:right w:val="single" w:color="000000" w:sz="4" w:space="0"/>
            </w:tcBorders>
          </w:tcPr>
          <w:p w14:paraId="6FD6DC21">
            <w:pPr>
              <w:spacing w:line="440" w:lineRule="exact"/>
              <w:jc w:val="center"/>
              <w:rPr>
                <w:rFonts w:cs="宋体" w:asciiTheme="minorEastAsia" w:hAnsiTheme="minorEastAsia"/>
                <w:szCs w:val="21"/>
              </w:rPr>
            </w:pPr>
            <w:r>
              <w:rPr>
                <w:rFonts w:hint="eastAsia" w:ascii="Times New Roman" w:hAnsi="Times New Roman" w:cs="宋体"/>
                <w:szCs w:val="21"/>
              </w:rPr>
              <w:t>Text</w:t>
            </w:r>
          </w:p>
        </w:tc>
        <w:tc>
          <w:tcPr>
            <w:tcW w:w="1745" w:type="dxa"/>
            <w:tcBorders>
              <w:top w:val="single" w:color="000000" w:sz="4" w:space="0"/>
              <w:left w:val="single" w:color="000000" w:sz="4" w:space="0"/>
              <w:bottom w:val="single" w:color="000000" w:sz="4" w:space="0"/>
              <w:right w:val="single" w:color="000000" w:sz="4" w:space="0"/>
            </w:tcBorders>
          </w:tcPr>
          <w:p w14:paraId="2CCDBC56">
            <w:pPr>
              <w:spacing w:line="440" w:lineRule="exact"/>
              <w:jc w:val="center"/>
              <w:rPr>
                <w:rFonts w:cs="宋体" w:asciiTheme="minorEastAsia" w:hAnsiTheme="minorEastAsia"/>
                <w:szCs w:val="21"/>
              </w:rPr>
            </w:pPr>
          </w:p>
        </w:tc>
      </w:tr>
      <w:tr w14:paraId="1806AA81">
        <w:tblPrEx>
          <w:tblCellMar>
            <w:top w:w="0" w:type="dxa"/>
            <w:left w:w="108" w:type="dxa"/>
            <w:bottom w:w="0" w:type="dxa"/>
            <w:right w:w="108" w:type="dxa"/>
          </w:tblCellMar>
        </w:tblPrEx>
        <w:trPr>
          <w:trHeight w:val="483"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1C78DE8B">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744" w:type="dxa"/>
            <w:tcBorders>
              <w:top w:val="single" w:color="000000" w:sz="4" w:space="0"/>
              <w:left w:val="single" w:color="000000" w:sz="4" w:space="0"/>
              <w:bottom w:val="single" w:color="000000" w:sz="4" w:space="0"/>
              <w:right w:val="single" w:color="000000" w:sz="4" w:space="0"/>
            </w:tcBorders>
          </w:tcPr>
          <w:p w14:paraId="31F91699">
            <w:pPr>
              <w:spacing w:line="440" w:lineRule="exact"/>
              <w:jc w:val="center"/>
              <w:rPr>
                <w:rFonts w:cs="宋体" w:asciiTheme="minorEastAsia" w:hAnsiTheme="minorEastAsia"/>
                <w:szCs w:val="21"/>
              </w:rPr>
            </w:pPr>
            <w:r>
              <w:rPr>
                <w:rFonts w:hint="eastAsia" w:cs="宋体" w:asciiTheme="minorEastAsia" w:hAnsiTheme="minorEastAsia"/>
                <w:szCs w:val="21"/>
              </w:rPr>
              <w:t>发布时间</w:t>
            </w:r>
          </w:p>
        </w:tc>
        <w:tc>
          <w:tcPr>
            <w:tcW w:w="1745" w:type="dxa"/>
            <w:tcBorders>
              <w:top w:val="single" w:color="000000" w:sz="4" w:space="0"/>
              <w:left w:val="single" w:color="000000" w:sz="4" w:space="0"/>
              <w:bottom w:val="single" w:color="000000" w:sz="4" w:space="0"/>
              <w:right w:val="single" w:color="000000" w:sz="4" w:space="0"/>
            </w:tcBorders>
          </w:tcPr>
          <w:p w14:paraId="25C861EF">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45" w:type="dxa"/>
            <w:tcBorders>
              <w:top w:val="single" w:color="000000" w:sz="4" w:space="0"/>
              <w:left w:val="single" w:color="000000" w:sz="4" w:space="0"/>
              <w:bottom w:val="single" w:color="000000" w:sz="4" w:space="0"/>
              <w:right w:val="single" w:color="000000" w:sz="4" w:space="0"/>
            </w:tcBorders>
          </w:tcPr>
          <w:p w14:paraId="7C669210">
            <w:pPr>
              <w:spacing w:line="440" w:lineRule="exact"/>
              <w:jc w:val="center"/>
              <w:rPr>
                <w:rFonts w:cs="宋体" w:asciiTheme="minorEastAsia" w:hAnsiTheme="minorEastAsia"/>
                <w:szCs w:val="21"/>
              </w:rPr>
            </w:pPr>
          </w:p>
        </w:tc>
      </w:tr>
      <w:tr w14:paraId="24984C56">
        <w:tblPrEx>
          <w:tblCellMar>
            <w:top w:w="0" w:type="dxa"/>
            <w:left w:w="108" w:type="dxa"/>
            <w:bottom w:w="0" w:type="dxa"/>
            <w:right w:w="108" w:type="dxa"/>
          </w:tblCellMar>
        </w:tblPrEx>
        <w:trPr>
          <w:trHeight w:val="494" w:hRule="atLeast"/>
          <w:jc w:val="center"/>
        </w:trPr>
        <w:tc>
          <w:tcPr>
            <w:tcW w:w="1744" w:type="dxa"/>
            <w:tcBorders>
              <w:top w:val="single" w:color="000000" w:sz="4" w:space="0"/>
              <w:left w:val="single" w:color="000000" w:sz="4" w:space="0"/>
              <w:bottom w:val="single" w:color="000000" w:sz="4" w:space="0"/>
              <w:right w:val="single" w:color="000000" w:sz="4" w:space="0"/>
            </w:tcBorders>
          </w:tcPr>
          <w:p w14:paraId="6B1A0DF0">
            <w:pPr>
              <w:spacing w:line="440" w:lineRule="exact"/>
              <w:jc w:val="center"/>
              <w:rPr>
                <w:rFonts w:cs="宋体" w:asciiTheme="minorEastAsia" w:hAnsiTheme="minorEastAsia"/>
                <w:szCs w:val="21"/>
              </w:rPr>
            </w:pPr>
            <w:r>
              <w:rPr>
                <w:rFonts w:hint="eastAsia" w:ascii="Times New Roman" w:hAnsi="Times New Roman" w:cs="宋体"/>
                <w:szCs w:val="21"/>
              </w:rPr>
              <w:t>team</w:t>
            </w:r>
            <w:r>
              <w:rPr>
                <w:rFonts w:hint="eastAsia" w:cs="宋体" w:asciiTheme="minorEastAsia" w:hAnsiTheme="minorEastAsia"/>
                <w:szCs w:val="21"/>
              </w:rPr>
              <w:t>_</w:t>
            </w:r>
            <w:r>
              <w:rPr>
                <w:rFonts w:hint="eastAsia" w:ascii="Times New Roman" w:hAnsi="Times New Roman" w:cs="宋体"/>
                <w:szCs w:val="21"/>
              </w:rPr>
              <w:t>id</w:t>
            </w:r>
          </w:p>
        </w:tc>
        <w:tc>
          <w:tcPr>
            <w:tcW w:w="1744" w:type="dxa"/>
            <w:tcBorders>
              <w:top w:val="single" w:color="000000" w:sz="4" w:space="0"/>
              <w:left w:val="single" w:color="000000" w:sz="4" w:space="0"/>
              <w:bottom w:val="single" w:color="000000" w:sz="4" w:space="0"/>
              <w:right w:val="single" w:color="000000" w:sz="4" w:space="0"/>
            </w:tcBorders>
          </w:tcPr>
          <w:p w14:paraId="730E3F05">
            <w:pPr>
              <w:spacing w:line="440" w:lineRule="exact"/>
              <w:jc w:val="center"/>
              <w:rPr>
                <w:rFonts w:cs="宋体" w:asciiTheme="minorEastAsia" w:hAnsiTheme="minorEastAsia"/>
                <w:szCs w:val="21"/>
              </w:rPr>
            </w:pPr>
            <w:r>
              <w:rPr>
                <w:rFonts w:hint="eastAsia" w:cs="宋体" w:asciiTheme="minorEastAsia" w:hAnsiTheme="minorEastAsia"/>
                <w:szCs w:val="21"/>
              </w:rPr>
              <w:t>发布社团</w:t>
            </w:r>
          </w:p>
        </w:tc>
        <w:tc>
          <w:tcPr>
            <w:tcW w:w="1745" w:type="dxa"/>
            <w:tcBorders>
              <w:top w:val="single" w:color="000000" w:sz="4" w:space="0"/>
              <w:left w:val="single" w:color="000000" w:sz="4" w:space="0"/>
              <w:bottom w:val="single" w:color="000000" w:sz="4" w:space="0"/>
              <w:right w:val="single" w:color="000000" w:sz="4" w:space="0"/>
            </w:tcBorders>
          </w:tcPr>
          <w:p w14:paraId="4BC78801">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45" w:type="dxa"/>
            <w:tcBorders>
              <w:top w:val="single" w:color="000000" w:sz="4" w:space="0"/>
              <w:left w:val="single" w:color="000000" w:sz="4" w:space="0"/>
              <w:bottom w:val="single" w:color="000000" w:sz="4" w:space="0"/>
              <w:right w:val="single" w:color="000000" w:sz="4" w:space="0"/>
            </w:tcBorders>
          </w:tcPr>
          <w:p w14:paraId="4902F4FA">
            <w:pPr>
              <w:spacing w:line="440" w:lineRule="exact"/>
              <w:jc w:val="center"/>
              <w:rPr>
                <w:rFonts w:cs="宋体" w:asciiTheme="minorEastAsia" w:hAnsiTheme="minorEastAsia"/>
                <w:szCs w:val="21"/>
              </w:rPr>
            </w:pPr>
          </w:p>
        </w:tc>
      </w:tr>
    </w:tbl>
    <w:p w14:paraId="29305B59">
      <w:pPr>
        <w:autoSpaceDE w:val="0"/>
        <w:spacing w:line="440" w:lineRule="exact"/>
        <w:ind w:firstLine="480" w:firstLineChars="200"/>
        <w:rPr>
          <w:rFonts w:ascii="宋体" w:hAnsi="宋体" w:cs="宋体"/>
          <w:sz w:val="24"/>
          <w:lang w:bidi="ar"/>
        </w:rPr>
      </w:pPr>
      <w:r>
        <w:rPr>
          <w:rFonts w:ascii="Times New Roman" w:hAnsi="Times New Roman"/>
          <w:sz w:val="24"/>
          <w:lang w:bidi="ar"/>
        </w:rPr>
        <w:t>3.4.6</w:t>
      </w:r>
      <w:r>
        <w:rPr>
          <w:rFonts w:hint="eastAsia" w:ascii="宋体" w:hAnsi="宋体" w:cs="宋体"/>
          <w:sz w:val="24"/>
          <w:lang w:bidi="ar"/>
        </w:rPr>
        <w:t>缴费记录表</w:t>
      </w:r>
    </w:p>
    <w:p w14:paraId="73B1FD21">
      <w:pPr>
        <w:spacing w:line="440" w:lineRule="exact"/>
        <w:ind w:firstLine="480" w:firstLineChars="200"/>
        <w:rPr>
          <w:rFonts w:ascii="宋体" w:hAnsi="宋体" w:cs="宋体"/>
          <w:sz w:val="24"/>
          <w:lang w:bidi="ar"/>
        </w:rPr>
      </w:pPr>
      <w:r>
        <w:rPr>
          <w:rFonts w:hint="eastAsia" w:ascii="宋体" w:hAnsi="宋体" w:cs="宋体"/>
          <w:sz w:val="24"/>
          <w:lang w:bidi="ar"/>
        </w:rPr>
        <w:t>缴费记录表用来存储社团成员、社团团长缴费的相关信息，具体的表结构如表</w:t>
      </w:r>
      <w:r>
        <w:rPr>
          <w:rFonts w:hint="eastAsia" w:ascii="Times New Roman" w:hAnsi="Times New Roman" w:cs="宋体"/>
          <w:sz w:val="24"/>
          <w:lang w:bidi="ar"/>
        </w:rPr>
        <w:t>3-11</w:t>
      </w:r>
      <w:r>
        <w:rPr>
          <w:rFonts w:hint="eastAsia" w:ascii="宋体" w:hAnsi="宋体" w:cs="宋体"/>
          <w:sz w:val="24"/>
          <w:lang w:bidi="ar"/>
        </w:rPr>
        <w:t>所示。</w:t>
      </w:r>
    </w:p>
    <w:p w14:paraId="5720D6B5">
      <w:pPr>
        <w:spacing w:line="440" w:lineRule="exact"/>
        <w:jc w:val="center"/>
        <w:rPr>
          <w:rFonts w:ascii="宋体" w:hAnsi="宋体" w:cs="宋体"/>
          <w:sz w:val="24"/>
        </w:rPr>
      </w:pPr>
      <w:r>
        <w:rPr>
          <w:rFonts w:hint="eastAsia" w:ascii="宋体" w:hAnsi="宋体" w:cs="宋体"/>
          <w:szCs w:val="21"/>
          <w:lang w:bidi="ar"/>
        </w:rPr>
        <w:t>表</w:t>
      </w:r>
      <w:r>
        <w:rPr>
          <w:rFonts w:hint="eastAsia" w:ascii="Times New Roman" w:hAnsi="Times New Roman" w:cs="宋体"/>
          <w:sz w:val="24"/>
          <w:lang w:bidi="ar"/>
        </w:rPr>
        <w:t>3-11</w:t>
      </w:r>
      <w:r>
        <w:rPr>
          <w:rFonts w:hint="eastAsia" w:ascii="宋体" w:hAnsi="宋体" w:cs="宋体"/>
          <w:szCs w:val="21"/>
          <w:lang w:bidi="ar"/>
        </w:rPr>
        <w:t>通知记录表</w:t>
      </w:r>
    </w:p>
    <w:tbl>
      <w:tblPr>
        <w:tblStyle w:val="35"/>
        <w:tblpPr w:leftFromText="180" w:rightFromText="180" w:vertAnchor="text" w:horzAnchor="page" w:tblpX="2695" w:tblpY="75"/>
        <w:tblOverlap w:val="never"/>
        <w:tblW w:w="0" w:type="auto"/>
        <w:tblInd w:w="0" w:type="dxa"/>
        <w:tblLayout w:type="autofit"/>
        <w:tblCellMar>
          <w:top w:w="0" w:type="dxa"/>
          <w:left w:w="108" w:type="dxa"/>
          <w:bottom w:w="0" w:type="dxa"/>
          <w:right w:w="108" w:type="dxa"/>
        </w:tblCellMar>
      </w:tblPr>
      <w:tblGrid>
        <w:gridCol w:w="1794"/>
        <w:gridCol w:w="1794"/>
        <w:gridCol w:w="1795"/>
        <w:gridCol w:w="1795"/>
      </w:tblGrid>
      <w:tr w14:paraId="333D803E">
        <w:tblPrEx>
          <w:tblCellMar>
            <w:top w:w="0" w:type="dxa"/>
            <w:left w:w="108" w:type="dxa"/>
            <w:bottom w:w="0" w:type="dxa"/>
            <w:right w:w="108" w:type="dxa"/>
          </w:tblCellMar>
        </w:tblPrEx>
        <w:trPr>
          <w:trHeight w:val="566" w:hRule="atLeast"/>
        </w:trPr>
        <w:tc>
          <w:tcPr>
            <w:tcW w:w="1794" w:type="dxa"/>
            <w:tcBorders>
              <w:top w:val="single" w:color="000000" w:sz="4" w:space="0"/>
              <w:left w:val="single" w:color="000000" w:sz="4" w:space="0"/>
              <w:bottom w:val="single" w:color="000000" w:sz="4" w:space="0"/>
              <w:right w:val="single" w:color="000000" w:sz="4" w:space="0"/>
            </w:tcBorders>
          </w:tcPr>
          <w:p w14:paraId="374F9B81">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794" w:type="dxa"/>
            <w:tcBorders>
              <w:top w:val="single" w:color="000000" w:sz="4" w:space="0"/>
              <w:left w:val="single" w:color="000000" w:sz="4" w:space="0"/>
              <w:bottom w:val="single" w:color="000000" w:sz="4" w:space="0"/>
              <w:right w:val="single" w:color="000000" w:sz="4" w:space="0"/>
            </w:tcBorders>
          </w:tcPr>
          <w:p w14:paraId="16A70E82">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795" w:type="dxa"/>
            <w:tcBorders>
              <w:top w:val="single" w:color="000000" w:sz="4" w:space="0"/>
              <w:left w:val="single" w:color="000000" w:sz="4" w:space="0"/>
              <w:bottom w:val="single" w:color="000000" w:sz="4" w:space="0"/>
              <w:right w:val="single" w:color="000000" w:sz="4" w:space="0"/>
            </w:tcBorders>
          </w:tcPr>
          <w:p w14:paraId="2F89D341">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795" w:type="dxa"/>
            <w:tcBorders>
              <w:top w:val="single" w:color="000000" w:sz="4" w:space="0"/>
              <w:left w:val="single" w:color="000000" w:sz="4" w:space="0"/>
              <w:bottom w:val="single" w:color="000000" w:sz="4" w:space="0"/>
              <w:right w:val="single" w:color="000000" w:sz="4" w:space="0"/>
            </w:tcBorders>
          </w:tcPr>
          <w:p w14:paraId="0714582A">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23125B30">
        <w:tblPrEx>
          <w:tblCellMar>
            <w:top w:w="0" w:type="dxa"/>
            <w:left w:w="108" w:type="dxa"/>
            <w:bottom w:w="0" w:type="dxa"/>
            <w:right w:w="108" w:type="dxa"/>
          </w:tblCellMar>
        </w:tblPrEx>
        <w:trPr>
          <w:trHeight w:val="566" w:hRule="atLeast"/>
        </w:trPr>
        <w:tc>
          <w:tcPr>
            <w:tcW w:w="1794" w:type="dxa"/>
            <w:tcBorders>
              <w:top w:val="single" w:color="000000" w:sz="4" w:space="0"/>
              <w:left w:val="single" w:color="000000" w:sz="4" w:space="0"/>
              <w:bottom w:val="single" w:color="000000" w:sz="4" w:space="0"/>
              <w:right w:val="single" w:color="000000" w:sz="4" w:space="0"/>
            </w:tcBorders>
          </w:tcPr>
          <w:p w14:paraId="74C71771">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794" w:type="dxa"/>
            <w:tcBorders>
              <w:top w:val="single" w:color="000000" w:sz="4" w:space="0"/>
              <w:left w:val="single" w:color="000000" w:sz="4" w:space="0"/>
              <w:bottom w:val="single" w:color="000000" w:sz="4" w:space="0"/>
              <w:right w:val="single" w:color="000000" w:sz="4" w:space="0"/>
            </w:tcBorders>
          </w:tcPr>
          <w:p w14:paraId="04A1AD0D">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795" w:type="dxa"/>
            <w:tcBorders>
              <w:top w:val="single" w:color="000000" w:sz="4" w:space="0"/>
              <w:left w:val="single" w:color="000000" w:sz="4" w:space="0"/>
              <w:bottom w:val="single" w:color="000000" w:sz="4" w:space="0"/>
              <w:right w:val="single" w:color="000000" w:sz="4" w:space="0"/>
            </w:tcBorders>
          </w:tcPr>
          <w:p w14:paraId="2A3D10FA">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95" w:type="dxa"/>
            <w:tcBorders>
              <w:top w:val="single" w:color="000000" w:sz="4" w:space="0"/>
              <w:left w:val="single" w:color="000000" w:sz="4" w:space="0"/>
              <w:bottom w:val="single" w:color="000000" w:sz="4" w:space="0"/>
              <w:right w:val="single" w:color="000000" w:sz="4" w:space="0"/>
            </w:tcBorders>
          </w:tcPr>
          <w:p w14:paraId="3E96B60E">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141F4F2E">
        <w:tblPrEx>
          <w:tblCellMar>
            <w:top w:w="0" w:type="dxa"/>
            <w:left w:w="108" w:type="dxa"/>
            <w:bottom w:w="0" w:type="dxa"/>
            <w:right w:w="108" w:type="dxa"/>
          </w:tblCellMar>
        </w:tblPrEx>
        <w:trPr>
          <w:trHeight w:val="566" w:hRule="atLeast"/>
        </w:trPr>
        <w:tc>
          <w:tcPr>
            <w:tcW w:w="1794" w:type="dxa"/>
            <w:tcBorders>
              <w:top w:val="single" w:color="000000" w:sz="4" w:space="0"/>
              <w:left w:val="single" w:color="000000" w:sz="4" w:space="0"/>
              <w:bottom w:val="single" w:color="000000" w:sz="4" w:space="0"/>
              <w:right w:val="single" w:color="000000" w:sz="4" w:space="0"/>
            </w:tcBorders>
          </w:tcPr>
          <w:p w14:paraId="149B05EB">
            <w:pPr>
              <w:spacing w:line="440" w:lineRule="exact"/>
              <w:jc w:val="center"/>
              <w:rPr>
                <w:rFonts w:cs="宋体" w:asciiTheme="minorEastAsia" w:hAnsiTheme="minorEastAsia"/>
                <w:szCs w:val="21"/>
              </w:rPr>
            </w:pPr>
            <w:r>
              <w:rPr>
                <w:rFonts w:hint="eastAsia" w:ascii="Times New Roman" w:hAnsi="Times New Roman" w:cs="宋体"/>
                <w:szCs w:val="21"/>
              </w:rPr>
              <w:t>total</w:t>
            </w:r>
          </w:p>
        </w:tc>
        <w:tc>
          <w:tcPr>
            <w:tcW w:w="1794" w:type="dxa"/>
            <w:tcBorders>
              <w:top w:val="single" w:color="000000" w:sz="4" w:space="0"/>
              <w:left w:val="single" w:color="000000" w:sz="4" w:space="0"/>
              <w:bottom w:val="single" w:color="000000" w:sz="4" w:space="0"/>
              <w:right w:val="single" w:color="000000" w:sz="4" w:space="0"/>
            </w:tcBorders>
          </w:tcPr>
          <w:p w14:paraId="3D77CE48">
            <w:pPr>
              <w:spacing w:line="440" w:lineRule="exact"/>
              <w:jc w:val="center"/>
              <w:rPr>
                <w:rFonts w:cs="宋体" w:asciiTheme="minorEastAsia" w:hAnsiTheme="minorEastAsia"/>
                <w:szCs w:val="21"/>
              </w:rPr>
            </w:pPr>
            <w:r>
              <w:rPr>
                <w:rFonts w:hint="eastAsia" w:cs="宋体" w:asciiTheme="minorEastAsia" w:hAnsiTheme="minorEastAsia"/>
                <w:szCs w:val="21"/>
              </w:rPr>
              <w:t>缴纳费用</w:t>
            </w:r>
          </w:p>
        </w:tc>
        <w:tc>
          <w:tcPr>
            <w:tcW w:w="1795" w:type="dxa"/>
            <w:tcBorders>
              <w:top w:val="single" w:color="000000" w:sz="4" w:space="0"/>
              <w:left w:val="single" w:color="000000" w:sz="4" w:space="0"/>
              <w:bottom w:val="single" w:color="000000" w:sz="4" w:space="0"/>
              <w:right w:val="single" w:color="000000" w:sz="4" w:space="0"/>
            </w:tcBorders>
          </w:tcPr>
          <w:p w14:paraId="25A4EA35">
            <w:pPr>
              <w:spacing w:line="440" w:lineRule="exact"/>
              <w:jc w:val="center"/>
              <w:rPr>
                <w:rFonts w:cs="宋体" w:asciiTheme="minorEastAsia" w:hAnsiTheme="minorEastAsia"/>
                <w:szCs w:val="21"/>
              </w:rPr>
            </w:pPr>
            <w:r>
              <w:rPr>
                <w:rFonts w:hint="eastAsia" w:ascii="Times New Roman" w:hAnsi="Times New Roman" w:cs="宋体"/>
                <w:szCs w:val="21"/>
              </w:rPr>
              <w:t>double</w:t>
            </w:r>
            <w:r>
              <w:rPr>
                <w:rFonts w:hint="eastAsia" w:cs="宋体" w:asciiTheme="minorEastAsia" w:hAnsiTheme="minorEastAsia"/>
                <w:szCs w:val="21"/>
              </w:rPr>
              <w:t>（</w:t>
            </w:r>
            <w:r>
              <w:rPr>
                <w:rFonts w:hint="eastAsia" w:ascii="Times New Roman" w:hAnsi="Times New Roman" w:cs="宋体"/>
                <w:szCs w:val="21"/>
              </w:rPr>
              <w:t>6</w:t>
            </w:r>
            <w:r>
              <w:rPr>
                <w:rFonts w:hint="eastAsia" w:cs="宋体" w:asciiTheme="minorEastAsia" w:hAnsiTheme="minorEastAsia"/>
                <w:szCs w:val="21"/>
              </w:rPr>
              <w:t>，</w:t>
            </w:r>
            <w:r>
              <w:rPr>
                <w:rFonts w:hint="eastAsia" w:ascii="Times New Roman" w:hAnsi="Times New Roman" w:cs="宋体"/>
                <w:szCs w:val="21"/>
              </w:rPr>
              <w:t>2</w:t>
            </w:r>
            <w:r>
              <w:rPr>
                <w:rFonts w:hint="eastAsia" w:cs="宋体" w:asciiTheme="minorEastAsia" w:hAnsiTheme="minorEastAsia"/>
                <w:szCs w:val="21"/>
              </w:rPr>
              <w:t>）</w:t>
            </w:r>
          </w:p>
        </w:tc>
        <w:tc>
          <w:tcPr>
            <w:tcW w:w="1795" w:type="dxa"/>
            <w:tcBorders>
              <w:top w:val="single" w:color="000000" w:sz="4" w:space="0"/>
              <w:left w:val="single" w:color="000000" w:sz="4" w:space="0"/>
              <w:bottom w:val="single" w:color="000000" w:sz="4" w:space="0"/>
              <w:right w:val="single" w:color="000000" w:sz="4" w:space="0"/>
            </w:tcBorders>
          </w:tcPr>
          <w:p w14:paraId="56C7AF1A">
            <w:pPr>
              <w:spacing w:line="440" w:lineRule="exact"/>
              <w:jc w:val="center"/>
              <w:rPr>
                <w:rFonts w:cs="宋体" w:asciiTheme="minorEastAsia" w:hAnsiTheme="minorEastAsia"/>
                <w:szCs w:val="21"/>
              </w:rPr>
            </w:pPr>
          </w:p>
        </w:tc>
      </w:tr>
      <w:tr w14:paraId="280C55B9">
        <w:tblPrEx>
          <w:tblCellMar>
            <w:top w:w="0" w:type="dxa"/>
            <w:left w:w="108" w:type="dxa"/>
            <w:bottom w:w="0" w:type="dxa"/>
            <w:right w:w="108" w:type="dxa"/>
          </w:tblCellMar>
        </w:tblPrEx>
        <w:trPr>
          <w:trHeight w:val="566" w:hRule="atLeast"/>
        </w:trPr>
        <w:tc>
          <w:tcPr>
            <w:tcW w:w="1794" w:type="dxa"/>
            <w:tcBorders>
              <w:top w:val="single" w:color="000000" w:sz="4" w:space="0"/>
              <w:left w:val="single" w:color="000000" w:sz="4" w:space="0"/>
              <w:bottom w:val="single" w:color="000000" w:sz="4" w:space="0"/>
              <w:right w:val="single" w:color="000000" w:sz="4" w:space="0"/>
            </w:tcBorders>
          </w:tcPr>
          <w:p w14:paraId="6F082E9E">
            <w:pPr>
              <w:spacing w:line="440" w:lineRule="exact"/>
              <w:jc w:val="center"/>
              <w:rPr>
                <w:rFonts w:cs="宋体" w:asciiTheme="minorEastAsia" w:hAnsiTheme="minorEastAsia"/>
                <w:szCs w:val="21"/>
              </w:rPr>
            </w:pPr>
            <w:r>
              <w:rPr>
                <w:rFonts w:hint="eastAsia" w:ascii="Times New Roman" w:hAnsi="Times New Roman" w:cs="宋体"/>
                <w:szCs w:val="21"/>
              </w:rPr>
              <w:t>team</w:t>
            </w:r>
            <w:r>
              <w:rPr>
                <w:rFonts w:hint="eastAsia" w:cs="宋体" w:asciiTheme="minorEastAsia" w:hAnsiTheme="minorEastAsia"/>
                <w:szCs w:val="21"/>
              </w:rPr>
              <w:t>_</w:t>
            </w:r>
            <w:r>
              <w:rPr>
                <w:rFonts w:hint="eastAsia" w:ascii="Times New Roman" w:hAnsi="Times New Roman" w:cs="宋体"/>
                <w:szCs w:val="21"/>
              </w:rPr>
              <w:t>id</w:t>
            </w:r>
          </w:p>
        </w:tc>
        <w:tc>
          <w:tcPr>
            <w:tcW w:w="1794" w:type="dxa"/>
            <w:tcBorders>
              <w:top w:val="single" w:color="000000" w:sz="4" w:space="0"/>
              <w:left w:val="single" w:color="000000" w:sz="4" w:space="0"/>
              <w:bottom w:val="single" w:color="000000" w:sz="4" w:space="0"/>
              <w:right w:val="single" w:color="000000" w:sz="4" w:space="0"/>
            </w:tcBorders>
          </w:tcPr>
          <w:p w14:paraId="2F2E117E">
            <w:pPr>
              <w:spacing w:line="440" w:lineRule="exact"/>
              <w:jc w:val="center"/>
              <w:rPr>
                <w:rFonts w:cs="宋体" w:asciiTheme="minorEastAsia" w:hAnsiTheme="minorEastAsia"/>
                <w:szCs w:val="21"/>
              </w:rPr>
            </w:pPr>
            <w:r>
              <w:rPr>
                <w:rFonts w:hint="eastAsia" w:cs="宋体" w:asciiTheme="minorEastAsia" w:hAnsiTheme="minorEastAsia"/>
                <w:szCs w:val="21"/>
              </w:rPr>
              <w:t>社团名称</w:t>
            </w:r>
          </w:p>
        </w:tc>
        <w:tc>
          <w:tcPr>
            <w:tcW w:w="1795" w:type="dxa"/>
            <w:tcBorders>
              <w:top w:val="single" w:color="000000" w:sz="4" w:space="0"/>
              <w:left w:val="single" w:color="000000" w:sz="4" w:space="0"/>
              <w:bottom w:val="single" w:color="000000" w:sz="4" w:space="0"/>
              <w:right w:val="single" w:color="000000" w:sz="4" w:space="0"/>
            </w:tcBorders>
          </w:tcPr>
          <w:p w14:paraId="52D859A9">
            <w:pPr>
              <w:spacing w:line="440" w:lineRule="exact"/>
              <w:jc w:val="center"/>
              <w:rPr>
                <w:rFonts w:cs="宋体" w:asciiTheme="minorEastAsia" w:hAnsiTheme="minorEastAsia"/>
                <w:szCs w:val="21"/>
              </w:rPr>
            </w:pPr>
            <w:r>
              <w:rPr>
                <w:rFonts w:hint="eastAsia" w:ascii="Times New Roman" w:hAnsi="Times New Roman" w:cs="宋体"/>
                <w:szCs w:val="21"/>
              </w:rPr>
              <w:t>varvhar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95" w:type="dxa"/>
            <w:tcBorders>
              <w:top w:val="single" w:color="000000" w:sz="4" w:space="0"/>
              <w:left w:val="single" w:color="000000" w:sz="4" w:space="0"/>
              <w:bottom w:val="single" w:color="000000" w:sz="4" w:space="0"/>
              <w:right w:val="single" w:color="000000" w:sz="4" w:space="0"/>
            </w:tcBorders>
          </w:tcPr>
          <w:p w14:paraId="73ABCC7A">
            <w:pPr>
              <w:spacing w:line="440" w:lineRule="exact"/>
              <w:jc w:val="center"/>
              <w:rPr>
                <w:rFonts w:cs="宋体" w:asciiTheme="minorEastAsia" w:hAnsiTheme="minorEastAsia"/>
                <w:szCs w:val="21"/>
              </w:rPr>
            </w:pPr>
          </w:p>
        </w:tc>
      </w:tr>
      <w:tr w14:paraId="5A82569D">
        <w:tblPrEx>
          <w:tblCellMar>
            <w:top w:w="0" w:type="dxa"/>
            <w:left w:w="108" w:type="dxa"/>
            <w:bottom w:w="0" w:type="dxa"/>
            <w:right w:w="108" w:type="dxa"/>
          </w:tblCellMar>
        </w:tblPrEx>
        <w:trPr>
          <w:trHeight w:val="566" w:hRule="atLeast"/>
        </w:trPr>
        <w:tc>
          <w:tcPr>
            <w:tcW w:w="1794" w:type="dxa"/>
            <w:tcBorders>
              <w:top w:val="single" w:color="000000" w:sz="4" w:space="0"/>
              <w:left w:val="single" w:color="000000" w:sz="4" w:space="0"/>
              <w:bottom w:val="single" w:color="000000" w:sz="4" w:space="0"/>
              <w:right w:val="single" w:color="000000" w:sz="4" w:space="0"/>
            </w:tcBorders>
          </w:tcPr>
          <w:p w14:paraId="46EB7215">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794" w:type="dxa"/>
            <w:tcBorders>
              <w:top w:val="single" w:color="000000" w:sz="4" w:space="0"/>
              <w:left w:val="single" w:color="000000" w:sz="4" w:space="0"/>
              <w:bottom w:val="single" w:color="000000" w:sz="4" w:space="0"/>
              <w:right w:val="single" w:color="000000" w:sz="4" w:space="0"/>
            </w:tcBorders>
          </w:tcPr>
          <w:p w14:paraId="3383BE92">
            <w:pPr>
              <w:spacing w:line="440" w:lineRule="exact"/>
              <w:jc w:val="center"/>
              <w:rPr>
                <w:rFonts w:cs="宋体" w:asciiTheme="minorEastAsia" w:hAnsiTheme="minorEastAsia"/>
                <w:szCs w:val="21"/>
              </w:rPr>
            </w:pPr>
            <w:r>
              <w:rPr>
                <w:rFonts w:hint="eastAsia" w:cs="宋体" w:asciiTheme="minorEastAsia" w:hAnsiTheme="minorEastAsia"/>
                <w:szCs w:val="21"/>
              </w:rPr>
              <w:t>缴费时间</w:t>
            </w:r>
          </w:p>
        </w:tc>
        <w:tc>
          <w:tcPr>
            <w:tcW w:w="1795" w:type="dxa"/>
            <w:tcBorders>
              <w:top w:val="single" w:color="000000" w:sz="4" w:space="0"/>
              <w:left w:val="single" w:color="000000" w:sz="4" w:space="0"/>
              <w:bottom w:val="single" w:color="000000" w:sz="4" w:space="0"/>
              <w:right w:val="single" w:color="000000" w:sz="4" w:space="0"/>
            </w:tcBorders>
          </w:tcPr>
          <w:p w14:paraId="5B18CEC5">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95" w:type="dxa"/>
            <w:tcBorders>
              <w:top w:val="single" w:color="000000" w:sz="4" w:space="0"/>
              <w:left w:val="single" w:color="000000" w:sz="4" w:space="0"/>
              <w:bottom w:val="single" w:color="000000" w:sz="4" w:space="0"/>
              <w:right w:val="single" w:color="000000" w:sz="4" w:space="0"/>
            </w:tcBorders>
          </w:tcPr>
          <w:p w14:paraId="1E3AA42E">
            <w:pPr>
              <w:spacing w:line="440" w:lineRule="exact"/>
              <w:jc w:val="center"/>
              <w:rPr>
                <w:rFonts w:cs="宋体" w:asciiTheme="minorEastAsia" w:hAnsiTheme="minorEastAsia"/>
                <w:szCs w:val="21"/>
              </w:rPr>
            </w:pPr>
          </w:p>
        </w:tc>
      </w:tr>
      <w:tr w14:paraId="4DF7EA55">
        <w:tblPrEx>
          <w:tblCellMar>
            <w:top w:w="0" w:type="dxa"/>
            <w:left w:w="108" w:type="dxa"/>
            <w:bottom w:w="0" w:type="dxa"/>
            <w:right w:w="108" w:type="dxa"/>
          </w:tblCellMar>
        </w:tblPrEx>
        <w:trPr>
          <w:trHeight w:val="662" w:hRule="atLeast"/>
        </w:trPr>
        <w:tc>
          <w:tcPr>
            <w:tcW w:w="1794" w:type="dxa"/>
            <w:tcBorders>
              <w:top w:val="single" w:color="000000" w:sz="4" w:space="0"/>
              <w:left w:val="single" w:color="000000" w:sz="4" w:space="0"/>
              <w:bottom w:val="single" w:color="000000" w:sz="4" w:space="0"/>
              <w:right w:val="single" w:color="000000" w:sz="4" w:space="0"/>
            </w:tcBorders>
          </w:tcPr>
          <w:p w14:paraId="25B08100">
            <w:pPr>
              <w:spacing w:line="440" w:lineRule="exact"/>
              <w:jc w:val="center"/>
              <w:rPr>
                <w:rFonts w:cs="宋体" w:asciiTheme="minorEastAsia" w:hAnsiTheme="minorEastAsia"/>
                <w:szCs w:val="21"/>
              </w:rPr>
            </w:pPr>
            <w:r>
              <w:rPr>
                <w:rFonts w:hint="eastAsia" w:ascii="Times New Roman" w:hAnsi="Times New Roman" w:cs="宋体"/>
                <w:szCs w:val="21"/>
              </w:rPr>
              <w:t>user</w:t>
            </w:r>
            <w:r>
              <w:rPr>
                <w:rFonts w:hint="eastAsia" w:cs="宋体" w:asciiTheme="minorEastAsia" w:hAnsiTheme="minorEastAsia"/>
                <w:szCs w:val="21"/>
              </w:rPr>
              <w:t>_</w:t>
            </w:r>
            <w:r>
              <w:rPr>
                <w:rFonts w:hint="eastAsia" w:ascii="Times New Roman" w:hAnsi="Times New Roman" w:cs="宋体"/>
                <w:szCs w:val="21"/>
              </w:rPr>
              <w:t>id</w:t>
            </w:r>
          </w:p>
        </w:tc>
        <w:tc>
          <w:tcPr>
            <w:tcW w:w="1794" w:type="dxa"/>
            <w:tcBorders>
              <w:top w:val="single" w:color="000000" w:sz="4" w:space="0"/>
              <w:left w:val="single" w:color="000000" w:sz="4" w:space="0"/>
              <w:bottom w:val="single" w:color="000000" w:sz="4" w:space="0"/>
              <w:right w:val="single" w:color="000000" w:sz="4" w:space="0"/>
            </w:tcBorders>
          </w:tcPr>
          <w:p w14:paraId="419AB404">
            <w:pPr>
              <w:spacing w:line="440" w:lineRule="exact"/>
              <w:jc w:val="center"/>
              <w:rPr>
                <w:rFonts w:cs="宋体" w:asciiTheme="minorEastAsia" w:hAnsiTheme="minorEastAsia"/>
                <w:szCs w:val="21"/>
              </w:rPr>
            </w:pPr>
            <w:r>
              <w:rPr>
                <w:rFonts w:hint="eastAsia" w:cs="宋体" w:asciiTheme="minorEastAsia" w:hAnsiTheme="minorEastAsia"/>
                <w:szCs w:val="21"/>
              </w:rPr>
              <w:t>成员姓名</w:t>
            </w:r>
          </w:p>
        </w:tc>
        <w:tc>
          <w:tcPr>
            <w:tcW w:w="1795" w:type="dxa"/>
            <w:tcBorders>
              <w:top w:val="single" w:color="000000" w:sz="4" w:space="0"/>
              <w:left w:val="single" w:color="000000" w:sz="4" w:space="0"/>
              <w:bottom w:val="single" w:color="000000" w:sz="4" w:space="0"/>
              <w:right w:val="single" w:color="000000" w:sz="4" w:space="0"/>
            </w:tcBorders>
          </w:tcPr>
          <w:p w14:paraId="534D087C">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95" w:type="dxa"/>
            <w:tcBorders>
              <w:top w:val="single" w:color="000000" w:sz="4" w:space="0"/>
              <w:left w:val="single" w:color="000000" w:sz="4" w:space="0"/>
              <w:bottom w:val="single" w:color="000000" w:sz="4" w:space="0"/>
              <w:right w:val="single" w:color="000000" w:sz="4" w:space="0"/>
            </w:tcBorders>
          </w:tcPr>
          <w:p w14:paraId="4957D03E">
            <w:pPr>
              <w:spacing w:line="440" w:lineRule="exact"/>
              <w:jc w:val="center"/>
              <w:rPr>
                <w:rFonts w:cs="宋体" w:asciiTheme="minorEastAsia" w:hAnsiTheme="minorEastAsia"/>
                <w:szCs w:val="21"/>
              </w:rPr>
            </w:pPr>
          </w:p>
        </w:tc>
      </w:tr>
    </w:tbl>
    <w:p w14:paraId="7080AE03">
      <w:pPr>
        <w:rPr>
          <w:rFonts w:ascii="宋体" w:hAnsi="宋体" w:cs="宋体"/>
          <w:sz w:val="24"/>
        </w:rPr>
      </w:pPr>
    </w:p>
    <w:p w14:paraId="5A588496">
      <w:pPr>
        <w:tabs>
          <w:tab w:val="left" w:pos="1584"/>
        </w:tabs>
        <w:outlineLvl w:val="9"/>
        <w:rPr>
          <w:rFonts w:ascii="宋体" w:hAnsi="宋体" w:cs="宋体"/>
          <w:sz w:val="24"/>
        </w:rPr>
      </w:pPr>
    </w:p>
    <w:p w14:paraId="3B988479"/>
    <w:p w14:paraId="37D68FFB">
      <w:pPr>
        <w:tabs>
          <w:tab w:val="left" w:pos="1584"/>
        </w:tabs>
        <w:ind w:left="0" w:firstLine="0"/>
        <w:outlineLvl w:val="9"/>
      </w:pPr>
    </w:p>
    <w:p w14:paraId="0B263B2B">
      <w:pPr>
        <w:autoSpaceDE w:val="0"/>
        <w:spacing w:line="440" w:lineRule="exact"/>
        <w:ind w:firstLine="480" w:firstLineChars="200"/>
        <w:rPr>
          <w:rFonts w:ascii="宋体" w:hAnsi="宋体" w:cs="宋体"/>
          <w:sz w:val="24"/>
          <w:lang w:bidi="ar"/>
        </w:rPr>
      </w:pPr>
    </w:p>
    <w:p w14:paraId="0F8E6EDE">
      <w:pPr>
        <w:autoSpaceDE w:val="0"/>
        <w:spacing w:line="440" w:lineRule="exact"/>
        <w:ind w:firstLine="480" w:firstLineChars="200"/>
        <w:rPr>
          <w:rFonts w:ascii="宋体" w:hAnsi="宋体" w:cs="宋体"/>
          <w:sz w:val="24"/>
          <w:lang w:bidi="ar"/>
        </w:rPr>
      </w:pPr>
    </w:p>
    <w:p w14:paraId="4E4F3E77">
      <w:pPr>
        <w:autoSpaceDE w:val="0"/>
        <w:spacing w:line="440" w:lineRule="exact"/>
        <w:ind w:firstLine="480" w:firstLineChars="200"/>
        <w:rPr>
          <w:rFonts w:ascii="宋体" w:hAnsi="宋体" w:cs="宋体"/>
          <w:sz w:val="24"/>
          <w:lang w:bidi="ar"/>
        </w:rPr>
      </w:pPr>
    </w:p>
    <w:p w14:paraId="62E3577F">
      <w:pPr>
        <w:autoSpaceDE w:val="0"/>
        <w:spacing w:line="440" w:lineRule="exact"/>
        <w:ind w:firstLine="480" w:firstLineChars="200"/>
        <w:rPr>
          <w:rFonts w:ascii="宋体" w:hAnsi="宋体" w:cs="宋体"/>
          <w:sz w:val="24"/>
          <w:lang w:bidi="ar"/>
        </w:rPr>
      </w:pPr>
    </w:p>
    <w:p w14:paraId="44429246">
      <w:pPr>
        <w:autoSpaceDE w:val="0"/>
        <w:spacing w:line="440" w:lineRule="exact"/>
        <w:ind w:firstLine="480" w:firstLineChars="200"/>
        <w:rPr>
          <w:rFonts w:ascii="宋体" w:hAnsi="宋体" w:cs="宋体"/>
          <w:sz w:val="24"/>
          <w:lang w:bidi="ar"/>
        </w:rPr>
      </w:pPr>
      <w:r>
        <w:rPr>
          <w:rFonts w:ascii="Times New Roman" w:hAnsi="Times New Roman"/>
          <w:sz w:val="24"/>
          <w:lang w:bidi="ar"/>
        </w:rPr>
        <w:t>3.4.7</w:t>
      </w:r>
      <w:r>
        <w:rPr>
          <w:rFonts w:hint="eastAsia" w:ascii="宋体" w:hAnsi="宋体" w:cs="宋体"/>
          <w:sz w:val="24"/>
          <w:lang w:bidi="ar"/>
        </w:rPr>
        <w:t>社团类型表</w:t>
      </w:r>
    </w:p>
    <w:p w14:paraId="49BEB614">
      <w:pPr>
        <w:spacing w:line="440" w:lineRule="exact"/>
        <w:ind w:firstLine="480" w:firstLineChars="200"/>
        <w:rPr>
          <w:rFonts w:ascii="宋体" w:hAnsi="宋体" w:cs="宋体"/>
          <w:sz w:val="24"/>
          <w:lang w:bidi="ar"/>
        </w:rPr>
      </w:pPr>
      <w:r>
        <w:rPr>
          <w:rFonts w:hint="eastAsia" w:ascii="宋体" w:hAnsi="宋体" w:cs="宋体"/>
          <w:sz w:val="24"/>
          <w:lang w:bidi="ar"/>
        </w:rPr>
        <w:t>社团类型表用来存储寄社团创建的相关信息，具体的表结构如表</w:t>
      </w:r>
      <w:r>
        <w:rPr>
          <w:rFonts w:hint="eastAsia" w:ascii="Times New Roman" w:hAnsi="Times New Roman" w:cs="宋体"/>
          <w:sz w:val="24"/>
          <w:lang w:bidi="ar"/>
        </w:rPr>
        <w:t>3-12</w:t>
      </w:r>
      <w:r>
        <w:rPr>
          <w:rFonts w:hint="eastAsia" w:ascii="宋体" w:hAnsi="宋体" w:cs="宋体"/>
          <w:sz w:val="24"/>
          <w:lang w:bidi="ar"/>
        </w:rPr>
        <w:t>所示。</w:t>
      </w:r>
    </w:p>
    <w:p w14:paraId="76B3FA96">
      <w:pPr>
        <w:spacing w:line="440" w:lineRule="exact"/>
        <w:jc w:val="center"/>
        <w:rPr>
          <w:rFonts w:ascii="宋体" w:hAnsi="宋体" w:cs="宋体"/>
          <w:sz w:val="24"/>
          <w:lang w:bidi="ar"/>
        </w:rPr>
      </w:pPr>
      <w:r>
        <w:rPr>
          <w:rFonts w:hint="eastAsia" w:ascii="宋体" w:hAnsi="宋体" w:cs="宋体"/>
          <w:szCs w:val="21"/>
          <w:lang w:bidi="ar"/>
        </w:rPr>
        <w:t>表</w:t>
      </w:r>
      <w:r>
        <w:rPr>
          <w:rFonts w:hint="eastAsia" w:ascii="Times New Roman" w:hAnsi="Times New Roman" w:cs="宋体"/>
          <w:sz w:val="24"/>
          <w:lang w:bidi="ar"/>
        </w:rPr>
        <w:t>3-12</w:t>
      </w:r>
      <w:r>
        <w:rPr>
          <w:rFonts w:hint="eastAsia" w:ascii="宋体" w:hAnsi="宋体" w:cs="宋体"/>
          <w:szCs w:val="21"/>
          <w:lang w:bidi="ar"/>
        </w:rPr>
        <w:t>社团类型表</w:t>
      </w:r>
    </w:p>
    <w:tbl>
      <w:tblPr>
        <w:tblStyle w:val="35"/>
        <w:tblW w:w="0" w:type="auto"/>
        <w:jc w:val="center"/>
        <w:tblLayout w:type="autofit"/>
        <w:tblCellMar>
          <w:top w:w="0" w:type="dxa"/>
          <w:left w:w="108" w:type="dxa"/>
          <w:bottom w:w="0" w:type="dxa"/>
          <w:right w:w="108" w:type="dxa"/>
        </w:tblCellMar>
      </w:tblPr>
      <w:tblGrid>
        <w:gridCol w:w="1784"/>
        <w:gridCol w:w="1784"/>
        <w:gridCol w:w="1785"/>
        <w:gridCol w:w="1785"/>
      </w:tblGrid>
      <w:tr w14:paraId="7DA518AF">
        <w:tblPrEx>
          <w:tblCellMar>
            <w:top w:w="0" w:type="dxa"/>
            <w:left w:w="108" w:type="dxa"/>
            <w:bottom w:w="0" w:type="dxa"/>
            <w:right w:w="108" w:type="dxa"/>
          </w:tblCellMar>
        </w:tblPrEx>
        <w:trPr>
          <w:trHeight w:val="488" w:hRule="atLeast"/>
          <w:jc w:val="center"/>
        </w:trPr>
        <w:tc>
          <w:tcPr>
            <w:tcW w:w="1784" w:type="dxa"/>
            <w:tcBorders>
              <w:top w:val="single" w:color="000000" w:sz="4" w:space="0"/>
              <w:left w:val="single" w:color="000000" w:sz="4" w:space="0"/>
              <w:bottom w:val="single" w:color="000000" w:sz="4" w:space="0"/>
              <w:right w:val="single" w:color="000000" w:sz="4" w:space="0"/>
            </w:tcBorders>
          </w:tcPr>
          <w:p w14:paraId="6C3900BB">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784" w:type="dxa"/>
            <w:tcBorders>
              <w:top w:val="single" w:color="000000" w:sz="4" w:space="0"/>
              <w:left w:val="single" w:color="000000" w:sz="4" w:space="0"/>
              <w:bottom w:val="single" w:color="000000" w:sz="4" w:space="0"/>
              <w:right w:val="single" w:color="000000" w:sz="4" w:space="0"/>
            </w:tcBorders>
          </w:tcPr>
          <w:p w14:paraId="098E19CB">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785" w:type="dxa"/>
            <w:tcBorders>
              <w:top w:val="single" w:color="000000" w:sz="4" w:space="0"/>
              <w:left w:val="single" w:color="000000" w:sz="4" w:space="0"/>
              <w:bottom w:val="single" w:color="000000" w:sz="4" w:space="0"/>
              <w:right w:val="single" w:color="000000" w:sz="4" w:space="0"/>
            </w:tcBorders>
          </w:tcPr>
          <w:p w14:paraId="5E265397">
            <w:pPr>
              <w:spacing w:line="440" w:lineRule="exact"/>
              <w:jc w:val="center"/>
              <w:rPr>
                <w:rFonts w:cs="宋体" w:asciiTheme="minorEastAsia" w:hAnsiTheme="minorEastAsia"/>
                <w:szCs w:val="21"/>
              </w:rPr>
            </w:pPr>
            <w:r>
              <w:rPr>
                <w:rFonts w:hint="eastAsia" w:cs="宋体" w:asciiTheme="minorEastAsia" w:hAnsiTheme="minorEastAsia"/>
                <w:szCs w:val="21"/>
              </w:rPr>
              <w:t>类型</w:t>
            </w:r>
          </w:p>
        </w:tc>
        <w:tc>
          <w:tcPr>
            <w:tcW w:w="1785" w:type="dxa"/>
            <w:tcBorders>
              <w:top w:val="single" w:color="000000" w:sz="4" w:space="0"/>
              <w:left w:val="single" w:color="000000" w:sz="4" w:space="0"/>
              <w:bottom w:val="single" w:color="000000" w:sz="4" w:space="0"/>
              <w:right w:val="single" w:color="000000" w:sz="4" w:space="0"/>
            </w:tcBorders>
          </w:tcPr>
          <w:p w14:paraId="24D794EC">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131884BC">
        <w:tblPrEx>
          <w:tblCellMar>
            <w:top w:w="0" w:type="dxa"/>
            <w:left w:w="108" w:type="dxa"/>
            <w:bottom w:w="0" w:type="dxa"/>
            <w:right w:w="108" w:type="dxa"/>
          </w:tblCellMar>
        </w:tblPrEx>
        <w:trPr>
          <w:trHeight w:val="488" w:hRule="atLeast"/>
          <w:jc w:val="center"/>
        </w:trPr>
        <w:tc>
          <w:tcPr>
            <w:tcW w:w="1784" w:type="dxa"/>
            <w:tcBorders>
              <w:top w:val="single" w:color="000000" w:sz="4" w:space="0"/>
              <w:left w:val="single" w:color="000000" w:sz="4" w:space="0"/>
              <w:bottom w:val="single" w:color="000000" w:sz="4" w:space="0"/>
              <w:right w:val="single" w:color="000000" w:sz="4" w:space="0"/>
            </w:tcBorders>
          </w:tcPr>
          <w:p w14:paraId="1F22B576">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784" w:type="dxa"/>
            <w:tcBorders>
              <w:top w:val="single" w:color="000000" w:sz="4" w:space="0"/>
              <w:left w:val="single" w:color="000000" w:sz="4" w:space="0"/>
              <w:bottom w:val="single" w:color="000000" w:sz="4" w:space="0"/>
              <w:right w:val="single" w:color="000000" w:sz="4" w:space="0"/>
            </w:tcBorders>
          </w:tcPr>
          <w:p w14:paraId="5496B54D">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785" w:type="dxa"/>
            <w:tcBorders>
              <w:top w:val="single" w:color="000000" w:sz="4" w:space="0"/>
              <w:left w:val="single" w:color="000000" w:sz="4" w:space="0"/>
              <w:bottom w:val="single" w:color="000000" w:sz="4" w:space="0"/>
              <w:right w:val="single" w:color="000000" w:sz="4" w:space="0"/>
            </w:tcBorders>
          </w:tcPr>
          <w:p w14:paraId="63CAAC86">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225</w:t>
            </w:r>
            <w:r>
              <w:rPr>
                <w:rFonts w:hint="eastAsia" w:cs="宋体" w:asciiTheme="minorEastAsia" w:hAnsiTheme="minorEastAsia"/>
                <w:szCs w:val="21"/>
              </w:rPr>
              <w:t>)</w:t>
            </w:r>
          </w:p>
        </w:tc>
        <w:tc>
          <w:tcPr>
            <w:tcW w:w="1785" w:type="dxa"/>
            <w:tcBorders>
              <w:top w:val="single" w:color="000000" w:sz="4" w:space="0"/>
              <w:left w:val="single" w:color="000000" w:sz="4" w:space="0"/>
              <w:bottom w:val="single" w:color="000000" w:sz="4" w:space="0"/>
              <w:right w:val="single" w:color="000000" w:sz="4" w:space="0"/>
            </w:tcBorders>
          </w:tcPr>
          <w:p w14:paraId="1D79C64D">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226F1045">
        <w:tblPrEx>
          <w:tblCellMar>
            <w:top w:w="0" w:type="dxa"/>
            <w:left w:w="108" w:type="dxa"/>
            <w:bottom w:w="0" w:type="dxa"/>
            <w:right w:w="108" w:type="dxa"/>
          </w:tblCellMar>
        </w:tblPrEx>
        <w:trPr>
          <w:trHeight w:val="488" w:hRule="atLeast"/>
          <w:jc w:val="center"/>
        </w:trPr>
        <w:tc>
          <w:tcPr>
            <w:tcW w:w="1784" w:type="dxa"/>
            <w:tcBorders>
              <w:top w:val="single" w:color="000000" w:sz="4" w:space="0"/>
              <w:left w:val="single" w:color="000000" w:sz="4" w:space="0"/>
              <w:bottom w:val="single" w:color="000000" w:sz="4" w:space="0"/>
              <w:right w:val="single" w:color="000000" w:sz="4" w:space="0"/>
            </w:tcBorders>
          </w:tcPr>
          <w:p w14:paraId="32F55531">
            <w:pPr>
              <w:spacing w:line="440" w:lineRule="exact"/>
              <w:jc w:val="center"/>
              <w:rPr>
                <w:rFonts w:cs="宋体" w:asciiTheme="minorEastAsia" w:hAnsiTheme="minorEastAsia"/>
                <w:szCs w:val="21"/>
              </w:rPr>
            </w:pPr>
            <w:r>
              <w:rPr>
                <w:rFonts w:hint="eastAsia" w:ascii="Times New Roman" w:hAnsi="Times New Roman" w:cs="宋体"/>
                <w:szCs w:val="21"/>
              </w:rPr>
              <w:t>name</w:t>
            </w:r>
          </w:p>
        </w:tc>
        <w:tc>
          <w:tcPr>
            <w:tcW w:w="1784" w:type="dxa"/>
            <w:tcBorders>
              <w:top w:val="single" w:color="000000" w:sz="4" w:space="0"/>
              <w:left w:val="single" w:color="000000" w:sz="4" w:space="0"/>
              <w:bottom w:val="single" w:color="000000" w:sz="4" w:space="0"/>
              <w:right w:val="single" w:color="000000" w:sz="4" w:space="0"/>
            </w:tcBorders>
          </w:tcPr>
          <w:p w14:paraId="56BE6682">
            <w:pPr>
              <w:spacing w:line="440" w:lineRule="exact"/>
              <w:jc w:val="center"/>
              <w:rPr>
                <w:rFonts w:cs="宋体" w:asciiTheme="minorEastAsia" w:hAnsiTheme="minorEastAsia"/>
                <w:szCs w:val="21"/>
              </w:rPr>
            </w:pPr>
            <w:r>
              <w:rPr>
                <w:rFonts w:hint="eastAsia" w:cs="宋体" w:asciiTheme="minorEastAsia" w:hAnsiTheme="minorEastAsia"/>
                <w:szCs w:val="21"/>
              </w:rPr>
              <w:t>类型名称</w:t>
            </w:r>
          </w:p>
        </w:tc>
        <w:tc>
          <w:tcPr>
            <w:tcW w:w="1785" w:type="dxa"/>
            <w:tcBorders>
              <w:top w:val="single" w:color="000000" w:sz="4" w:space="0"/>
              <w:left w:val="single" w:color="000000" w:sz="4" w:space="0"/>
              <w:bottom w:val="single" w:color="000000" w:sz="4" w:space="0"/>
              <w:right w:val="single" w:color="000000" w:sz="4" w:space="0"/>
            </w:tcBorders>
          </w:tcPr>
          <w:p w14:paraId="5ADA43C2">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225</w:t>
            </w:r>
            <w:r>
              <w:rPr>
                <w:rFonts w:hint="eastAsia" w:cs="宋体" w:asciiTheme="minorEastAsia" w:hAnsiTheme="minorEastAsia"/>
                <w:szCs w:val="21"/>
              </w:rPr>
              <w:t>)</w:t>
            </w:r>
          </w:p>
        </w:tc>
        <w:tc>
          <w:tcPr>
            <w:tcW w:w="1785" w:type="dxa"/>
            <w:tcBorders>
              <w:top w:val="single" w:color="000000" w:sz="4" w:space="0"/>
              <w:left w:val="single" w:color="000000" w:sz="4" w:space="0"/>
              <w:bottom w:val="single" w:color="000000" w:sz="4" w:space="0"/>
              <w:right w:val="single" w:color="000000" w:sz="4" w:space="0"/>
            </w:tcBorders>
          </w:tcPr>
          <w:p w14:paraId="6DB9724A">
            <w:pPr>
              <w:spacing w:line="440" w:lineRule="exact"/>
              <w:jc w:val="center"/>
              <w:rPr>
                <w:rFonts w:cs="宋体" w:asciiTheme="minorEastAsia" w:hAnsiTheme="minorEastAsia"/>
                <w:szCs w:val="21"/>
              </w:rPr>
            </w:pPr>
          </w:p>
        </w:tc>
      </w:tr>
      <w:tr w14:paraId="2D744924">
        <w:tblPrEx>
          <w:tblCellMar>
            <w:top w:w="0" w:type="dxa"/>
            <w:left w:w="108" w:type="dxa"/>
            <w:bottom w:w="0" w:type="dxa"/>
            <w:right w:w="108" w:type="dxa"/>
          </w:tblCellMar>
        </w:tblPrEx>
        <w:trPr>
          <w:trHeight w:val="509" w:hRule="atLeast"/>
          <w:jc w:val="center"/>
        </w:trPr>
        <w:tc>
          <w:tcPr>
            <w:tcW w:w="1784" w:type="dxa"/>
            <w:tcBorders>
              <w:top w:val="single" w:color="000000" w:sz="4" w:space="0"/>
              <w:left w:val="single" w:color="000000" w:sz="4" w:space="0"/>
              <w:bottom w:val="single" w:color="000000" w:sz="4" w:space="0"/>
              <w:right w:val="single" w:color="000000" w:sz="4" w:space="0"/>
            </w:tcBorders>
          </w:tcPr>
          <w:p w14:paraId="62DB55C5">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784" w:type="dxa"/>
            <w:tcBorders>
              <w:top w:val="single" w:color="000000" w:sz="4" w:space="0"/>
              <w:left w:val="single" w:color="000000" w:sz="4" w:space="0"/>
              <w:bottom w:val="single" w:color="000000" w:sz="4" w:space="0"/>
              <w:right w:val="single" w:color="000000" w:sz="4" w:space="0"/>
            </w:tcBorders>
          </w:tcPr>
          <w:p w14:paraId="1ED1D847">
            <w:pPr>
              <w:spacing w:line="440" w:lineRule="exact"/>
              <w:jc w:val="center"/>
              <w:rPr>
                <w:rFonts w:cs="宋体" w:asciiTheme="minorEastAsia" w:hAnsiTheme="minorEastAsia"/>
                <w:szCs w:val="21"/>
              </w:rPr>
            </w:pPr>
            <w:r>
              <w:rPr>
                <w:rFonts w:hint="eastAsia" w:cs="宋体" w:asciiTheme="minorEastAsia" w:hAnsiTheme="minorEastAsia"/>
                <w:szCs w:val="21"/>
              </w:rPr>
              <w:t>创建时间</w:t>
            </w:r>
          </w:p>
        </w:tc>
        <w:tc>
          <w:tcPr>
            <w:tcW w:w="1785" w:type="dxa"/>
            <w:tcBorders>
              <w:top w:val="single" w:color="000000" w:sz="4" w:space="0"/>
              <w:left w:val="single" w:color="000000" w:sz="4" w:space="0"/>
              <w:bottom w:val="single" w:color="000000" w:sz="4" w:space="0"/>
              <w:right w:val="single" w:color="000000" w:sz="4" w:space="0"/>
            </w:tcBorders>
          </w:tcPr>
          <w:p w14:paraId="12FC6007">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225</w:t>
            </w:r>
            <w:r>
              <w:rPr>
                <w:rFonts w:hint="eastAsia" w:cs="宋体" w:asciiTheme="minorEastAsia" w:hAnsiTheme="minorEastAsia"/>
                <w:szCs w:val="21"/>
              </w:rPr>
              <w:t>)</w:t>
            </w:r>
          </w:p>
        </w:tc>
        <w:tc>
          <w:tcPr>
            <w:tcW w:w="1785" w:type="dxa"/>
            <w:tcBorders>
              <w:top w:val="single" w:color="000000" w:sz="4" w:space="0"/>
              <w:left w:val="single" w:color="000000" w:sz="4" w:space="0"/>
              <w:bottom w:val="single" w:color="000000" w:sz="4" w:space="0"/>
              <w:right w:val="single" w:color="000000" w:sz="4" w:space="0"/>
            </w:tcBorders>
          </w:tcPr>
          <w:p w14:paraId="33414952">
            <w:pPr>
              <w:spacing w:line="440" w:lineRule="exact"/>
              <w:jc w:val="center"/>
              <w:rPr>
                <w:rFonts w:cs="宋体" w:asciiTheme="minorEastAsia" w:hAnsiTheme="minorEastAsia"/>
                <w:szCs w:val="21"/>
              </w:rPr>
            </w:pPr>
          </w:p>
        </w:tc>
      </w:tr>
    </w:tbl>
    <w:p w14:paraId="54089408">
      <w:pPr>
        <w:autoSpaceDE w:val="0"/>
        <w:spacing w:line="440" w:lineRule="exact"/>
        <w:ind w:firstLine="480" w:firstLineChars="200"/>
        <w:rPr>
          <w:rFonts w:ascii="宋体" w:hAnsi="宋体" w:cs="宋体"/>
          <w:sz w:val="24"/>
          <w:lang w:bidi="ar"/>
        </w:rPr>
      </w:pPr>
      <w:r>
        <w:rPr>
          <w:rFonts w:ascii="Times New Roman" w:hAnsi="Times New Roman"/>
          <w:sz w:val="24"/>
          <w:lang w:bidi="ar"/>
        </w:rPr>
        <w:t>3.4.8</w:t>
      </w:r>
      <w:r>
        <w:rPr>
          <w:rFonts w:hint="eastAsia" w:ascii="宋体" w:hAnsi="宋体" w:cs="宋体"/>
          <w:sz w:val="24"/>
          <w:lang w:bidi="ar"/>
        </w:rPr>
        <w:t>社团信息表</w:t>
      </w:r>
    </w:p>
    <w:p w14:paraId="06CB1BD7">
      <w:pPr>
        <w:spacing w:line="440" w:lineRule="exact"/>
        <w:ind w:firstLine="480" w:firstLineChars="200"/>
        <w:rPr>
          <w:rFonts w:ascii="宋体" w:hAnsi="宋体" w:cs="宋体"/>
          <w:sz w:val="24"/>
          <w:lang w:bidi="ar"/>
        </w:rPr>
      </w:pPr>
      <w:r>
        <w:rPr>
          <w:rFonts w:hint="eastAsia" w:ascii="宋体" w:hAnsi="宋体" w:cs="宋体"/>
          <w:sz w:val="24"/>
          <w:lang w:bidi="ar"/>
        </w:rPr>
        <w:t>社团信息表用来存储社团建立、成员、类型的相关信息，具体的表结构如表</w:t>
      </w:r>
      <w:r>
        <w:rPr>
          <w:rFonts w:hint="eastAsia" w:ascii="Times New Roman" w:hAnsi="Times New Roman" w:cs="宋体"/>
          <w:sz w:val="24"/>
          <w:lang w:bidi="ar"/>
        </w:rPr>
        <w:t>3-13</w:t>
      </w:r>
      <w:r>
        <w:rPr>
          <w:rFonts w:hint="eastAsia" w:ascii="宋体" w:hAnsi="宋体" w:cs="宋体"/>
          <w:sz w:val="24"/>
          <w:lang w:bidi="ar"/>
        </w:rPr>
        <w:t>所示。</w:t>
      </w:r>
    </w:p>
    <w:p w14:paraId="0C63E7FC">
      <w:pPr>
        <w:spacing w:line="440" w:lineRule="exact"/>
        <w:jc w:val="center"/>
        <w:rPr>
          <w:rFonts w:ascii="宋体" w:hAnsi="宋体" w:cs="宋体"/>
          <w:sz w:val="24"/>
          <w:lang w:bidi="ar"/>
        </w:rPr>
      </w:pPr>
      <w:r>
        <w:rPr>
          <w:rFonts w:hint="eastAsia" w:ascii="宋体" w:hAnsi="宋体" w:cs="宋体"/>
          <w:szCs w:val="21"/>
          <w:lang w:bidi="ar"/>
        </w:rPr>
        <w:t>表</w:t>
      </w:r>
      <w:r>
        <w:rPr>
          <w:rFonts w:hint="eastAsia" w:ascii="Times New Roman" w:hAnsi="Times New Roman" w:cs="宋体"/>
          <w:sz w:val="24"/>
          <w:lang w:bidi="ar"/>
        </w:rPr>
        <w:t>3-13</w:t>
      </w:r>
      <w:r>
        <w:rPr>
          <w:rFonts w:hint="eastAsia" w:ascii="宋体" w:hAnsi="宋体" w:cs="宋体"/>
          <w:szCs w:val="21"/>
          <w:lang w:bidi="ar"/>
        </w:rPr>
        <w:t>社团信息表</w:t>
      </w:r>
    </w:p>
    <w:tbl>
      <w:tblPr>
        <w:tblStyle w:val="35"/>
        <w:tblW w:w="6618" w:type="dxa"/>
        <w:jc w:val="center"/>
        <w:tblLayout w:type="autofit"/>
        <w:tblCellMar>
          <w:top w:w="0" w:type="dxa"/>
          <w:left w:w="108" w:type="dxa"/>
          <w:bottom w:w="0" w:type="dxa"/>
          <w:right w:w="108" w:type="dxa"/>
        </w:tblCellMar>
      </w:tblPr>
      <w:tblGrid>
        <w:gridCol w:w="1491"/>
        <w:gridCol w:w="1663"/>
        <w:gridCol w:w="1786"/>
        <w:gridCol w:w="1678"/>
      </w:tblGrid>
      <w:tr w14:paraId="7A8DA1B9">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1962589A">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663" w:type="dxa"/>
            <w:tcBorders>
              <w:top w:val="single" w:color="000000" w:sz="4" w:space="0"/>
              <w:left w:val="single" w:color="000000" w:sz="4" w:space="0"/>
              <w:bottom w:val="single" w:color="000000" w:sz="4" w:space="0"/>
              <w:right w:val="single" w:color="000000" w:sz="4" w:space="0"/>
            </w:tcBorders>
          </w:tcPr>
          <w:p w14:paraId="0C7D2162">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786" w:type="dxa"/>
            <w:tcBorders>
              <w:top w:val="single" w:color="000000" w:sz="4" w:space="0"/>
              <w:left w:val="single" w:color="000000" w:sz="4" w:space="0"/>
              <w:bottom w:val="single" w:color="000000" w:sz="4" w:space="0"/>
              <w:right w:val="single" w:color="000000" w:sz="4" w:space="0"/>
            </w:tcBorders>
          </w:tcPr>
          <w:p w14:paraId="7465C93F">
            <w:pPr>
              <w:spacing w:line="440" w:lineRule="exact"/>
              <w:jc w:val="center"/>
              <w:rPr>
                <w:rFonts w:cs="宋体" w:asciiTheme="minorEastAsia" w:hAnsiTheme="minorEastAsia"/>
                <w:szCs w:val="21"/>
              </w:rPr>
            </w:pPr>
            <w:r>
              <w:rPr>
                <w:rFonts w:hint="eastAsia" w:cs="宋体" w:asciiTheme="minorEastAsia" w:hAnsiTheme="minorEastAsia"/>
                <w:szCs w:val="21"/>
              </w:rPr>
              <w:t>类型</w:t>
            </w:r>
          </w:p>
        </w:tc>
        <w:tc>
          <w:tcPr>
            <w:tcW w:w="1678" w:type="dxa"/>
            <w:tcBorders>
              <w:top w:val="single" w:color="000000" w:sz="4" w:space="0"/>
              <w:left w:val="single" w:color="000000" w:sz="4" w:space="0"/>
              <w:bottom w:val="single" w:color="000000" w:sz="4" w:space="0"/>
              <w:right w:val="single" w:color="000000" w:sz="4" w:space="0"/>
            </w:tcBorders>
          </w:tcPr>
          <w:p w14:paraId="31E30B66">
            <w:pPr>
              <w:spacing w:line="440" w:lineRule="exact"/>
              <w:jc w:val="center"/>
              <w:rPr>
                <w:rFonts w:cs="宋体" w:asciiTheme="minorEastAsia" w:hAnsiTheme="minorEastAsia"/>
                <w:szCs w:val="21"/>
              </w:rPr>
            </w:pPr>
            <w:r>
              <w:rPr>
                <w:rFonts w:hint="eastAsia" w:cs="宋体" w:asciiTheme="minorEastAsia" w:hAnsiTheme="minorEastAsia"/>
                <w:szCs w:val="21"/>
              </w:rPr>
              <w:t>主键</w:t>
            </w:r>
          </w:p>
        </w:tc>
      </w:tr>
      <w:tr w14:paraId="1A3A6A0E">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16A7277F">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663" w:type="dxa"/>
            <w:tcBorders>
              <w:top w:val="single" w:color="000000" w:sz="4" w:space="0"/>
              <w:left w:val="single" w:color="000000" w:sz="4" w:space="0"/>
              <w:bottom w:val="single" w:color="000000" w:sz="4" w:space="0"/>
              <w:right w:val="single" w:color="000000" w:sz="4" w:space="0"/>
            </w:tcBorders>
          </w:tcPr>
          <w:p w14:paraId="5CC5E722">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786" w:type="dxa"/>
            <w:tcBorders>
              <w:top w:val="single" w:color="000000" w:sz="4" w:space="0"/>
              <w:left w:val="single" w:color="000000" w:sz="4" w:space="0"/>
              <w:bottom w:val="single" w:color="000000" w:sz="4" w:space="0"/>
              <w:right w:val="single" w:color="000000" w:sz="4" w:space="0"/>
            </w:tcBorders>
          </w:tcPr>
          <w:p w14:paraId="5D00FB67">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78" w:type="dxa"/>
            <w:tcBorders>
              <w:top w:val="single" w:color="000000" w:sz="4" w:space="0"/>
              <w:left w:val="single" w:color="000000" w:sz="4" w:space="0"/>
              <w:bottom w:val="single" w:color="000000" w:sz="4" w:space="0"/>
              <w:right w:val="single" w:color="000000" w:sz="4" w:space="0"/>
            </w:tcBorders>
          </w:tcPr>
          <w:p w14:paraId="2D580186">
            <w:pPr>
              <w:spacing w:line="440" w:lineRule="exact"/>
              <w:jc w:val="center"/>
              <w:rPr>
                <w:rFonts w:cs="宋体" w:asciiTheme="minorEastAsia" w:hAnsiTheme="minorEastAsia"/>
                <w:szCs w:val="21"/>
              </w:rPr>
            </w:pPr>
            <w:r>
              <w:rPr>
                <w:rFonts w:hint="eastAsia" w:ascii="Times New Roman" w:hAnsi="Times New Roman" w:cs="宋体"/>
                <w:szCs w:val="21"/>
              </w:rPr>
              <w:t>PTI</w:t>
            </w:r>
          </w:p>
        </w:tc>
      </w:tr>
      <w:tr w14:paraId="5F3BD27E">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1B39AB8D">
            <w:pPr>
              <w:spacing w:line="440" w:lineRule="exact"/>
              <w:jc w:val="center"/>
              <w:rPr>
                <w:rFonts w:cs="宋体" w:asciiTheme="minorEastAsia" w:hAnsiTheme="minorEastAsia"/>
                <w:szCs w:val="21"/>
              </w:rPr>
            </w:pPr>
            <w:r>
              <w:rPr>
                <w:rFonts w:hint="eastAsia" w:ascii="Times New Roman" w:hAnsi="Times New Roman" w:cs="宋体"/>
                <w:szCs w:val="21"/>
              </w:rPr>
              <w:t>name</w:t>
            </w:r>
          </w:p>
        </w:tc>
        <w:tc>
          <w:tcPr>
            <w:tcW w:w="1663" w:type="dxa"/>
            <w:tcBorders>
              <w:top w:val="single" w:color="000000" w:sz="4" w:space="0"/>
              <w:left w:val="single" w:color="000000" w:sz="4" w:space="0"/>
              <w:bottom w:val="single" w:color="000000" w:sz="4" w:space="0"/>
              <w:right w:val="single" w:color="000000" w:sz="4" w:space="0"/>
            </w:tcBorders>
          </w:tcPr>
          <w:p w14:paraId="6A73AE75">
            <w:pPr>
              <w:spacing w:line="440" w:lineRule="exact"/>
              <w:jc w:val="center"/>
              <w:rPr>
                <w:rFonts w:cs="宋体" w:asciiTheme="minorEastAsia" w:hAnsiTheme="minorEastAsia"/>
                <w:szCs w:val="21"/>
              </w:rPr>
            </w:pPr>
            <w:r>
              <w:rPr>
                <w:rFonts w:hint="eastAsia" w:cs="宋体" w:asciiTheme="minorEastAsia" w:hAnsiTheme="minorEastAsia"/>
                <w:szCs w:val="21"/>
              </w:rPr>
              <w:t>社团名称</w:t>
            </w:r>
          </w:p>
        </w:tc>
        <w:tc>
          <w:tcPr>
            <w:tcW w:w="1786" w:type="dxa"/>
            <w:tcBorders>
              <w:top w:val="single" w:color="000000" w:sz="4" w:space="0"/>
              <w:left w:val="single" w:color="000000" w:sz="4" w:space="0"/>
              <w:bottom w:val="single" w:color="000000" w:sz="4" w:space="0"/>
              <w:right w:val="single" w:color="000000" w:sz="4" w:space="0"/>
            </w:tcBorders>
          </w:tcPr>
          <w:p w14:paraId="63EF041F">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78" w:type="dxa"/>
            <w:tcBorders>
              <w:top w:val="single" w:color="000000" w:sz="4" w:space="0"/>
              <w:left w:val="single" w:color="000000" w:sz="4" w:space="0"/>
              <w:bottom w:val="single" w:color="000000" w:sz="4" w:space="0"/>
              <w:right w:val="single" w:color="000000" w:sz="4" w:space="0"/>
            </w:tcBorders>
          </w:tcPr>
          <w:p w14:paraId="16EB23AD">
            <w:pPr>
              <w:spacing w:line="440" w:lineRule="exact"/>
              <w:jc w:val="center"/>
              <w:rPr>
                <w:rFonts w:cs="宋体" w:asciiTheme="minorEastAsia" w:hAnsiTheme="minorEastAsia"/>
                <w:szCs w:val="21"/>
              </w:rPr>
            </w:pPr>
          </w:p>
        </w:tc>
      </w:tr>
      <w:tr w14:paraId="569AAF7C">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4F3CC4F7">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663" w:type="dxa"/>
            <w:tcBorders>
              <w:top w:val="single" w:color="000000" w:sz="4" w:space="0"/>
              <w:left w:val="single" w:color="000000" w:sz="4" w:space="0"/>
              <w:bottom w:val="single" w:color="000000" w:sz="4" w:space="0"/>
              <w:right w:val="single" w:color="000000" w:sz="4" w:space="0"/>
            </w:tcBorders>
          </w:tcPr>
          <w:p w14:paraId="67D18135">
            <w:pPr>
              <w:spacing w:line="440" w:lineRule="exact"/>
              <w:jc w:val="center"/>
              <w:rPr>
                <w:rFonts w:cs="宋体" w:asciiTheme="minorEastAsia" w:hAnsiTheme="minorEastAsia"/>
                <w:szCs w:val="21"/>
              </w:rPr>
            </w:pPr>
            <w:r>
              <w:rPr>
                <w:rFonts w:hint="eastAsia" w:cs="宋体" w:asciiTheme="minorEastAsia" w:hAnsiTheme="minorEastAsia"/>
                <w:szCs w:val="21"/>
              </w:rPr>
              <w:t>建立时间</w:t>
            </w:r>
          </w:p>
        </w:tc>
        <w:tc>
          <w:tcPr>
            <w:tcW w:w="1786" w:type="dxa"/>
            <w:tcBorders>
              <w:top w:val="single" w:color="000000" w:sz="4" w:space="0"/>
              <w:left w:val="single" w:color="000000" w:sz="4" w:space="0"/>
              <w:bottom w:val="single" w:color="000000" w:sz="4" w:space="0"/>
              <w:right w:val="single" w:color="000000" w:sz="4" w:space="0"/>
            </w:tcBorders>
          </w:tcPr>
          <w:p w14:paraId="6359D750">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78" w:type="dxa"/>
            <w:tcBorders>
              <w:top w:val="single" w:color="000000" w:sz="4" w:space="0"/>
              <w:left w:val="single" w:color="000000" w:sz="4" w:space="0"/>
              <w:bottom w:val="single" w:color="000000" w:sz="4" w:space="0"/>
              <w:right w:val="single" w:color="000000" w:sz="4" w:space="0"/>
            </w:tcBorders>
          </w:tcPr>
          <w:p w14:paraId="0D15E491">
            <w:pPr>
              <w:spacing w:line="440" w:lineRule="exact"/>
              <w:jc w:val="center"/>
              <w:rPr>
                <w:rFonts w:cs="宋体" w:asciiTheme="minorEastAsia" w:hAnsiTheme="minorEastAsia"/>
                <w:szCs w:val="21"/>
              </w:rPr>
            </w:pPr>
          </w:p>
        </w:tc>
      </w:tr>
      <w:tr w14:paraId="27200F4B">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73356669">
            <w:pPr>
              <w:spacing w:line="440" w:lineRule="exact"/>
              <w:jc w:val="center"/>
              <w:rPr>
                <w:rFonts w:cs="宋体" w:asciiTheme="minorEastAsia" w:hAnsiTheme="minorEastAsia"/>
                <w:szCs w:val="21"/>
              </w:rPr>
            </w:pPr>
            <w:r>
              <w:rPr>
                <w:rFonts w:hint="eastAsia" w:ascii="Times New Roman" w:hAnsi="Times New Roman" w:cs="宋体"/>
                <w:szCs w:val="21"/>
              </w:rPr>
              <w:t>total</w:t>
            </w:r>
          </w:p>
        </w:tc>
        <w:tc>
          <w:tcPr>
            <w:tcW w:w="1663" w:type="dxa"/>
            <w:tcBorders>
              <w:top w:val="single" w:color="000000" w:sz="4" w:space="0"/>
              <w:left w:val="single" w:color="000000" w:sz="4" w:space="0"/>
              <w:bottom w:val="single" w:color="000000" w:sz="4" w:space="0"/>
              <w:right w:val="single" w:color="000000" w:sz="4" w:space="0"/>
            </w:tcBorders>
          </w:tcPr>
          <w:p w14:paraId="1DBBFD12">
            <w:pPr>
              <w:spacing w:line="440" w:lineRule="exact"/>
              <w:jc w:val="center"/>
              <w:rPr>
                <w:rFonts w:cs="宋体" w:asciiTheme="minorEastAsia" w:hAnsiTheme="minorEastAsia"/>
                <w:szCs w:val="21"/>
              </w:rPr>
            </w:pPr>
            <w:r>
              <w:rPr>
                <w:rFonts w:hint="eastAsia" w:cs="宋体" w:asciiTheme="minorEastAsia" w:hAnsiTheme="minorEastAsia"/>
                <w:szCs w:val="21"/>
              </w:rPr>
              <w:t>社团人数</w:t>
            </w:r>
          </w:p>
        </w:tc>
        <w:tc>
          <w:tcPr>
            <w:tcW w:w="1786" w:type="dxa"/>
            <w:tcBorders>
              <w:top w:val="single" w:color="000000" w:sz="4" w:space="0"/>
              <w:left w:val="single" w:color="000000" w:sz="4" w:space="0"/>
              <w:bottom w:val="single" w:color="000000" w:sz="4" w:space="0"/>
              <w:right w:val="single" w:color="000000" w:sz="4" w:space="0"/>
            </w:tcBorders>
          </w:tcPr>
          <w:p w14:paraId="0AC7A66E">
            <w:pPr>
              <w:spacing w:line="440" w:lineRule="exact"/>
              <w:jc w:val="center"/>
              <w:rPr>
                <w:rFonts w:cs="宋体" w:asciiTheme="minorEastAsia" w:hAnsiTheme="minorEastAsia"/>
                <w:szCs w:val="21"/>
              </w:rPr>
            </w:pPr>
            <w:r>
              <w:rPr>
                <w:rFonts w:hint="eastAsia" w:ascii="Times New Roman" w:hAnsi="Times New Roman" w:cs="宋体"/>
                <w:szCs w:val="21"/>
              </w:rPr>
              <w:t>int</w:t>
            </w:r>
          </w:p>
        </w:tc>
        <w:tc>
          <w:tcPr>
            <w:tcW w:w="1678" w:type="dxa"/>
            <w:tcBorders>
              <w:top w:val="single" w:color="000000" w:sz="4" w:space="0"/>
              <w:left w:val="single" w:color="000000" w:sz="4" w:space="0"/>
              <w:bottom w:val="single" w:color="000000" w:sz="4" w:space="0"/>
              <w:right w:val="single" w:color="000000" w:sz="4" w:space="0"/>
            </w:tcBorders>
          </w:tcPr>
          <w:p w14:paraId="0C30BBFF">
            <w:pPr>
              <w:spacing w:line="440" w:lineRule="exact"/>
              <w:jc w:val="center"/>
              <w:rPr>
                <w:rFonts w:cs="宋体" w:asciiTheme="minorEastAsia" w:hAnsiTheme="minorEastAsia"/>
                <w:szCs w:val="21"/>
              </w:rPr>
            </w:pPr>
          </w:p>
        </w:tc>
      </w:tr>
      <w:tr w14:paraId="599DA817">
        <w:tblPrEx>
          <w:tblCellMar>
            <w:top w:w="0" w:type="dxa"/>
            <w:left w:w="108" w:type="dxa"/>
            <w:bottom w:w="0" w:type="dxa"/>
            <w:right w:w="108" w:type="dxa"/>
          </w:tblCellMar>
        </w:tblPrEx>
        <w:trPr>
          <w:trHeight w:val="468"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040AA1BD">
            <w:pPr>
              <w:spacing w:line="440" w:lineRule="exact"/>
              <w:jc w:val="center"/>
              <w:rPr>
                <w:rFonts w:cs="宋体" w:asciiTheme="minorEastAsia" w:hAnsiTheme="minorEastAsia"/>
                <w:szCs w:val="21"/>
              </w:rPr>
            </w:pPr>
            <w:r>
              <w:rPr>
                <w:rFonts w:hint="eastAsia" w:ascii="Times New Roman" w:hAnsi="Times New Roman" w:cs="宋体"/>
                <w:szCs w:val="21"/>
              </w:rPr>
              <w:t>manager</w:t>
            </w:r>
          </w:p>
        </w:tc>
        <w:tc>
          <w:tcPr>
            <w:tcW w:w="1663" w:type="dxa"/>
            <w:tcBorders>
              <w:top w:val="single" w:color="000000" w:sz="4" w:space="0"/>
              <w:left w:val="single" w:color="000000" w:sz="4" w:space="0"/>
              <w:bottom w:val="single" w:color="000000" w:sz="4" w:space="0"/>
              <w:right w:val="single" w:color="000000" w:sz="4" w:space="0"/>
            </w:tcBorders>
          </w:tcPr>
          <w:p w14:paraId="6592DC29">
            <w:pPr>
              <w:spacing w:line="440" w:lineRule="exact"/>
              <w:jc w:val="center"/>
              <w:rPr>
                <w:rFonts w:cs="宋体" w:asciiTheme="minorEastAsia" w:hAnsiTheme="minorEastAsia"/>
                <w:szCs w:val="21"/>
              </w:rPr>
            </w:pPr>
            <w:r>
              <w:rPr>
                <w:rFonts w:hint="eastAsia" w:cs="宋体" w:asciiTheme="minorEastAsia" w:hAnsiTheme="minorEastAsia"/>
                <w:szCs w:val="21"/>
              </w:rPr>
              <w:t>社团团长</w:t>
            </w:r>
          </w:p>
        </w:tc>
        <w:tc>
          <w:tcPr>
            <w:tcW w:w="1786" w:type="dxa"/>
            <w:tcBorders>
              <w:top w:val="single" w:color="000000" w:sz="4" w:space="0"/>
              <w:left w:val="single" w:color="000000" w:sz="4" w:space="0"/>
              <w:bottom w:val="single" w:color="000000" w:sz="4" w:space="0"/>
              <w:right w:val="single" w:color="000000" w:sz="4" w:space="0"/>
            </w:tcBorders>
          </w:tcPr>
          <w:p w14:paraId="108FC78E">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78" w:type="dxa"/>
            <w:tcBorders>
              <w:top w:val="single" w:color="000000" w:sz="4" w:space="0"/>
              <w:left w:val="single" w:color="000000" w:sz="4" w:space="0"/>
              <w:bottom w:val="single" w:color="000000" w:sz="4" w:space="0"/>
              <w:right w:val="single" w:color="000000" w:sz="4" w:space="0"/>
            </w:tcBorders>
          </w:tcPr>
          <w:p w14:paraId="32CEB238">
            <w:pPr>
              <w:spacing w:line="440" w:lineRule="exact"/>
              <w:jc w:val="center"/>
              <w:rPr>
                <w:rFonts w:cs="宋体" w:asciiTheme="minorEastAsia" w:hAnsiTheme="minorEastAsia"/>
                <w:szCs w:val="21"/>
              </w:rPr>
            </w:pPr>
          </w:p>
        </w:tc>
      </w:tr>
      <w:tr w14:paraId="0AB68080">
        <w:tblPrEx>
          <w:tblCellMar>
            <w:top w:w="0" w:type="dxa"/>
            <w:left w:w="108" w:type="dxa"/>
            <w:bottom w:w="0" w:type="dxa"/>
            <w:right w:w="108" w:type="dxa"/>
          </w:tblCellMar>
        </w:tblPrEx>
        <w:trPr>
          <w:trHeight w:val="533" w:hRule="atLeast"/>
          <w:jc w:val="center"/>
        </w:trPr>
        <w:tc>
          <w:tcPr>
            <w:tcW w:w="1491" w:type="dxa"/>
            <w:tcBorders>
              <w:top w:val="single" w:color="000000" w:sz="4" w:space="0"/>
              <w:left w:val="single" w:color="000000" w:sz="4" w:space="0"/>
              <w:bottom w:val="single" w:color="000000" w:sz="4" w:space="0"/>
              <w:right w:val="single" w:color="000000" w:sz="4" w:space="0"/>
            </w:tcBorders>
          </w:tcPr>
          <w:p w14:paraId="3039EE24">
            <w:pPr>
              <w:spacing w:line="440" w:lineRule="exact"/>
              <w:jc w:val="center"/>
              <w:rPr>
                <w:rFonts w:cs="宋体" w:asciiTheme="minorEastAsia" w:hAnsiTheme="minorEastAsia"/>
                <w:szCs w:val="21"/>
              </w:rPr>
            </w:pPr>
            <w:r>
              <w:rPr>
                <w:rFonts w:hint="eastAsia" w:ascii="Times New Roman" w:hAnsi="Times New Roman" w:cs="宋体"/>
                <w:szCs w:val="21"/>
              </w:rPr>
              <w:t>type</w:t>
            </w:r>
            <w:r>
              <w:rPr>
                <w:rFonts w:hint="eastAsia" w:cs="宋体" w:asciiTheme="minorEastAsia" w:hAnsiTheme="minorEastAsia"/>
                <w:szCs w:val="21"/>
              </w:rPr>
              <w:t>_</w:t>
            </w:r>
            <w:r>
              <w:rPr>
                <w:rFonts w:hint="eastAsia" w:ascii="Times New Roman" w:hAnsi="Times New Roman" w:cs="宋体"/>
                <w:szCs w:val="21"/>
              </w:rPr>
              <w:t>id</w:t>
            </w:r>
          </w:p>
        </w:tc>
        <w:tc>
          <w:tcPr>
            <w:tcW w:w="1663" w:type="dxa"/>
            <w:tcBorders>
              <w:top w:val="single" w:color="000000" w:sz="4" w:space="0"/>
              <w:left w:val="single" w:color="000000" w:sz="4" w:space="0"/>
              <w:bottom w:val="single" w:color="000000" w:sz="4" w:space="0"/>
              <w:right w:val="single" w:color="000000" w:sz="4" w:space="0"/>
            </w:tcBorders>
          </w:tcPr>
          <w:p w14:paraId="2B8962D2">
            <w:pPr>
              <w:spacing w:line="440" w:lineRule="exact"/>
              <w:jc w:val="center"/>
              <w:rPr>
                <w:rFonts w:cs="宋体" w:asciiTheme="minorEastAsia" w:hAnsiTheme="minorEastAsia"/>
                <w:szCs w:val="21"/>
              </w:rPr>
            </w:pPr>
            <w:r>
              <w:rPr>
                <w:rFonts w:hint="eastAsia" w:cs="宋体" w:asciiTheme="minorEastAsia" w:hAnsiTheme="minorEastAsia"/>
                <w:szCs w:val="21"/>
              </w:rPr>
              <w:t>社团类型</w:t>
            </w:r>
          </w:p>
        </w:tc>
        <w:tc>
          <w:tcPr>
            <w:tcW w:w="1786" w:type="dxa"/>
            <w:tcBorders>
              <w:top w:val="single" w:color="000000" w:sz="4" w:space="0"/>
              <w:left w:val="single" w:color="000000" w:sz="4" w:space="0"/>
              <w:bottom w:val="single" w:color="000000" w:sz="4" w:space="0"/>
              <w:right w:val="single" w:color="000000" w:sz="4" w:space="0"/>
            </w:tcBorders>
          </w:tcPr>
          <w:p w14:paraId="0F813E00">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678" w:type="dxa"/>
            <w:tcBorders>
              <w:top w:val="single" w:color="000000" w:sz="4" w:space="0"/>
              <w:left w:val="single" w:color="000000" w:sz="4" w:space="0"/>
              <w:bottom w:val="single" w:color="000000" w:sz="4" w:space="0"/>
              <w:right w:val="single" w:color="000000" w:sz="4" w:space="0"/>
            </w:tcBorders>
          </w:tcPr>
          <w:p w14:paraId="27B5C3CB">
            <w:pPr>
              <w:spacing w:line="440" w:lineRule="exact"/>
              <w:jc w:val="center"/>
              <w:rPr>
                <w:rFonts w:cs="宋体" w:asciiTheme="minorEastAsia" w:hAnsiTheme="minorEastAsia"/>
                <w:szCs w:val="21"/>
              </w:rPr>
            </w:pPr>
          </w:p>
        </w:tc>
      </w:tr>
    </w:tbl>
    <w:p w14:paraId="735C4AFE">
      <w:pPr>
        <w:autoSpaceDE w:val="0"/>
        <w:spacing w:line="440" w:lineRule="exact"/>
        <w:ind w:firstLine="480" w:firstLineChars="200"/>
        <w:rPr>
          <w:rFonts w:ascii="宋体" w:hAnsi="宋体" w:cs="宋体"/>
          <w:sz w:val="24"/>
          <w:lang w:bidi="ar"/>
        </w:rPr>
      </w:pPr>
      <w:r>
        <w:rPr>
          <w:rFonts w:ascii="Times New Roman" w:hAnsi="Times New Roman"/>
          <w:sz w:val="24"/>
          <w:lang w:bidi="ar"/>
        </w:rPr>
        <w:t>3.4.9</w:t>
      </w:r>
      <w:r>
        <w:rPr>
          <w:rFonts w:hint="eastAsia" w:ascii="宋体" w:hAnsi="宋体" w:cs="宋体"/>
          <w:sz w:val="24"/>
          <w:lang w:bidi="ar"/>
        </w:rPr>
        <w:t>系统用户表</w:t>
      </w:r>
    </w:p>
    <w:p w14:paraId="0DD12B23">
      <w:pPr>
        <w:spacing w:line="440" w:lineRule="exact"/>
        <w:ind w:firstLine="480" w:firstLineChars="200"/>
        <w:rPr>
          <w:rFonts w:ascii="宋体" w:hAnsi="宋体" w:cs="宋体"/>
          <w:sz w:val="24"/>
          <w:lang w:bidi="ar"/>
        </w:rPr>
      </w:pPr>
      <w:r>
        <w:rPr>
          <w:rFonts w:hint="eastAsia" w:ascii="宋体" w:hAnsi="宋体" w:cs="宋体"/>
          <w:sz w:val="24"/>
          <w:lang w:bidi="ar"/>
        </w:rPr>
        <w:t>系统用户表用来存储整个社团管理系统用户的相关信息，具体的表结构如表</w:t>
      </w:r>
      <w:r>
        <w:rPr>
          <w:rFonts w:hint="eastAsia" w:ascii="Times New Roman" w:hAnsi="Times New Roman" w:cs="宋体"/>
          <w:sz w:val="24"/>
          <w:lang w:bidi="ar"/>
        </w:rPr>
        <w:t>3-14</w:t>
      </w:r>
      <w:r>
        <w:rPr>
          <w:rFonts w:hint="eastAsia" w:ascii="宋体" w:hAnsi="宋体" w:cs="宋体"/>
          <w:sz w:val="24"/>
          <w:lang w:bidi="ar"/>
        </w:rPr>
        <w:t>所示。</w:t>
      </w:r>
    </w:p>
    <w:p w14:paraId="54BF852C">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3-14</w:t>
      </w:r>
      <w:r>
        <w:rPr>
          <w:rFonts w:hint="eastAsia" w:ascii="宋体" w:hAnsi="宋体" w:cs="宋体"/>
          <w:szCs w:val="21"/>
        </w:rPr>
        <w:t>系统用户表</w:t>
      </w:r>
    </w:p>
    <w:tbl>
      <w:tblPr>
        <w:tblStyle w:val="35"/>
        <w:tblW w:w="0" w:type="auto"/>
        <w:jc w:val="center"/>
        <w:tblLayout w:type="autofit"/>
        <w:tblCellMar>
          <w:top w:w="0" w:type="dxa"/>
          <w:left w:w="108" w:type="dxa"/>
          <w:bottom w:w="0" w:type="dxa"/>
          <w:right w:w="108" w:type="dxa"/>
        </w:tblCellMar>
      </w:tblPr>
      <w:tblGrid>
        <w:gridCol w:w="1759"/>
        <w:gridCol w:w="1759"/>
        <w:gridCol w:w="1760"/>
        <w:gridCol w:w="1760"/>
      </w:tblGrid>
      <w:tr w14:paraId="069D05E0">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0AA6C22E">
            <w:pPr>
              <w:spacing w:line="440" w:lineRule="exact"/>
              <w:jc w:val="center"/>
              <w:rPr>
                <w:rFonts w:cs="宋体" w:asciiTheme="minorEastAsia" w:hAnsiTheme="minorEastAsia"/>
                <w:szCs w:val="21"/>
              </w:rPr>
            </w:pPr>
            <w:r>
              <w:rPr>
                <w:rFonts w:hint="eastAsia" w:cs="宋体" w:asciiTheme="minorEastAsia" w:hAnsiTheme="minorEastAsia"/>
                <w:szCs w:val="21"/>
              </w:rPr>
              <w:t>字段名</w:t>
            </w:r>
          </w:p>
        </w:tc>
        <w:tc>
          <w:tcPr>
            <w:tcW w:w="1759" w:type="dxa"/>
            <w:tcBorders>
              <w:top w:val="single" w:color="000000" w:sz="4" w:space="0"/>
              <w:left w:val="single" w:color="000000" w:sz="4" w:space="0"/>
              <w:bottom w:val="single" w:color="000000" w:sz="4" w:space="0"/>
              <w:right w:val="single" w:color="000000" w:sz="4" w:space="0"/>
            </w:tcBorders>
          </w:tcPr>
          <w:p w14:paraId="4CC6C1D3">
            <w:pPr>
              <w:spacing w:line="440" w:lineRule="exact"/>
              <w:jc w:val="center"/>
              <w:rPr>
                <w:rFonts w:cs="宋体" w:asciiTheme="minorEastAsia" w:hAnsiTheme="minorEastAsia"/>
                <w:szCs w:val="21"/>
              </w:rPr>
            </w:pPr>
            <w:r>
              <w:rPr>
                <w:rFonts w:hint="eastAsia" w:cs="宋体" w:asciiTheme="minorEastAsia" w:hAnsiTheme="minorEastAsia"/>
                <w:szCs w:val="21"/>
              </w:rPr>
              <w:t>名称</w:t>
            </w:r>
          </w:p>
        </w:tc>
        <w:tc>
          <w:tcPr>
            <w:tcW w:w="1760" w:type="dxa"/>
            <w:tcBorders>
              <w:top w:val="single" w:color="000000" w:sz="4" w:space="0"/>
              <w:left w:val="single" w:color="000000" w:sz="4" w:space="0"/>
              <w:bottom w:val="single" w:color="000000" w:sz="4" w:space="0"/>
              <w:right w:val="single" w:color="000000" w:sz="4" w:space="0"/>
            </w:tcBorders>
          </w:tcPr>
          <w:p w14:paraId="5E93D9EE">
            <w:pPr>
              <w:spacing w:line="440" w:lineRule="exact"/>
              <w:jc w:val="center"/>
              <w:rPr>
                <w:rFonts w:cs="宋体" w:asciiTheme="minorEastAsia" w:hAnsiTheme="minorEastAsia"/>
                <w:szCs w:val="21"/>
              </w:rPr>
            </w:pPr>
            <w:r>
              <w:rPr>
                <w:rFonts w:hint="eastAsia" w:cs="宋体" w:asciiTheme="minorEastAsia" w:hAnsiTheme="minorEastAsia"/>
                <w:szCs w:val="21"/>
              </w:rPr>
              <w:t>数据类型</w:t>
            </w:r>
          </w:p>
        </w:tc>
        <w:tc>
          <w:tcPr>
            <w:tcW w:w="1760" w:type="dxa"/>
            <w:tcBorders>
              <w:top w:val="single" w:color="000000" w:sz="4" w:space="0"/>
              <w:left w:val="single" w:color="000000" w:sz="4" w:space="0"/>
              <w:bottom w:val="single" w:color="000000" w:sz="4" w:space="0"/>
              <w:right w:val="single" w:color="000000" w:sz="4" w:space="0"/>
            </w:tcBorders>
          </w:tcPr>
          <w:p w14:paraId="487F4D74">
            <w:pPr>
              <w:spacing w:line="440" w:lineRule="exact"/>
              <w:jc w:val="center"/>
              <w:rPr>
                <w:rFonts w:cs="宋体" w:asciiTheme="minorEastAsia" w:hAnsiTheme="minorEastAsia"/>
                <w:szCs w:val="21"/>
              </w:rPr>
            </w:pPr>
            <w:r>
              <w:rPr>
                <w:rFonts w:hint="eastAsia" w:cs="宋体" w:asciiTheme="minorEastAsia" w:hAnsiTheme="minorEastAsia"/>
                <w:szCs w:val="21"/>
              </w:rPr>
              <w:t xml:space="preserve"> 主键</w:t>
            </w:r>
          </w:p>
        </w:tc>
      </w:tr>
      <w:tr w14:paraId="1FFFB2F2">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7F4A4D4F">
            <w:pPr>
              <w:spacing w:line="440" w:lineRule="exact"/>
              <w:jc w:val="center"/>
              <w:rPr>
                <w:rFonts w:cs="宋体" w:asciiTheme="minorEastAsia" w:hAnsiTheme="minorEastAsia"/>
                <w:szCs w:val="21"/>
              </w:rPr>
            </w:pPr>
            <w:r>
              <w:rPr>
                <w:rFonts w:hint="eastAsia" w:ascii="Times New Roman" w:hAnsi="Times New Roman" w:cs="宋体"/>
                <w:szCs w:val="21"/>
              </w:rPr>
              <w:t>id</w:t>
            </w:r>
          </w:p>
        </w:tc>
        <w:tc>
          <w:tcPr>
            <w:tcW w:w="1759" w:type="dxa"/>
            <w:tcBorders>
              <w:top w:val="single" w:color="000000" w:sz="4" w:space="0"/>
              <w:left w:val="single" w:color="000000" w:sz="4" w:space="0"/>
              <w:bottom w:val="single" w:color="000000" w:sz="4" w:space="0"/>
              <w:right w:val="single" w:color="000000" w:sz="4" w:space="0"/>
            </w:tcBorders>
          </w:tcPr>
          <w:p w14:paraId="54F61933">
            <w:pPr>
              <w:spacing w:line="440" w:lineRule="exact"/>
              <w:jc w:val="center"/>
              <w:rPr>
                <w:rFonts w:cs="宋体" w:asciiTheme="minorEastAsia" w:hAnsiTheme="minorEastAsia"/>
                <w:szCs w:val="21"/>
              </w:rPr>
            </w:pPr>
            <w:r>
              <w:rPr>
                <w:rFonts w:hint="eastAsia" w:cs="宋体" w:asciiTheme="minorEastAsia" w:hAnsiTheme="minorEastAsia"/>
                <w:szCs w:val="21"/>
              </w:rPr>
              <w:t>序号</w:t>
            </w:r>
          </w:p>
        </w:tc>
        <w:tc>
          <w:tcPr>
            <w:tcW w:w="1760" w:type="dxa"/>
            <w:tcBorders>
              <w:top w:val="single" w:color="000000" w:sz="4" w:space="0"/>
              <w:left w:val="single" w:color="000000" w:sz="4" w:space="0"/>
              <w:bottom w:val="single" w:color="000000" w:sz="4" w:space="0"/>
              <w:right w:val="single" w:color="000000" w:sz="4" w:space="0"/>
            </w:tcBorders>
          </w:tcPr>
          <w:p w14:paraId="3889534A">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07E2A258">
            <w:pPr>
              <w:spacing w:line="440" w:lineRule="exact"/>
              <w:jc w:val="center"/>
              <w:rPr>
                <w:rFonts w:cs="宋体" w:asciiTheme="minorEastAsia" w:hAnsiTheme="minorEastAsia"/>
                <w:szCs w:val="21"/>
              </w:rPr>
            </w:pPr>
            <w:r>
              <w:rPr>
                <w:rFonts w:hint="eastAsia" w:ascii="Times New Roman" w:hAnsi="Times New Roman" w:cs="宋体"/>
                <w:szCs w:val="21"/>
              </w:rPr>
              <w:t>PRI</w:t>
            </w:r>
          </w:p>
        </w:tc>
      </w:tr>
      <w:tr w14:paraId="7D4E201D">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7B9F5B81">
            <w:pPr>
              <w:spacing w:line="440" w:lineRule="exact"/>
              <w:jc w:val="center"/>
              <w:rPr>
                <w:rFonts w:cs="宋体" w:asciiTheme="minorEastAsia" w:hAnsiTheme="minorEastAsia"/>
                <w:szCs w:val="21"/>
              </w:rPr>
            </w:pPr>
            <w:r>
              <w:rPr>
                <w:rFonts w:hint="eastAsia" w:ascii="Times New Roman" w:hAnsi="Times New Roman" w:cs="宋体"/>
                <w:szCs w:val="21"/>
              </w:rPr>
              <w:t>user</w:t>
            </w:r>
            <w:r>
              <w:rPr>
                <w:rFonts w:hint="eastAsia" w:cs="宋体" w:asciiTheme="minorEastAsia" w:hAnsiTheme="minorEastAsia"/>
                <w:szCs w:val="21"/>
              </w:rPr>
              <w:t>_</w:t>
            </w:r>
            <w:r>
              <w:rPr>
                <w:rFonts w:hint="eastAsia" w:ascii="Times New Roman" w:hAnsi="Times New Roman" w:cs="宋体"/>
                <w:szCs w:val="21"/>
              </w:rPr>
              <w:t>name</w:t>
            </w:r>
          </w:p>
        </w:tc>
        <w:tc>
          <w:tcPr>
            <w:tcW w:w="1759" w:type="dxa"/>
            <w:tcBorders>
              <w:top w:val="single" w:color="000000" w:sz="4" w:space="0"/>
              <w:left w:val="single" w:color="000000" w:sz="4" w:space="0"/>
              <w:bottom w:val="single" w:color="000000" w:sz="4" w:space="0"/>
              <w:right w:val="single" w:color="000000" w:sz="4" w:space="0"/>
            </w:tcBorders>
          </w:tcPr>
          <w:p w14:paraId="50C55D6F">
            <w:pPr>
              <w:spacing w:line="440" w:lineRule="exact"/>
              <w:jc w:val="center"/>
              <w:rPr>
                <w:rFonts w:cs="宋体" w:asciiTheme="minorEastAsia" w:hAnsiTheme="minorEastAsia"/>
                <w:szCs w:val="21"/>
              </w:rPr>
            </w:pPr>
            <w:r>
              <w:rPr>
                <w:rFonts w:hint="eastAsia" w:cs="宋体" w:asciiTheme="minorEastAsia" w:hAnsiTheme="minorEastAsia"/>
                <w:szCs w:val="21"/>
              </w:rPr>
              <w:t>用户</w:t>
            </w:r>
            <w:r>
              <w:rPr>
                <w:rFonts w:hint="eastAsia" w:ascii="Times New Roman" w:hAnsi="Times New Roman" w:cs="宋体"/>
                <w:szCs w:val="21"/>
              </w:rPr>
              <w:t>ID</w:t>
            </w:r>
          </w:p>
        </w:tc>
        <w:tc>
          <w:tcPr>
            <w:tcW w:w="1760" w:type="dxa"/>
            <w:tcBorders>
              <w:top w:val="single" w:color="000000" w:sz="4" w:space="0"/>
              <w:left w:val="single" w:color="000000" w:sz="4" w:space="0"/>
              <w:bottom w:val="single" w:color="000000" w:sz="4" w:space="0"/>
              <w:right w:val="single" w:color="000000" w:sz="4" w:space="0"/>
            </w:tcBorders>
          </w:tcPr>
          <w:p w14:paraId="5A8B112C">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347CC655">
            <w:pPr>
              <w:spacing w:line="440" w:lineRule="exact"/>
              <w:jc w:val="center"/>
              <w:rPr>
                <w:rFonts w:cs="宋体" w:asciiTheme="minorEastAsia" w:hAnsiTheme="minorEastAsia"/>
                <w:szCs w:val="21"/>
              </w:rPr>
            </w:pPr>
          </w:p>
        </w:tc>
      </w:tr>
      <w:tr w14:paraId="14AFBE29">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4021538C">
            <w:pPr>
              <w:spacing w:line="440" w:lineRule="exact"/>
              <w:jc w:val="center"/>
              <w:rPr>
                <w:rFonts w:cs="宋体" w:asciiTheme="minorEastAsia" w:hAnsiTheme="minorEastAsia"/>
                <w:szCs w:val="21"/>
              </w:rPr>
            </w:pPr>
            <w:r>
              <w:rPr>
                <w:rFonts w:hint="eastAsia" w:ascii="Times New Roman" w:hAnsi="Times New Roman" w:cs="宋体"/>
                <w:szCs w:val="21"/>
              </w:rPr>
              <w:t>pass</w:t>
            </w:r>
            <w:r>
              <w:rPr>
                <w:rFonts w:hint="eastAsia" w:cs="宋体" w:asciiTheme="minorEastAsia" w:hAnsiTheme="minorEastAsia"/>
                <w:szCs w:val="21"/>
              </w:rPr>
              <w:t>_</w:t>
            </w:r>
            <w:r>
              <w:rPr>
                <w:rFonts w:hint="eastAsia" w:ascii="Times New Roman" w:hAnsi="Times New Roman" w:cs="宋体"/>
                <w:szCs w:val="21"/>
              </w:rPr>
              <w:t>word</w:t>
            </w:r>
          </w:p>
        </w:tc>
        <w:tc>
          <w:tcPr>
            <w:tcW w:w="1759" w:type="dxa"/>
            <w:tcBorders>
              <w:top w:val="single" w:color="000000" w:sz="4" w:space="0"/>
              <w:left w:val="single" w:color="000000" w:sz="4" w:space="0"/>
              <w:bottom w:val="single" w:color="000000" w:sz="4" w:space="0"/>
              <w:right w:val="single" w:color="000000" w:sz="4" w:space="0"/>
            </w:tcBorders>
          </w:tcPr>
          <w:p w14:paraId="15D09EF3">
            <w:pPr>
              <w:spacing w:line="440" w:lineRule="exact"/>
              <w:jc w:val="center"/>
              <w:rPr>
                <w:rFonts w:cs="宋体" w:asciiTheme="minorEastAsia" w:hAnsiTheme="minorEastAsia"/>
                <w:szCs w:val="21"/>
              </w:rPr>
            </w:pPr>
            <w:r>
              <w:rPr>
                <w:rFonts w:hint="eastAsia" w:cs="宋体" w:asciiTheme="minorEastAsia" w:hAnsiTheme="minorEastAsia"/>
                <w:szCs w:val="21"/>
              </w:rPr>
              <w:t>密码</w:t>
            </w:r>
          </w:p>
        </w:tc>
        <w:tc>
          <w:tcPr>
            <w:tcW w:w="1760" w:type="dxa"/>
            <w:tcBorders>
              <w:top w:val="single" w:color="000000" w:sz="4" w:space="0"/>
              <w:left w:val="single" w:color="000000" w:sz="4" w:space="0"/>
              <w:bottom w:val="single" w:color="000000" w:sz="4" w:space="0"/>
              <w:right w:val="single" w:color="000000" w:sz="4" w:space="0"/>
            </w:tcBorders>
          </w:tcPr>
          <w:p w14:paraId="02D8CABE">
            <w:pPr>
              <w:spacing w:line="440" w:lineRule="exact"/>
              <w:jc w:val="center"/>
              <w:rPr>
                <w:rFonts w:cs="宋体" w:asciiTheme="minorEastAsia" w:hAnsiTheme="minorEastAsia"/>
                <w:szCs w:val="21"/>
              </w:rPr>
            </w:pPr>
            <w:r>
              <w:rPr>
                <w:rFonts w:hint="eastAsia" w:ascii="Times New Roman" w:hAnsi="Times New Roman" w:cs="宋体"/>
                <w:szCs w:val="21"/>
              </w:rPr>
              <w:t>varvhar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58D23953">
            <w:pPr>
              <w:spacing w:line="440" w:lineRule="exact"/>
              <w:jc w:val="center"/>
              <w:rPr>
                <w:rFonts w:cs="宋体" w:asciiTheme="minorEastAsia" w:hAnsiTheme="minorEastAsia"/>
                <w:szCs w:val="21"/>
              </w:rPr>
            </w:pPr>
          </w:p>
        </w:tc>
      </w:tr>
      <w:tr w14:paraId="461C2C3F">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41926108">
            <w:pPr>
              <w:spacing w:line="440" w:lineRule="exact"/>
              <w:jc w:val="center"/>
              <w:rPr>
                <w:rFonts w:cs="宋体" w:asciiTheme="minorEastAsia" w:hAnsiTheme="minorEastAsia"/>
                <w:szCs w:val="21"/>
              </w:rPr>
            </w:pPr>
            <w:r>
              <w:rPr>
                <w:rFonts w:hint="eastAsia" w:ascii="Times New Roman" w:hAnsi="Times New Roman" w:cs="宋体"/>
                <w:szCs w:val="21"/>
              </w:rPr>
              <w:t>name</w:t>
            </w:r>
          </w:p>
        </w:tc>
        <w:tc>
          <w:tcPr>
            <w:tcW w:w="1759" w:type="dxa"/>
            <w:tcBorders>
              <w:top w:val="single" w:color="000000" w:sz="4" w:space="0"/>
              <w:left w:val="single" w:color="000000" w:sz="4" w:space="0"/>
              <w:bottom w:val="single" w:color="000000" w:sz="4" w:space="0"/>
              <w:right w:val="single" w:color="000000" w:sz="4" w:space="0"/>
            </w:tcBorders>
          </w:tcPr>
          <w:p w14:paraId="2C620A0B">
            <w:pPr>
              <w:spacing w:line="440" w:lineRule="exact"/>
              <w:jc w:val="center"/>
              <w:rPr>
                <w:rFonts w:cs="宋体" w:asciiTheme="minorEastAsia" w:hAnsiTheme="minorEastAsia"/>
                <w:szCs w:val="21"/>
              </w:rPr>
            </w:pPr>
            <w:r>
              <w:rPr>
                <w:rFonts w:hint="eastAsia" w:cs="宋体" w:asciiTheme="minorEastAsia" w:hAnsiTheme="minorEastAsia"/>
                <w:szCs w:val="21"/>
              </w:rPr>
              <w:t>用户姓名</w:t>
            </w:r>
          </w:p>
        </w:tc>
        <w:tc>
          <w:tcPr>
            <w:tcW w:w="1760" w:type="dxa"/>
            <w:tcBorders>
              <w:top w:val="single" w:color="000000" w:sz="4" w:space="0"/>
              <w:left w:val="single" w:color="000000" w:sz="4" w:space="0"/>
              <w:bottom w:val="single" w:color="000000" w:sz="4" w:space="0"/>
              <w:right w:val="single" w:color="000000" w:sz="4" w:space="0"/>
            </w:tcBorders>
          </w:tcPr>
          <w:p w14:paraId="144F9E18">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22517282">
            <w:pPr>
              <w:spacing w:line="440" w:lineRule="exact"/>
              <w:jc w:val="center"/>
              <w:rPr>
                <w:rFonts w:cs="宋体" w:asciiTheme="minorEastAsia" w:hAnsiTheme="minorEastAsia"/>
                <w:szCs w:val="21"/>
              </w:rPr>
            </w:pPr>
          </w:p>
        </w:tc>
      </w:tr>
      <w:tr w14:paraId="74394EA5">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698F7F9F">
            <w:pPr>
              <w:spacing w:line="440" w:lineRule="exact"/>
              <w:jc w:val="center"/>
              <w:rPr>
                <w:rFonts w:cs="宋体" w:asciiTheme="minorEastAsia" w:hAnsiTheme="minorEastAsia"/>
                <w:szCs w:val="21"/>
              </w:rPr>
            </w:pPr>
            <w:r>
              <w:rPr>
                <w:rFonts w:hint="eastAsia" w:ascii="Times New Roman" w:hAnsi="Times New Roman" w:cs="宋体"/>
                <w:szCs w:val="21"/>
              </w:rPr>
              <w:t>gender</w:t>
            </w:r>
          </w:p>
        </w:tc>
        <w:tc>
          <w:tcPr>
            <w:tcW w:w="1759" w:type="dxa"/>
            <w:tcBorders>
              <w:top w:val="single" w:color="000000" w:sz="4" w:space="0"/>
              <w:left w:val="single" w:color="000000" w:sz="4" w:space="0"/>
              <w:bottom w:val="single" w:color="000000" w:sz="4" w:space="0"/>
              <w:right w:val="single" w:color="000000" w:sz="4" w:space="0"/>
            </w:tcBorders>
          </w:tcPr>
          <w:p w14:paraId="4AD01A00">
            <w:pPr>
              <w:spacing w:line="440" w:lineRule="exact"/>
              <w:jc w:val="center"/>
              <w:rPr>
                <w:rFonts w:cs="宋体" w:asciiTheme="minorEastAsia" w:hAnsiTheme="minorEastAsia"/>
                <w:szCs w:val="21"/>
              </w:rPr>
            </w:pPr>
            <w:r>
              <w:rPr>
                <w:rFonts w:hint="eastAsia" w:cs="宋体" w:asciiTheme="minorEastAsia" w:hAnsiTheme="minorEastAsia"/>
                <w:szCs w:val="21"/>
              </w:rPr>
              <w:t>用户性别</w:t>
            </w:r>
          </w:p>
        </w:tc>
        <w:tc>
          <w:tcPr>
            <w:tcW w:w="1760" w:type="dxa"/>
            <w:tcBorders>
              <w:top w:val="single" w:color="000000" w:sz="4" w:space="0"/>
              <w:left w:val="single" w:color="000000" w:sz="4" w:space="0"/>
              <w:bottom w:val="single" w:color="000000" w:sz="4" w:space="0"/>
              <w:right w:val="single" w:color="000000" w:sz="4" w:space="0"/>
            </w:tcBorders>
          </w:tcPr>
          <w:p w14:paraId="32EB8E40">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7732C053">
            <w:pPr>
              <w:spacing w:line="440" w:lineRule="exact"/>
              <w:jc w:val="center"/>
              <w:rPr>
                <w:rFonts w:cs="宋体" w:asciiTheme="minorEastAsia" w:hAnsiTheme="minorEastAsia"/>
                <w:szCs w:val="21"/>
              </w:rPr>
            </w:pPr>
          </w:p>
        </w:tc>
      </w:tr>
      <w:tr w14:paraId="09DAECD0">
        <w:tblPrEx>
          <w:tblCellMar>
            <w:top w:w="0" w:type="dxa"/>
            <w:left w:w="108" w:type="dxa"/>
            <w:bottom w:w="0" w:type="dxa"/>
            <w:right w:w="108" w:type="dxa"/>
          </w:tblCellMar>
        </w:tblPrEx>
        <w:trPr>
          <w:trHeight w:val="503" w:hRule="atLeast"/>
          <w:jc w:val="center"/>
        </w:trPr>
        <w:tc>
          <w:tcPr>
            <w:tcW w:w="1759" w:type="dxa"/>
            <w:tcBorders>
              <w:top w:val="single" w:color="000000" w:sz="4" w:space="0"/>
              <w:left w:val="single" w:color="000000" w:sz="4" w:space="0"/>
              <w:bottom w:val="single" w:color="000000" w:sz="4" w:space="0"/>
              <w:right w:val="single" w:color="000000" w:sz="4" w:space="0"/>
            </w:tcBorders>
          </w:tcPr>
          <w:p w14:paraId="4BFCA2EE">
            <w:pPr>
              <w:spacing w:line="440" w:lineRule="exact"/>
              <w:jc w:val="center"/>
              <w:rPr>
                <w:rFonts w:cs="宋体" w:asciiTheme="minorEastAsia" w:hAnsiTheme="minorEastAsia"/>
                <w:szCs w:val="21"/>
              </w:rPr>
            </w:pPr>
            <w:r>
              <w:rPr>
                <w:rFonts w:hint="eastAsia" w:ascii="Times New Roman" w:hAnsi="Times New Roman" w:cs="宋体"/>
                <w:szCs w:val="21"/>
              </w:rPr>
              <w:t>phone</w:t>
            </w:r>
          </w:p>
        </w:tc>
        <w:tc>
          <w:tcPr>
            <w:tcW w:w="1759" w:type="dxa"/>
            <w:tcBorders>
              <w:top w:val="single" w:color="000000" w:sz="4" w:space="0"/>
              <w:left w:val="single" w:color="000000" w:sz="4" w:space="0"/>
              <w:bottom w:val="single" w:color="000000" w:sz="4" w:space="0"/>
              <w:right w:val="single" w:color="000000" w:sz="4" w:space="0"/>
            </w:tcBorders>
          </w:tcPr>
          <w:p w14:paraId="3C38929E">
            <w:pPr>
              <w:spacing w:line="440" w:lineRule="exact"/>
              <w:jc w:val="center"/>
              <w:rPr>
                <w:rFonts w:cs="宋体" w:asciiTheme="minorEastAsia" w:hAnsiTheme="minorEastAsia"/>
                <w:szCs w:val="21"/>
              </w:rPr>
            </w:pPr>
            <w:r>
              <w:rPr>
                <w:rFonts w:hint="eastAsia" w:cs="宋体" w:asciiTheme="minorEastAsia" w:hAnsiTheme="minorEastAsia"/>
                <w:szCs w:val="21"/>
              </w:rPr>
              <w:t>联系电话</w:t>
            </w:r>
          </w:p>
        </w:tc>
        <w:tc>
          <w:tcPr>
            <w:tcW w:w="1760" w:type="dxa"/>
            <w:tcBorders>
              <w:top w:val="single" w:color="000000" w:sz="4" w:space="0"/>
              <w:left w:val="single" w:color="000000" w:sz="4" w:space="0"/>
              <w:bottom w:val="single" w:color="000000" w:sz="4" w:space="0"/>
              <w:right w:val="single" w:color="000000" w:sz="4" w:space="0"/>
            </w:tcBorders>
          </w:tcPr>
          <w:p w14:paraId="643FFB07">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60" w:type="dxa"/>
            <w:tcBorders>
              <w:top w:val="single" w:color="000000" w:sz="4" w:space="0"/>
              <w:left w:val="single" w:color="000000" w:sz="4" w:space="0"/>
              <w:bottom w:val="single" w:color="000000" w:sz="4" w:space="0"/>
              <w:right w:val="single" w:color="000000" w:sz="4" w:space="0"/>
            </w:tcBorders>
          </w:tcPr>
          <w:p w14:paraId="68C3B5C8">
            <w:pPr>
              <w:spacing w:line="440" w:lineRule="exact"/>
              <w:jc w:val="center"/>
              <w:rPr>
                <w:rFonts w:cs="宋体" w:asciiTheme="minorEastAsia" w:hAnsiTheme="minorEastAsia"/>
                <w:szCs w:val="21"/>
              </w:rPr>
            </w:pPr>
          </w:p>
        </w:tc>
      </w:tr>
    </w:tbl>
    <w:p w14:paraId="1EF01386">
      <w:pPr>
        <w:jc w:val="center"/>
        <w:rPr>
          <w:rFonts w:hint="eastAsia" w:ascii="宋体" w:hAnsi="宋体" w:cs="宋体"/>
          <w:szCs w:val="21"/>
        </w:rPr>
      </w:pPr>
    </w:p>
    <w:p w14:paraId="29BC7997">
      <w:pPr>
        <w:jc w:val="center"/>
        <w:rPr>
          <w:rFonts w:hint="eastAsia" w:ascii="宋体" w:hAnsi="宋体" w:cs="宋体"/>
          <w:szCs w:val="21"/>
        </w:rPr>
      </w:pPr>
    </w:p>
    <w:p w14:paraId="779C9252">
      <w:pPr>
        <w:jc w:val="center"/>
      </w:pPr>
      <w:r>
        <w:rPr>
          <w:rFonts w:hint="eastAsia" w:ascii="宋体" w:hAnsi="宋体" w:cs="宋体"/>
          <w:szCs w:val="21"/>
        </w:rPr>
        <w:t>表</w:t>
      </w:r>
      <w:r>
        <w:rPr>
          <w:rFonts w:hint="eastAsia" w:ascii="Times New Roman" w:hAnsi="Times New Roman" w:cs="宋体"/>
          <w:sz w:val="24"/>
        </w:rPr>
        <w:t>3-14</w:t>
      </w:r>
      <w:r>
        <w:rPr>
          <w:rFonts w:cs="宋体" w:asciiTheme="minorEastAsia" w:hAnsiTheme="minorEastAsia"/>
          <w:szCs w:val="21"/>
        </w:rPr>
        <w:t>(</w:t>
      </w:r>
      <w:r>
        <w:rPr>
          <w:rFonts w:hint="eastAsia" w:cs="宋体" w:asciiTheme="minorEastAsia" w:hAnsiTheme="minorEastAsia"/>
          <w:szCs w:val="21"/>
        </w:rPr>
        <w:t>续)</w:t>
      </w:r>
    </w:p>
    <w:tbl>
      <w:tblPr>
        <w:tblStyle w:val="35"/>
        <w:tblW w:w="0" w:type="auto"/>
        <w:jc w:val="center"/>
        <w:tblLayout w:type="autofit"/>
        <w:tblCellMar>
          <w:top w:w="0" w:type="dxa"/>
          <w:left w:w="108" w:type="dxa"/>
          <w:bottom w:w="0" w:type="dxa"/>
          <w:right w:w="108" w:type="dxa"/>
        </w:tblCellMar>
      </w:tblPr>
      <w:tblGrid>
        <w:gridCol w:w="1779"/>
        <w:gridCol w:w="1779"/>
        <w:gridCol w:w="1780"/>
        <w:gridCol w:w="1780"/>
      </w:tblGrid>
      <w:tr w14:paraId="566BE507">
        <w:tblPrEx>
          <w:tblCellMar>
            <w:top w:w="0" w:type="dxa"/>
            <w:left w:w="108" w:type="dxa"/>
            <w:bottom w:w="0" w:type="dxa"/>
            <w:right w:w="108" w:type="dxa"/>
          </w:tblCellMar>
        </w:tblPrEx>
        <w:trPr>
          <w:trHeight w:val="609" w:hRule="atLeast"/>
          <w:jc w:val="center"/>
        </w:trPr>
        <w:tc>
          <w:tcPr>
            <w:tcW w:w="1779" w:type="dxa"/>
            <w:tcBorders>
              <w:top w:val="single" w:color="000000" w:sz="4" w:space="0"/>
              <w:left w:val="single" w:color="000000" w:sz="4" w:space="0"/>
              <w:bottom w:val="single" w:color="000000" w:sz="4" w:space="0"/>
              <w:right w:val="single" w:color="000000" w:sz="4" w:space="0"/>
            </w:tcBorders>
          </w:tcPr>
          <w:p w14:paraId="3F748F69">
            <w:pPr>
              <w:spacing w:line="440" w:lineRule="exact"/>
              <w:jc w:val="center"/>
              <w:rPr>
                <w:rFonts w:cs="宋体" w:asciiTheme="minorEastAsia" w:hAnsiTheme="minorEastAsia"/>
                <w:szCs w:val="21"/>
              </w:rPr>
            </w:pPr>
            <w:r>
              <w:rPr>
                <w:rFonts w:hint="eastAsia" w:ascii="Times New Roman" w:hAnsi="Times New Roman" w:cs="宋体"/>
                <w:szCs w:val="21"/>
              </w:rPr>
              <w:t>address</w:t>
            </w:r>
          </w:p>
        </w:tc>
        <w:tc>
          <w:tcPr>
            <w:tcW w:w="1779" w:type="dxa"/>
            <w:tcBorders>
              <w:top w:val="single" w:color="000000" w:sz="4" w:space="0"/>
              <w:left w:val="single" w:color="000000" w:sz="4" w:space="0"/>
              <w:bottom w:val="single" w:color="000000" w:sz="4" w:space="0"/>
              <w:right w:val="single" w:color="000000" w:sz="4" w:space="0"/>
            </w:tcBorders>
          </w:tcPr>
          <w:p w14:paraId="23BB3880">
            <w:pPr>
              <w:spacing w:line="440" w:lineRule="exact"/>
              <w:jc w:val="center"/>
              <w:rPr>
                <w:rFonts w:cs="宋体" w:asciiTheme="minorEastAsia" w:hAnsiTheme="minorEastAsia"/>
                <w:szCs w:val="21"/>
              </w:rPr>
            </w:pPr>
            <w:r>
              <w:rPr>
                <w:rFonts w:hint="eastAsia" w:cs="宋体" w:asciiTheme="minorEastAsia" w:hAnsiTheme="minorEastAsia"/>
                <w:szCs w:val="21"/>
              </w:rPr>
              <w:t>联系地址</w:t>
            </w:r>
          </w:p>
        </w:tc>
        <w:tc>
          <w:tcPr>
            <w:tcW w:w="1780" w:type="dxa"/>
            <w:tcBorders>
              <w:top w:val="single" w:color="000000" w:sz="4" w:space="0"/>
              <w:left w:val="single" w:color="000000" w:sz="4" w:space="0"/>
              <w:bottom w:val="single" w:color="000000" w:sz="4" w:space="0"/>
              <w:right w:val="single" w:color="000000" w:sz="4" w:space="0"/>
            </w:tcBorders>
          </w:tcPr>
          <w:p w14:paraId="0CB07978">
            <w:pPr>
              <w:spacing w:line="440" w:lineRule="exact"/>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80" w:type="dxa"/>
            <w:tcBorders>
              <w:top w:val="single" w:color="000000" w:sz="4" w:space="0"/>
              <w:left w:val="single" w:color="000000" w:sz="4" w:space="0"/>
              <w:bottom w:val="single" w:color="000000" w:sz="4" w:space="0"/>
              <w:right w:val="single" w:color="000000" w:sz="4" w:space="0"/>
            </w:tcBorders>
          </w:tcPr>
          <w:p w14:paraId="4065C76D">
            <w:pPr>
              <w:spacing w:line="440" w:lineRule="exact"/>
              <w:jc w:val="center"/>
              <w:rPr>
                <w:rFonts w:cs="宋体" w:asciiTheme="minorEastAsia" w:hAnsiTheme="minorEastAsia"/>
                <w:szCs w:val="21"/>
              </w:rPr>
            </w:pPr>
          </w:p>
        </w:tc>
      </w:tr>
      <w:tr w14:paraId="0C6FCE99">
        <w:tblPrEx>
          <w:tblCellMar>
            <w:top w:w="0" w:type="dxa"/>
            <w:left w:w="108" w:type="dxa"/>
            <w:bottom w:w="0" w:type="dxa"/>
            <w:right w:w="108" w:type="dxa"/>
          </w:tblCellMar>
        </w:tblPrEx>
        <w:trPr>
          <w:trHeight w:val="609" w:hRule="atLeast"/>
          <w:jc w:val="center"/>
        </w:trPr>
        <w:tc>
          <w:tcPr>
            <w:tcW w:w="1779" w:type="dxa"/>
            <w:tcBorders>
              <w:top w:val="single" w:color="000000" w:sz="4" w:space="0"/>
              <w:left w:val="single" w:color="000000" w:sz="4" w:space="0"/>
              <w:bottom w:val="single" w:color="000000" w:sz="4" w:space="0"/>
              <w:right w:val="single" w:color="000000" w:sz="4" w:space="0"/>
            </w:tcBorders>
          </w:tcPr>
          <w:p w14:paraId="22A103DD">
            <w:pPr>
              <w:spacing w:line="440" w:lineRule="exact"/>
              <w:jc w:val="center"/>
              <w:rPr>
                <w:rFonts w:cs="宋体" w:asciiTheme="minorEastAsia" w:hAnsiTheme="minorEastAsia"/>
                <w:szCs w:val="21"/>
              </w:rPr>
            </w:pPr>
            <w:r>
              <w:rPr>
                <w:rFonts w:hint="eastAsia" w:ascii="Times New Roman" w:hAnsi="Times New Roman" w:cs="宋体"/>
                <w:szCs w:val="21"/>
              </w:rPr>
              <w:t>age</w:t>
            </w:r>
          </w:p>
        </w:tc>
        <w:tc>
          <w:tcPr>
            <w:tcW w:w="1779" w:type="dxa"/>
            <w:tcBorders>
              <w:top w:val="single" w:color="000000" w:sz="4" w:space="0"/>
              <w:left w:val="single" w:color="000000" w:sz="4" w:space="0"/>
              <w:bottom w:val="single" w:color="000000" w:sz="4" w:space="0"/>
              <w:right w:val="single" w:color="000000" w:sz="4" w:space="0"/>
            </w:tcBorders>
          </w:tcPr>
          <w:p w14:paraId="31E7FB5C">
            <w:pPr>
              <w:spacing w:line="440" w:lineRule="exact"/>
              <w:jc w:val="center"/>
              <w:rPr>
                <w:rFonts w:cs="宋体" w:asciiTheme="minorEastAsia" w:hAnsiTheme="minorEastAsia"/>
                <w:szCs w:val="21"/>
              </w:rPr>
            </w:pPr>
            <w:r>
              <w:rPr>
                <w:rFonts w:hint="eastAsia" w:cs="宋体" w:asciiTheme="minorEastAsia" w:hAnsiTheme="minorEastAsia"/>
                <w:szCs w:val="21"/>
              </w:rPr>
              <w:t>年龄</w:t>
            </w:r>
          </w:p>
        </w:tc>
        <w:tc>
          <w:tcPr>
            <w:tcW w:w="1780" w:type="dxa"/>
            <w:tcBorders>
              <w:top w:val="single" w:color="000000" w:sz="4" w:space="0"/>
              <w:left w:val="single" w:color="000000" w:sz="4" w:space="0"/>
              <w:bottom w:val="single" w:color="000000" w:sz="4" w:space="0"/>
              <w:right w:val="single" w:color="000000" w:sz="4" w:space="0"/>
            </w:tcBorders>
          </w:tcPr>
          <w:p w14:paraId="4ED2B27E">
            <w:pPr>
              <w:spacing w:line="440" w:lineRule="exact"/>
              <w:jc w:val="center"/>
              <w:rPr>
                <w:rFonts w:cs="宋体" w:asciiTheme="minorEastAsia" w:hAnsiTheme="minorEastAsia"/>
                <w:szCs w:val="21"/>
              </w:rPr>
            </w:pPr>
            <w:r>
              <w:rPr>
                <w:rFonts w:hint="eastAsia" w:ascii="Times New Roman" w:hAnsi="Times New Roman" w:cs="宋体"/>
                <w:szCs w:val="21"/>
              </w:rPr>
              <w:t>int</w:t>
            </w:r>
          </w:p>
        </w:tc>
        <w:tc>
          <w:tcPr>
            <w:tcW w:w="1780" w:type="dxa"/>
            <w:tcBorders>
              <w:top w:val="single" w:color="000000" w:sz="4" w:space="0"/>
              <w:left w:val="single" w:color="000000" w:sz="4" w:space="0"/>
              <w:bottom w:val="single" w:color="000000" w:sz="4" w:space="0"/>
              <w:right w:val="single" w:color="000000" w:sz="4" w:space="0"/>
            </w:tcBorders>
          </w:tcPr>
          <w:p w14:paraId="313D78F3">
            <w:pPr>
              <w:spacing w:line="440" w:lineRule="exact"/>
              <w:jc w:val="center"/>
              <w:rPr>
                <w:rFonts w:cs="宋体" w:asciiTheme="minorEastAsia" w:hAnsiTheme="minorEastAsia"/>
                <w:szCs w:val="21"/>
              </w:rPr>
            </w:pPr>
          </w:p>
        </w:tc>
      </w:tr>
      <w:tr w14:paraId="74A7D963">
        <w:tblPrEx>
          <w:tblCellMar>
            <w:top w:w="0" w:type="dxa"/>
            <w:left w:w="108" w:type="dxa"/>
            <w:bottom w:w="0" w:type="dxa"/>
            <w:right w:w="108" w:type="dxa"/>
          </w:tblCellMar>
        </w:tblPrEx>
        <w:trPr>
          <w:trHeight w:val="609" w:hRule="atLeast"/>
          <w:jc w:val="center"/>
        </w:trPr>
        <w:tc>
          <w:tcPr>
            <w:tcW w:w="1779" w:type="dxa"/>
            <w:tcBorders>
              <w:top w:val="single" w:color="000000" w:sz="4" w:space="0"/>
              <w:left w:val="single" w:color="000000" w:sz="4" w:space="0"/>
              <w:bottom w:val="single" w:color="000000" w:sz="4" w:space="0"/>
              <w:right w:val="single" w:color="000000" w:sz="4" w:space="0"/>
            </w:tcBorders>
          </w:tcPr>
          <w:p w14:paraId="63105E3D">
            <w:pPr>
              <w:spacing w:line="440" w:lineRule="exact"/>
              <w:jc w:val="center"/>
              <w:rPr>
                <w:rFonts w:cs="宋体" w:asciiTheme="minorEastAsia" w:hAnsiTheme="minorEastAsia"/>
                <w:szCs w:val="21"/>
              </w:rPr>
            </w:pPr>
            <w:r>
              <w:rPr>
                <w:rFonts w:hint="eastAsia" w:ascii="Times New Roman" w:hAnsi="Times New Roman" w:cs="宋体"/>
                <w:szCs w:val="21"/>
              </w:rPr>
              <w:t>status</w:t>
            </w:r>
          </w:p>
        </w:tc>
        <w:tc>
          <w:tcPr>
            <w:tcW w:w="1779" w:type="dxa"/>
            <w:tcBorders>
              <w:top w:val="single" w:color="000000" w:sz="4" w:space="0"/>
              <w:left w:val="single" w:color="000000" w:sz="4" w:space="0"/>
              <w:bottom w:val="single" w:color="000000" w:sz="4" w:space="0"/>
              <w:right w:val="single" w:color="000000" w:sz="4" w:space="0"/>
            </w:tcBorders>
          </w:tcPr>
          <w:p w14:paraId="43DA98FF">
            <w:pPr>
              <w:spacing w:line="440" w:lineRule="exact"/>
              <w:jc w:val="center"/>
              <w:rPr>
                <w:rFonts w:cs="宋体" w:asciiTheme="minorEastAsia" w:hAnsiTheme="minorEastAsia"/>
                <w:szCs w:val="21"/>
              </w:rPr>
            </w:pPr>
            <w:r>
              <w:rPr>
                <w:rFonts w:hint="eastAsia" w:cs="宋体" w:asciiTheme="minorEastAsia" w:hAnsiTheme="minorEastAsia"/>
                <w:szCs w:val="21"/>
              </w:rPr>
              <w:t>状态</w:t>
            </w:r>
          </w:p>
        </w:tc>
        <w:tc>
          <w:tcPr>
            <w:tcW w:w="1780" w:type="dxa"/>
            <w:tcBorders>
              <w:top w:val="single" w:color="000000" w:sz="4" w:space="0"/>
              <w:left w:val="single" w:color="000000" w:sz="4" w:space="0"/>
              <w:bottom w:val="single" w:color="000000" w:sz="4" w:space="0"/>
              <w:right w:val="single" w:color="000000" w:sz="4" w:space="0"/>
            </w:tcBorders>
          </w:tcPr>
          <w:p w14:paraId="7D750CE1">
            <w:pPr>
              <w:spacing w:line="440" w:lineRule="exact"/>
              <w:jc w:val="center"/>
              <w:rPr>
                <w:rFonts w:cs="宋体" w:asciiTheme="minorEastAsia" w:hAnsiTheme="minorEastAsia"/>
                <w:szCs w:val="21"/>
              </w:rPr>
            </w:pPr>
            <w:r>
              <w:rPr>
                <w:rFonts w:hint="eastAsia" w:ascii="Times New Roman" w:hAnsi="Times New Roman" w:cs="宋体"/>
                <w:szCs w:val="21"/>
              </w:rPr>
              <w:t>int</w:t>
            </w:r>
          </w:p>
        </w:tc>
        <w:tc>
          <w:tcPr>
            <w:tcW w:w="1780" w:type="dxa"/>
            <w:tcBorders>
              <w:top w:val="single" w:color="000000" w:sz="4" w:space="0"/>
              <w:left w:val="single" w:color="000000" w:sz="4" w:space="0"/>
              <w:bottom w:val="single" w:color="000000" w:sz="4" w:space="0"/>
              <w:right w:val="single" w:color="000000" w:sz="4" w:space="0"/>
            </w:tcBorders>
          </w:tcPr>
          <w:p w14:paraId="1F870430">
            <w:pPr>
              <w:spacing w:line="440" w:lineRule="exact"/>
              <w:jc w:val="center"/>
              <w:rPr>
                <w:rFonts w:cs="宋体" w:asciiTheme="minorEastAsia" w:hAnsiTheme="minorEastAsia"/>
                <w:szCs w:val="21"/>
              </w:rPr>
            </w:pPr>
          </w:p>
        </w:tc>
      </w:tr>
      <w:tr w14:paraId="3F088356">
        <w:tblPrEx>
          <w:tblCellMar>
            <w:top w:w="0" w:type="dxa"/>
            <w:left w:w="108" w:type="dxa"/>
            <w:bottom w:w="0" w:type="dxa"/>
            <w:right w:w="108" w:type="dxa"/>
          </w:tblCellMar>
        </w:tblPrEx>
        <w:trPr>
          <w:trHeight w:val="609" w:hRule="atLeast"/>
          <w:jc w:val="center"/>
        </w:trPr>
        <w:tc>
          <w:tcPr>
            <w:tcW w:w="1779" w:type="dxa"/>
            <w:tcBorders>
              <w:top w:val="single" w:color="000000" w:sz="4" w:space="0"/>
              <w:left w:val="single" w:color="000000" w:sz="4" w:space="0"/>
              <w:bottom w:val="single" w:color="000000" w:sz="4" w:space="0"/>
              <w:right w:val="single" w:color="000000" w:sz="4" w:space="0"/>
            </w:tcBorders>
          </w:tcPr>
          <w:p w14:paraId="1D38498D">
            <w:pPr>
              <w:spacing w:line="440" w:lineRule="exact"/>
              <w:jc w:val="center"/>
              <w:rPr>
                <w:rFonts w:cs="宋体" w:asciiTheme="minorEastAsia" w:hAnsiTheme="minorEastAsia"/>
                <w:szCs w:val="21"/>
              </w:rPr>
            </w:pPr>
            <w:r>
              <w:rPr>
                <w:rFonts w:hint="eastAsia" w:ascii="Times New Roman" w:hAnsi="Times New Roman" w:cs="宋体"/>
                <w:szCs w:val="21"/>
              </w:rPr>
              <w:t>type</w:t>
            </w:r>
          </w:p>
        </w:tc>
        <w:tc>
          <w:tcPr>
            <w:tcW w:w="1779" w:type="dxa"/>
            <w:tcBorders>
              <w:top w:val="single" w:color="000000" w:sz="4" w:space="0"/>
              <w:left w:val="single" w:color="000000" w:sz="4" w:space="0"/>
              <w:bottom w:val="single" w:color="000000" w:sz="4" w:space="0"/>
              <w:right w:val="single" w:color="000000" w:sz="4" w:space="0"/>
            </w:tcBorders>
          </w:tcPr>
          <w:p w14:paraId="4DF20940">
            <w:pPr>
              <w:spacing w:line="440" w:lineRule="exact"/>
              <w:jc w:val="center"/>
              <w:rPr>
                <w:rFonts w:cs="宋体" w:asciiTheme="minorEastAsia" w:hAnsiTheme="minorEastAsia"/>
                <w:szCs w:val="21"/>
              </w:rPr>
            </w:pPr>
            <w:r>
              <w:rPr>
                <w:rFonts w:hint="eastAsia" w:cs="宋体" w:asciiTheme="minorEastAsia" w:hAnsiTheme="minorEastAsia"/>
                <w:szCs w:val="21"/>
              </w:rPr>
              <w:t>类型</w:t>
            </w:r>
          </w:p>
        </w:tc>
        <w:tc>
          <w:tcPr>
            <w:tcW w:w="1780" w:type="dxa"/>
            <w:tcBorders>
              <w:top w:val="single" w:color="000000" w:sz="4" w:space="0"/>
              <w:left w:val="single" w:color="000000" w:sz="4" w:space="0"/>
              <w:bottom w:val="single" w:color="000000" w:sz="4" w:space="0"/>
              <w:right w:val="single" w:color="000000" w:sz="4" w:space="0"/>
            </w:tcBorders>
          </w:tcPr>
          <w:p w14:paraId="71AA5F55">
            <w:pPr>
              <w:spacing w:line="440" w:lineRule="exact"/>
              <w:jc w:val="center"/>
              <w:rPr>
                <w:rFonts w:cs="宋体" w:asciiTheme="minorEastAsia" w:hAnsiTheme="minorEastAsia"/>
                <w:szCs w:val="21"/>
              </w:rPr>
            </w:pPr>
            <w:r>
              <w:rPr>
                <w:rFonts w:hint="eastAsia" w:ascii="Times New Roman" w:hAnsi="Times New Roman" w:cs="宋体"/>
                <w:szCs w:val="21"/>
              </w:rPr>
              <w:t>int</w:t>
            </w:r>
          </w:p>
        </w:tc>
        <w:tc>
          <w:tcPr>
            <w:tcW w:w="1780" w:type="dxa"/>
            <w:tcBorders>
              <w:top w:val="single" w:color="000000" w:sz="4" w:space="0"/>
              <w:left w:val="single" w:color="000000" w:sz="4" w:space="0"/>
              <w:bottom w:val="single" w:color="000000" w:sz="4" w:space="0"/>
              <w:right w:val="single" w:color="000000" w:sz="4" w:space="0"/>
            </w:tcBorders>
          </w:tcPr>
          <w:p w14:paraId="2E28E6F1">
            <w:pPr>
              <w:spacing w:line="440" w:lineRule="exact"/>
              <w:jc w:val="center"/>
              <w:rPr>
                <w:rFonts w:cs="宋体" w:asciiTheme="minorEastAsia" w:hAnsiTheme="minorEastAsia"/>
                <w:szCs w:val="21"/>
              </w:rPr>
            </w:pPr>
          </w:p>
        </w:tc>
      </w:tr>
      <w:tr w14:paraId="229D1AC4">
        <w:tblPrEx>
          <w:tblCellMar>
            <w:top w:w="0" w:type="dxa"/>
            <w:left w:w="108" w:type="dxa"/>
            <w:bottom w:w="0" w:type="dxa"/>
            <w:right w:w="108" w:type="dxa"/>
          </w:tblCellMar>
        </w:tblPrEx>
        <w:trPr>
          <w:trHeight w:val="670" w:hRule="atLeast"/>
          <w:jc w:val="center"/>
        </w:trPr>
        <w:tc>
          <w:tcPr>
            <w:tcW w:w="1779" w:type="dxa"/>
            <w:tcBorders>
              <w:top w:val="single" w:color="000000" w:sz="4" w:space="0"/>
              <w:left w:val="single" w:color="000000" w:sz="4" w:space="0"/>
              <w:bottom w:val="single" w:color="000000" w:sz="4" w:space="0"/>
              <w:right w:val="single" w:color="000000" w:sz="4" w:space="0"/>
            </w:tcBorders>
          </w:tcPr>
          <w:p w14:paraId="7F1F6622">
            <w:pPr>
              <w:spacing w:line="440" w:lineRule="exact"/>
              <w:jc w:val="center"/>
              <w:rPr>
                <w:rFonts w:cs="宋体" w:asciiTheme="minorEastAsia" w:hAnsiTheme="minorEastAsia"/>
                <w:szCs w:val="21"/>
              </w:rPr>
            </w:pPr>
            <w:r>
              <w:rPr>
                <w:rFonts w:hint="eastAsia" w:ascii="Times New Roman" w:hAnsi="Times New Roman" w:cs="宋体"/>
                <w:szCs w:val="21"/>
              </w:rPr>
              <w:t>create</w:t>
            </w:r>
            <w:r>
              <w:rPr>
                <w:rFonts w:hint="eastAsia" w:cs="宋体" w:asciiTheme="minorEastAsia" w:hAnsiTheme="minorEastAsia"/>
                <w:szCs w:val="21"/>
              </w:rPr>
              <w:t>_</w:t>
            </w:r>
            <w:r>
              <w:rPr>
                <w:rFonts w:hint="eastAsia" w:ascii="Times New Roman" w:hAnsi="Times New Roman" w:cs="宋体"/>
                <w:szCs w:val="21"/>
              </w:rPr>
              <w:t>time</w:t>
            </w:r>
          </w:p>
        </w:tc>
        <w:tc>
          <w:tcPr>
            <w:tcW w:w="1779" w:type="dxa"/>
            <w:tcBorders>
              <w:top w:val="single" w:color="000000" w:sz="4" w:space="0"/>
              <w:left w:val="single" w:color="000000" w:sz="4" w:space="0"/>
              <w:bottom w:val="single" w:color="000000" w:sz="4" w:space="0"/>
              <w:right w:val="single" w:color="000000" w:sz="4" w:space="0"/>
            </w:tcBorders>
          </w:tcPr>
          <w:p w14:paraId="010FEF3C">
            <w:pPr>
              <w:spacing w:line="440" w:lineRule="exact"/>
              <w:jc w:val="center"/>
              <w:rPr>
                <w:rFonts w:cs="宋体" w:asciiTheme="minorEastAsia" w:hAnsiTheme="minorEastAsia"/>
                <w:szCs w:val="21"/>
              </w:rPr>
            </w:pPr>
            <w:r>
              <w:rPr>
                <w:rFonts w:hint="eastAsia" w:cs="宋体" w:asciiTheme="minorEastAsia" w:hAnsiTheme="minorEastAsia"/>
                <w:szCs w:val="21"/>
              </w:rPr>
              <w:t>创建时间</w:t>
            </w:r>
          </w:p>
        </w:tc>
        <w:tc>
          <w:tcPr>
            <w:tcW w:w="1780" w:type="dxa"/>
            <w:tcBorders>
              <w:top w:val="single" w:color="000000" w:sz="4" w:space="0"/>
              <w:left w:val="single" w:color="000000" w:sz="4" w:space="0"/>
              <w:bottom w:val="single" w:color="000000" w:sz="4" w:space="0"/>
              <w:right w:val="single" w:color="000000" w:sz="4" w:space="0"/>
            </w:tcBorders>
          </w:tcPr>
          <w:p w14:paraId="7EBAA74F">
            <w:pPr>
              <w:spacing w:line="440" w:lineRule="exact"/>
              <w:jc w:val="center"/>
              <w:rPr>
                <w:rFonts w:cs="宋体" w:asciiTheme="minorEastAsia" w:hAnsiTheme="minorEastAsia"/>
                <w:szCs w:val="21"/>
              </w:rPr>
            </w:pPr>
            <w:r>
              <w:rPr>
                <w:rFonts w:hint="eastAsia" w:ascii="Times New Roman" w:hAnsi="Times New Roman" w:cs="宋体"/>
                <w:szCs w:val="21"/>
              </w:rPr>
              <w:t>varchar</w:t>
            </w:r>
            <w:r>
              <w:rPr>
                <w:rFonts w:hint="eastAsia" w:cs="宋体" w:asciiTheme="minorEastAsia" w:hAnsiTheme="minorEastAsia"/>
                <w:szCs w:val="21"/>
              </w:rPr>
              <w:t>(</w:t>
            </w:r>
            <w:r>
              <w:rPr>
                <w:rFonts w:hint="eastAsia" w:ascii="Times New Roman" w:hAnsi="Times New Roman" w:cs="宋体"/>
                <w:szCs w:val="21"/>
              </w:rPr>
              <w:t>255</w:t>
            </w:r>
            <w:r>
              <w:rPr>
                <w:rFonts w:hint="eastAsia" w:cs="宋体" w:asciiTheme="minorEastAsia" w:hAnsiTheme="minorEastAsia"/>
                <w:szCs w:val="21"/>
              </w:rPr>
              <w:t>)</w:t>
            </w:r>
          </w:p>
        </w:tc>
        <w:tc>
          <w:tcPr>
            <w:tcW w:w="1780" w:type="dxa"/>
            <w:tcBorders>
              <w:top w:val="single" w:color="000000" w:sz="4" w:space="0"/>
              <w:left w:val="single" w:color="000000" w:sz="4" w:space="0"/>
              <w:bottom w:val="single" w:color="000000" w:sz="4" w:space="0"/>
              <w:right w:val="single" w:color="000000" w:sz="4" w:space="0"/>
            </w:tcBorders>
          </w:tcPr>
          <w:p w14:paraId="3F492122">
            <w:pPr>
              <w:spacing w:line="440" w:lineRule="exact"/>
              <w:jc w:val="center"/>
              <w:rPr>
                <w:rFonts w:cs="宋体" w:asciiTheme="minorEastAsia" w:hAnsiTheme="minorEastAsia"/>
                <w:szCs w:val="21"/>
              </w:rPr>
            </w:pPr>
          </w:p>
        </w:tc>
      </w:tr>
    </w:tbl>
    <w:p w14:paraId="643866E1">
      <w:pPr>
        <w:pageBreakBefore w:val="0"/>
        <w:jc w:val="left"/>
        <w:outlineLvl w:val="9"/>
        <w:rPr>
          <w:rFonts w:ascii="宋体" w:hAnsi="宋体" w:cs="宋体"/>
          <w:sz w:val="28"/>
          <w:szCs w:val="28"/>
        </w:rPr>
      </w:pPr>
      <w:bookmarkStart w:id="663" w:name="_Toc1741602557"/>
      <w:bookmarkStart w:id="664" w:name="_Toc10380"/>
      <w:bookmarkStart w:id="665" w:name="_Toc27368"/>
      <w:bookmarkStart w:id="666" w:name="_Toc1273125060"/>
      <w:bookmarkStart w:id="667" w:name="_Toc772"/>
      <w:r>
        <w:rPr>
          <w:rFonts w:hint="eastAsia" w:ascii="Times New Roman" w:hAnsi="Times New Roman" w:cs="宋体"/>
          <w:sz w:val="28"/>
          <w:szCs w:val="28"/>
        </w:rPr>
        <w:t>4</w:t>
      </w:r>
      <w:r>
        <w:rPr>
          <w:rFonts w:hint="eastAsia" w:ascii="宋体" w:hAnsi="宋体" w:cs="宋体"/>
          <w:sz w:val="28"/>
          <w:szCs w:val="28"/>
        </w:rPr>
        <w:t xml:space="preserve"> 系统功能及使用说明</w:t>
      </w:r>
      <w:bookmarkEnd w:id="663"/>
      <w:bookmarkEnd w:id="664"/>
      <w:bookmarkEnd w:id="665"/>
      <w:bookmarkEnd w:id="666"/>
      <w:bookmarkEnd w:id="667"/>
    </w:p>
    <w:p w14:paraId="42171807">
      <w:pPr>
        <w:spacing w:line="440" w:lineRule="exact"/>
        <w:ind w:firstLine="480" w:firstLineChars="200"/>
        <w:jc w:val="left"/>
        <w:outlineLvl w:val="9"/>
        <w:rPr>
          <w:rFonts w:ascii="Times New Roman" w:hAnsi="Times New Roman"/>
          <w:color w:val="000000"/>
          <w:sz w:val="24"/>
        </w:rPr>
      </w:pPr>
      <w:bookmarkStart w:id="668" w:name="_Toc14910"/>
      <w:bookmarkStart w:id="669" w:name="_Toc2127883556"/>
      <w:bookmarkStart w:id="670" w:name="_Toc308904452"/>
      <w:bookmarkStart w:id="671" w:name="_Toc5024"/>
      <w:bookmarkStart w:id="672" w:name="_Toc26920"/>
      <w:r>
        <w:rPr>
          <w:rFonts w:ascii="Times New Roman" w:hAnsi="Times New Roman"/>
          <w:color w:val="000000"/>
          <w:sz w:val="24"/>
        </w:rPr>
        <w:t>4.1</w:t>
      </w:r>
      <w:r>
        <w:rPr>
          <w:rFonts w:hint="eastAsia" w:ascii="Times New Roman" w:hAnsi="Times New Roman"/>
          <w:color w:val="000000"/>
          <w:sz w:val="24"/>
        </w:rPr>
        <w:t>登录注册</w:t>
      </w:r>
      <w:bookmarkEnd w:id="668"/>
      <w:bookmarkEnd w:id="669"/>
      <w:bookmarkEnd w:id="670"/>
      <w:bookmarkEnd w:id="671"/>
      <w:bookmarkEnd w:id="672"/>
    </w:p>
    <w:p w14:paraId="049C106E">
      <w:pPr>
        <w:spacing w:before="0" w:after="0" w:line="440" w:lineRule="exact"/>
        <w:ind w:firstLine="480" w:firstLineChars="200"/>
        <w:outlineLvl w:val="9"/>
        <w:rPr>
          <w:rFonts w:ascii="宋体" w:hAnsi="宋体" w:cs="宋体"/>
          <w:sz w:val="24"/>
          <w:lang w:eastAsia="zh"/>
        </w:rPr>
      </w:pPr>
      <w:bookmarkStart w:id="673" w:name="_Toc567099304"/>
      <w:bookmarkStart w:id="674" w:name="_Toc60608157"/>
      <w:r>
        <w:rPr>
          <w:rFonts w:hint="eastAsia" w:ascii="宋体" w:hAnsi="宋体" w:cs="宋体"/>
          <w:b w:val="0"/>
          <w:sz w:val="24"/>
        </w:rPr>
        <w:t>（</w:t>
      </w:r>
      <w:r>
        <w:rPr>
          <w:rFonts w:hint="eastAsia" w:ascii="Times New Roman" w:hAnsi="Times New Roman" w:cs="宋体"/>
          <w:b w:val="0"/>
          <w:sz w:val="24"/>
        </w:rPr>
        <w:t>1</w:t>
      </w:r>
      <w:r>
        <w:rPr>
          <w:rFonts w:hint="eastAsia" w:ascii="宋体" w:hAnsi="宋体" w:cs="宋体"/>
          <w:b w:val="0"/>
          <w:sz w:val="24"/>
        </w:rPr>
        <w:t>）</w:t>
      </w:r>
      <w:r>
        <w:rPr>
          <w:rFonts w:hint="eastAsia" w:ascii="宋体" w:hAnsi="宋体" w:cs="宋体"/>
          <w:b w:val="0"/>
          <w:sz w:val="24"/>
          <w:lang w:eastAsia="zh"/>
        </w:rPr>
        <w:t>成员和管理员通过用户名和密码登录系统</w:t>
      </w:r>
      <w:r>
        <w:rPr>
          <w:rFonts w:hint="eastAsia" w:ascii="宋体" w:hAnsi="宋体" w:cs="宋体"/>
          <w:sz w:val="24"/>
          <w:lang w:eastAsia="zh"/>
        </w:rPr>
        <w:t>。</w:t>
      </w:r>
      <w:bookmarkEnd w:id="673"/>
      <w:bookmarkEnd w:id="674"/>
    </w:p>
    <w:p w14:paraId="1BCC4E92">
      <w:pPr>
        <w:spacing w:before="0" w:after="0" w:line="440" w:lineRule="exact"/>
        <w:ind w:firstLine="480" w:firstLineChars="200"/>
        <w:outlineLvl w:val="9"/>
        <w:rPr>
          <w:lang w:eastAsia="zh"/>
        </w:rPr>
      </w:pPr>
      <w:r>
        <w:rPr>
          <w:rFonts w:hint="eastAsia" w:ascii="宋体" w:hAnsi="宋体" w:cs="宋体"/>
          <w:b w:val="0"/>
          <w:sz w:val="24"/>
          <w:lang w:eastAsia="zh"/>
        </w:rPr>
        <w:t>登录功能</w:t>
      </w:r>
      <w:r>
        <w:rPr>
          <w:rFonts w:hint="eastAsia" w:ascii="宋体" w:hAnsi="宋体" w:cs="宋体"/>
          <w:b w:val="0"/>
          <w:sz w:val="24"/>
        </w:rPr>
        <w:t>(如图</w:t>
      </w:r>
      <w:r>
        <w:rPr>
          <w:rFonts w:hint="eastAsia" w:ascii="Times New Roman" w:hAnsi="Times New Roman" w:cs="宋体"/>
          <w:b w:val="0"/>
          <w:sz w:val="24"/>
        </w:rPr>
        <w:t>4-1</w:t>
      </w:r>
      <w:r>
        <w:rPr>
          <w:rFonts w:hint="eastAsia" w:ascii="宋体" w:hAnsi="宋体" w:cs="宋体"/>
          <w:b w:val="0"/>
          <w:sz w:val="24"/>
        </w:rPr>
        <w:t>）</w:t>
      </w:r>
      <w:r>
        <w:rPr>
          <w:rFonts w:hint="eastAsia" w:ascii="宋体" w:hAnsi="宋体" w:cs="宋体"/>
          <w:b w:val="0"/>
          <w:sz w:val="24"/>
          <w:lang w:eastAsia="zh"/>
        </w:rPr>
        <w:t>用户输入用户名和密码。系统验证凭据，通过则允许访问，失败则提示错误。</w:t>
      </w:r>
    </w:p>
    <w:p w14:paraId="66A78A0A">
      <w:pPr>
        <w:jc w:val="center"/>
      </w:pPr>
      <w:r>
        <w:rPr>
          <w:rFonts w:hint="eastAsia"/>
        </w:rPr>
        <w:drawing>
          <wp:inline distT="0" distB="0" distL="114300" distR="114300">
            <wp:extent cx="2352675" cy="3066415"/>
            <wp:effectExtent l="0" t="0" r="9525" b="635"/>
            <wp:docPr id="1898648860" name="图片 189864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0" name="图片 1898648860"/>
                    <pic:cNvPicPr>
                      <a:picLocks noChangeAspect="1"/>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2353124" cy="3066415"/>
                    </a:xfrm>
                    <a:prstGeom prst="rect">
                      <a:avLst/>
                    </a:prstGeom>
                  </pic:spPr>
                </pic:pic>
              </a:graphicData>
            </a:graphic>
          </wp:inline>
        </w:drawing>
      </w:r>
    </w:p>
    <w:p w14:paraId="1FCF14FA">
      <w:pPr>
        <w:spacing w:line="440" w:lineRule="exact"/>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4-1</w:t>
      </w:r>
      <w:r>
        <w:rPr>
          <w:rFonts w:hint="eastAsia" w:ascii="宋体" w:hAnsi="宋体" w:cs="宋体"/>
          <w:szCs w:val="21"/>
        </w:rPr>
        <w:t>登</w:t>
      </w:r>
      <w:r>
        <w:rPr>
          <w:rFonts w:hint="eastAsia" w:ascii="宋体" w:hAnsi="宋体" w:cs="宋体"/>
          <w:szCs w:val="21"/>
          <w:lang w:eastAsia="zh"/>
        </w:rPr>
        <w:t>录页面</w:t>
      </w:r>
      <w:bookmarkStart w:id="675" w:name="_Toc137798477"/>
      <w:bookmarkStart w:id="676" w:name="_Toc1914658401"/>
    </w:p>
    <w:p w14:paraId="3CA8C4A0">
      <w:pPr>
        <w:spacing w:line="440" w:lineRule="exact"/>
        <w:ind w:firstLine="480" w:firstLineChars="200"/>
        <w:rPr>
          <w:rFonts w:ascii="宋体" w:hAnsi="宋体" w:cs="宋体"/>
          <w:sz w:val="24"/>
          <w:lang w:eastAsia="zh"/>
        </w:rPr>
      </w:pPr>
      <w:r>
        <w:rPr>
          <w:rFonts w:hint="eastAsia" w:ascii="宋体" w:hAnsi="宋体" w:cs="宋体"/>
          <w:sz w:val="24"/>
        </w:rPr>
        <w:t>（</w:t>
      </w:r>
      <w:r>
        <w:rPr>
          <w:rFonts w:hint="eastAsia" w:ascii="Times New Roman" w:hAnsi="Times New Roman" w:cs="宋体"/>
          <w:sz w:val="24"/>
        </w:rPr>
        <w:t>2</w:t>
      </w:r>
      <w:r>
        <w:rPr>
          <w:rFonts w:hint="eastAsia" w:ascii="宋体" w:hAnsi="宋体" w:cs="宋体"/>
          <w:sz w:val="24"/>
        </w:rPr>
        <w:t>）</w:t>
      </w:r>
      <w:r>
        <w:rPr>
          <w:rFonts w:hint="eastAsia" w:ascii="宋体" w:hAnsi="宋体" w:cs="宋体"/>
          <w:sz w:val="24"/>
          <w:lang w:eastAsia="zh"/>
        </w:rPr>
        <w:t>新成员可以注册加入社团，注册信息经过管理员审核后生效。</w:t>
      </w:r>
      <w:bookmarkEnd w:id="675"/>
      <w:bookmarkEnd w:id="676"/>
    </w:p>
    <w:p w14:paraId="4D1DA079">
      <w:pPr>
        <w:spacing w:line="440" w:lineRule="exact"/>
        <w:ind w:firstLine="480" w:firstLineChars="200"/>
        <w:rPr>
          <w:sz w:val="24"/>
          <w:lang w:eastAsia="zh"/>
        </w:rPr>
      </w:pPr>
      <w:r>
        <w:rPr>
          <w:rFonts w:hint="eastAsia" w:ascii="宋体" w:hAnsi="宋体" w:cs="宋体"/>
          <w:sz w:val="24"/>
          <w:lang w:eastAsia="zh"/>
        </w:rPr>
        <w:t>注册功能</w:t>
      </w:r>
      <w:r>
        <w:rPr>
          <w:rFonts w:hint="eastAsia" w:ascii="宋体" w:hAnsi="宋体" w:cs="宋体"/>
          <w:sz w:val="24"/>
        </w:rPr>
        <w:t>(如图</w:t>
      </w:r>
      <w:r>
        <w:rPr>
          <w:rFonts w:hint="eastAsia" w:ascii="Times New Roman" w:hAnsi="Times New Roman" w:cs="宋体"/>
          <w:sz w:val="24"/>
        </w:rPr>
        <w:t>4-2</w:t>
      </w:r>
      <w:r>
        <w:rPr>
          <w:rFonts w:hint="eastAsia" w:ascii="宋体" w:hAnsi="宋体" w:cs="宋体"/>
          <w:sz w:val="24"/>
        </w:rPr>
        <w:t>)</w:t>
      </w:r>
      <w:r>
        <w:rPr>
          <w:rFonts w:hint="eastAsia" w:ascii="宋体" w:hAnsi="宋体" w:cs="宋体"/>
          <w:sz w:val="24"/>
          <w:lang w:eastAsia="zh"/>
        </w:rPr>
        <w:t>新用户填写信息，包括用户名、密码。系统检查信息有效性，确认后创建账号或显示错误信息。</w:t>
      </w:r>
    </w:p>
    <w:p w14:paraId="5B52C908">
      <w:pPr>
        <w:jc w:val="center"/>
        <w:rPr>
          <w:lang w:eastAsia="zh"/>
        </w:rPr>
      </w:pPr>
      <w:r>
        <w:rPr>
          <w:rFonts w:hint="eastAsia"/>
        </w:rPr>
        <w:drawing>
          <wp:inline distT="0" distB="0" distL="114300" distR="114300">
            <wp:extent cx="3815715" cy="2800350"/>
            <wp:effectExtent l="0" t="0" r="0" b="0"/>
            <wp:docPr id="1898648861" name="图片 189864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1" name="图片 1898648861"/>
                    <pic:cNvPicPr>
                      <a:picLocks noChangeAspect="1"/>
                    </pic:cNvPicPr>
                  </pic:nvPicPr>
                  <pic:blipFill>
                    <a:blip r:embed="rId238">
                      <a:extLst>
                        <a:ext uri="{28A0092B-C50C-407E-A947-70E740481C1C}">
                          <a14:useLocalDpi xmlns:a14="http://schemas.microsoft.com/office/drawing/2010/main" val="0"/>
                        </a:ext>
                      </a:extLst>
                    </a:blip>
                    <a:stretch>
                      <a:fillRect/>
                    </a:stretch>
                  </pic:blipFill>
                  <pic:spPr>
                    <a:xfrm>
                      <a:off x="0" y="0"/>
                      <a:ext cx="3815743" cy="2800350"/>
                    </a:xfrm>
                    <a:prstGeom prst="rect">
                      <a:avLst/>
                    </a:prstGeom>
                  </pic:spPr>
                </pic:pic>
              </a:graphicData>
            </a:graphic>
          </wp:inline>
        </w:drawing>
      </w:r>
    </w:p>
    <w:p w14:paraId="7663AC03">
      <w:pPr>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4-2</w:t>
      </w:r>
      <w:r>
        <w:rPr>
          <w:rFonts w:hint="eastAsia" w:ascii="宋体" w:hAnsi="宋体" w:cs="宋体"/>
          <w:szCs w:val="21"/>
        </w:rPr>
        <w:t>新成员</w:t>
      </w:r>
      <w:r>
        <w:rPr>
          <w:rFonts w:hint="eastAsia" w:ascii="宋体" w:hAnsi="宋体" w:cs="宋体"/>
          <w:szCs w:val="21"/>
          <w:lang w:eastAsia="zh"/>
        </w:rPr>
        <w:t>注册页</w:t>
      </w:r>
    </w:p>
    <w:p w14:paraId="7A43F5AF">
      <w:pPr>
        <w:snapToGrid w:val="0"/>
        <w:spacing w:before="0" w:after="0" w:line="440" w:lineRule="exact"/>
        <w:ind w:firstLine="480" w:firstLineChars="200"/>
        <w:jc w:val="left"/>
        <w:outlineLvl w:val="9"/>
        <w:rPr>
          <w:rFonts w:ascii="宋体" w:hAnsi="宋体" w:eastAsia="宋体" w:cs="宋体"/>
          <w:b w:val="0"/>
          <w:sz w:val="24"/>
          <w:lang w:eastAsia="zh"/>
        </w:rPr>
      </w:pPr>
      <w:bookmarkStart w:id="677" w:name="_Toc30696"/>
      <w:bookmarkStart w:id="678" w:name="_Toc20942"/>
      <w:bookmarkStart w:id="679" w:name="_Toc1216210593"/>
      <w:bookmarkStart w:id="680" w:name="_Toc1762780634"/>
      <w:bookmarkStart w:id="681" w:name="_Toc9821"/>
      <w:r>
        <w:rPr>
          <w:rFonts w:ascii="Times New Roman" w:hAnsi="Times New Roman" w:eastAsia="宋体"/>
          <w:b w:val="0"/>
          <w:sz w:val="24"/>
          <w:lang w:eastAsia="zh"/>
        </w:rPr>
        <w:t>4</w:t>
      </w:r>
      <w:r>
        <w:rPr>
          <w:rFonts w:ascii="Times New Roman" w:hAnsi="Times New Roman" w:eastAsia="宋体"/>
          <w:b w:val="0"/>
          <w:color w:val="000000"/>
          <w:sz w:val="24"/>
        </w:rPr>
        <w:t>.2</w:t>
      </w:r>
      <w:r>
        <w:rPr>
          <w:rFonts w:hint="eastAsia" w:ascii="Times New Roman" w:hAnsi="Times New Roman" w:eastAsia="宋体"/>
          <w:b w:val="0"/>
          <w:color w:val="000000"/>
          <w:sz w:val="24"/>
        </w:rPr>
        <w:t>成员管理</w:t>
      </w:r>
      <w:bookmarkEnd w:id="677"/>
      <w:bookmarkEnd w:id="678"/>
      <w:bookmarkEnd w:id="679"/>
      <w:bookmarkEnd w:id="680"/>
      <w:bookmarkEnd w:id="681"/>
      <w:bookmarkStart w:id="682" w:name="_Toc698245177"/>
      <w:bookmarkStart w:id="683" w:name="_Toc538504712"/>
    </w:p>
    <w:p w14:paraId="0CFD20F8">
      <w:pPr>
        <w:snapToGrid w:val="0"/>
        <w:spacing w:before="0" w:after="0" w:line="440" w:lineRule="exact"/>
        <w:ind w:firstLine="480" w:firstLineChars="200"/>
        <w:jc w:val="left"/>
        <w:outlineLvl w:val="9"/>
        <w:rPr>
          <w:rFonts w:ascii="宋体" w:hAnsi="宋体" w:eastAsia="宋体" w:cs="宋体"/>
          <w:b w:val="0"/>
          <w:sz w:val="24"/>
          <w:lang w:eastAsia="zh"/>
        </w:rPr>
      </w:pPr>
      <w:bookmarkStart w:id="684" w:name="_Toc6940"/>
      <w:bookmarkStart w:id="685" w:name="_Toc20765"/>
      <w:bookmarkStart w:id="686" w:name="_Toc10661"/>
      <w:r>
        <w:rPr>
          <w:rFonts w:hint="eastAsia" w:ascii="宋体" w:hAnsi="宋体" w:eastAsia="宋体" w:cs="宋体"/>
          <w:b w:val="0"/>
          <w:sz w:val="24"/>
        </w:rPr>
        <w:t>（</w:t>
      </w:r>
      <w:r>
        <w:rPr>
          <w:rFonts w:hint="eastAsia" w:ascii="Times New Roman" w:hAnsi="Times New Roman" w:eastAsia="宋体" w:cs="宋体"/>
          <w:b w:val="0"/>
          <w:sz w:val="24"/>
        </w:rPr>
        <w:t>1</w:t>
      </w:r>
      <w:r>
        <w:rPr>
          <w:rFonts w:hint="eastAsia" w:ascii="宋体" w:hAnsi="宋体" w:eastAsia="宋体" w:cs="宋体"/>
          <w:b w:val="0"/>
          <w:sz w:val="24"/>
        </w:rPr>
        <w:t>）</w:t>
      </w:r>
      <w:r>
        <w:rPr>
          <w:rFonts w:hint="eastAsia" w:ascii="宋体" w:hAnsi="宋体" w:eastAsia="宋体" w:cs="宋体"/>
          <w:b w:val="0"/>
          <w:sz w:val="24"/>
          <w:lang w:eastAsia="zh"/>
        </w:rPr>
        <w:t>管理员查看各社团成员详细信息。</w:t>
      </w:r>
      <w:bookmarkEnd w:id="682"/>
      <w:bookmarkEnd w:id="683"/>
      <w:bookmarkEnd w:id="684"/>
      <w:bookmarkEnd w:id="685"/>
      <w:bookmarkEnd w:id="686"/>
    </w:p>
    <w:p w14:paraId="43B53818">
      <w:pPr>
        <w:snapToGrid w:val="0"/>
        <w:spacing w:before="0" w:after="0" w:line="440" w:lineRule="exact"/>
        <w:ind w:firstLine="480" w:firstLineChars="200"/>
        <w:jc w:val="left"/>
        <w:outlineLvl w:val="9"/>
        <w:rPr>
          <w:rFonts w:ascii="宋体" w:hAnsi="宋体" w:eastAsia="宋体" w:cs="宋体"/>
          <w:b w:val="0"/>
          <w:sz w:val="24"/>
          <w:lang w:eastAsia="zh"/>
        </w:rPr>
      </w:pPr>
      <w:bookmarkStart w:id="687" w:name="_Toc3987"/>
      <w:bookmarkStart w:id="688" w:name="_Toc27941"/>
      <w:bookmarkStart w:id="689" w:name="_Toc4546"/>
      <w:r>
        <w:rPr>
          <w:rFonts w:hint="eastAsia" w:ascii="宋体" w:hAnsi="宋体" w:eastAsia="宋体" w:cs="宋体"/>
          <w:b w:val="0"/>
          <w:sz w:val="24"/>
          <w:lang w:eastAsia="zh"/>
        </w:rPr>
        <w:t>社团管理系统用户管理功能</w:t>
      </w:r>
      <w:r>
        <w:rPr>
          <w:rFonts w:hint="eastAsia" w:ascii="宋体" w:hAnsi="宋体" w:eastAsia="宋体" w:cs="宋体"/>
          <w:b w:val="0"/>
          <w:sz w:val="24"/>
        </w:rPr>
        <w:t>（如图</w:t>
      </w:r>
      <w:r>
        <w:rPr>
          <w:rFonts w:hint="eastAsia" w:ascii="Times New Roman" w:hAnsi="Times New Roman" w:eastAsia="宋体" w:cs="宋体"/>
          <w:b w:val="0"/>
          <w:sz w:val="24"/>
        </w:rPr>
        <w:t>4-3</w:t>
      </w:r>
      <w:r>
        <w:rPr>
          <w:rFonts w:hint="eastAsia" w:ascii="宋体" w:hAnsi="宋体" w:eastAsia="宋体" w:cs="宋体"/>
          <w:b w:val="0"/>
          <w:sz w:val="24"/>
        </w:rPr>
        <w:t>）</w:t>
      </w:r>
      <w:r>
        <w:rPr>
          <w:rFonts w:hint="eastAsia" w:ascii="宋体" w:hAnsi="宋体" w:eastAsia="宋体" w:cs="宋体"/>
          <w:b w:val="0"/>
          <w:sz w:val="24"/>
          <w:lang w:eastAsia="zh"/>
        </w:rPr>
        <w:t>允许管理员查看和处理社团成员的详细信息。管理员可以通过用户管理页面查询成员信息，包括用户</w:t>
      </w:r>
      <w:r>
        <w:rPr>
          <w:rFonts w:hint="eastAsia" w:ascii="Times New Roman" w:hAnsi="Times New Roman" w:eastAsia="宋体" w:cs="宋体"/>
          <w:b w:val="0"/>
          <w:sz w:val="24"/>
          <w:lang w:eastAsia="zh"/>
        </w:rPr>
        <w:t>ID</w:t>
      </w:r>
      <w:r>
        <w:rPr>
          <w:rFonts w:hint="eastAsia" w:ascii="宋体" w:hAnsi="宋体" w:eastAsia="宋体" w:cs="宋体"/>
          <w:b w:val="0"/>
          <w:sz w:val="24"/>
          <w:lang w:eastAsia="zh"/>
        </w:rPr>
        <w:t>、账号、姓名、性别、年龄和联系电话等。此外，系统还支持对社团类型、活动、通知和费用记录的管理。管理员可以输入特定信息，如用户姓名，来检索特定成员的详细资料，有效支持社团成员信息的维护和管理。</w:t>
      </w:r>
      <w:bookmarkEnd w:id="687"/>
      <w:bookmarkEnd w:id="688"/>
      <w:bookmarkEnd w:id="689"/>
    </w:p>
    <w:p w14:paraId="6EA8CC6C">
      <w:pPr>
        <w:snapToGrid w:val="0"/>
        <w:spacing w:before="0" w:after="0"/>
        <w:jc w:val="center"/>
        <w:outlineLvl w:val="9"/>
        <w:rPr>
          <w:rStyle w:val="156"/>
        </w:rPr>
      </w:pPr>
    </w:p>
    <w:p w14:paraId="05F9F717">
      <w:pPr>
        <w:spacing w:line="440" w:lineRule="exact"/>
        <w:jc w:val="center"/>
        <w:outlineLvl w:val="9"/>
        <w:rPr>
          <w:rFonts w:hint="eastAsia" w:ascii="宋体" w:hAnsi="宋体" w:cs="宋体"/>
          <w:szCs w:val="21"/>
          <w:lang w:eastAsia="zh"/>
        </w:rPr>
      </w:pPr>
      <w:bookmarkStart w:id="690" w:name="_Toc4960"/>
      <w:bookmarkStart w:id="691" w:name="_Toc9891"/>
      <w:r>
        <w:rPr>
          <w:rStyle w:val="156"/>
          <w:rFonts w:hint="eastAsia"/>
        </w:rPr>
        <w:drawing>
          <wp:anchor distT="0" distB="0" distL="114300" distR="114300" simplePos="0" relativeHeight="251926528" behindDoc="0" locked="0" layoutInCell="1" allowOverlap="1">
            <wp:simplePos x="0" y="0"/>
            <wp:positionH relativeFrom="column">
              <wp:posOffset>264160</wp:posOffset>
            </wp:positionH>
            <wp:positionV relativeFrom="paragraph">
              <wp:posOffset>155575</wp:posOffset>
            </wp:positionV>
            <wp:extent cx="5120640" cy="2641600"/>
            <wp:effectExtent l="0" t="0" r="3810" b="6350"/>
            <wp:wrapNone/>
            <wp:docPr id="1898648862" name="图片 189864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2" name="图片 1898648862"/>
                    <pic:cNvPicPr>
                      <a:picLocks noChangeAspect="1"/>
                    </pic:cNvPicPr>
                  </pic:nvPicPr>
                  <pic:blipFill>
                    <a:blip r:embed="rId239">
                      <a:extLst>
                        <a:ext uri="{28A0092B-C50C-407E-A947-70E740481C1C}">
                          <a14:useLocalDpi xmlns:a14="http://schemas.microsoft.com/office/drawing/2010/main" val="0"/>
                        </a:ext>
                      </a:extLst>
                    </a:blip>
                    <a:stretch>
                      <a:fillRect/>
                    </a:stretch>
                  </pic:blipFill>
                  <pic:spPr>
                    <a:xfrm>
                      <a:off x="0" y="0"/>
                      <a:ext cx="5172648" cy="2641600"/>
                    </a:xfrm>
                    <a:prstGeom prst="rect">
                      <a:avLst/>
                    </a:prstGeom>
                  </pic:spPr>
                </pic:pic>
              </a:graphicData>
            </a:graphic>
          </wp:anchor>
        </w:drawing>
      </w:r>
      <w:bookmarkEnd w:id="690"/>
      <w:bookmarkEnd w:id="691"/>
    </w:p>
    <w:p w14:paraId="764FBE1A">
      <w:pPr>
        <w:spacing w:line="440" w:lineRule="exact"/>
        <w:jc w:val="center"/>
        <w:rPr>
          <w:rFonts w:hint="eastAsia" w:ascii="宋体" w:hAnsi="宋体" w:cs="宋体"/>
          <w:szCs w:val="21"/>
          <w:lang w:eastAsia="zh"/>
        </w:rPr>
      </w:pPr>
    </w:p>
    <w:p w14:paraId="66743C3F">
      <w:pPr>
        <w:spacing w:line="440" w:lineRule="exact"/>
        <w:jc w:val="center"/>
        <w:rPr>
          <w:rFonts w:hint="eastAsia" w:ascii="宋体" w:hAnsi="宋体" w:cs="宋体"/>
          <w:szCs w:val="21"/>
          <w:lang w:eastAsia="zh"/>
        </w:rPr>
      </w:pPr>
    </w:p>
    <w:p w14:paraId="6E81D63B">
      <w:pPr>
        <w:spacing w:line="440" w:lineRule="exact"/>
        <w:jc w:val="center"/>
        <w:rPr>
          <w:rFonts w:hint="eastAsia" w:ascii="宋体" w:hAnsi="宋体" w:cs="宋体"/>
          <w:szCs w:val="21"/>
          <w:lang w:eastAsia="zh"/>
        </w:rPr>
      </w:pPr>
    </w:p>
    <w:p w14:paraId="0105A6AE">
      <w:pPr>
        <w:spacing w:line="440" w:lineRule="exact"/>
        <w:jc w:val="center"/>
        <w:rPr>
          <w:rFonts w:hint="eastAsia" w:ascii="宋体" w:hAnsi="宋体" w:cs="宋体"/>
          <w:szCs w:val="21"/>
          <w:lang w:eastAsia="zh"/>
        </w:rPr>
      </w:pPr>
    </w:p>
    <w:p w14:paraId="79722F6E">
      <w:pPr>
        <w:spacing w:line="440" w:lineRule="exact"/>
        <w:jc w:val="center"/>
        <w:rPr>
          <w:rFonts w:hint="eastAsia" w:ascii="宋体" w:hAnsi="宋体" w:cs="宋体"/>
          <w:szCs w:val="21"/>
          <w:lang w:eastAsia="zh"/>
        </w:rPr>
      </w:pPr>
    </w:p>
    <w:p w14:paraId="2887C521">
      <w:pPr>
        <w:spacing w:line="440" w:lineRule="exact"/>
        <w:jc w:val="center"/>
        <w:rPr>
          <w:rFonts w:hint="eastAsia" w:ascii="宋体" w:hAnsi="宋体" w:cs="宋体"/>
          <w:szCs w:val="21"/>
          <w:lang w:eastAsia="zh"/>
        </w:rPr>
      </w:pPr>
    </w:p>
    <w:p w14:paraId="4BA2DC47">
      <w:pPr>
        <w:spacing w:line="440" w:lineRule="exact"/>
        <w:jc w:val="center"/>
        <w:rPr>
          <w:rFonts w:hint="eastAsia" w:ascii="宋体" w:hAnsi="宋体" w:cs="宋体"/>
          <w:szCs w:val="21"/>
          <w:lang w:eastAsia="zh"/>
        </w:rPr>
      </w:pPr>
    </w:p>
    <w:p w14:paraId="0DDD04F8">
      <w:pPr>
        <w:spacing w:line="440" w:lineRule="exact"/>
        <w:jc w:val="both"/>
        <w:rPr>
          <w:rFonts w:hint="eastAsia" w:ascii="宋体" w:hAnsi="宋体" w:cs="宋体"/>
          <w:szCs w:val="21"/>
          <w:lang w:eastAsia="zh"/>
        </w:rPr>
      </w:pPr>
    </w:p>
    <w:p w14:paraId="3E9E7AD3">
      <w:pPr>
        <w:spacing w:line="440" w:lineRule="exact"/>
        <w:jc w:val="center"/>
        <w:rPr>
          <w:rFonts w:hint="eastAsia" w:ascii="宋体" w:hAnsi="宋体" w:cs="宋体"/>
          <w:szCs w:val="21"/>
          <w:lang w:eastAsia="zh"/>
        </w:rPr>
      </w:pPr>
    </w:p>
    <w:p w14:paraId="44C3B42A">
      <w:pPr>
        <w:spacing w:line="440" w:lineRule="exact"/>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rPr>
        <w:t>4</w:t>
      </w:r>
      <w:r>
        <w:rPr>
          <w:rFonts w:hint="eastAsia" w:ascii="Times New Roman" w:hAnsi="Times New Roman" w:cs="宋体"/>
          <w:sz w:val="24"/>
          <w:lang w:eastAsia="zh"/>
        </w:rPr>
        <w:t>-3</w:t>
      </w:r>
      <w:r>
        <w:rPr>
          <w:rFonts w:hint="eastAsia" w:ascii="宋体" w:hAnsi="宋体" w:cs="宋体"/>
          <w:szCs w:val="21"/>
          <w:lang w:eastAsia="zh"/>
        </w:rPr>
        <w:t>成员信息页</w:t>
      </w:r>
    </w:p>
    <w:p w14:paraId="7AD4F6E9">
      <w:pPr>
        <w:spacing w:before="0" w:after="0" w:line="440" w:lineRule="exact"/>
        <w:ind w:firstLine="480" w:firstLineChars="200"/>
        <w:jc w:val="left"/>
        <w:outlineLvl w:val="9"/>
        <w:rPr>
          <w:rFonts w:ascii="宋体" w:hAnsi="宋体" w:cs="宋体"/>
          <w:b w:val="0"/>
          <w:sz w:val="24"/>
          <w:lang w:eastAsia="zh"/>
        </w:rPr>
      </w:pPr>
      <w:bookmarkStart w:id="692" w:name="_Toc344546928"/>
      <w:bookmarkStart w:id="693" w:name="_Toc442884233"/>
      <w:r>
        <w:rPr>
          <w:rFonts w:hint="eastAsia" w:ascii="宋体" w:hAnsi="宋体" w:cs="宋体"/>
          <w:b w:val="0"/>
          <w:sz w:val="24"/>
        </w:rPr>
        <w:t>（</w:t>
      </w:r>
      <w:r>
        <w:rPr>
          <w:rFonts w:hint="eastAsia" w:ascii="Times New Roman" w:hAnsi="Times New Roman" w:cs="宋体"/>
          <w:b w:val="0"/>
          <w:sz w:val="24"/>
        </w:rPr>
        <w:t>2</w:t>
      </w:r>
      <w:r>
        <w:rPr>
          <w:rFonts w:hint="eastAsia" w:ascii="宋体" w:hAnsi="宋体" w:cs="宋体"/>
          <w:b w:val="0"/>
          <w:sz w:val="24"/>
        </w:rPr>
        <w:t>）</w:t>
      </w:r>
      <w:r>
        <w:rPr>
          <w:rFonts w:hint="eastAsia" w:ascii="宋体" w:hAnsi="宋体" w:cs="宋体"/>
          <w:b w:val="0"/>
          <w:sz w:val="24"/>
          <w:lang w:eastAsia="zh"/>
        </w:rPr>
        <w:t>管理员对部分成员信息进行修改（如联系方式更新等）。</w:t>
      </w:r>
      <w:bookmarkEnd w:id="692"/>
      <w:bookmarkEnd w:id="693"/>
    </w:p>
    <w:p w14:paraId="4F1789DF">
      <w:pPr>
        <w:spacing w:before="0" w:after="0" w:line="440" w:lineRule="exact"/>
        <w:ind w:firstLine="480" w:firstLineChars="200"/>
        <w:jc w:val="left"/>
        <w:outlineLvl w:val="9"/>
        <w:rPr>
          <w:lang w:eastAsia="zh"/>
        </w:rPr>
      </w:pPr>
      <w:r>
        <w:rPr>
          <w:rFonts w:hint="eastAsia" w:ascii="宋体" w:hAnsi="宋体" w:cs="宋体"/>
          <w:b w:val="0"/>
          <w:sz w:val="24"/>
          <w:lang w:eastAsia="zh"/>
        </w:rPr>
        <w:t>社团管理系统的修改信息功能</w:t>
      </w:r>
      <w:r>
        <w:rPr>
          <w:rFonts w:hint="eastAsia" w:ascii="宋体" w:hAnsi="宋体" w:cs="宋体"/>
          <w:b w:val="0"/>
          <w:sz w:val="24"/>
        </w:rPr>
        <w:t>（如图</w:t>
      </w:r>
      <w:r>
        <w:rPr>
          <w:rFonts w:hint="eastAsia" w:ascii="Times New Roman" w:hAnsi="Times New Roman" w:cs="宋体"/>
          <w:b w:val="0"/>
          <w:sz w:val="24"/>
        </w:rPr>
        <w:t>4-4</w:t>
      </w:r>
      <w:r>
        <w:rPr>
          <w:rFonts w:hint="eastAsia" w:ascii="宋体" w:hAnsi="宋体" w:cs="宋体"/>
          <w:b w:val="0"/>
          <w:sz w:val="24"/>
        </w:rPr>
        <w:t>）</w:t>
      </w:r>
      <w:r>
        <w:rPr>
          <w:rFonts w:hint="eastAsia" w:ascii="宋体" w:hAnsi="宋体" w:cs="宋体"/>
          <w:b w:val="0"/>
          <w:sz w:val="24"/>
          <w:lang w:eastAsia="zh"/>
        </w:rPr>
        <w:t>使管理员能够更新社团成员的个人资料。在此界面，管理员可以编辑成员的账号、密码、姓名、性别、年龄和联系电话等信息。管理员审核后可选择“确定”保存更改，或“取消”放弃修改。这一功能对维护成员信息的准确性至关重要。</w:t>
      </w:r>
    </w:p>
    <w:p w14:paraId="6F60B70A">
      <w:pPr>
        <w:jc w:val="center"/>
        <w:rPr>
          <w:lang w:eastAsia="zh"/>
        </w:rPr>
      </w:pPr>
      <w:r>
        <w:rPr>
          <w:rFonts w:hint="eastAsia"/>
        </w:rPr>
        <w:drawing>
          <wp:inline distT="0" distB="0" distL="114300" distR="114300">
            <wp:extent cx="3963670" cy="2515870"/>
            <wp:effectExtent l="0" t="0" r="13970" b="13970"/>
            <wp:docPr id="1898648863" name="图片 189864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3" name="图片 1898648863"/>
                    <pic:cNvPicPr>
                      <a:picLocks noChangeAspect="1"/>
                    </pic:cNvPicPr>
                  </pic:nvPicPr>
                  <pic:blipFill>
                    <a:blip r:embed="rId240"/>
                    <a:stretch>
                      <a:fillRect/>
                    </a:stretch>
                  </pic:blipFill>
                  <pic:spPr>
                    <a:xfrm>
                      <a:off x="0" y="0"/>
                      <a:ext cx="3963670" cy="2515870"/>
                    </a:xfrm>
                    <a:prstGeom prst="rect">
                      <a:avLst/>
                    </a:prstGeom>
                  </pic:spPr>
                </pic:pic>
              </a:graphicData>
            </a:graphic>
          </wp:inline>
        </w:drawing>
      </w:r>
    </w:p>
    <w:p w14:paraId="60FA41D2">
      <w:pPr>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4-4</w:t>
      </w:r>
      <w:r>
        <w:rPr>
          <w:rFonts w:hint="eastAsia" w:ascii="宋体" w:hAnsi="宋体" w:cs="宋体"/>
          <w:szCs w:val="21"/>
          <w:lang w:eastAsia="zh"/>
        </w:rPr>
        <w:t>修改成员信息</w:t>
      </w:r>
    </w:p>
    <w:p w14:paraId="5C87D8D5">
      <w:pPr>
        <w:spacing w:before="0" w:after="0" w:line="440" w:lineRule="exact"/>
        <w:ind w:firstLine="480" w:firstLineChars="200"/>
        <w:jc w:val="left"/>
        <w:outlineLvl w:val="9"/>
        <w:rPr>
          <w:rFonts w:ascii="宋体" w:hAnsi="宋体" w:cs="宋体"/>
          <w:b w:val="0"/>
          <w:sz w:val="24"/>
        </w:rPr>
      </w:pPr>
      <w:bookmarkStart w:id="694" w:name="_Toc617207038"/>
      <w:bookmarkStart w:id="695" w:name="_Toc268099996"/>
      <w:r>
        <w:rPr>
          <w:rFonts w:hint="eastAsia" w:ascii="宋体" w:hAnsi="宋体" w:cs="宋体"/>
          <w:b w:val="0"/>
          <w:sz w:val="24"/>
        </w:rPr>
        <w:t>（</w:t>
      </w:r>
      <w:r>
        <w:rPr>
          <w:rFonts w:hint="eastAsia" w:ascii="Times New Roman" w:hAnsi="Times New Roman" w:cs="宋体"/>
          <w:b w:val="0"/>
          <w:sz w:val="24"/>
        </w:rPr>
        <w:t>3</w:t>
      </w:r>
      <w:r>
        <w:rPr>
          <w:rFonts w:hint="eastAsia" w:ascii="宋体" w:hAnsi="宋体" w:cs="宋体"/>
          <w:b w:val="0"/>
          <w:sz w:val="24"/>
        </w:rPr>
        <w:t>）</w:t>
      </w:r>
      <w:r>
        <w:rPr>
          <w:rFonts w:hint="eastAsia" w:ascii="宋体" w:hAnsi="宋体" w:cs="宋体"/>
          <w:b w:val="0"/>
          <w:sz w:val="24"/>
          <w:lang w:eastAsia="zh"/>
        </w:rPr>
        <w:t>成员申请加入社团</w:t>
      </w:r>
      <w:bookmarkEnd w:id="694"/>
      <w:bookmarkEnd w:id="695"/>
      <w:r>
        <w:rPr>
          <w:rFonts w:hint="eastAsia" w:ascii="宋体" w:hAnsi="宋体" w:cs="宋体"/>
          <w:b w:val="0"/>
          <w:sz w:val="24"/>
        </w:rPr>
        <w:t>。</w:t>
      </w:r>
    </w:p>
    <w:p w14:paraId="45E024C1">
      <w:pPr>
        <w:spacing w:before="0" w:after="0" w:line="440" w:lineRule="exact"/>
        <w:ind w:firstLine="480" w:firstLineChars="200"/>
        <w:jc w:val="left"/>
        <w:outlineLvl w:val="9"/>
        <w:rPr>
          <w:sz w:val="24"/>
          <w:lang w:eastAsia="zh"/>
        </w:rPr>
      </w:pPr>
      <w:r>
        <w:rPr>
          <w:rFonts w:hint="eastAsia" w:ascii="宋体" w:hAnsi="宋体" w:cs="宋体"/>
          <w:b w:val="0"/>
          <w:sz w:val="24"/>
        </w:rPr>
        <w:t>社团管理系统的申请入团功能（如图</w:t>
      </w:r>
      <w:r>
        <w:rPr>
          <w:rFonts w:hint="eastAsia" w:ascii="Times New Roman" w:hAnsi="Times New Roman" w:cs="宋体"/>
          <w:b w:val="0"/>
          <w:sz w:val="24"/>
        </w:rPr>
        <w:t>4-5</w:t>
      </w:r>
      <w:r>
        <w:rPr>
          <w:rFonts w:hint="eastAsia" w:ascii="宋体" w:hAnsi="宋体" w:cs="宋体"/>
          <w:b w:val="0"/>
          <w:sz w:val="24"/>
        </w:rPr>
        <w:t>）允许成员申请加入特定的社团。用户可以选择“志愿者协会”、“艺术团”或“赶海设”等社团，并提交入团申请。系统会显示社团名称和当前社团人数，例如“赶海设”显示有</w:t>
      </w:r>
      <w:r>
        <w:rPr>
          <w:rFonts w:hint="eastAsia" w:ascii="Times New Roman" w:hAnsi="Times New Roman" w:cs="宋体"/>
          <w:b w:val="0"/>
          <w:sz w:val="24"/>
        </w:rPr>
        <w:t>1</w:t>
      </w:r>
      <w:r>
        <w:rPr>
          <w:rFonts w:hint="eastAsia" w:ascii="宋体" w:hAnsi="宋体" w:cs="宋体"/>
          <w:b w:val="0"/>
          <w:sz w:val="24"/>
        </w:rPr>
        <w:t>人。用户在确认申请信息无误后，可以选择“确定”提交申请，或点击“取消”放弃申请。此外，系统还提供了提示信息，确保用户明确知晓申请操作。这一功能简化了入团流程，使社团管理更加高效。</w:t>
      </w:r>
    </w:p>
    <w:p w14:paraId="498ACEB9">
      <w:pPr>
        <w:ind w:firstLine="420" w:firstLineChars="200"/>
        <w:jc w:val="center"/>
        <w:rPr>
          <w:lang w:eastAsia="zh"/>
        </w:rPr>
      </w:pPr>
      <w:r>
        <w:rPr>
          <w:rFonts w:hint="eastAsia"/>
        </w:rPr>
        <w:drawing>
          <wp:inline distT="0" distB="0" distL="114300" distR="114300">
            <wp:extent cx="5179060" cy="1646555"/>
            <wp:effectExtent l="0" t="0" r="2540" b="0"/>
            <wp:docPr id="1898648864" name="图片 189864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4" name="图片 1898648864"/>
                    <pic:cNvPicPr>
                      <a:picLocks noChangeAspect="1"/>
                    </pic:cNvPicPr>
                  </pic:nvPicPr>
                  <pic:blipFill>
                    <a:blip r:embed="rId241">
                      <a:extLst>
                        <a:ext uri="{28A0092B-C50C-407E-A947-70E740481C1C}">
                          <a14:useLocalDpi xmlns:a14="http://schemas.microsoft.com/office/drawing/2010/main" val="0"/>
                        </a:ext>
                      </a:extLst>
                    </a:blip>
                    <a:stretch>
                      <a:fillRect/>
                    </a:stretch>
                  </pic:blipFill>
                  <pic:spPr>
                    <a:xfrm>
                      <a:off x="0" y="0"/>
                      <a:ext cx="5179060" cy="1646879"/>
                    </a:xfrm>
                    <a:prstGeom prst="rect">
                      <a:avLst/>
                    </a:prstGeom>
                  </pic:spPr>
                </pic:pic>
              </a:graphicData>
            </a:graphic>
          </wp:inline>
        </w:drawing>
      </w:r>
    </w:p>
    <w:p w14:paraId="7A116436">
      <w:pPr>
        <w:snapToGrid w:val="0"/>
        <w:spacing w:line="440" w:lineRule="exact"/>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5</w:t>
      </w:r>
      <w:r>
        <w:rPr>
          <w:rFonts w:hint="eastAsia" w:ascii="宋体" w:hAnsi="宋体" w:cs="宋体"/>
          <w:szCs w:val="21"/>
          <w:lang w:eastAsia="zh"/>
        </w:rPr>
        <w:t>申请加入页</w:t>
      </w:r>
      <w:bookmarkStart w:id="696" w:name="_Toc653413820"/>
      <w:bookmarkStart w:id="697" w:name="_Toc620515709"/>
    </w:p>
    <w:p w14:paraId="0C5DAD53">
      <w:pPr>
        <w:snapToGrid w:val="0"/>
        <w:spacing w:line="440" w:lineRule="exact"/>
        <w:ind w:firstLine="482"/>
        <w:jc w:val="left"/>
        <w:rPr>
          <w:rFonts w:ascii="宋体" w:hAnsi="宋体" w:cs="宋体"/>
          <w:sz w:val="24"/>
        </w:rPr>
      </w:pPr>
      <w:r>
        <w:rPr>
          <w:rFonts w:hint="eastAsia" w:ascii="宋体" w:hAnsi="宋体" w:cs="宋体"/>
          <w:sz w:val="24"/>
        </w:rPr>
        <w:t>（</w:t>
      </w:r>
      <w:r>
        <w:rPr>
          <w:rFonts w:hint="eastAsia" w:ascii="Times New Roman" w:hAnsi="Times New Roman" w:cs="宋体"/>
          <w:sz w:val="24"/>
        </w:rPr>
        <w:t>4</w:t>
      </w:r>
      <w:r>
        <w:rPr>
          <w:rFonts w:hint="eastAsia" w:ascii="宋体" w:hAnsi="宋体" w:cs="宋体"/>
          <w:sz w:val="24"/>
        </w:rPr>
        <w:t>）</w:t>
      </w:r>
      <w:r>
        <w:rPr>
          <w:rFonts w:hint="eastAsia" w:ascii="宋体" w:hAnsi="宋体" w:cs="宋体"/>
          <w:sz w:val="24"/>
          <w:lang w:eastAsia="zh"/>
        </w:rPr>
        <w:t>社长处理入团申请</w:t>
      </w:r>
      <w:r>
        <w:rPr>
          <w:rFonts w:hint="eastAsia" w:ascii="宋体" w:hAnsi="宋体" w:cs="宋体"/>
          <w:sz w:val="24"/>
        </w:rPr>
        <w:t>。</w:t>
      </w:r>
    </w:p>
    <w:p w14:paraId="7EE3AA37">
      <w:pPr>
        <w:snapToGrid w:val="0"/>
        <w:spacing w:line="440" w:lineRule="exact"/>
        <w:ind w:firstLine="482"/>
        <w:jc w:val="left"/>
        <w:rPr>
          <w:rFonts w:ascii="宋体" w:hAnsi="宋体" w:cs="宋体"/>
          <w:sz w:val="24"/>
          <w:lang w:eastAsia="zh"/>
        </w:rPr>
      </w:pPr>
      <w:r>
        <w:rPr>
          <w:rFonts w:hint="eastAsia" w:ascii="宋体" w:hAnsi="宋体" w:cs="宋体"/>
          <w:sz w:val="24"/>
          <w:lang w:eastAsia="zh"/>
        </w:rPr>
        <w:t>社团管理系统的处理申请模块</w:t>
      </w:r>
      <w:r>
        <w:rPr>
          <w:rFonts w:hint="eastAsia" w:ascii="宋体" w:hAnsi="宋体" w:cs="宋体"/>
          <w:sz w:val="24"/>
        </w:rPr>
        <w:t>（如图</w:t>
      </w:r>
      <w:r>
        <w:rPr>
          <w:rFonts w:hint="eastAsia" w:ascii="Times New Roman" w:hAnsi="Times New Roman" w:cs="宋体"/>
          <w:sz w:val="24"/>
        </w:rPr>
        <w:t>4-6</w:t>
      </w:r>
      <w:r>
        <w:rPr>
          <w:rFonts w:hint="eastAsia" w:ascii="宋体" w:hAnsi="宋体" w:cs="宋体"/>
          <w:sz w:val="24"/>
        </w:rPr>
        <w:t>）</w:t>
      </w:r>
      <w:r>
        <w:rPr>
          <w:rFonts w:hint="eastAsia" w:ascii="宋体" w:hAnsi="宋体" w:cs="宋体"/>
          <w:sz w:val="24"/>
          <w:lang w:eastAsia="zh"/>
        </w:rPr>
        <w:t>主要供社长或管理员使用，用于审核和处理成员的入团申请。该模块显示了待处理的申请列表，包括申请人姓名、性别、电话和申请时间等详细信息。管理员可以查看每个申请的具体信息，如“胡图图”和“熊大”的申请，包括他们的性别和联系电话。处理成功后，系统会显示“处理成功”的提示，确认申请已被审核。此模块是社团成员管理的关键部分，确保了社团成员信息的准确性和社团活动的顺利进行。</w:t>
      </w:r>
    </w:p>
    <w:bookmarkEnd w:id="696"/>
    <w:bookmarkEnd w:id="697"/>
    <w:p w14:paraId="3B730743">
      <w:pPr>
        <w:tabs>
          <w:tab w:val="left" w:pos="338"/>
          <w:tab w:val="center" w:pos="4325"/>
        </w:tabs>
        <w:jc w:val="left"/>
        <w:outlineLvl w:val="9"/>
        <w:rPr>
          <w:b w:val="0"/>
          <w:sz w:val="24"/>
          <w:lang w:eastAsia="zh"/>
        </w:rPr>
      </w:pPr>
      <w:r>
        <w:rPr>
          <w:rStyle w:val="156"/>
          <w:rFonts w:hint="eastAsia"/>
        </w:rPr>
        <w:tab/>
      </w:r>
      <w:r>
        <w:rPr>
          <w:rStyle w:val="156"/>
          <w:rFonts w:hint="eastAsia"/>
        </w:rPr>
        <w:tab/>
      </w:r>
      <w:r>
        <w:rPr>
          <w:rStyle w:val="156"/>
          <w:rFonts w:hint="eastAsia"/>
        </w:rPr>
        <w:drawing>
          <wp:inline distT="0" distB="0" distL="114300" distR="114300">
            <wp:extent cx="4719320" cy="1512570"/>
            <wp:effectExtent l="0" t="0" r="5080" b="0"/>
            <wp:docPr id="1898648865" name="图片 1898648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5" name="图片 1898648865"/>
                    <pic:cNvPicPr>
                      <a:picLocks noChangeAspect="1"/>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4733966" cy="1517433"/>
                    </a:xfrm>
                    <a:prstGeom prst="rect">
                      <a:avLst/>
                    </a:prstGeom>
                  </pic:spPr>
                </pic:pic>
              </a:graphicData>
            </a:graphic>
          </wp:inline>
        </w:drawing>
      </w:r>
    </w:p>
    <w:p w14:paraId="278768B6">
      <w:pPr>
        <w:spacing w:line="440" w:lineRule="exact"/>
        <w:ind w:firstLine="420" w:firstLineChars="200"/>
        <w:jc w:val="center"/>
        <w:rPr>
          <w:rFonts w:asciiTheme="minorEastAsia" w:hAnsiTheme="minorEastAsia" w:cstheme="minorEastAsia"/>
          <w:sz w:val="24"/>
          <w:lang w:eastAsia="zh"/>
        </w:rPr>
      </w:pPr>
      <w:r>
        <w:rPr>
          <w:rFonts w:hint="eastAsia" w:asciiTheme="minorEastAsia" w:hAnsiTheme="minorEastAsia" w:cstheme="minorEastAsia"/>
          <w:szCs w:val="21"/>
          <w:lang w:eastAsia="zh"/>
        </w:rPr>
        <w:t>图</w:t>
      </w:r>
      <w:r>
        <w:rPr>
          <w:rFonts w:hint="eastAsia" w:ascii="Times New Roman" w:hAnsi="Times New Roman" w:cstheme="minorEastAsia"/>
          <w:sz w:val="24"/>
          <w:lang w:eastAsia="zh"/>
        </w:rPr>
        <w:t>4-</w:t>
      </w:r>
      <w:r>
        <w:rPr>
          <w:rFonts w:hint="eastAsia" w:ascii="Times New Roman" w:hAnsi="Times New Roman" w:cstheme="minorEastAsia"/>
          <w:sz w:val="24"/>
        </w:rPr>
        <w:t>6</w:t>
      </w:r>
      <w:r>
        <w:rPr>
          <w:rFonts w:hint="eastAsia" w:asciiTheme="minorEastAsia" w:hAnsiTheme="minorEastAsia" w:cstheme="minorEastAsia"/>
          <w:szCs w:val="21"/>
          <w:lang w:eastAsia="zh"/>
        </w:rPr>
        <w:t>处理申请</w:t>
      </w:r>
    </w:p>
    <w:p w14:paraId="62B8E386">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698" w:name="_Toc6154"/>
      <w:bookmarkStart w:id="699" w:name="_Toc1341122697"/>
      <w:bookmarkStart w:id="700" w:name="_Toc1052115922"/>
      <w:bookmarkStart w:id="701" w:name="_Toc23108"/>
      <w:bookmarkStart w:id="702" w:name="_Toc6432"/>
      <w:r>
        <w:rPr>
          <w:rFonts w:ascii="Times New Roman" w:hAnsi="Times New Roman" w:eastAsia="宋体"/>
          <w:b w:val="0"/>
          <w:sz w:val="24"/>
          <w:lang w:eastAsia="zh"/>
        </w:rPr>
        <w:t>4.3</w:t>
      </w:r>
      <w:r>
        <w:rPr>
          <w:rFonts w:hint="eastAsia" w:ascii="Times New Roman" w:hAnsi="Times New Roman" w:eastAsia="宋体"/>
          <w:b w:val="0"/>
          <w:sz w:val="24"/>
          <w:lang w:eastAsia="zh"/>
        </w:rPr>
        <w:t>活动管理</w:t>
      </w:r>
      <w:bookmarkEnd w:id="698"/>
      <w:bookmarkEnd w:id="699"/>
      <w:bookmarkEnd w:id="700"/>
      <w:bookmarkEnd w:id="701"/>
      <w:bookmarkEnd w:id="702"/>
      <w:r>
        <w:rPr>
          <w:rFonts w:hint="eastAsia" w:ascii="Times New Roman" w:hAnsi="Times New Roman" w:eastAsia="宋体"/>
          <w:b w:val="0"/>
          <w:sz w:val="24"/>
          <w:lang w:eastAsia="zh"/>
        </w:rPr>
        <w:t xml:space="preserve"> </w:t>
      </w:r>
    </w:p>
    <w:p w14:paraId="6FF9ED65">
      <w:pPr>
        <w:spacing w:before="0" w:after="0" w:line="440" w:lineRule="exact"/>
        <w:ind w:firstLine="480" w:firstLineChars="200"/>
        <w:jc w:val="left"/>
        <w:outlineLvl w:val="9"/>
        <w:rPr>
          <w:rFonts w:ascii="宋体" w:hAnsi="宋体" w:cs="宋体"/>
          <w:sz w:val="24"/>
          <w:lang w:eastAsia="zh"/>
        </w:rPr>
      </w:pPr>
      <w:bookmarkStart w:id="703" w:name="_Toc155585838"/>
      <w:bookmarkStart w:id="704" w:name="_Toc732205506"/>
      <w:r>
        <w:rPr>
          <w:rFonts w:hint="eastAsia" w:ascii="宋体" w:hAnsi="宋体" w:cs="宋体"/>
          <w:b w:val="0"/>
          <w:sz w:val="24"/>
        </w:rPr>
        <w:t>（</w:t>
      </w:r>
      <w:r>
        <w:rPr>
          <w:rFonts w:hint="eastAsia" w:ascii="Times New Roman" w:hAnsi="Times New Roman" w:cs="宋体"/>
          <w:b w:val="0"/>
          <w:sz w:val="24"/>
        </w:rPr>
        <w:t>1</w:t>
      </w:r>
      <w:r>
        <w:rPr>
          <w:rFonts w:hint="eastAsia" w:ascii="宋体" w:hAnsi="宋体" w:cs="宋体"/>
          <w:b w:val="0"/>
          <w:sz w:val="24"/>
        </w:rPr>
        <w:t>）</w:t>
      </w:r>
      <w:r>
        <w:rPr>
          <w:rFonts w:hint="eastAsia" w:ascii="宋体" w:hAnsi="宋体" w:cs="宋体"/>
          <w:b w:val="0"/>
          <w:sz w:val="24"/>
          <w:lang w:eastAsia="zh"/>
        </w:rPr>
        <w:t>社团团长创建活动，添加信息页面。</w:t>
      </w:r>
      <w:bookmarkEnd w:id="703"/>
      <w:bookmarkEnd w:id="704"/>
      <w:r>
        <w:rPr>
          <w:rFonts w:hint="eastAsia" w:ascii="宋体" w:hAnsi="宋体" w:cs="宋体"/>
          <w:b w:val="0"/>
          <w:sz w:val="24"/>
          <w:lang w:eastAsia="zh"/>
        </w:rPr>
        <w:t>社团管理系统的添加活动页面功能</w:t>
      </w:r>
      <w:r>
        <w:rPr>
          <w:rFonts w:hint="eastAsia" w:ascii="宋体" w:hAnsi="宋体" w:cs="宋体"/>
          <w:b w:val="0"/>
          <w:sz w:val="24"/>
        </w:rPr>
        <w:t>（如图</w:t>
      </w:r>
      <w:r>
        <w:rPr>
          <w:rFonts w:hint="eastAsia" w:ascii="Times New Roman" w:hAnsi="Times New Roman" w:cs="宋体"/>
          <w:b w:val="0"/>
          <w:sz w:val="24"/>
        </w:rPr>
        <w:t>4-7</w:t>
      </w:r>
      <w:r>
        <w:rPr>
          <w:rFonts w:hint="eastAsia" w:ascii="宋体" w:hAnsi="宋体" w:cs="宋体"/>
          <w:b w:val="0"/>
          <w:sz w:val="24"/>
        </w:rPr>
        <w:t>）</w:t>
      </w:r>
      <w:r>
        <w:rPr>
          <w:rFonts w:hint="eastAsia" w:ascii="宋体" w:hAnsi="宋体" w:cs="宋体"/>
          <w:b w:val="0"/>
          <w:sz w:val="24"/>
          <w:lang w:eastAsia="zh"/>
        </w:rPr>
        <w:t>使社团团长能够输入并发布新活动，包括活动名称、时间、概述和详细内容。该页面设计用于简化活动创建流程，确保所有必要信息被准确记录和传达给社团成员。</w:t>
      </w:r>
    </w:p>
    <w:p w14:paraId="74B800E5">
      <w:pPr>
        <w:ind w:firstLine="420" w:firstLineChars="200"/>
        <w:jc w:val="center"/>
      </w:pPr>
      <w:r>
        <w:rPr>
          <w:rFonts w:hint="eastAsia"/>
        </w:rPr>
        <w:drawing>
          <wp:inline distT="0" distB="0" distL="114300" distR="114300">
            <wp:extent cx="4675505" cy="2357120"/>
            <wp:effectExtent l="0" t="0" r="3175" b="5080"/>
            <wp:docPr id="1898648866" name="图片 189864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6" name="图片 1898648866"/>
                    <pic:cNvPicPr>
                      <a:picLocks noChangeAspect="1"/>
                    </pic:cNvPicPr>
                  </pic:nvPicPr>
                  <pic:blipFill>
                    <a:blip r:embed="rId243"/>
                    <a:stretch>
                      <a:fillRect/>
                    </a:stretch>
                  </pic:blipFill>
                  <pic:spPr>
                    <a:xfrm>
                      <a:off x="0" y="0"/>
                      <a:ext cx="4675505" cy="2357120"/>
                    </a:xfrm>
                    <a:prstGeom prst="rect">
                      <a:avLst/>
                    </a:prstGeom>
                  </pic:spPr>
                </pic:pic>
              </a:graphicData>
            </a:graphic>
          </wp:inline>
        </w:drawing>
      </w:r>
    </w:p>
    <w:p w14:paraId="2F57D216">
      <w:pPr>
        <w:spacing w:line="440" w:lineRule="exact"/>
        <w:ind w:firstLine="420" w:firstLineChars="200"/>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7</w:t>
      </w:r>
      <w:r>
        <w:rPr>
          <w:rFonts w:hint="eastAsia" w:ascii="宋体" w:hAnsi="宋体" w:cs="宋体"/>
          <w:szCs w:val="21"/>
          <w:lang w:eastAsia="zh"/>
        </w:rPr>
        <w:t>添加活动页</w:t>
      </w:r>
      <w:bookmarkStart w:id="705" w:name="_Toc239675165"/>
      <w:bookmarkStart w:id="706" w:name="_Toc848931685"/>
    </w:p>
    <w:p w14:paraId="6F93A48E">
      <w:pPr>
        <w:spacing w:line="440" w:lineRule="exact"/>
        <w:ind w:firstLine="480" w:firstLineChars="200"/>
        <w:jc w:val="left"/>
        <w:rPr>
          <w:rFonts w:ascii="宋体" w:hAnsi="宋体" w:cs="宋体"/>
          <w:sz w:val="24"/>
          <w:lang w:eastAsia="zh"/>
        </w:rPr>
      </w:pPr>
      <w:r>
        <w:rPr>
          <w:rFonts w:hint="eastAsia" w:ascii="宋体" w:hAnsi="宋体" w:cs="宋体"/>
          <w:sz w:val="24"/>
        </w:rPr>
        <w:t>（</w:t>
      </w:r>
      <w:r>
        <w:rPr>
          <w:rFonts w:hint="eastAsia" w:ascii="Times New Roman" w:hAnsi="Times New Roman" w:cs="宋体"/>
          <w:sz w:val="24"/>
        </w:rPr>
        <w:t>2</w:t>
      </w:r>
      <w:r>
        <w:rPr>
          <w:rFonts w:hint="eastAsia" w:ascii="宋体" w:hAnsi="宋体" w:cs="宋体"/>
          <w:sz w:val="24"/>
        </w:rPr>
        <w:t>）</w:t>
      </w:r>
      <w:r>
        <w:rPr>
          <w:rFonts w:hint="eastAsia" w:ascii="宋体" w:hAnsi="宋体" w:cs="宋体"/>
          <w:sz w:val="24"/>
          <w:lang w:eastAsia="zh"/>
        </w:rPr>
        <w:t>活动信息页</w:t>
      </w:r>
      <w:r>
        <w:rPr>
          <w:rFonts w:hint="eastAsia" w:ascii="宋体" w:hAnsi="宋体" w:cs="宋体"/>
          <w:sz w:val="24"/>
        </w:rPr>
        <w:t>（如图</w:t>
      </w:r>
      <w:r>
        <w:rPr>
          <w:rFonts w:hint="eastAsia" w:ascii="Times New Roman" w:hAnsi="Times New Roman" w:cs="宋体"/>
          <w:sz w:val="24"/>
        </w:rPr>
        <w:t>4-8</w:t>
      </w:r>
      <w:r>
        <w:rPr>
          <w:rFonts w:hint="eastAsia" w:ascii="宋体" w:hAnsi="宋体" w:cs="宋体"/>
          <w:sz w:val="24"/>
        </w:rPr>
        <w:t>）</w:t>
      </w:r>
      <w:r>
        <w:rPr>
          <w:rFonts w:hint="eastAsia" w:ascii="宋体" w:hAnsi="宋体" w:cs="宋体"/>
          <w:sz w:val="24"/>
          <w:lang w:eastAsia="zh"/>
        </w:rPr>
        <w:t>是社团管理系统中社团团长用来展示和管理社团活动详情的界面。该页面列出了社团即将举行的活动，包括活动名称、活动时间、报名人数以及参与人员等关键信息。团长可以通过这个页面监控活动的进展，如查看已报名的成员名单，并进行相应的操作管理，例如审核报名、更新活动状态或发布相关通知。此外，成员也可以访问这个页面来查看活动详情，并进行报名参与。这个页面是社团活动组织和成员参与的重要枢纽，确保活动信息的透明和及时更新。</w:t>
      </w:r>
      <w:bookmarkEnd w:id="705"/>
      <w:bookmarkEnd w:id="706"/>
    </w:p>
    <w:p w14:paraId="72E45184">
      <w:pPr>
        <w:jc w:val="center"/>
        <w:rPr>
          <w:lang w:eastAsia="zh"/>
        </w:rPr>
      </w:pPr>
      <w:r>
        <w:rPr>
          <w:rFonts w:hint="eastAsia"/>
        </w:rPr>
        <w:drawing>
          <wp:inline distT="0" distB="0" distL="114300" distR="114300">
            <wp:extent cx="4664710" cy="1620520"/>
            <wp:effectExtent l="0" t="0" r="2540" b="0"/>
            <wp:docPr id="1898648867" name="图片 1898648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7" name="图片 1898648867"/>
                    <pic:cNvPicPr>
                      <a:picLocks noChangeAspect="1"/>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4665316" cy="1620982"/>
                    </a:xfrm>
                    <a:prstGeom prst="rect">
                      <a:avLst/>
                    </a:prstGeom>
                  </pic:spPr>
                </pic:pic>
              </a:graphicData>
            </a:graphic>
          </wp:inline>
        </w:drawing>
      </w:r>
    </w:p>
    <w:p w14:paraId="7D26C389">
      <w:pPr>
        <w:spacing w:line="440" w:lineRule="exact"/>
        <w:jc w:val="center"/>
        <w:rPr>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8</w:t>
      </w:r>
      <w:r>
        <w:rPr>
          <w:rFonts w:hint="eastAsia" w:ascii="宋体" w:hAnsi="宋体" w:cs="宋体"/>
          <w:szCs w:val="21"/>
          <w:lang w:eastAsia="zh"/>
        </w:rPr>
        <w:t>活动信息页</w:t>
      </w:r>
    </w:p>
    <w:p w14:paraId="5AC2F135">
      <w:pPr>
        <w:tabs>
          <w:tab w:val="left" w:pos="1584"/>
        </w:tabs>
        <w:spacing w:before="0" w:after="0" w:line="440" w:lineRule="exact"/>
        <w:ind w:firstLine="480" w:firstLineChars="200"/>
        <w:jc w:val="left"/>
        <w:outlineLvl w:val="9"/>
        <w:rPr>
          <w:rFonts w:ascii="宋体" w:hAnsi="宋体" w:cs="宋体"/>
          <w:b w:val="0"/>
          <w:sz w:val="24"/>
          <w:lang w:eastAsia="zh"/>
        </w:rPr>
      </w:pPr>
      <w:bookmarkStart w:id="707" w:name="_Toc852031800"/>
      <w:bookmarkStart w:id="708" w:name="_Toc528400061"/>
      <w:r>
        <w:rPr>
          <w:rFonts w:hint="eastAsia" w:ascii="宋体" w:hAnsi="宋体" w:cs="宋体"/>
          <w:b w:val="0"/>
          <w:sz w:val="24"/>
        </w:rPr>
        <w:t>（</w:t>
      </w:r>
      <w:r>
        <w:rPr>
          <w:rFonts w:hint="eastAsia" w:ascii="Times New Roman" w:hAnsi="Times New Roman" w:cs="宋体"/>
          <w:b w:val="0"/>
          <w:sz w:val="24"/>
        </w:rPr>
        <w:t>3</w:t>
      </w:r>
      <w:r>
        <w:rPr>
          <w:rFonts w:hint="eastAsia" w:ascii="宋体" w:hAnsi="宋体" w:cs="宋体"/>
          <w:b w:val="0"/>
          <w:sz w:val="24"/>
        </w:rPr>
        <w:t>）</w:t>
      </w:r>
      <w:r>
        <w:rPr>
          <w:rFonts w:hint="eastAsia" w:ascii="宋体" w:hAnsi="宋体" w:cs="宋体"/>
          <w:b w:val="0"/>
          <w:sz w:val="24"/>
          <w:lang w:eastAsia="zh"/>
        </w:rPr>
        <w:t>成员在活动页面查看活动详情并报名。</w:t>
      </w:r>
      <w:bookmarkEnd w:id="707"/>
      <w:bookmarkEnd w:id="708"/>
    </w:p>
    <w:p w14:paraId="5828E598">
      <w:pPr>
        <w:tabs>
          <w:tab w:val="left" w:pos="1584"/>
        </w:tabs>
        <w:spacing w:before="0" w:after="0" w:line="440" w:lineRule="exact"/>
        <w:ind w:firstLine="480" w:firstLineChars="200"/>
        <w:jc w:val="left"/>
        <w:outlineLvl w:val="9"/>
        <w:rPr>
          <w:rFonts w:ascii="宋体" w:hAnsi="宋体" w:cs="宋体"/>
          <w:b w:val="0"/>
          <w:sz w:val="24"/>
          <w:lang w:eastAsia="zh"/>
        </w:rPr>
      </w:pPr>
      <w:r>
        <w:rPr>
          <w:rFonts w:hint="eastAsia" w:ascii="宋体" w:hAnsi="宋体" w:cs="宋体"/>
          <w:b w:val="0"/>
          <w:sz w:val="24"/>
          <w:lang w:eastAsia="zh"/>
        </w:rPr>
        <w:t>报名活动页</w:t>
      </w:r>
      <w:r>
        <w:rPr>
          <w:rFonts w:hint="eastAsia" w:ascii="宋体" w:hAnsi="宋体" w:cs="宋体"/>
          <w:b w:val="0"/>
          <w:sz w:val="24"/>
        </w:rPr>
        <w:t>（如图</w:t>
      </w:r>
      <w:r>
        <w:rPr>
          <w:rFonts w:hint="eastAsia" w:ascii="Times New Roman" w:hAnsi="Times New Roman" w:cs="宋体"/>
          <w:b w:val="0"/>
          <w:sz w:val="24"/>
        </w:rPr>
        <w:t>4-9</w:t>
      </w:r>
      <w:r>
        <w:rPr>
          <w:rFonts w:hint="eastAsia" w:ascii="宋体" w:hAnsi="宋体" w:cs="宋体"/>
          <w:b w:val="0"/>
          <w:sz w:val="24"/>
        </w:rPr>
        <w:t>）</w:t>
      </w:r>
      <w:r>
        <w:rPr>
          <w:rFonts w:hint="eastAsia" w:ascii="宋体" w:hAnsi="宋体" w:cs="宋体"/>
          <w:b w:val="0"/>
          <w:sz w:val="24"/>
          <w:lang w:eastAsia="zh"/>
        </w:rPr>
        <w:t>是社团管理系统中供成员查看特定活动详情并进行报名的操作界面。页面展示了活动的基本信息，如活动名称、发布日期和活动时间。成员可以在此页面了解活动内容，并点击报名参与。该页面的设计旨在简化成员的报名流程，提高活动的参与度和管理效率。</w:t>
      </w:r>
    </w:p>
    <w:p w14:paraId="7463ADAB">
      <w:pPr>
        <w:tabs>
          <w:tab w:val="left" w:pos="1584"/>
        </w:tabs>
        <w:jc w:val="center"/>
        <w:rPr>
          <w:lang w:eastAsia="zh"/>
        </w:rPr>
      </w:pPr>
      <w:r>
        <w:rPr>
          <w:rFonts w:hint="eastAsia"/>
        </w:rPr>
        <w:drawing>
          <wp:inline distT="0" distB="0" distL="114300" distR="114300">
            <wp:extent cx="3868420" cy="1845310"/>
            <wp:effectExtent l="0" t="0" r="0" b="2540"/>
            <wp:docPr id="1898648868" name="图片 1898648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8" name="图片 1898648868"/>
                    <pic:cNvPicPr>
                      <a:picLocks noChangeAspect="1"/>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3868568" cy="1845426"/>
                    </a:xfrm>
                    <a:prstGeom prst="rect">
                      <a:avLst/>
                    </a:prstGeom>
                  </pic:spPr>
                </pic:pic>
              </a:graphicData>
            </a:graphic>
          </wp:inline>
        </w:drawing>
      </w:r>
    </w:p>
    <w:p w14:paraId="17C10F16">
      <w:pPr>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9</w:t>
      </w:r>
      <w:r>
        <w:rPr>
          <w:rFonts w:hint="eastAsia" w:ascii="宋体" w:hAnsi="宋体" w:cs="宋体"/>
          <w:szCs w:val="21"/>
          <w:lang w:eastAsia="zh"/>
        </w:rPr>
        <w:t>报名活动页</w:t>
      </w:r>
      <w:bookmarkStart w:id="709" w:name="_Toc1314848319"/>
      <w:bookmarkStart w:id="710" w:name="_Toc764022490"/>
    </w:p>
    <w:p w14:paraId="0F6029C4">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711" w:name="_Toc30264"/>
      <w:bookmarkStart w:id="712" w:name="_Toc16877"/>
      <w:bookmarkStart w:id="713" w:name="_Toc22078"/>
      <w:r>
        <w:rPr>
          <w:rFonts w:ascii="Times New Roman" w:hAnsi="Times New Roman" w:eastAsia="宋体"/>
          <w:b w:val="0"/>
          <w:sz w:val="24"/>
          <w:lang w:eastAsia="zh"/>
        </w:rPr>
        <w:t>4.4</w:t>
      </w:r>
      <w:r>
        <w:rPr>
          <w:rFonts w:hint="eastAsia" w:ascii="Times New Roman" w:hAnsi="Times New Roman" w:eastAsia="宋体"/>
          <w:b w:val="0"/>
          <w:sz w:val="24"/>
          <w:lang w:eastAsia="zh"/>
        </w:rPr>
        <w:t>社团信息管理</w:t>
      </w:r>
      <w:bookmarkEnd w:id="709"/>
      <w:bookmarkEnd w:id="710"/>
      <w:bookmarkEnd w:id="711"/>
      <w:bookmarkEnd w:id="712"/>
      <w:bookmarkEnd w:id="713"/>
    </w:p>
    <w:p w14:paraId="51E9202C">
      <w:pPr>
        <w:spacing w:line="440" w:lineRule="exact"/>
        <w:ind w:firstLine="480" w:firstLineChars="200"/>
        <w:outlineLvl w:val="9"/>
        <w:rPr>
          <w:rFonts w:ascii="宋体" w:hAnsi="宋体" w:cs="宋体"/>
          <w:sz w:val="24"/>
          <w:lang w:eastAsia="zh"/>
        </w:rPr>
      </w:pPr>
      <w:bookmarkStart w:id="714" w:name="_Toc1592602330"/>
      <w:bookmarkStart w:id="715" w:name="_Toc951872814"/>
      <w:r>
        <w:rPr>
          <w:rFonts w:hint="eastAsia" w:ascii="宋体" w:hAnsi="宋体" w:cs="宋体"/>
          <w:sz w:val="24"/>
        </w:rPr>
        <w:t>（</w:t>
      </w:r>
      <w:r>
        <w:rPr>
          <w:rFonts w:hint="eastAsia" w:ascii="Times New Roman" w:hAnsi="Times New Roman" w:cs="宋体"/>
          <w:sz w:val="24"/>
        </w:rPr>
        <w:t>1</w:t>
      </w:r>
      <w:r>
        <w:rPr>
          <w:rFonts w:hint="eastAsia" w:ascii="宋体" w:hAnsi="宋体" w:cs="宋体"/>
          <w:sz w:val="24"/>
        </w:rPr>
        <w:t>）</w:t>
      </w:r>
      <w:r>
        <w:rPr>
          <w:rFonts w:hint="eastAsia" w:ascii="宋体" w:hAnsi="宋体" w:cs="宋体"/>
          <w:sz w:val="24"/>
          <w:lang w:eastAsia="zh"/>
        </w:rPr>
        <w:t>管理员对社团类型进行管理，包括增删类型、修改类型等。</w:t>
      </w:r>
      <w:bookmarkEnd w:id="714"/>
      <w:bookmarkEnd w:id="715"/>
      <w:r>
        <w:rPr>
          <w:rFonts w:hint="eastAsia" w:ascii="宋体" w:hAnsi="宋体" w:cs="宋体"/>
          <w:sz w:val="24"/>
          <w:lang w:eastAsia="zh"/>
        </w:rPr>
        <w:t>社团类型管理页</w:t>
      </w:r>
      <w:r>
        <w:rPr>
          <w:rFonts w:hint="eastAsia" w:ascii="宋体" w:hAnsi="宋体" w:cs="宋体"/>
          <w:sz w:val="24"/>
        </w:rPr>
        <w:t>（如图</w:t>
      </w:r>
      <w:r>
        <w:rPr>
          <w:rFonts w:hint="eastAsia" w:ascii="Times New Roman" w:hAnsi="Times New Roman" w:cs="宋体"/>
          <w:sz w:val="24"/>
        </w:rPr>
        <w:t>4-10</w:t>
      </w:r>
      <w:r>
        <w:rPr>
          <w:rFonts w:hint="eastAsia" w:ascii="宋体" w:hAnsi="宋体" w:cs="宋体"/>
          <w:sz w:val="24"/>
        </w:rPr>
        <w:t>）</w:t>
      </w:r>
      <w:r>
        <w:rPr>
          <w:rFonts w:hint="eastAsia" w:ascii="宋体" w:hAnsi="宋体" w:cs="宋体"/>
          <w:sz w:val="24"/>
          <w:lang w:eastAsia="zh"/>
        </w:rPr>
        <w:t>是社团管理系统中管理员用于管理社团分类的专门界面。管理员可以通过这个页面对社团类型进行增加、删除和修改等操作。页面列出了现有的社团类型，如“志愿服务”、“后海”、“游戏”、“摄影”和“艺术”，并显示了每种类型的创建时间。管理员可以根据需要对类型名称进行编辑，或对过时或不再需要的类型进行删除。这个页面有助于保持社团分类的更新和组织，确保社团信息的准确性和有效管理。</w:t>
      </w:r>
    </w:p>
    <w:p w14:paraId="7D5A7655">
      <w:pPr>
        <w:ind w:firstLine="480" w:firstLineChars="200"/>
        <w:jc w:val="center"/>
        <w:rPr>
          <w:rFonts w:ascii="宋体" w:hAnsi="宋体" w:cs="宋体"/>
          <w:sz w:val="24"/>
        </w:rPr>
      </w:pPr>
      <w:r>
        <w:rPr>
          <w:rFonts w:hint="eastAsia" w:ascii="宋体" w:hAnsi="宋体" w:cs="宋体"/>
          <w:sz w:val="24"/>
        </w:rPr>
        <w:drawing>
          <wp:inline distT="0" distB="0" distL="114300" distR="114300">
            <wp:extent cx="4521200" cy="1579245"/>
            <wp:effectExtent l="0" t="0" r="0" b="1905"/>
            <wp:docPr id="1898648869" name="图片 1898648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69" name="图片 1898648869"/>
                    <pic:cNvPicPr>
                      <a:picLocks noChangeAspect="1"/>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4521585" cy="1579418"/>
                    </a:xfrm>
                    <a:prstGeom prst="rect">
                      <a:avLst/>
                    </a:prstGeom>
                  </pic:spPr>
                </pic:pic>
              </a:graphicData>
            </a:graphic>
          </wp:inline>
        </w:drawing>
      </w:r>
    </w:p>
    <w:p w14:paraId="08E130F4">
      <w:pPr>
        <w:ind w:firstLine="420" w:firstLineChars="200"/>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10</w:t>
      </w:r>
      <w:r>
        <w:rPr>
          <w:rFonts w:hint="eastAsia" w:ascii="宋体" w:hAnsi="宋体" w:cs="宋体"/>
          <w:szCs w:val="21"/>
          <w:lang w:eastAsia="zh"/>
        </w:rPr>
        <w:t>社团类型管理页</w:t>
      </w:r>
    </w:p>
    <w:p w14:paraId="4C730CAC">
      <w:pPr>
        <w:spacing w:before="0" w:after="0" w:line="440" w:lineRule="exact"/>
        <w:ind w:firstLine="480" w:firstLineChars="200"/>
        <w:jc w:val="left"/>
        <w:outlineLvl w:val="9"/>
        <w:rPr>
          <w:rFonts w:ascii="宋体" w:hAnsi="宋体" w:cs="宋体"/>
          <w:b w:val="0"/>
          <w:sz w:val="24"/>
        </w:rPr>
      </w:pPr>
      <w:r>
        <w:rPr>
          <w:rFonts w:hint="eastAsia" w:ascii="宋体" w:hAnsi="宋体" w:cs="宋体"/>
          <w:b w:val="0"/>
          <w:sz w:val="24"/>
        </w:rPr>
        <w:t>（</w:t>
      </w:r>
      <w:r>
        <w:rPr>
          <w:rFonts w:hint="eastAsia" w:ascii="Times New Roman" w:hAnsi="Times New Roman" w:cs="宋体"/>
          <w:b w:val="0"/>
          <w:sz w:val="24"/>
        </w:rPr>
        <w:t>2</w:t>
      </w:r>
      <w:r>
        <w:rPr>
          <w:rFonts w:hint="eastAsia" w:ascii="宋体" w:hAnsi="宋体" w:cs="宋体"/>
          <w:b w:val="0"/>
          <w:sz w:val="24"/>
        </w:rPr>
        <w:t>）</w:t>
      </w:r>
      <w:r>
        <w:rPr>
          <w:rFonts w:hint="eastAsia" w:ascii="宋体" w:hAnsi="宋体" w:cs="宋体"/>
          <w:b w:val="0"/>
          <w:sz w:val="24"/>
          <w:lang w:eastAsia="zh"/>
        </w:rPr>
        <w:t>使用管理员账号登录后对社团信息进行增删改查管理操作。包括增加新社团，编写社团名称、类型、创建时间、社团人数等信息，删除已添加社团，修改原有社团信息，通过搜索框搜索已注册社团的操作。</w:t>
      </w:r>
      <w:r>
        <w:rPr>
          <w:rFonts w:hint="eastAsia" w:ascii="宋体" w:hAnsi="宋体" w:cs="宋体"/>
          <w:b w:val="0"/>
          <w:sz w:val="24"/>
        </w:rPr>
        <w:t>如图</w:t>
      </w:r>
      <w:r>
        <w:rPr>
          <w:rFonts w:hint="eastAsia" w:ascii="Times New Roman" w:hAnsi="Times New Roman" w:cs="宋体"/>
          <w:b w:val="0"/>
          <w:sz w:val="24"/>
        </w:rPr>
        <w:t>4-11</w:t>
      </w:r>
      <w:r>
        <w:rPr>
          <w:rFonts w:hint="eastAsia" w:ascii="宋体" w:hAnsi="宋体" w:cs="宋体"/>
          <w:b w:val="0"/>
          <w:sz w:val="24"/>
        </w:rPr>
        <w:t>所示。</w:t>
      </w:r>
    </w:p>
    <w:p w14:paraId="7AC120BD">
      <w:pPr>
        <w:ind w:firstLine="480" w:firstLineChars="200"/>
        <w:jc w:val="center"/>
        <w:rPr>
          <w:rFonts w:ascii="宋体" w:hAnsi="宋体" w:cs="宋体"/>
          <w:sz w:val="24"/>
          <w:lang w:eastAsia="zh"/>
        </w:rPr>
      </w:pPr>
      <w:r>
        <w:rPr>
          <w:rFonts w:hint="eastAsia" w:ascii="宋体" w:hAnsi="宋体" w:cs="宋体"/>
          <w:sz w:val="24"/>
        </w:rPr>
        <w:drawing>
          <wp:inline distT="0" distB="0" distL="114300" distR="114300">
            <wp:extent cx="4759960" cy="1953260"/>
            <wp:effectExtent l="0" t="0" r="2540" b="8890"/>
            <wp:docPr id="1898648870" name="图片 1898648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70" name="图片 1898648870"/>
                    <pic:cNvPicPr>
                      <a:picLocks noChangeAspect="1"/>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4760588" cy="1953491"/>
                    </a:xfrm>
                    <a:prstGeom prst="rect">
                      <a:avLst/>
                    </a:prstGeom>
                  </pic:spPr>
                </pic:pic>
              </a:graphicData>
            </a:graphic>
          </wp:inline>
        </w:drawing>
      </w:r>
    </w:p>
    <w:p w14:paraId="45FDC67A">
      <w:pPr>
        <w:ind w:firstLine="480" w:firstLineChars="200"/>
        <w:jc w:val="center"/>
        <w:rPr>
          <w:rFonts w:ascii="宋体" w:hAnsi="宋体" w:cs="宋体"/>
          <w:sz w:val="24"/>
          <w:lang w:eastAsia="zh"/>
        </w:rPr>
      </w:pPr>
    </w:p>
    <w:p w14:paraId="47797E13">
      <w:pPr>
        <w:spacing w:line="440" w:lineRule="exact"/>
        <w:ind w:firstLine="420" w:firstLineChars="200"/>
        <w:jc w:val="center"/>
        <w:rPr>
          <w:rFonts w:ascii="宋体" w:hAnsi="宋体" w:cs="宋体"/>
          <w:sz w:val="24"/>
          <w:lang w:eastAsia="zh"/>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11</w:t>
      </w:r>
      <w:r>
        <w:rPr>
          <w:rFonts w:hint="eastAsia" w:ascii="宋体" w:hAnsi="宋体" w:cs="宋体"/>
          <w:szCs w:val="21"/>
          <w:lang w:eastAsia="zh"/>
        </w:rPr>
        <w:t>社团信息管理页</w:t>
      </w:r>
      <w:bookmarkStart w:id="716" w:name="_Toc1017992603"/>
      <w:bookmarkStart w:id="717" w:name="_Toc219781819"/>
    </w:p>
    <w:p w14:paraId="1893D6EF">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718" w:name="_Toc14129"/>
      <w:bookmarkStart w:id="719" w:name="_Toc473"/>
      <w:bookmarkStart w:id="720" w:name="_Toc19667"/>
      <w:r>
        <w:rPr>
          <w:rFonts w:ascii="Times New Roman" w:hAnsi="Times New Roman" w:eastAsia="宋体"/>
          <w:b w:val="0"/>
          <w:sz w:val="24"/>
          <w:lang w:eastAsia="zh"/>
        </w:rPr>
        <w:t>4.5</w:t>
      </w:r>
      <w:r>
        <w:rPr>
          <w:rFonts w:hint="eastAsia" w:ascii="Times New Roman" w:hAnsi="Times New Roman" w:eastAsia="宋体"/>
          <w:b w:val="0"/>
          <w:sz w:val="24"/>
          <w:lang w:eastAsia="zh"/>
        </w:rPr>
        <w:t>通知信息管理</w:t>
      </w:r>
      <w:bookmarkEnd w:id="716"/>
      <w:bookmarkEnd w:id="717"/>
      <w:bookmarkEnd w:id="718"/>
      <w:bookmarkEnd w:id="719"/>
      <w:bookmarkEnd w:id="720"/>
    </w:p>
    <w:p w14:paraId="0BFA17D5">
      <w:pPr>
        <w:spacing w:line="440" w:lineRule="exact"/>
        <w:ind w:firstLine="420" w:firstLineChars="200"/>
        <w:outlineLvl w:val="9"/>
        <w:rPr>
          <w:rFonts w:ascii="宋体" w:hAnsi="宋体" w:cs="宋体"/>
          <w:sz w:val="24"/>
        </w:rPr>
      </w:pPr>
      <w:bookmarkStart w:id="721" w:name="_Toc822192558"/>
      <w:bookmarkStart w:id="722" w:name="_Toc347388609"/>
      <w:r>
        <w:rPr>
          <w:rStyle w:val="156"/>
          <w:rFonts w:hint="eastAsia"/>
        </w:rPr>
        <w:drawing>
          <wp:anchor distT="0" distB="0" distL="114300" distR="114300" simplePos="0" relativeHeight="251726848" behindDoc="0" locked="0" layoutInCell="1" allowOverlap="1">
            <wp:simplePos x="0" y="0"/>
            <wp:positionH relativeFrom="column">
              <wp:posOffset>676275</wp:posOffset>
            </wp:positionH>
            <wp:positionV relativeFrom="paragraph">
              <wp:posOffset>542925</wp:posOffset>
            </wp:positionV>
            <wp:extent cx="4013835" cy="2761615"/>
            <wp:effectExtent l="0" t="0" r="5715" b="1270"/>
            <wp:wrapNone/>
            <wp:docPr id="1898648871" name="图片 1898648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71" name="图片 1898648871"/>
                    <pic:cNvPicPr>
                      <a:picLocks noChangeAspect="1"/>
                    </pic:cNvPicPr>
                  </pic:nvPicPr>
                  <pic:blipFill>
                    <a:blip r:embed="rId248"/>
                    <a:stretch>
                      <a:fillRect/>
                    </a:stretch>
                  </pic:blipFill>
                  <pic:spPr>
                    <a:xfrm>
                      <a:off x="0" y="0"/>
                      <a:ext cx="4024142" cy="2768398"/>
                    </a:xfrm>
                    <a:prstGeom prst="rect">
                      <a:avLst/>
                    </a:prstGeom>
                  </pic:spPr>
                </pic:pic>
              </a:graphicData>
            </a:graphic>
          </wp:anchor>
        </w:drawing>
      </w:r>
      <w:bookmarkEnd w:id="721"/>
      <w:bookmarkEnd w:id="722"/>
      <w:r>
        <w:rPr>
          <w:rFonts w:hint="eastAsia" w:ascii="宋体" w:hAnsi="宋体" w:cs="宋体"/>
          <w:sz w:val="24"/>
        </w:rPr>
        <w:t>(</w:t>
      </w:r>
      <w:r>
        <w:rPr>
          <w:rFonts w:hint="eastAsia" w:ascii="Times New Roman" w:hAnsi="Times New Roman" w:cs="宋体"/>
          <w:sz w:val="24"/>
        </w:rPr>
        <w:t>1</w:t>
      </w:r>
      <w:r>
        <w:rPr>
          <w:rFonts w:hint="eastAsia" w:ascii="宋体" w:hAnsi="宋体" w:cs="宋体"/>
          <w:sz w:val="24"/>
        </w:rPr>
        <w:t>)</w:t>
      </w:r>
      <w:r>
        <w:rPr>
          <w:rFonts w:hint="eastAsia" w:ascii="宋体" w:hAnsi="宋体" w:cs="宋体"/>
          <w:sz w:val="24"/>
          <w:lang w:eastAsia="zh"/>
        </w:rPr>
        <w:t>社团团长发布通知的编辑页面。管理员在页面中对通知标题、发布社团、通知内容编辑后进行发布操作。</w:t>
      </w:r>
      <w:r>
        <w:rPr>
          <w:rFonts w:hint="eastAsia" w:ascii="宋体" w:hAnsi="宋体" w:cs="宋体"/>
          <w:sz w:val="24"/>
        </w:rPr>
        <w:t>如图</w:t>
      </w:r>
      <w:r>
        <w:rPr>
          <w:rFonts w:hint="eastAsia" w:ascii="Times New Roman" w:hAnsi="Times New Roman" w:cs="宋体"/>
          <w:sz w:val="24"/>
        </w:rPr>
        <w:t>4-12</w:t>
      </w:r>
      <w:r>
        <w:rPr>
          <w:rFonts w:hint="eastAsia" w:ascii="宋体" w:hAnsi="宋体" w:cs="宋体"/>
          <w:sz w:val="24"/>
        </w:rPr>
        <w:t>所示。</w:t>
      </w:r>
    </w:p>
    <w:p w14:paraId="4FB65EC0">
      <w:pPr>
        <w:tabs>
          <w:tab w:val="left" w:pos="1584"/>
        </w:tabs>
        <w:outlineLvl w:val="9"/>
      </w:pPr>
    </w:p>
    <w:p w14:paraId="6577C56A"/>
    <w:p w14:paraId="0E9947F8"/>
    <w:p w14:paraId="6E7BFA51"/>
    <w:p w14:paraId="7B95504D"/>
    <w:p w14:paraId="306D9CCB"/>
    <w:p w14:paraId="1A0DAC76"/>
    <w:p w14:paraId="3E394D38"/>
    <w:p w14:paraId="0712211E"/>
    <w:p w14:paraId="31388B69"/>
    <w:p w14:paraId="16C93300"/>
    <w:p w14:paraId="0829D2C5"/>
    <w:p w14:paraId="71C1817C">
      <w:pPr>
        <w:tabs>
          <w:tab w:val="left" w:pos="7148"/>
        </w:tabs>
        <w:spacing w:line="440" w:lineRule="exact"/>
        <w:jc w:val="center"/>
        <w:rPr>
          <w:rFonts w:ascii="宋体" w:hAnsi="宋体" w:cs="宋体"/>
          <w:bCs/>
          <w:sz w:val="24"/>
          <w:lang w:eastAsia="zh"/>
        </w:rPr>
      </w:pPr>
      <w:r>
        <w:rPr>
          <w:rFonts w:hint="eastAsia" w:ascii="宋体" w:hAnsi="宋体" w:cs="宋体"/>
          <w:bCs/>
          <w:szCs w:val="21"/>
          <w:lang w:eastAsia="zh"/>
        </w:rPr>
        <w:t>图</w:t>
      </w:r>
      <w:r>
        <w:rPr>
          <w:rFonts w:hint="eastAsia" w:ascii="Times New Roman" w:hAnsi="Times New Roman" w:cs="宋体"/>
          <w:bCs/>
          <w:sz w:val="24"/>
          <w:lang w:eastAsia="zh"/>
        </w:rPr>
        <w:t>4-</w:t>
      </w:r>
      <w:r>
        <w:rPr>
          <w:rFonts w:hint="eastAsia" w:ascii="Times New Roman" w:hAnsi="Times New Roman" w:cs="宋体"/>
          <w:bCs/>
          <w:sz w:val="24"/>
        </w:rPr>
        <w:t>12</w:t>
      </w:r>
      <w:r>
        <w:rPr>
          <w:rFonts w:hint="eastAsia" w:ascii="宋体" w:hAnsi="宋体" w:cs="宋体"/>
          <w:bCs/>
          <w:szCs w:val="21"/>
          <w:lang w:eastAsia="zh"/>
        </w:rPr>
        <w:t>发布通知页</w:t>
      </w:r>
    </w:p>
    <w:p w14:paraId="055AD7D9">
      <w:pPr>
        <w:tabs>
          <w:tab w:val="left" w:pos="7148"/>
        </w:tabs>
        <w:spacing w:line="440" w:lineRule="exact"/>
        <w:ind w:firstLine="480" w:firstLineChars="200"/>
        <w:jc w:val="left"/>
        <w:rPr>
          <w:rFonts w:ascii="宋体" w:hAnsi="宋体" w:cs="宋体"/>
          <w:sz w:val="24"/>
        </w:rPr>
      </w:pPr>
      <w:bookmarkStart w:id="723" w:name="_Toc290334644"/>
      <w:bookmarkStart w:id="724" w:name="_Toc1596275635"/>
      <w:r>
        <w:rPr>
          <w:rFonts w:hint="eastAsia" w:ascii="宋体" w:hAnsi="宋体" w:cs="宋体"/>
          <w:sz w:val="24"/>
        </w:rPr>
        <w:t xml:space="preserve"> (</w:t>
      </w:r>
      <w:r>
        <w:rPr>
          <w:rFonts w:hint="eastAsia" w:ascii="Times New Roman" w:hAnsi="Times New Roman" w:cs="宋体"/>
          <w:sz w:val="24"/>
        </w:rPr>
        <w:t>2</w:t>
      </w:r>
      <w:r>
        <w:rPr>
          <w:rFonts w:hint="eastAsia" w:ascii="宋体" w:hAnsi="宋体" w:cs="宋体"/>
          <w:sz w:val="24"/>
        </w:rPr>
        <w:t>)</w:t>
      </w:r>
      <w:r>
        <w:rPr>
          <w:rFonts w:hint="eastAsia" w:ascii="宋体" w:hAnsi="宋体" w:cs="宋体"/>
          <w:sz w:val="24"/>
          <w:lang w:eastAsia="zh"/>
        </w:rPr>
        <w:t>社团团长使用管理员账号登录发布通知</w:t>
      </w:r>
      <w:r>
        <w:rPr>
          <w:rFonts w:hint="eastAsia" w:ascii="宋体" w:hAnsi="宋体" w:cs="宋体"/>
          <w:sz w:val="24"/>
        </w:rPr>
        <w:t>.</w:t>
      </w:r>
    </w:p>
    <w:p w14:paraId="1E5B15DB">
      <w:pPr>
        <w:tabs>
          <w:tab w:val="left" w:pos="7148"/>
        </w:tabs>
        <w:spacing w:line="440" w:lineRule="exact"/>
        <w:ind w:firstLine="480" w:firstLineChars="200"/>
        <w:jc w:val="left"/>
        <w:rPr>
          <w:rFonts w:ascii="宋体" w:hAnsi="宋体" w:cs="宋体"/>
          <w:sz w:val="24"/>
          <w:lang w:eastAsia="zh"/>
        </w:rPr>
      </w:pPr>
      <w:r>
        <w:rPr>
          <w:rFonts w:hint="eastAsia" w:ascii="宋体" w:hAnsi="宋体" w:cs="宋体"/>
          <w:sz w:val="24"/>
          <w:lang w:eastAsia="zh"/>
        </w:rPr>
        <w:t>管理员登录系统即可查看通知标题，发布社团、发布时间、通知详情，并且实现通知的删除操作，在通知排序中按照时间次序依次排列。</w:t>
      </w:r>
      <w:r>
        <w:rPr>
          <w:rFonts w:hint="eastAsia" w:ascii="宋体" w:hAnsi="宋体" w:cs="宋体"/>
          <w:sz w:val="24"/>
        </w:rPr>
        <w:t>如图</w:t>
      </w:r>
      <w:r>
        <w:rPr>
          <w:rFonts w:hint="eastAsia" w:ascii="Times New Roman" w:hAnsi="Times New Roman" w:cs="宋体"/>
          <w:sz w:val="24"/>
        </w:rPr>
        <w:t>4-13</w:t>
      </w:r>
      <w:r>
        <w:rPr>
          <w:rFonts w:hint="eastAsia" w:ascii="宋体" w:hAnsi="宋体" w:cs="宋体"/>
          <w:sz w:val="24"/>
        </w:rPr>
        <w:t>所示。</w:t>
      </w:r>
    </w:p>
    <w:bookmarkEnd w:id="723"/>
    <w:bookmarkEnd w:id="724"/>
    <w:p w14:paraId="6B9839C7">
      <w:pPr>
        <w:jc w:val="left"/>
        <w:outlineLvl w:val="9"/>
        <w:rPr>
          <w:rStyle w:val="156"/>
          <w:lang w:eastAsia="zh"/>
        </w:rPr>
      </w:pPr>
      <w:r>
        <w:rPr>
          <w:rStyle w:val="156"/>
          <w:rFonts w:hint="eastAsia"/>
        </w:rPr>
        <w:drawing>
          <wp:anchor distT="0" distB="0" distL="114300" distR="114300" simplePos="0" relativeHeight="251925504" behindDoc="0" locked="0" layoutInCell="1" allowOverlap="1">
            <wp:simplePos x="0" y="0"/>
            <wp:positionH relativeFrom="column">
              <wp:posOffset>106680</wp:posOffset>
            </wp:positionH>
            <wp:positionV relativeFrom="paragraph">
              <wp:posOffset>113665</wp:posOffset>
            </wp:positionV>
            <wp:extent cx="5073650" cy="1536700"/>
            <wp:effectExtent l="0" t="0" r="0" b="1905"/>
            <wp:wrapNone/>
            <wp:docPr id="1898648872" name="图片 189864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72" name="图片 1898648872"/>
                    <pic:cNvPicPr>
                      <a:picLocks noChangeAspect="1"/>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5073650" cy="1536898"/>
                    </a:xfrm>
                    <a:prstGeom prst="rect">
                      <a:avLst/>
                    </a:prstGeom>
                  </pic:spPr>
                </pic:pic>
              </a:graphicData>
            </a:graphic>
          </wp:anchor>
        </w:drawing>
      </w:r>
    </w:p>
    <w:p w14:paraId="4CA06AC3">
      <w:pPr>
        <w:tabs>
          <w:tab w:val="left" w:pos="1584"/>
        </w:tabs>
        <w:ind w:firstLine="420" w:firstLineChars="200"/>
        <w:jc w:val="center"/>
        <w:rPr>
          <w:rFonts w:hint="eastAsia" w:ascii="宋体" w:hAnsi="宋体" w:cs="宋体"/>
          <w:szCs w:val="21"/>
          <w:lang w:eastAsia="zh"/>
        </w:rPr>
      </w:pPr>
    </w:p>
    <w:p w14:paraId="240DA0DB">
      <w:pPr>
        <w:tabs>
          <w:tab w:val="left" w:pos="1584"/>
        </w:tabs>
        <w:ind w:firstLine="420" w:firstLineChars="200"/>
        <w:jc w:val="center"/>
        <w:rPr>
          <w:rFonts w:hint="eastAsia" w:ascii="宋体" w:hAnsi="宋体" w:cs="宋体"/>
          <w:szCs w:val="21"/>
          <w:lang w:eastAsia="zh"/>
        </w:rPr>
      </w:pPr>
    </w:p>
    <w:p w14:paraId="08193FB8">
      <w:pPr>
        <w:tabs>
          <w:tab w:val="left" w:pos="1584"/>
        </w:tabs>
        <w:ind w:firstLine="420" w:firstLineChars="200"/>
        <w:jc w:val="center"/>
        <w:rPr>
          <w:rFonts w:hint="eastAsia" w:ascii="宋体" w:hAnsi="宋体" w:cs="宋体"/>
          <w:szCs w:val="21"/>
          <w:lang w:eastAsia="zh"/>
        </w:rPr>
      </w:pPr>
    </w:p>
    <w:p w14:paraId="6C12138E">
      <w:pPr>
        <w:tabs>
          <w:tab w:val="left" w:pos="1584"/>
        </w:tabs>
        <w:ind w:firstLine="420" w:firstLineChars="200"/>
        <w:jc w:val="center"/>
        <w:rPr>
          <w:rFonts w:hint="eastAsia" w:ascii="宋体" w:hAnsi="宋体" w:cs="宋体"/>
          <w:szCs w:val="21"/>
          <w:lang w:eastAsia="zh"/>
        </w:rPr>
      </w:pPr>
    </w:p>
    <w:p w14:paraId="120EB455">
      <w:pPr>
        <w:tabs>
          <w:tab w:val="left" w:pos="1584"/>
        </w:tabs>
        <w:ind w:firstLine="420" w:firstLineChars="200"/>
        <w:jc w:val="center"/>
        <w:rPr>
          <w:rFonts w:hint="eastAsia" w:ascii="宋体" w:hAnsi="宋体" w:cs="宋体"/>
          <w:szCs w:val="21"/>
          <w:lang w:eastAsia="zh"/>
        </w:rPr>
      </w:pPr>
    </w:p>
    <w:p w14:paraId="57C0AB51">
      <w:pPr>
        <w:tabs>
          <w:tab w:val="left" w:pos="1584"/>
        </w:tabs>
        <w:ind w:firstLine="420" w:firstLineChars="200"/>
        <w:jc w:val="center"/>
        <w:rPr>
          <w:rFonts w:hint="eastAsia" w:ascii="宋体" w:hAnsi="宋体" w:cs="宋体"/>
          <w:szCs w:val="21"/>
          <w:lang w:eastAsia="zh"/>
        </w:rPr>
      </w:pPr>
    </w:p>
    <w:p w14:paraId="2095DF6B">
      <w:pPr>
        <w:tabs>
          <w:tab w:val="left" w:pos="1584"/>
        </w:tabs>
        <w:ind w:firstLine="420" w:firstLineChars="200"/>
        <w:jc w:val="center"/>
        <w:rPr>
          <w:rFonts w:hint="eastAsia" w:ascii="宋体" w:hAnsi="宋体" w:cs="宋体"/>
          <w:szCs w:val="21"/>
          <w:lang w:eastAsia="zh"/>
        </w:rPr>
      </w:pPr>
    </w:p>
    <w:p w14:paraId="5CB782D7">
      <w:pPr>
        <w:tabs>
          <w:tab w:val="left" w:pos="1584"/>
        </w:tabs>
        <w:ind w:firstLine="420" w:firstLineChars="200"/>
        <w:jc w:val="center"/>
        <w:rPr>
          <w:rFonts w:asciiTheme="majorEastAsia" w:hAnsiTheme="majorEastAsia" w:eastAsiaTheme="majorEastAsia" w:cstheme="majorEastAsia"/>
          <w:b/>
          <w:bCs/>
          <w:szCs w:val="21"/>
        </w:rPr>
      </w:pPr>
      <w:r>
        <w:rPr>
          <w:rFonts w:hint="eastAsia" w:ascii="宋体" w:hAnsi="宋体" w:cs="宋体"/>
          <w:szCs w:val="21"/>
          <w:lang w:eastAsia="zh"/>
        </w:rPr>
        <w:t>图</w:t>
      </w:r>
      <w:r>
        <w:rPr>
          <w:rFonts w:hint="eastAsia" w:ascii="Times New Roman" w:hAnsi="Times New Roman" w:cs="宋体"/>
          <w:sz w:val="24"/>
          <w:lang w:eastAsia="zh"/>
        </w:rPr>
        <w:t>4-</w:t>
      </w:r>
      <w:r>
        <w:rPr>
          <w:rFonts w:hint="eastAsia" w:ascii="Times New Roman" w:hAnsi="Times New Roman" w:cs="宋体"/>
          <w:sz w:val="24"/>
        </w:rPr>
        <w:t>13</w:t>
      </w:r>
      <w:r>
        <w:rPr>
          <w:rFonts w:hint="eastAsia" w:ascii="宋体" w:hAnsi="宋体" w:cs="宋体"/>
          <w:szCs w:val="21"/>
        </w:rPr>
        <w:t>管理员操作</w:t>
      </w:r>
      <w:r>
        <w:rPr>
          <w:rFonts w:hint="eastAsia" w:ascii="宋体" w:hAnsi="宋体" w:cs="宋体"/>
          <w:szCs w:val="21"/>
          <w:lang w:eastAsia="zh"/>
        </w:rPr>
        <w:t>页</w:t>
      </w:r>
      <w:bookmarkStart w:id="725" w:name="_Toc28895664"/>
      <w:bookmarkStart w:id="726" w:name="_Toc1976240830"/>
      <w:bookmarkStart w:id="727" w:name="_Toc5256"/>
      <w:bookmarkStart w:id="728" w:name="_Toc13334"/>
    </w:p>
    <w:p w14:paraId="62AB5AF3">
      <w:pPr>
        <w:tabs>
          <w:tab w:val="left" w:pos="1584"/>
        </w:tabs>
        <w:spacing w:line="440" w:lineRule="exact"/>
        <w:jc w:val="left"/>
        <w:outlineLvl w:val="9"/>
        <w:rPr>
          <w:rFonts w:hint="eastAsia" w:asciiTheme="majorEastAsia" w:hAnsiTheme="majorEastAsia" w:eastAsiaTheme="majorEastAsia" w:cstheme="majorEastAsia"/>
          <w:b/>
          <w:bCs/>
          <w:sz w:val="28"/>
          <w:szCs w:val="28"/>
        </w:rPr>
      </w:pPr>
      <w:bookmarkStart w:id="729" w:name="_Toc31832"/>
      <w:r>
        <w:rPr>
          <w:rFonts w:hint="eastAsia" w:asciiTheme="majorEastAsia" w:hAnsiTheme="majorEastAsia" w:eastAsiaTheme="majorEastAsia" w:cstheme="majorEastAsia"/>
          <w:b/>
          <w:bCs/>
          <w:sz w:val="28"/>
          <w:szCs w:val="28"/>
        </w:rPr>
        <w:t>5 系统测试</w:t>
      </w:r>
      <w:bookmarkEnd w:id="725"/>
      <w:bookmarkEnd w:id="726"/>
      <w:bookmarkEnd w:id="727"/>
      <w:bookmarkEnd w:id="728"/>
      <w:bookmarkEnd w:id="729"/>
      <w:bookmarkStart w:id="730" w:name="_Toc742852827"/>
      <w:bookmarkStart w:id="731" w:name="_Toc1113651059"/>
    </w:p>
    <w:p w14:paraId="3442AC76">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732" w:name="_Toc23371"/>
      <w:bookmarkStart w:id="733" w:name="_Toc1828"/>
      <w:bookmarkStart w:id="734" w:name="_Toc248"/>
      <w:r>
        <w:rPr>
          <w:rFonts w:ascii="Times New Roman" w:hAnsi="Times New Roman" w:eastAsia="宋体"/>
          <w:b w:val="0"/>
          <w:sz w:val="24"/>
          <w:lang w:eastAsia="zh"/>
        </w:rPr>
        <w:t>5.1</w:t>
      </w:r>
      <w:r>
        <w:rPr>
          <w:rFonts w:hint="eastAsia" w:ascii="Times New Roman" w:hAnsi="Times New Roman" w:eastAsia="宋体"/>
          <w:b w:val="0"/>
          <w:sz w:val="24"/>
          <w:lang w:eastAsia="zh"/>
        </w:rPr>
        <w:t>功能测试</w:t>
      </w:r>
      <w:bookmarkEnd w:id="730"/>
      <w:bookmarkEnd w:id="731"/>
      <w:bookmarkEnd w:id="732"/>
      <w:bookmarkEnd w:id="733"/>
      <w:bookmarkEnd w:id="734"/>
    </w:p>
    <w:p w14:paraId="28BF680F">
      <w:pPr>
        <w:spacing w:line="440" w:lineRule="exact"/>
        <w:ind w:firstLine="480" w:firstLineChars="200"/>
        <w:outlineLvl w:val="9"/>
        <w:rPr>
          <w:rFonts w:ascii="宋体" w:hAnsi="宋体" w:cs="宋体"/>
          <w:sz w:val="24"/>
          <w:lang w:eastAsia="zh"/>
        </w:rPr>
      </w:pPr>
      <w:r>
        <w:rPr>
          <w:rFonts w:hint="eastAsia" w:ascii="宋体" w:hAnsi="宋体" w:cs="宋体"/>
          <w:sz w:val="24"/>
          <w:lang w:eastAsia="zh"/>
        </w:rPr>
        <w:t>对系统的各个功能模块进行测试，确保它们按照预期工作。这包括用户登录、</w:t>
      </w:r>
      <w:r>
        <w:rPr>
          <w:rFonts w:hint="eastAsia" w:ascii="宋体" w:hAnsi="宋体" w:cs="宋体"/>
          <w:sz w:val="24"/>
        </w:rPr>
        <w:t>管理员模块、个人用户模块</w:t>
      </w:r>
      <w:r>
        <w:rPr>
          <w:rFonts w:hint="eastAsia" w:ascii="宋体" w:hAnsi="宋体" w:cs="宋体"/>
          <w:sz w:val="24"/>
          <w:lang w:eastAsia="zh"/>
        </w:rPr>
        <w:t>等功能。测试人员会通过输入不同的数据组合，验证系统的响应是否正确。</w:t>
      </w:r>
      <w:bookmarkStart w:id="735" w:name="_Toc1862275661"/>
      <w:bookmarkStart w:id="736" w:name="_Toc800960863"/>
    </w:p>
    <w:p w14:paraId="38918BDE">
      <w:pPr>
        <w:tabs>
          <w:tab w:val="left" w:pos="1584"/>
        </w:tabs>
        <w:spacing w:before="0" w:after="0" w:line="440" w:lineRule="exact"/>
        <w:ind w:firstLine="480" w:firstLineChars="200"/>
        <w:outlineLvl w:val="9"/>
        <w:rPr>
          <w:rFonts w:ascii="宋体" w:hAnsi="宋体" w:eastAsia="宋体" w:cs="宋体"/>
          <w:sz w:val="24"/>
          <w:lang w:eastAsia="zh"/>
        </w:rPr>
      </w:pPr>
      <w:bookmarkStart w:id="737" w:name="_Toc30698"/>
      <w:bookmarkStart w:id="738" w:name="_Toc30164"/>
      <w:bookmarkStart w:id="739" w:name="_Toc28174"/>
      <w:r>
        <w:rPr>
          <w:rFonts w:ascii="Times New Roman" w:hAnsi="Times New Roman" w:eastAsia="宋体"/>
          <w:b w:val="0"/>
          <w:sz w:val="24"/>
        </w:rPr>
        <w:t>5.1.1</w:t>
      </w:r>
      <w:r>
        <w:rPr>
          <w:rFonts w:hint="eastAsia" w:ascii="宋体" w:hAnsi="宋体" w:eastAsia="宋体" w:cs="宋体"/>
          <w:b w:val="0"/>
          <w:sz w:val="24"/>
        </w:rPr>
        <w:t>登录注册模块</w:t>
      </w:r>
      <w:bookmarkEnd w:id="737"/>
      <w:bookmarkEnd w:id="738"/>
      <w:bookmarkEnd w:id="739"/>
    </w:p>
    <w:p w14:paraId="494996B9">
      <w:pPr>
        <w:widowControl/>
        <w:spacing w:line="440" w:lineRule="exact"/>
        <w:ind w:firstLine="480" w:firstLineChars="200"/>
        <w:outlineLvl w:val="9"/>
        <w:rPr>
          <w:rFonts w:ascii="宋体" w:hAnsi="宋体" w:cs="宋体"/>
          <w:sz w:val="24"/>
        </w:rPr>
      </w:pPr>
      <w:r>
        <w:rPr>
          <w:rFonts w:hint="eastAsia" w:ascii="宋体" w:hAnsi="宋体" w:cs="宋体"/>
          <w:sz w:val="24"/>
        </w:rPr>
        <w:t>为了检查各个功能测试是否能够正常跳转，</w:t>
      </w:r>
      <w:r>
        <w:rPr>
          <w:rFonts w:hint="eastAsia" w:ascii="宋体" w:hAnsi="宋体" w:cs="宋体"/>
          <w:sz w:val="24"/>
          <w:lang w:eastAsia="zh"/>
        </w:rPr>
        <w:t>确保登录和注册功能按照设计要求正常工作，用户能够成功创建账户并登录系统。</w:t>
      </w:r>
      <w:r>
        <w:rPr>
          <w:rFonts w:hint="eastAsia" w:ascii="宋体" w:hAnsi="宋体" w:cs="宋体"/>
          <w:sz w:val="24"/>
        </w:rPr>
        <w:t>测试用例如表</w:t>
      </w:r>
      <w:r>
        <w:rPr>
          <w:rFonts w:hint="eastAsia" w:ascii="Times New Roman" w:hAnsi="Times New Roman" w:cs="宋体"/>
          <w:sz w:val="24"/>
        </w:rPr>
        <w:t>5-1</w:t>
      </w:r>
      <w:r>
        <w:rPr>
          <w:rFonts w:hint="eastAsia" w:ascii="宋体" w:hAnsi="宋体" w:cs="宋体"/>
          <w:sz w:val="24"/>
        </w:rPr>
        <w:t>、</w:t>
      </w:r>
      <w:r>
        <w:rPr>
          <w:rFonts w:hint="eastAsia" w:ascii="Times New Roman" w:hAnsi="Times New Roman" w:cs="宋体"/>
          <w:sz w:val="24"/>
        </w:rPr>
        <w:t>5-2</w:t>
      </w:r>
      <w:r>
        <w:rPr>
          <w:rFonts w:hint="eastAsia" w:ascii="宋体" w:hAnsi="宋体" w:cs="宋体"/>
          <w:sz w:val="24"/>
        </w:rPr>
        <w:t>所示。</w:t>
      </w:r>
    </w:p>
    <w:p w14:paraId="12E52418">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5-1</w:t>
      </w:r>
      <w:r>
        <w:rPr>
          <w:rFonts w:hint="eastAsia" w:ascii="宋体" w:hAnsi="宋体" w:cs="宋体"/>
          <w:szCs w:val="21"/>
        </w:rPr>
        <w:t>登录注册模块测试用例表</w:t>
      </w:r>
    </w:p>
    <w:tbl>
      <w:tblPr>
        <w:tblStyle w:val="35"/>
        <w:tblW w:w="8406" w:type="dxa"/>
        <w:jc w:val="center"/>
        <w:tblLayout w:type="fixed"/>
        <w:tblCellMar>
          <w:top w:w="0" w:type="dxa"/>
          <w:left w:w="108" w:type="dxa"/>
          <w:bottom w:w="0" w:type="dxa"/>
          <w:right w:w="108" w:type="dxa"/>
        </w:tblCellMar>
      </w:tblPr>
      <w:tblGrid>
        <w:gridCol w:w="718"/>
        <w:gridCol w:w="953"/>
        <w:gridCol w:w="1951"/>
        <w:gridCol w:w="4784"/>
      </w:tblGrid>
      <w:tr w14:paraId="66E8E8A8">
        <w:tblPrEx>
          <w:tblCellMar>
            <w:top w:w="0" w:type="dxa"/>
            <w:left w:w="108" w:type="dxa"/>
            <w:bottom w:w="0" w:type="dxa"/>
            <w:right w:w="108" w:type="dxa"/>
          </w:tblCellMar>
        </w:tblPrEx>
        <w:trPr>
          <w:trHeight w:val="1020" w:hRule="atLeast"/>
          <w:jc w:val="center"/>
        </w:trPr>
        <w:tc>
          <w:tcPr>
            <w:tcW w:w="718" w:type="dxa"/>
            <w:tcBorders>
              <w:top w:val="single" w:color="000000" w:sz="4" w:space="0"/>
              <w:left w:val="single" w:color="000000" w:sz="4" w:space="0"/>
              <w:bottom w:val="single" w:color="000000" w:sz="4" w:space="0"/>
              <w:right w:val="single" w:color="000000" w:sz="4" w:space="0"/>
            </w:tcBorders>
            <w:vAlign w:val="center"/>
          </w:tcPr>
          <w:p w14:paraId="627A01D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测试类型</w:t>
            </w:r>
          </w:p>
        </w:tc>
        <w:tc>
          <w:tcPr>
            <w:tcW w:w="953" w:type="dxa"/>
            <w:tcBorders>
              <w:top w:val="single" w:color="000000" w:sz="4" w:space="0"/>
              <w:left w:val="single" w:color="000000" w:sz="4" w:space="0"/>
              <w:bottom w:val="single" w:color="000000" w:sz="4" w:space="0"/>
              <w:right w:val="single" w:color="000000" w:sz="4" w:space="0"/>
            </w:tcBorders>
            <w:vAlign w:val="center"/>
          </w:tcPr>
          <w:p w14:paraId="3CD389B6">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功能</w:t>
            </w:r>
          </w:p>
          <w:p w14:paraId="66ABC5C6">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测试</w:t>
            </w:r>
          </w:p>
        </w:tc>
        <w:tc>
          <w:tcPr>
            <w:tcW w:w="1951" w:type="dxa"/>
            <w:tcBorders>
              <w:top w:val="single" w:color="000000" w:sz="4" w:space="0"/>
              <w:left w:val="single" w:color="000000" w:sz="4" w:space="0"/>
              <w:bottom w:val="single" w:color="000000" w:sz="4" w:space="0"/>
              <w:right w:val="single" w:color="000000" w:sz="4" w:space="0"/>
            </w:tcBorders>
            <w:vAlign w:val="center"/>
          </w:tcPr>
          <w:p w14:paraId="7AD632C9">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模块名称</w:t>
            </w:r>
          </w:p>
        </w:tc>
        <w:tc>
          <w:tcPr>
            <w:tcW w:w="4784" w:type="dxa"/>
            <w:tcBorders>
              <w:top w:val="single" w:color="000000" w:sz="4" w:space="0"/>
              <w:left w:val="single" w:color="000000" w:sz="4" w:space="0"/>
              <w:bottom w:val="single" w:color="000000" w:sz="4" w:space="0"/>
              <w:right w:val="single" w:color="000000" w:sz="4" w:space="0"/>
            </w:tcBorders>
            <w:vAlign w:val="center"/>
          </w:tcPr>
          <w:p w14:paraId="0FC80C4B">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用户登录注册模块</w:t>
            </w:r>
          </w:p>
        </w:tc>
      </w:tr>
      <w:tr w14:paraId="0F94F70D">
        <w:tblPrEx>
          <w:tblCellMar>
            <w:top w:w="0" w:type="dxa"/>
            <w:left w:w="108" w:type="dxa"/>
            <w:bottom w:w="0" w:type="dxa"/>
            <w:right w:w="108" w:type="dxa"/>
          </w:tblCellMar>
        </w:tblPrEx>
        <w:trPr>
          <w:trHeight w:val="1587" w:hRule="atLeast"/>
          <w:jc w:val="center"/>
        </w:trPr>
        <w:tc>
          <w:tcPr>
            <w:tcW w:w="718" w:type="dxa"/>
            <w:tcBorders>
              <w:top w:val="single" w:color="000000" w:sz="4" w:space="0"/>
              <w:left w:val="single" w:color="000000" w:sz="4" w:space="0"/>
              <w:bottom w:val="single" w:color="000000" w:sz="4" w:space="0"/>
              <w:right w:val="single" w:color="000000" w:sz="4" w:space="0"/>
            </w:tcBorders>
            <w:vAlign w:val="center"/>
          </w:tcPr>
          <w:p w14:paraId="7737F27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用例描述</w:t>
            </w:r>
          </w:p>
        </w:tc>
        <w:tc>
          <w:tcPr>
            <w:tcW w:w="7688" w:type="dxa"/>
            <w:gridSpan w:val="3"/>
            <w:tcBorders>
              <w:top w:val="single" w:color="000000" w:sz="4" w:space="0"/>
              <w:left w:val="single" w:color="000000" w:sz="4" w:space="0"/>
              <w:bottom w:val="single" w:color="000000" w:sz="4" w:space="0"/>
              <w:right w:val="single" w:color="000000" w:sz="4" w:space="0"/>
            </w:tcBorders>
            <w:vAlign w:val="center"/>
          </w:tcPr>
          <w:p w14:paraId="0E31931B">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该用例用来测试在登入注册界面，用户能否正常进行登入注册，如果出错，是否能给出返回信息</w:t>
            </w:r>
          </w:p>
        </w:tc>
      </w:tr>
      <w:tr w14:paraId="3CC522D9">
        <w:tblPrEx>
          <w:tblCellMar>
            <w:top w:w="0" w:type="dxa"/>
            <w:left w:w="108" w:type="dxa"/>
            <w:bottom w:w="0" w:type="dxa"/>
            <w:right w:w="108" w:type="dxa"/>
          </w:tblCellMar>
        </w:tblPrEx>
        <w:trPr>
          <w:trHeight w:val="1507" w:hRule="atLeast"/>
          <w:jc w:val="center"/>
        </w:trPr>
        <w:tc>
          <w:tcPr>
            <w:tcW w:w="718" w:type="dxa"/>
            <w:tcBorders>
              <w:top w:val="single" w:color="000000" w:sz="4" w:space="0"/>
              <w:left w:val="single" w:color="000000" w:sz="4" w:space="0"/>
              <w:bottom w:val="single" w:color="000000" w:sz="4" w:space="0"/>
              <w:right w:val="single" w:color="000000" w:sz="4" w:space="0"/>
            </w:tcBorders>
            <w:vAlign w:val="center"/>
          </w:tcPr>
          <w:p w14:paraId="1D962247">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前置条件</w:t>
            </w:r>
          </w:p>
        </w:tc>
        <w:tc>
          <w:tcPr>
            <w:tcW w:w="7688" w:type="dxa"/>
            <w:gridSpan w:val="3"/>
            <w:tcBorders>
              <w:top w:val="single" w:color="000000" w:sz="4" w:space="0"/>
              <w:left w:val="single" w:color="000000" w:sz="4" w:space="0"/>
              <w:bottom w:val="single" w:color="000000" w:sz="4" w:space="0"/>
              <w:right w:val="single" w:color="000000" w:sz="4" w:space="0"/>
            </w:tcBorders>
            <w:vAlign w:val="center"/>
          </w:tcPr>
          <w:p w14:paraId="013DBD6D">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存在正确的用户名和密码；登入页面正常加载，错误信息提示正确。（数据库有用户信息杨浪/</w:t>
            </w:r>
            <w:r>
              <w:rPr>
                <w:rFonts w:hint="eastAsia" w:ascii="Times New Roman" w:hAnsi="Times New Roman" w:cs="宋体"/>
                <w:szCs w:val="21"/>
              </w:rPr>
              <w:t>123123</w:t>
            </w:r>
            <w:r>
              <w:rPr>
                <w:rFonts w:hint="eastAsia" w:cs="宋体" w:asciiTheme="minorEastAsia" w:hAnsiTheme="minorEastAsia"/>
                <w:szCs w:val="21"/>
              </w:rPr>
              <w:t>）。</w:t>
            </w:r>
          </w:p>
        </w:tc>
      </w:tr>
    </w:tbl>
    <w:p w14:paraId="688FDFBB">
      <w:pPr>
        <w:jc w:val="center"/>
        <w:rPr>
          <w:rFonts w:ascii="宋体" w:hAnsi="宋体" w:cs="宋体"/>
          <w:szCs w:val="21"/>
        </w:rPr>
      </w:pPr>
    </w:p>
    <w:p w14:paraId="72B8E853">
      <w:pPr>
        <w:tabs>
          <w:tab w:val="left" w:pos="1584"/>
        </w:tabs>
        <w:jc w:val="center"/>
        <w:outlineLvl w:val="9"/>
      </w:pPr>
      <w:r>
        <w:br w:type="page"/>
      </w:r>
      <w:r>
        <w:rPr>
          <w:rFonts w:hint="eastAsia" w:ascii="宋体" w:hAnsi="宋体" w:cs="宋体"/>
          <w:szCs w:val="21"/>
        </w:rPr>
        <w:t>表</w:t>
      </w:r>
      <w:r>
        <w:rPr>
          <w:rFonts w:hint="eastAsia" w:ascii="Times New Roman" w:hAnsi="Times New Roman" w:cs="宋体"/>
          <w:sz w:val="24"/>
        </w:rPr>
        <w:t>5-1</w:t>
      </w:r>
      <w:r>
        <w:rPr>
          <w:rFonts w:cs="宋体" w:asciiTheme="minorEastAsia" w:hAnsiTheme="minorEastAsia" w:eastAsiaTheme="minorEastAsia"/>
          <w:szCs w:val="21"/>
        </w:rPr>
        <w:t>(</w:t>
      </w:r>
      <w:r>
        <w:rPr>
          <w:rFonts w:hint="eastAsia" w:cs="宋体" w:asciiTheme="minorEastAsia" w:hAnsiTheme="minorEastAsia" w:eastAsiaTheme="minorEastAsia"/>
          <w:szCs w:val="21"/>
        </w:rPr>
        <w:t>续)</w:t>
      </w:r>
    </w:p>
    <w:tbl>
      <w:tblPr>
        <w:tblStyle w:val="35"/>
        <w:tblW w:w="8397" w:type="dxa"/>
        <w:jc w:val="center"/>
        <w:tblLayout w:type="fixed"/>
        <w:tblCellMar>
          <w:top w:w="0" w:type="dxa"/>
          <w:left w:w="108" w:type="dxa"/>
          <w:bottom w:w="0" w:type="dxa"/>
          <w:right w:w="108" w:type="dxa"/>
        </w:tblCellMar>
      </w:tblPr>
      <w:tblGrid>
        <w:gridCol w:w="717"/>
        <w:gridCol w:w="952"/>
        <w:gridCol w:w="1949"/>
        <w:gridCol w:w="1235"/>
        <w:gridCol w:w="1858"/>
        <w:gridCol w:w="1686"/>
      </w:tblGrid>
      <w:tr w14:paraId="1332F342">
        <w:tblPrEx>
          <w:tblCellMar>
            <w:top w:w="0" w:type="dxa"/>
            <w:left w:w="108" w:type="dxa"/>
            <w:bottom w:w="0" w:type="dxa"/>
            <w:right w:w="108" w:type="dxa"/>
          </w:tblCellMar>
        </w:tblPrEx>
        <w:trPr>
          <w:trHeight w:val="1071" w:hRule="atLeast"/>
          <w:jc w:val="center"/>
        </w:trPr>
        <w:tc>
          <w:tcPr>
            <w:tcW w:w="717" w:type="dxa"/>
            <w:tcBorders>
              <w:top w:val="single" w:color="000000" w:sz="4" w:space="0"/>
              <w:left w:val="single" w:color="000000" w:sz="4" w:space="0"/>
              <w:bottom w:val="single" w:color="000000" w:sz="4" w:space="0"/>
              <w:right w:val="single" w:color="000000" w:sz="4" w:space="0"/>
            </w:tcBorders>
            <w:vAlign w:val="center"/>
          </w:tcPr>
          <w:p w14:paraId="210DCB9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szCs w:val="21"/>
                <w:lang w:val="en-US" w:eastAsia="zh-CN"/>
              </w:rPr>
            </w:pPr>
            <w:r>
              <w:rPr>
                <w:rFonts w:hint="eastAsia" w:cs="宋体" w:asciiTheme="minorEastAsia" w:hAnsiTheme="minorEastAsia"/>
                <w:szCs w:val="21"/>
              </w:rPr>
              <w:t>编号</w:t>
            </w:r>
          </w:p>
        </w:tc>
        <w:tc>
          <w:tcPr>
            <w:tcW w:w="952" w:type="dxa"/>
            <w:tcBorders>
              <w:top w:val="single" w:color="000000" w:sz="4" w:space="0"/>
              <w:left w:val="single" w:color="000000" w:sz="4" w:space="0"/>
              <w:bottom w:val="single" w:color="000000" w:sz="4" w:space="0"/>
              <w:right w:val="single" w:color="000000" w:sz="4" w:space="0"/>
            </w:tcBorders>
            <w:vAlign w:val="center"/>
          </w:tcPr>
          <w:p w14:paraId="3DFC5504">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szCs w:val="21"/>
              </w:rPr>
            </w:pPr>
            <w:r>
              <w:rPr>
                <w:rFonts w:hint="eastAsia" w:cs="宋体" w:asciiTheme="minorEastAsia" w:hAnsiTheme="minorEastAsia"/>
                <w:szCs w:val="21"/>
              </w:rPr>
              <w:t>测试项</w:t>
            </w:r>
          </w:p>
        </w:tc>
        <w:tc>
          <w:tcPr>
            <w:tcW w:w="1949" w:type="dxa"/>
            <w:tcBorders>
              <w:top w:val="single" w:color="000000" w:sz="4" w:space="0"/>
              <w:left w:val="single" w:color="000000" w:sz="4" w:space="0"/>
              <w:bottom w:val="single" w:color="000000" w:sz="4" w:space="0"/>
              <w:right w:val="single" w:color="000000" w:sz="4" w:space="0"/>
            </w:tcBorders>
            <w:vAlign w:val="center"/>
          </w:tcPr>
          <w:p w14:paraId="3A7C124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ascii="Times New Roman" w:hAnsi="Times New Roman" w:cs="宋体"/>
                <w:sz w:val="21"/>
                <w:szCs w:val="21"/>
              </w:rPr>
            </w:pPr>
            <w:r>
              <w:rPr>
                <w:rFonts w:hint="eastAsia" w:cs="宋体" w:asciiTheme="minorEastAsia" w:hAnsiTheme="minorEastAsia"/>
                <w:szCs w:val="21"/>
              </w:rPr>
              <w:t>操作步骤</w:t>
            </w:r>
          </w:p>
        </w:tc>
        <w:tc>
          <w:tcPr>
            <w:tcW w:w="1235" w:type="dxa"/>
            <w:tcBorders>
              <w:top w:val="single" w:color="000000" w:sz="4" w:space="0"/>
              <w:left w:val="single" w:color="000000" w:sz="4" w:space="0"/>
              <w:bottom w:val="single" w:color="000000" w:sz="4" w:space="0"/>
              <w:right w:val="single" w:color="000000" w:sz="4" w:space="0"/>
            </w:tcBorders>
            <w:vAlign w:val="center"/>
          </w:tcPr>
          <w:p w14:paraId="5D2DF1D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ascii="Times New Roman" w:hAnsi="Times New Roman" w:cs="宋体"/>
                <w:szCs w:val="21"/>
              </w:rPr>
            </w:pPr>
            <w:r>
              <w:rPr>
                <w:rFonts w:hint="eastAsia" w:cs="宋体" w:asciiTheme="minorEastAsia" w:hAnsiTheme="minorEastAsia"/>
                <w:szCs w:val="21"/>
              </w:rPr>
              <w:t>数据</w:t>
            </w:r>
          </w:p>
        </w:tc>
        <w:tc>
          <w:tcPr>
            <w:tcW w:w="1858" w:type="dxa"/>
            <w:tcBorders>
              <w:top w:val="single" w:color="000000" w:sz="4" w:space="0"/>
              <w:left w:val="single" w:color="000000" w:sz="4" w:space="0"/>
              <w:bottom w:val="single" w:color="000000" w:sz="4" w:space="0"/>
              <w:right w:val="single" w:color="000000" w:sz="4" w:space="0"/>
            </w:tcBorders>
            <w:vAlign w:val="center"/>
          </w:tcPr>
          <w:p w14:paraId="75007FB1">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ascii="Times New Roman" w:hAnsi="Times New Roman" w:cs="宋体"/>
                <w:sz w:val="21"/>
                <w:szCs w:val="21"/>
              </w:rPr>
            </w:pPr>
            <w:r>
              <w:rPr>
                <w:rFonts w:hint="eastAsia" w:cs="宋体" w:asciiTheme="minorEastAsia" w:hAnsiTheme="minorEastAsia"/>
                <w:szCs w:val="21"/>
              </w:rPr>
              <w:t>期望结果</w:t>
            </w:r>
          </w:p>
        </w:tc>
        <w:tc>
          <w:tcPr>
            <w:tcW w:w="1686" w:type="dxa"/>
            <w:tcBorders>
              <w:top w:val="single" w:color="000000" w:sz="4" w:space="0"/>
              <w:left w:val="single" w:color="000000" w:sz="4" w:space="0"/>
              <w:bottom w:val="single" w:color="000000" w:sz="4" w:space="0"/>
              <w:right w:val="single" w:color="000000" w:sz="4" w:space="0"/>
            </w:tcBorders>
            <w:vAlign w:val="center"/>
          </w:tcPr>
          <w:p w14:paraId="1FA8ADDD">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ascii="Times New Roman" w:hAnsi="Times New Roman" w:cs="宋体"/>
                <w:sz w:val="21"/>
                <w:szCs w:val="21"/>
              </w:rPr>
            </w:pPr>
            <w:r>
              <w:rPr>
                <w:rFonts w:hint="eastAsia" w:cs="宋体" w:asciiTheme="minorEastAsia" w:hAnsiTheme="minorEastAsia"/>
                <w:szCs w:val="21"/>
              </w:rPr>
              <w:t>实际结果</w:t>
            </w:r>
          </w:p>
        </w:tc>
      </w:tr>
      <w:tr w14:paraId="5E1F9979">
        <w:tblPrEx>
          <w:tblCellMar>
            <w:top w:w="0" w:type="dxa"/>
            <w:left w:w="108" w:type="dxa"/>
            <w:bottom w:w="0" w:type="dxa"/>
            <w:right w:w="108" w:type="dxa"/>
          </w:tblCellMar>
        </w:tblPrEx>
        <w:trPr>
          <w:trHeight w:val="2395" w:hRule="atLeast"/>
          <w:jc w:val="center"/>
        </w:trPr>
        <w:tc>
          <w:tcPr>
            <w:tcW w:w="717" w:type="dxa"/>
            <w:tcBorders>
              <w:top w:val="single" w:color="000000" w:sz="4" w:space="0"/>
              <w:left w:val="single" w:color="000000" w:sz="4" w:space="0"/>
              <w:bottom w:val="single" w:color="000000" w:sz="4" w:space="0"/>
              <w:right w:val="single" w:color="000000" w:sz="4" w:space="0"/>
            </w:tcBorders>
            <w:vAlign w:val="center"/>
          </w:tcPr>
          <w:p w14:paraId="6C5FFFCA">
            <w:pPr>
              <w:keepNext/>
              <w:pageBreakBefore w:val="0"/>
              <w:widowControl w:val="0"/>
              <w:kinsoku/>
              <w:wordWrap/>
              <w:overflowPunct/>
              <w:topLinePunct w:val="0"/>
              <w:autoSpaceDE/>
              <w:autoSpaceDN/>
              <w:bidi w:val="0"/>
              <w:adjustRightInd/>
              <w:snapToGrid/>
              <w:spacing w:line="440" w:lineRule="exact"/>
              <w:jc w:val="center"/>
              <w:textAlignment w:val="auto"/>
              <w:rPr>
                <w:rFonts w:hint="eastAsia" w:cs="宋体" w:asciiTheme="minorEastAsia" w:hAnsiTheme="minorEastAsia" w:eastAsiaTheme="minorEastAsia"/>
                <w:szCs w:val="21"/>
                <w:lang w:val="en-US" w:eastAsia="zh-CN"/>
              </w:rPr>
            </w:pPr>
            <w:r>
              <w:rPr>
                <w:rFonts w:hint="eastAsia" w:cs="宋体" w:asciiTheme="minorEastAsia" w:hAnsiTheme="minorEastAsia"/>
                <w:szCs w:val="21"/>
                <w:lang w:val="en-US" w:eastAsia="zh-CN"/>
              </w:rPr>
              <w:t>1</w:t>
            </w:r>
          </w:p>
        </w:tc>
        <w:tc>
          <w:tcPr>
            <w:tcW w:w="952" w:type="dxa"/>
            <w:tcBorders>
              <w:top w:val="single" w:color="000000" w:sz="4" w:space="0"/>
              <w:left w:val="single" w:color="000000" w:sz="4" w:space="0"/>
              <w:bottom w:val="single" w:color="000000" w:sz="4" w:space="0"/>
              <w:right w:val="single" w:color="000000" w:sz="4" w:space="0"/>
            </w:tcBorders>
            <w:vAlign w:val="center"/>
          </w:tcPr>
          <w:p w14:paraId="5DEE9B3E">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界面检查</w:t>
            </w:r>
          </w:p>
        </w:tc>
        <w:tc>
          <w:tcPr>
            <w:tcW w:w="1949" w:type="dxa"/>
            <w:tcBorders>
              <w:top w:val="single" w:color="000000" w:sz="4" w:space="0"/>
              <w:left w:val="single" w:color="000000" w:sz="4" w:space="0"/>
              <w:bottom w:val="single" w:color="000000" w:sz="4" w:space="0"/>
              <w:right w:val="single" w:color="000000" w:sz="4" w:space="0"/>
            </w:tcBorders>
            <w:vAlign w:val="center"/>
          </w:tcPr>
          <w:p w14:paraId="4960393A">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、界面装载</w:t>
            </w:r>
          </w:p>
          <w:p w14:paraId="4BE2180C">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center"/>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、检查界面的标题</w:t>
            </w:r>
          </w:p>
          <w:p w14:paraId="7047022A">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center"/>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、检查文本框默认的焦点</w:t>
            </w:r>
          </w:p>
          <w:p w14:paraId="4D58B99B">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、检查</w:t>
            </w:r>
            <w:r>
              <w:rPr>
                <w:rFonts w:hint="eastAsia" w:ascii="Times New Roman" w:hAnsi="Times New Roman" w:cs="宋体"/>
                <w:sz w:val="21"/>
                <w:szCs w:val="21"/>
              </w:rPr>
              <w:t>tab</w:t>
            </w:r>
            <w:r>
              <w:rPr>
                <w:rFonts w:hint="eastAsia" w:cs="宋体" w:asciiTheme="minorEastAsia" w:hAnsiTheme="minorEastAsia"/>
                <w:sz w:val="21"/>
                <w:szCs w:val="21"/>
              </w:rPr>
              <w:t>键的正常使用</w:t>
            </w:r>
          </w:p>
        </w:tc>
        <w:tc>
          <w:tcPr>
            <w:tcW w:w="1235" w:type="dxa"/>
            <w:tcBorders>
              <w:top w:val="single" w:color="000000" w:sz="4" w:space="0"/>
              <w:left w:val="single" w:color="000000" w:sz="4" w:space="0"/>
              <w:bottom w:val="single" w:color="000000" w:sz="4" w:space="0"/>
              <w:right w:val="single" w:color="000000" w:sz="4" w:space="0"/>
            </w:tcBorders>
            <w:vAlign w:val="center"/>
          </w:tcPr>
          <w:p w14:paraId="797ADFED">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、登入界的</w:t>
            </w:r>
            <w:r>
              <w:rPr>
                <w:rFonts w:hint="eastAsia" w:ascii="Times New Roman" w:hAnsi="Times New Roman" w:cs="宋体"/>
                <w:szCs w:val="21"/>
              </w:rPr>
              <w:t>URL</w:t>
            </w:r>
            <w:r>
              <w:rPr>
                <w:rFonts w:hint="eastAsia" w:cs="宋体" w:asciiTheme="minorEastAsia" w:hAnsiTheme="minorEastAsia"/>
                <w:szCs w:val="21"/>
              </w:rPr>
              <w:t xml:space="preserve">: </w:t>
            </w:r>
            <w:r>
              <w:rPr>
                <w:rFonts w:hint="eastAsia" w:ascii="Times New Roman" w:hAnsi="Times New Roman" w:cs="宋体"/>
                <w:szCs w:val="21"/>
              </w:rPr>
              <w:t>localhost</w:t>
            </w:r>
            <w:r>
              <w:rPr>
                <w:rFonts w:hint="eastAsia" w:cs="宋体" w:asciiTheme="minorEastAsia" w:hAnsiTheme="minorEastAsia"/>
                <w:szCs w:val="21"/>
              </w:rPr>
              <w:t>:</w:t>
            </w:r>
            <w:r>
              <w:rPr>
                <w:rFonts w:hint="eastAsia" w:ascii="Times New Roman" w:hAnsi="Times New Roman" w:cs="宋体"/>
                <w:szCs w:val="21"/>
              </w:rPr>
              <w:t>8081</w:t>
            </w:r>
            <w:r>
              <w:rPr>
                <w:rFonts w:hint="eastAsia" w:cs="宋体" w:asciiTheme="minorEastAsia" w:hAnsiTheme="minorEastAsia"/>
                <w:szCs w:val="21"/>
              </w:rPr>
              <w:t>/#/</w:t>
            </w:r>
          </w:p>
        </w:tc>
        <w:tc>
          <w:tcPr>
            <w:tcW w:w="1858" w:type="dxa"/>
            <w:tcBorders>
              <w:top w:val="single" w:color="000000" w:sz="4" w:space="0"/>
              <w:left w:val="single" w:color="000000" w:sz="4" w:space="0"/>
              <w:bottom w:val="single" w:color="000000" w:sz="4" w:space="0"/>
              <w:right w:val="single" w:color="000000" w:sz="4" w:space="0"/>
            </w:tcBorders>
            <w:vAlign w:val="center"/>
          </w:tcPr>
          <w:p w14:paraId="6DE41FAF">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365E7901">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69DDAC94">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5D6734B9">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c>
          <w:tcPr>
            <w:tcW w:w="1686" w:type="dxa"/>
            <w:tcBorders>
              <w:top w:val="single" w:color="000000" w:sz="4" w:space="0"/>
              <w:left w:val="single" w:color="000000" w:sz="4" w:space="0"/>
              <w:bottom w:val="single" w:color="000000" w:sz="4" w:space="0"/>
              <w:right w:val="single" w:color="000000" w:sz="4" w:space="0"/>
            </w:tcBorders>
            <w:vAlign w:val="center"/>
          </w:tcPr>
          <w:p w14:paraId="77BE4AD7">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5530B074">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28C9B787">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5F687F62">
            <w:pPr>
              <w:pStyle w:val="32"/>
              <w:keepNext/>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r>
      <w:tr w14:paraId="5FD92D8E">
        <w:tblPrEx>
          <w:tblCellMar>
            <w:top w:w="0" w:type="dxa"/>
            <w:left w:w="108" w:type="dxa"/>
            <w:bottom w:w="0" w:type="dxa"/>
            <w:right w:w="108" w:type="dxa"/>
          </w:tblCellMar>
        </w:tblPrEx>
        <w:trPr>
          <w:trHeight w:val="1372" w:hRule="atLeast"/>
          <w:jc w:val="center"/>
        </w:trPr>
        <w:tc>
          <w:tcPr>
            <w:tcW w:w="717" w:type="dxa"/>
            <w:tcBorders>
              <w:top w:val="single" w:color="000000" w:sz="4" w:space="0"/>
              <w:left w:val="single" w:color="000000" w:sz="4" w:space="0"/>
              <w:bottom w:val="single" w:color="000000" w:sz="4" w:space="0"/>
              <w:right w:val="single" w:color="000000" w:sz="4" w:space="0"/>
            </w:tcBorders>
            <w:vAlign w:val="center"/>
          </w:tcPr>
          <w:p w14:paraId="45EC3691">
            <w:pPr>
              <w:keepNext/>
              <w:pageBreakBefore w:val="0"/>
              <w:widowControl w:val="0"/>
              <w:kinsoku/>
              <w:wordWrap/>
              <w:overflowPunct/>
              <w:topLinePunct w:val="0"/>
              <w:autoSpaceDE/>
              <w:autoSpaceDN/>
              <w:bidi w:val="0"/>
              <w:adjustRightInd/>
              <w:snapToGrid/>
              <w:spacing w:line="440" w:lineRule="exact"/>
              <w:jc w:val="center"/>
              <w:textAlignment w:val="auto"/>
              <w:rPr>
                <w:rFonts w:cs="宋体" w:asciiTheme="minorEastAsia" w:hAnsiTheme="minorEastAsia"/>
                <w:szCs w:val="21"/>
              </w:rPr>
            </w:pPr>
            <w:r>
              <w:rPr>
                <w:rFonts w:hint="eastAsia" w:ascii="Times New Roman" w:hAnsi="Times New Roman" w:cs="宋体"/>
                <w:szCs w:val="21"/>
              </w:rPr>
              <w:t>2</w:t>
            </w:r>
          </w:p>
        </w:tc>
        <w:tc>
          <w:tcPr>
            <w:tcW w:w="952" w:type="dxa"/>
            <w:tcBorders>
              <w:top w:val="single" w:color="000000" w:sz="4" w:space="0"/>
              <w:left w:val="single" w:color="000000" w:sz="4" w:space="0"/>
              <w:bottom w:val="single" w:color="000000" w:sz="4" w:space="0"/>
              <w:right w:val="single" w:color="000000" w:sz="4" w:space="0"/>
            </w:tcBorders>
            <w:vAlign w:val="center"/>
          </w:tcPr>
          <w:p w14:paraId="02316F3E">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用户登录</w:t>
            </w:r>
          </w:p>
        </w:tc>
        <w:tc>
          <w:tcPr>
            <w:tcW w:w="1949" w:type="dxa"/>
            <w:tcBorders>
              <w:top w:val="single" w:color="000000" w:sz="4" w:space="0"/>
              <w:left w:val="single" w:color="000000" w:sz="4" w:space="0"/>
              <w:bottom w:val="single" w:color="000000" w:sz="4" w:space="0"/>
              <w:right w:val="single" w:color="000000" w:sz="4" w:space="0"/>
            </w:tcBorders>
            <w:vAlign w:val="center"/>
          </w:tcPr>
          <w:p w14:paraId="7C3C7310">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、输入没有区分大小写的用户名；</w:t>
            </w:r>
          </w:p>
          <w:p w14:paraId="66EC786E">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、输入没有区分大小写的密码。</w:t>
            </w:r>
          </w:p>
        </w:tc>
        <w:tc>
          <w:tcPr>
            <w:tcW w:w="1235" w:type="dxa"/>
            <w:tcBorders>
              <w:top w:val="single" w:color="000000" w:sz="4" w:space="0"/>
              <w:left w:val="single" w:color="000000" w:sz="4" w:space="0"/>
              <w:bottom w:val="single" w:color="000000" w:sz="4" w:space="0"/>
              <w:right w:val="single" w:color="000000" w:sz="4" w:space="0"/>
            </w:tcBorders>
            <w:vAlign w:val="center"/>
          </w:tcPr>
          <w:p w14:paraId="6428EF9A">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、用户名：张三</w:t>
            </w:r>
          </w:p>
          <w:p w14:paraId="253A031C">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123456</w:t>
            </w:r>
          </w:p>
        </w:tc>
        <w:tc>
          <w:tcPr>
            <w:tcW w:w="1858" w:type="dxa"/>
            <w:tcBorders>
              <w:top w:val="single" w:color="000000" w:sz="4" w:space="0"/>
              <w:left w:val="single" w:color="000000" w:sz="4" w:space="0"/>
              <w:bottom w:val="single" w:color="000000" w:sz="4" w:space="0"/>
              <w:right w:val="single" w:color="000000" w:sz="4" w:space="0"/>
            </w:tcBorders>
            <w:vAlign w:val="center"/>
          </w:tcPr>
          <w:p w14:paraId="3276535D">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显示出错信息“用户不存在”，不能正常登录</w:t>
            </w:r>
          </w:p>
        </w:tc>
        <w:tc>
          <w:tcPr>
            <w:tcW w:w="1686" w:type="dxa"/>
            <w:tcBorders>
              <w:top w:val="single" w:color="000000" w:sz="4" w:space="0"/>
              <w:left w:val="single" w:color="000000" w:sz="4" w:space="0"/>
              <w:bottom w:val="single" w:color="000000" w:sz="4" w:space="0"/>
              <w:right w:val="single" w:color="000000" w:sz="4" w:space="0"/>
            </w:tcBorders>
            <w:vAlign w:val="center"/>
          </w:tcPr>
          <w:p w14:paraId="1849F78D">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显示出错信息“用户不存在”，不能正常登录</w:t>
            </w:r>
          </w:p>
        </w:tc>
      </w:tr>
      <w:tr w14:paraId="43BA5376">
        <w:tblPrEx>
          <w:tblCellMar>
            <w:top w:w="0" w:type="dxa"/>
            <w:left w:w="108" w:type="dxa"/>
            <w:bottom w:w="0" w:type="dxa"/>
            <w:right w:w="108" w:type="dxa"/>
          </w:tblCellMar>
        </w:tblPrEx>
        <w:trPr>
          <w:trHeight w:val="1175" w:hRule="atLeast"/>
          <w:jc w:val="center"/>
        </w:trPr>
        <w:tc>
          <w:tcPr>
            <w:tcW w:w="717" w:type="dxa"/>
            <w:tcBorders>
              <w:top w:val="single" w:color="000000" w:sz="4" w:space="0"/>
              <w:left w:val="single" w:color="000000" w:sz="4" w:space="0"/>
              <w:bottom w:val="single" w:color="000000" w:sz="4" w:space="0"/>
              <w:right w:val="single" w:color="000000" w:sz="4" w:space="0"/>
            </w:tcBorders>
            <w:vAlign w:val="center"/>
          </w:tcPr>
          <w:p w14:paraId="61034673">
            <w:pPr>
              <w:keepNext/>
              <w:pageBreakBefore w:val="0"/>
              <w:widowControl w:val="0"/>
              <w:kinsoku/>
              <w:wordWrap/>
              <w:overflowPunct/>
              <w:topLinePunct w:val="0"/>
              <w:autoSpaceDE/>
              <w:autoSpaceDN/>
              <w:bidi w:val="0"/>
              <w:adjustRightInd/>
              <w:snapToGrid/>
              <w:spacing w:line="440" w:lineRule="exact"/>
              <w:jc w:val="center"/>
              <w:textAlignment w:val="auto"/>
              <w:rPr>
                <w:rFonts w:cs="宋体" w:asciiTheme="minorEastAsia" w:hAnsiTheme="minorEastAsia"/>
                <w:szCs w:val="21"/>
              </w:rPr>
            </w:pPr>
            <w:r>
              <w:rPr>
                <w:rFonts w:hint="eastAsia" w:ascii="Times New Roman" w:hAnsi="Times New Roman" w:cs="宋体"/>
                <w:szCs w:val="21"/>
              </w:rPr>
              <w:t>3</w:t>
            </w:r>
          </w:p>
        </w:tc>
        <w:tc>
          <w:tcPr>
            <w:tcW w:w="952" w:type="dxa"/>
            <w:tcBorders>
              <w:top w:val="single" w:color="000000" w:sz="4" w:space="0"/>
              <w:left w:val="single" w:color="000000" w:sz="4" w:space="0"/>
              <w:bottom w:val="single" w:color="000000" w:sz="4" w:space="0"/>
              <w:right w:val="single" w:color="000000" w:sz="4" w:space="0"/>
            </w:tcBorders>
            <w:vAlign w:val="center"/>
          </w:tcPr>
          <w:p w14:paraId="761F16FD">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用户登录</w:t>
            </w:r>
          </w:p>
        </w:tc>
        <w:tc>
          <w:tcPr>
            <w:tcW w:w="1949" w:type="dxa"/>
            <w:tcBorders>
              <w:top w:val="single" w:color="000000" w:sz="4" w:space="0"/>
              <w:left w:val="single" w:color="000000" w:sz="4" w:space="0"/>
              <w:bottom w:val="single" w:color="000000" w:sz="4" w:space="0"/>
              <w:right w:val="single" w:color="000000" w:sz="4" w:space="0"/>
            </w:tcBorders>
            <w:vAlign w:val="center"/>
          </w:tcPr>
          <w:p w14:paraId="52AB2158">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、输入正确的用户名；</w:t>
            </w:r>
          </w:p>
          <w:p w14:paraId="0D4BA76A">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、输入错误的密码。</w:t>
            </w:r>
          </w:p>
        </w:tc>
        <w:tc>
          <w:tcPr>
            <w:tcW w:w="1235" w:type="dxa"/>
            <w:tcBorders>
              <w:top w:val="single" w:color="000000" w:sz="4" w:space="0"/>
              <w:left w:val="single" w:color="000000" w:sz="4" w:space="0"/>
              <w:bottom w:val="single" w:color="000000" w:sz="4" w:space="0"/>
              <w:right w:val="single" w:color="000000" w:sz="4" w:space="0"/>
            </w:tcBorders>
            <w:vAlign w:val="center"/>
          </w:tcPr>
          <w:p w14:paraId="2D63524E">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、用户名：杨浪</w:t>
            </w:r>
          </w:p>
          <w:p w14:paraId="2E2F537F">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123456</w:t>
            </w:r>
          </w:p>
        </w:tc>
        <w:tc>
          <w:tcPr>
            <w:tcW w:w="1858" w:type="dxa"/>
            <w:tcBorders>
              <w:top w:val="single" w:color="000000" w:sz="4" w:space="0"/>
              <w:left w:val="single" w:color="000000" w:sz="4" w:space="0"/>
              <w:bottom w:val="single" w:color="000000" w:sz="4" w:space="0"/>
              <w:right w:val="single" w:color="000000" w:sz="4" w:space="0"/>
            </w:tcBorders>
            <w:vAlign w:val="center"/>
          </w:tcPr>
          <w:p w14:paraId="75C0174A">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显示出错信息“输入的密码错误”，不能正常登录</w:t>
            </w:r>
          </w:p>
        </w:tc>
        <w:tc>
          <w:tcPr>
            <w:tcW w:w="1686" w:type="dxa"/>
            <w:tcBorders>
              <w:top w:val="single" w:color="000000" w:sz="4" w:space="0"/>
              <w:left w:val="single" w:color="000000" w:sz="4" w:space="0"/>
              <w:bottom w:val="single" w:color="000000" w:sz="4" w:space="0"/>
              <w:right w:val="single" w:color="000000" w:sz="4" w:space="0"/>
            </w:tcBorders>
            <w:vAlign w:val="center"/>
          </w:tcPr>
          <w:p w14:paraId="42425E01">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显示出错信息“输入的密码错误”，不能正常登录</w:t>
            </w:r>
          </w:p>
        </w:tc>
      </w:tr>
      <w:tr w14:paraId="5EACF58B">
        <w:tblPrEx>
          <w:tblCellMar>
            <w:top w:w="0" w:type="dxa"/>
            <w:left w:w="108" w:type="dxa"/>
            <w:bottom w:w="0" w:type="dxa"/>
            <w:right w:w="108" w:type="dxa"/>
          </w:tblCellMar>
        </w:tblPrEx>
        <w:trPr>
          <w:trHeight w:val="1782" w:hRule="atLeast"/>
          <w:jc w:val="center"/>
        </w:trPr>
        <w:tc>
          <w:tcPr>
            <w:tcW w:w="717" w:type="dxa"/>
            <w:tcBorders>
              <w:top w:val="single" w:color="000000" w:sz="4" w:space="0"/>
              <w:left w:val="single" w:color="000000" w:sz="4" w:space="0"/>
              <w:bottom w:val="single" w:color="000000" w:sz="4" w:space="0"/>
              <w:right w:val="single" w:color="000000" w:sz="4" w:space="0"/>
            </w:tcBorders>
            <w:vAlign w:val="center"/>
          </w:tcPr>
          <w:p w14:paraId="0219E699">
            <w:pPr>
              <w:keepNext/>
              <w:pageBreakBefore w:val="0"/>
              <w:widowControl w:val="0"/>
              <w:kinsoku/>
              <w:wordWrap/>
              <w:overflowPunct/>
              <w:topLinePunct w:val="0"/>
              <w:autoSpaceDE/>
              <w:autoSpaceDN/>
              <w:bidi w:val="0"/>
              <w:adjustRightInd/>
              <w:snapToGrid/>
              <w:spacing w:line="440" w:lineRule="exact"/>
              <w:jc w:val="center"/>
              <w:textAlignment w:val="auto"/>
              <w:rPr>
                <w:rFonts w:hint="eastAsia" w:ascii="Times New Roman" w:hAnsi="Times New Roman" w:cs="宋体"/>
                <w:szCs w:val="21"/>
              </w:rPr>
            </w:pPr>
            <w:r>
              <w:rPr>
                <w:rFonts w:hint="eastAsia" w:ascii="Times New Roman" w:hAnsi="Times New Roman" w:cs="宋体"/>
                <w:szCs w:val="21"/>
              </w:rPr>
              <w:t>4</w:t>
            </w:r>
          </w:p>
        </w:tc>
        <w:tc>
          <w:tcPr>
            <w:tcW w:w="952" w:type="dxa"/>
            <w:tcBorders>
              <w:top w:val="single" w:color="000000" w:sz="4" w:space="0"/>
              <w:left w:val="single" w:color="000000" w:sz="4" w:space="0"/>
              <w:bottom w:val="single" w:color="000000" w:sz="4" w:space="0"/>
              <w:right w:val="single" w:color="000000" w:sz="4" w:space="0"/>
            </w:tcBorders>
            <w:vAlign w:val="center"/>
          </w:tcPr>
          <w:p w14:paraId="6A98F761">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szCs w:val="21"/>
              </w:rPr>
            </w:pPr>
            <w:r>
              <w:rPr>
                <w:rFonts w:hint="eastAsia" w:cs="宋体" w:asciiTheme="minorEastAsia" w:hAnsiTheme="minorEastAsia"/>
                <w:szCs w:val="21"/>
              </w:rPr>
              <w:t>用户登录</w:t>
            </w:r>
          </w:p>
        </w:tc>
        <w:tc>
          <w:tcPr>
            <w:tcW w:w="1949" w:type="dxa"/>
            <w:tcBorders>
              <w:top w:val="single" w:color="000000" w:sz="4" w:space="0"/>
              <w:left w:val="single" w:color="000000" w:sz="4" w:space="0"/>
              <w:bottom w:val="single" w:color="000000" w:sz="4" w:space="0"/>
              <w:right w:val="single" w:color="000000" w:sz="4" w:space="0"/>
            </w:tcBorders>
            <w:vAlign w:val="center"/>
          </w:tcPr>
          <w:p w14:paraId="02808BE3">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、输入正确的用户名；</w:t>
            </w:r>
          </w:p>
          <w:p w14:paraId="09063B66">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hint="eastAsia" w:ascii="Times New Roman" w:hAnsi="Times New Roman" w:cs="宋体"/>
                <w:szCs w:val="21"/>
              </w:rPr>
            </w:pPr>
            <w:r>
              <w:rPr>
                <w:rFonts w:hint="eastAsia" w:ascii="Times New Roman" w:hAnsi="Times New Roman" w:cs="宋体"/>
                <w:szCs w:val="21"/>
              </w:rPr>
              <w:t>2</w:t>
            </w:r>
            <w:r>
              <w:rPr>
                <w:rFonts w:hint="eastAsia" w:cs="宋体" w:asciiTheme="minorEastAsia" w:hAnsiTheme="minorEastAsia"/>
                <w:szCs w:val="21"/>
              </w:rPr>
              <w:t>、输入正确的密码。</w:t>
            </w:r>
          </w:p>
        </w:tc>
        <w:tc>
          <w:tcPr>
            <w:tcW w:w="1235" w:type="dxa"/>
            <w:tcBorders>
              <w:top w:val="single" w:color="000000" w:sz="4" w:space="0"/>
              <w:left w:val="single" w:color="000000" w:sz="4" w:space="0"/>
              <w:bottom w:val="single" w:color="000000" w:sz="4" w:space="0"/>
              <w:right w:val="single" w:color="000000" w:sz="4" w:space="0"/>
            </w:tcBorders>
            <w:vAlign w:val="center"/>
          </w:tcPr>
          <w:p w14:paraId="75AEA4B4">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、用户名：杨浪</w:t>
            </w:r>
          </w:p>
          <w:p w14:paraId="18029DF7">
            <w:pPr>
              <w:keepNext/>
              <w:keepLines w:val="0"/>
              <w:pageBreakBefore w:val="0"/>
              <w:widowControl w:val="0"/>
              <w:kinsoku/>
              <w:wordWrap/>
              <w:overflowPunct/>
              <w:topLinePunct w:val="0"/>
              <w:autoSpaceDE/>
              <w:autoSpaceDN/>
              <w:bidi w:val="0"/>
              <w:adjustRightInd/>
              <w:snapToGrid/>
              <w:spacing w:line="280" w:lineRule="exact"/>
              <w:textAlignment w:val="auto"/>
              <w:rPr>
                <w:rFonts w:hint="eastAsia" w:ascii="Times New Roman" w:hAnsi="Times New Roman" w:cs="宋体"/>
                <w:szCs w:val="21"/>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123456</w:t>
            </w:r>
          </w:p>
        </w:tc>
        <w:tc>
          <w:tcPr>
            <w:tcW w:w="1858" w:type="dxa"/>
            <w:tcBorders>
              <w:top w:val="single" w:color="000000" w:sz="4" w:space="0"/>
              <w:left w:val="single" w:color="000000" w:sz="4" w:space="0"/>
              <w:bottom w:val="single" w:color="000000" w:sz="4" w:space="0"/>
              <w:right w:val="single" w:color="000000" w:sz="4" w:space="0"/>
            </w:tcBorders>
            <w:vAlign w:val="center"/>
          </w:tcPr>
          <w:p w14:paraId="5678B2EB">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p>
          <w:p w14:paraId="3CD3DB88">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p>
          <w:p w14:paraId="5821586D">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登录成功并进行页面跳转</w:t>
            </w:r>
          </w:p>
          <w:p w14:paraId="37BA5E0E">
            <w:pPr>
              <w:pStyle w:val="10"/>
              <w:keepNext/>
              <w:keepLines w:val="0"/>
              <w:pageBreakBefore w:val="0"/>
              <w:widowControl w:val="0"/>
              <w:kinsoku/>
              <w:wordWrap/>
              <w:overflowPunct/>
              <w:topLinePunct w:val="0"/>
              <w:autoSpaceDE/>
              <w:autoSpaceDN/>
              <w:bidi w:val="0"/>
              <w:adjustRightInd/>
              <w:snapToGrid/>
              <w:spacing w:line="280" w:lineRule="exact"/>
              <w:ind w:left="1584" w:leftChars="0" w:hanging="1584" w:firstLineChars="0"/>
              <w:jc w:val="center"/>
              <w:textAlignment w:val="auto"/>
              <w:rPr>
                <w:rFonts w:cs="宋体" w:asciiTheme="minorEastAsia" w:hAnsiTheme="minorEastAsia" w:eastAsiaTheme="minorEastAsia"/>
                <w:szCs w:val="21"/>
              </w:rPr>
            </w:pPr>
          </w:p>
        </w:tc>
        <w:tc>
          <w:tcPr>
            <w:tcW w:w="1686" w:type="dxa"/>
            <w:tcBorders>
              <w:top w:val="single" w:color="000000" w:sz="4" w:space="0"/>
              <w:left w:val="single" w:color="000000" w:sz="4" w:space="0"/>
              <w:bottom w:val="single" w:color="000000" w:sz="4" w:space="0"/>
              <w:right w:val="single" w:color="000000" w:sz="4" w:space="0"/>
            </w:tcBorders>
            <w:vAlign w:val="center"/>
          </w:tcPr>
          <w:p w14:paraId="24110825">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szCs w:val="21"/>
              </w:rPr>
            </w:pPr>
            <w:r>
              <w:rPr>
                <w:rFonts w:hint="eastAsia" w:cs="宋体" w:asciiTheme="minorEastAsia" w:hAnsiTheme="minorEastAsia"/>
                <w:szCs w:val="21"/>
              </w:rPr>
              <w:t>登录成功并进行页面跳转</w:t>
            </w:r>
          </w:p>
        </w:tc>
      </w:tr>
      <w:tr w14:paraId="0F698FA0">
        <w:tblPrEx>
          <w:tblCellMar>
            <w:top w:w="0" w:type="dxa"/>
            <w:left w:w="108" w:type="dxa"/>
            <w:bottom w:w="0" w:type="dxa"/>
            <w:right w:w="108" w:type="dxa"/>
          </w:tblCellMar>
        </w:tblPrEx>
        <w:trPr>
          <w:trHeight w:val="4389" w:hRule="atLeast"/>
          <w:jc w:val="center"/>
        </w:trPr>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70F30">
            <w:pPr>
              <w:keepNext/>
              <w:pageBreakBefore w:val="0"/>
              <w:widowControl w:val="0"/>
              <w:kinsoku/>
              <w:wordWrap/>
              <w:overflowPunct/>
              <w:topLinePunct w:val="0"/>
              <w:autoSpaceDE/>
              <w:autoSpaceDN/>
              <w:bidi w:val="0"/>
              <w:adjustRightInd/>
              <w:snapToGrid/>
              <w:spacing w:line="44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5</w:t>
            </w:r>
          </w:p>
        </w:tc>
        <w:tc>
          <w:tcPr>
            <w:tcW w:w="9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38D90">
            <w:pPr>
              <w:keepNext/>
              <w:pageBreakBefore w:val="0"/>
              <w:widowControl w:val="0"/>
              <w:kinsoku/>
              <w:wordWrap/>
              <w:overflowPunct/>
              <w:topLinePunct w:val="0"/>
              <w:autoSpaceDE/>
              <w:autoSpaceDN/>
              <w:bidi w:val="0"/>
              <w:adjustRightInd/>
              <w:snapToGrid/>
              <w:spacing w:line="44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注册登录</w:t>
            </w:r>
          </w:p>
        </w:tc>
        <w:tc>
          <w:tcPr>
            <w:tcW w:w="1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12867">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、用户账号</w:t>
            </w:r>
          </w:p>
          <w:p w14:paraId="357FEBEC">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、用户名字</w:t>
            </w:r>
          </w:p>
          <w:p w14:paraId="7205ADB5">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、用户密码</w:t>
            </w:r>
          </w:p>
          <w:p w14:paraId="75F5C65A">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4</w:t>
            </w:r>
            <w:r>
              <w:rPr>
                <w:rFonts w:hint="eastAsia" w:cs="宋体" w:asciiTheme="minorEastAsia" w:hAnsiTheme="minorEastAsia"/>
                <w:szCs w:val="21"/>
              </w:rPr>
              <w:t>、用户年龄</w:t>
            </w:r>
          </w:p>
          <w:p w14:paraId="509A54D7">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5</w:t>
            </w:r>
            <w:r>
              <w:rPr>
                <w:rFonts w:hint="eastAsia" w:cs="宋体" w:asciiTheme="minorEastAsia" w:hAnsiTheme="minorEastAsia"/>
                <w:szCs w:val="21"/>
              </w:rPr>
              <w:t>、用户性别</w:t>
            </w:r>
          </w:p>
          <w:p w14:paraId="79264949">
            <w:pPr>
              <w:keepNext/>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6</w:t>
            </w:r>
            <w:r>
              <w:rPr>
                <w:rFonts w:hint="eastAsia" w:cs="宋体" w:asciiTheme="minorEastAsia" w:hAnsiTheme="minorEastAsia"/>
                <w:szCs w:val="21"/>
              </w:rPr>
              <w:t>、联系电话</w:t>
            </w:r>
          </w:p>
          <w:p w14:paraId="5D942E71">
            <w:pPr>
              <w:pStyle w:val="10"/>
              <w:keepNext/>
              <w:keepLines w:val="0"/>
              <w:pageBreakBefore w:val="0"/>
              <w:widowControl w:val="0"/>
              <w:kinsoku/>
              <w:wordWrap/>
              <w:overflowPunct/>
              <w:topLinePunct w:val="0"/>
              <w:autoSpaceDE/>
              <w:autoSpaceDN/>
              <w:bidi w:val="0"/>
              <w:adjustRightInd/>
              <w:snapToGrid/>
              <w:spacing w:before="0" w:after="0" w:line="280" w:lineRule="exact"/>
              <w:ind w:left="1582" w:leftChars="0" w:hanging="1582" w:firstLineChars="0"/>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eastAsiaTheme="minorEastAsia"/>
                <w:szCs w:val="21"/>
              </w:rPr>
              <w:t>7</w:t>
            </w:r>
            <w:r>
              <w:rPr>
                <w:rFonts w:hint="eastAsia" w:cs="宋体" w:asciiTheme="minorEastAsia" w:hAnsiTheme="minorEastAsia" w:eastAsiaTheme="minorEastAsia"/>
                <w:szCs w:val="21"/>
              </w:rPr>
              <w:t>、联系地址</w:t>
            </w:r>
          </w:p>
        </w:tc>
        <w:tc>
          <w:tcPr>
            <w:tcW w:w="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4787E">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、用户账号：</w:t>
            </w:r>
            <w:r>
              <w:rPr>
                <w:rFonts w:hint="eastAsia" w:ascii="Times New Roman" w:hAnsi="Times New Roman" w:cs="宋体"/>
                <w:szCs w:val="21"/>
              </w:rPr>
              <w:t>008</w:t>
            </w:r>
          </w:p>
          <w:p w14:paraId="0E6BC029">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、用户姓名:程远</w:t>
            </w:r>
          </w:p>
          <w:p w14:paraId="5B3A1213">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、密码：</w:t>
            </w:r>
            <w:r>
              <w:rPr>
                <w:rFonts w:hint="eastAsia" w:ascii="Times New Roman" w:hAnsi="Times New Roman" w:cs="宋体"/>
                <w:szCs w:val="21"/>
              </w:rPr>
              <w:t>123456</w:t>
            </w:r>
          </w:p>
          <w:p w14:paraId="3117811C">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4</w:t>
            </w:r>
            <w:r>
              <w:rPr>
                <w:rFonts w:hint="eastAsia" w:cs="宋体" w:asciiTheme="minorEastAsia" w:hAnsiTheme="minorEastAsia"/>
                <w:szCs w:val="21"/>
              </w:rPr>
              <w:t>、性别：女</w:t>
            </w:r>
          </w:p>
          <w:p w14:paraId="53336D88">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5</w:t>
            </w:r>
            <w:r>
              <w:rPr>
                <w:rFonts w:hint="eastAsia" w:cs="宋体" w:asciiTheme="minorEastAsia" w:hAnsiTheme="minorEastAsia"/>
                <w:szCs w:val="21"/>
              </w:rPr>
              <w:t>、联系电话：</w:t>
            </w:r>
            <w:r>
              <w:rPr>
                <w:rFonts w:hint="eastAsia" w:ascii="Times New Roman" w:hAnsi="Times New Roman" w:cs="宋体"/>
                <w:szCs w:val="21"/>
              </w:rPr>
              <w:t>12345678901</w:t>
            </w:r>
          </w:p>
          <w:p w14:paraId="7D78E94C">
            <w:pPr>
              <w:keepNext/>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6</w:t>
            </w:r>
            <w:r>
              <w:rPr>
                <w:rFonts w:hint="eastAsia" w:cs="宋体" w:asciiTheme="minorEastAsia" w:hAnsiTheme="minorEastAsia"/>
                <w:szCs w:val="21"/>
              </w:rPr>
              <w:t>、联系地址：江西省南昌市</w:t>
            </w:r>
          </w:p>
        </w:tc>
        <w:tc>
          <w:tcPr>
            <w:tcW w:w="18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7A24B">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显示注册成功，成功登录系统</w:t>
            </w:r>
          </w:p>
        </w:tc>
        <w:tc>
          <w:tcPr>
            <w:tcW w:w="16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4F9F0">
            <w:pPr>
              <w:keepNext/>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显示注册成功，成功登录系统</w:t>
            </w:r>
          </w:p>
        </w:tc>
      </w:tr>
    </w:tbl>
    <w:p w14:paraId="15DA7CB0">
      <w:pPr>
        <w:keepNext/>
        <w:pageBreakBefore w:val="0"/>
        <w:widowControl w:val="0"/>
        <w:kinsoku/>
        <w:wordWrap/>
        <w:overflowPunct/>
        <w:topLinePunct w:val="0"/>
        <w:autoSpaceDE/>
        <w:autoSpaceDN/>
        <w:bidi w:val="0"/>
        <w:adjustRightInd/>
        <w:snapToGrid/>
        <w:textAlignment w:val="auto"/>
      </w:pPr>
    </w:p>
    <w:p w14:paraId="233623A6">
      <w:pPr>
        <w:keepNext/>
        <w:pageBreakBefore w:val="0"/>
        <w:widowControl w:val="0"/>
        <w:tabs>
          <w:tab w:val="left" w:pos="1584"/>
        </w:tabs>
        <w:kinsoku/>
        <w:wordWrap/>
        <w:overflowPunct/>
        <w:topLinePunct w:val="0"/>
        <w:autoSpaceDE/>
        <w:autoSpaceDN/>
        <w:bidi w:val="0"/>
        <w:adjustRightInd/>
        <w:snapToGrid/>
        <w:spacing w:before="0" w:after="0" w:line="240" w:lineRule="auto"/>
        <w:ind w:left="0" w:firstLine="0"/>
        <w:textAlignment w:val="auto"/>
        <w:outlineLvl w:val="9"/>
      </w:pPr>
    </w:p>
    <w:p w14:paraId="5AEF9FEC">
      <w:pPr>
        <w:outlineLvl w:val="9"/>
      </w:pPr>
    </w:p>
    <w:p w14:paraId="0A0CC4CB">
      <w:pPr>
        <w:spacing w:before="156" w:beforeLines="50"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5-2</w:t>
      </w:r>
      <w:r>
        <w:rPr>
          <w:rFonts w:hint="eastAsia" w:ascii="宋体" w:hAnsi="宋体" w:cs="宋体"/>
          <w:szCs w:val="21"/>
        </w:rPr>
        <w:t>管理员登录模块用例表</w:t>
      </w:r>
    </w:p>
    <w:tbl>
      <w:tblPr>
        <w:tblStyle w:val="35"/>
        <w:tblW w:w="8532" w:type="dxa"/>
        <w:jc w:val="center"/>
        <w:tblLayout w:type="fixed"/>
        <w:tblCellMar>
          <w:top w:w="0" w:type="dxa"/>
          <w:left w:w="108" w:type="dxa"/>
          <w:bottom w:w="0" w:type="dxa"/>
          <w:right w:w="108" w:type="dxa"/>
        </w:tblCellMar>
      </w:tblPr>
      <w:tblGrid>
        <w:gridCol w:w="801"/>
        <w:gridCol w:w="41"/>
        <w:gridCol w:w="713"/>
        <w:gridCol w:w="79"/>
        <w:gridCol w:w="1627"/>
        <w:gridCol w:w="1803"/>
        <w:gridCol w:w="1944"/>
        <w:gridCol w:w="1524"/>
      </w:tblGrid>
      <w:tr w14:paraId="4F4CD366">
        <w:tblPrEx>
          <w:tblCellMar>
            <w:top w:w="0" w:type="dxa"/>
            <w:left w:w="108" w:type="dxa"/>
            <w:bottom w:w="0" w:type="dxa"/>
            <w:right w:w="108" w:type="dxa"/>
          </w:tblCellMar>
        </w:tblPrEx>
        <w:trPr>
          <w:trHeight w:val="774" w:hRule="atLeast"/>
          <w:jc w:val="center"/>
        </w:trPr>
        <w:tc>
          <w:tcPr>
            <w:tcW w:w="842" w:type="dxa"/>
            <w:gridSpan w:val="2"/>
            <w:tcBorders>
              <w:top w:val="single" w:color="000000" w:sz="4" w:space="0"/>
              <w:left w:val="single" w:color="000000" w:sz="4" w:space="0"/>
              <w:bottom w:val="single" w:color="000000" w:sz="4" w:space="0"/>
              <w:right w:val="single" w:color="000000" w:sz="4" w:space="0"/>
            </w:tcBorders>
            <w:vAlign w:val="center"/>
          </w:tcPr>
          <w:p w14:paraId="6668597E">
            <w:pPr>
              <w:spacing w:line="440" w:lineRule="exact"/>
              <w:jc w:val="center"/>
              <w:rPr>
                <w:rFonts w:cs="宋体" w:asciiTheme="minorEastAsia" w:hAnsiTheme="minorEastAsia"/>
                <w:szCs w:val="21"/>
              </w:rPr>
            </w:pPr>
            <w:r>
              <w:rPr>
                <w:rFonts w:hint="eastAsia" w:cs="宋体" w:asciiTheme="minorEastAsia" w:hAnsiTheme="minorEastAsia"/>
                <w:szCs w:val="21"/>
              </w:rPr>
              <w:t>测试类型</w:t>
            </w:r>
          </w:p>
        </w:tc>
        <w:tc>
          <w:tcPr>
            <w:tcW w:w="792" w:type="dxa"/>
            <w:gridSpan w:val="2"/>
            <w:tcBorders>
              <w:top w:val="single" w:color="000000" w:sz="4" w:space="0"/>
              <w:left w:val="single" w:color="000000" w:sz="4" w:space="0"/>
              <w:bottom w:val="single" w:color="000000" w:sz="4" w:space="0"/>
              <w:right w:val="single" w:color="000000" w:sz="4" w:space="0"/>
            </w:tcBorders>
            <w:vAlign w:val="center"/>
          </w:tcPr>
          <w:p w14:paraId="54F752D8">
            <w:pPr>
              <w:spacing w:line="440" w:lineRule="exact"/>
              <w:jc w:val="center"/>
              <w:rPr>
                <w:rFonts w:cs="宋体" w:asciiTheme="minorEastAsia" w:hAnsiTheme="minorEastAsia"/>
                <w:szCs w:val="21"/>
              </w:rPr>
            </w:pPr>
            <w:r>
              <w:rPr>
                <w:rFonts w:hint="eastAsia" w:cs="宋体" w:asciiTheme="minorEastAsia" w:hAnsiTheme="minorEastAsia"/>
                <w:szCs w:val="21"/>
              </w:rPr>
              <w:t>功能测试</w:t>
            </w:r>
          </w:p>
        </w:tc>
        <w:tc>
          <w:tcPr>
            <w:tcW w:w="1627" w:type="dxa"/>
            <w:tcBorders>
              <w:top w:val="single" w:color="000000" w:sz="4" w:space="0"/>
              <w:left w:val="single" w:color="000000" w:sz="4" w:space="0"/>
              <w:bottom w:val="single" w:color="000000" w:sz="4" w:space="0"/>
              <w:right w:val="single" w:color="000000" w:sz="4" w:space="0"/>
            </w:tcBorders>
            <w:vAlign w:val="center"/>
          </w:tcPr>
          <w:p w14:paraId="6EC376C1">
            <w:pPr>
              <w:spacing w:line="440" w:lineRule="exact"/>
              <w:jc w:val="center"/>
              <w:rPr>
                <w:rFonts w:cs="宋体" w:asciiTheme="minorEastAsia" w:hAnsiTheme="minorEastAsia"/>
                <w:szCs w:val="21"/>
              </w:rPr>
            </w:pPr>
            <w:r>
              <w:rPr>
                <w:rFonts w:hint="eastAsia" w:cs="宋体" w:asciiTheme="minorEastAsia" w:hAnsiTheme="minorEastAsia"/>
                <w:szCs w:val="21"/>
              </w:rPr>
              <w:t>模块名称</w:t>
            </w:r>
          </w:p>
        </w:tc>
        <w:tc>
          <w:tcPr>
            <w:tcW w:w="5271" w:type="dxa"/>
            <w:gridSpan w:val="3"/>
            <w:tcBorders>
              <w:top w:val="single" w:color="000000" w:sz="4" w:space="0"/>
              <w:left w:val="single" w:color="000000" w:sz="4" w:space="0"/>
              <w:bottom w:val="single" w:color="000000" w:sz="4" w:space="0"/>
              <w:right w:val="single" w:color="000000" w:sz="4" w:space="0"/>
            </w:tcBorders>
            <w:vAlign w:val="center"/>
          </w:tcPr>
          <w:p w14:paraId="6FB5A027">
            <w:pPr>
              <w:spacing w:line="440" w:lineRule="exact"/>
              <w:jc w:val="center"/>
              <w:rPr>
                <w:rFonts w:cs="宋体" w:asciiTheme="minorEastAsia" w:hAnsiTheme="minorEastAsia"/>
                <w:szCs w:val="21"/>
              </w:rPr>
            </w:pPr>
            <w:r>
              <w:rPr>
                <w:rFonts w:hint="eastAsia" w:cs="宋体" w:asciiTheme="minorEastAsia" w:hAnsiTheme="minorEastAsia"/>
                <w:szCs w:val="21"/>
              </w:rPr>
              <w:t>管理员登录</w:t>
            </w:r>
          </w:p>
        </w:tc>
      </w:tr>
      <w:tr w14:paraId="3EF3B208">
        <w:tblPrEx>
          <w:tblCellMar>
            <w:top w:w="0" w:type="dxa"/>
            <w:left w:w="108" w:type="dxa"/>
            <w:bottom w:w="0" w:type="dxa"/>
            <w:right w:w="108" w:type="dxa"/>
          </w:tblCellMar>
        </w:tblPrEx>
        <w:trPr>
          <w:trHeight w:val="1074" w:hRule="atLeast"/>
          <w:jc w:val="center"/>
        </w:trPr>
        <w:tc>
          <w:tcPr>
            <w:tcW w:w="842" w:type="dxa"/>
            <w:gridSpan w:val="2"/>
            <w:tcBorders>
              <w:top w:val="single" w:color="000000" w:sz="4" w:space="0"/>
              <w:left w:val="single" w:color="000000" w:sz="4" w:space="0"/>
              <w:bottom w:val="single" w:color="000000" w:sz="4" w:space="0"/>
              <w:right w:val="single" w:color="000000" w:sz="4" w:space="0"/>
            </w:tcBorders>
            <w:vAlign w:val="center"/>
          </w:tcPr>
          <w:p w14:paraId="03452A6C">
            <w:pPr>
              <w:spacing w:line="440" w:lineRule="exact"/>
              <w:jc w:val="center"/>
              <w:rPr>
                <w:rFonts w:cs="宋体" w:asciiTheme="minorEastAsia" w:hAnsiTheme="minorEastAsia"/>
                <w:szCs w:val="21"/>
              </w:rPr>
            </w:pPr>
            <w:r>
              <w:rPr>
                <w:rFonts w:hint="eastAsia" w:cs="宋体" w:asciiTheme="minorEastAsia" w:hAnsiTheme="minorEastAsia"/>
                <w:szCs w:val="21"/>
              </w:rPr>
              <w:t>用例描述</w:t>
            </w:r>
          </w:p>
        </w:tc>
        <w:tc>
          <w:tcPr>
            <w:tcW w:w="7690" w:type="dxa"/>
            <w:gridSpan w:val="6"/>
            <w:tcBorders>
              <w:top w:val="single" w:color="000000" w:sz="4" w:space="0"/>
              <w:left w:val="single" w:color="000000" w:sz="4" w:space="0"/>
              <w:bottom w:val="single" w:color="000000" w:sz="4" w:space="0"/>
              <w:right w:val="single" w:color="000000" w:sz="4" w:space="0"/>
            </w:tcBorders>
            <w:vAlign w:val="center"/>
          </w:tcPr>
          <w:p w14:paraId="03CA327C">
            <w:pPr>
              <w:spacing w:line="440" w:lineRule="exact"/>
              <w:jc w:val="center"/>
              <w:rPr>
                <w:rFonts w:cs="宋体" w:asciiTheme="minorEastAsia" w:hAnsiTheme="minorEastAsia"/>
                <w:szCs w:val="21"/>
              </w:rPr>
            </w:pPr>
            <w:r>
              <w:rPr>
                <w:rFonts w:hint="eastAsia" w:cs="宋体" w:asciiTheme="minorEastAsia" w:hAnsiTheme="minorEastAsia"/>
                <w:szCs w:val="21"/>
              </w:rPr>
              <w:t>该用例用来测试在管理员登录界面，用户能否正常进行登录，如果出错，是否能给出出错信息</w:t>
            </w:r>
          </w:p>
        </w:tc>
      </w:tr>
      <w:tr w14:paraId="1FCECCA1">
        <w:tblPrEx>
          <w:tblCellMar>
            <w:top w:w="0" w:type="dxa"/>
            <w:left w:w="108" w:type="dxa"/>
            <w:bottom w:w="0" w:type="dxa"/>
            <w:right w:w="108" w:type="dxa"/>
          </w:tblCellMar>
        </w:tblPrEx>
        <w:trPr>
          <w:trHeight w:val="990" w:hRule="atLeast"/>
          <w:jc w:val="center"/>
        </w:trPr>
        <w:tc>
          <w:tcPr>
            <w:tcW w:w="801" w:type="dxa"/>
            <w:tcBorders>
              <w:top w:val="single" w:color="000000" w:sz="4" w:space="0"/>
              <w:left w:val="single" w:color="000000" w:sz="4" w:space="0"/>
              <w:bottom w:val="single" w:color="000000" w:sz="4" w:space="0"/>
              <w:right w:val="single" w:color="000000" w:sz="4" w:space="0"/>
            </w:tcBorders>
            <w:vAlign w:val="center"/>
          </w:tcPr>
          <w:p w14:paraId="1C459BC2">
            <w:pPr>
              <w:spacing w:line="440" w:lineRule="exact"/>
              <w:jc w:val="center"/>
              <w:rPr>
                <w:rFonts w:cs="宋体" w:asciiTheme="minorEastAsia" w:hAnsiTheme="minorEastAsia"/>
                <w:szCs w:val="21"/>
              </w:rPr>
            </w:pPr>
            <w:r>
              <w:rPr>
                <w:rFonts w:hint="eastAsia" w:cs="宋体" w:asciiTheme="minorEastAsia" w:hAnsiTheme="minorEastAsia"/>
                <w:szCs w:val="21"/>
              </w:rPr>
              <w:t>前置条件</w:t>
            </w:r>
          </w:p>
        </w:tc>
        <w:tc>
          <w:tcPr>
            <w:tcW w:w="7731" w:type="dxa"/>
            <w:gridSpan w:val="7"/>
            <w:tcBorders>
              <w:top w:val="single" w:color="000000" w:sz="4" w:space="0"/>
              <w:left w:val="single" w:color="000000" w:sz="4" w:space="0"/>
              <w:bottom w:val="single" w:color="000000" w:sz="4" w:space="0"/>
              <w:right w:val="single" w:color="000000" w:sz="4" w:space="0"/>
            </w:tcBorders>
            <w:vAlign w:val="center"/>
          </w:tcPr>
          <w:p w14:paraId="671BA76F">
            <w:pPr>
              <w:spacing w:line="440" w:lineRule="exact"/>
              <w:jc w:val="center"/>
              <w:rPr>
                <w:rFonts w:cs="宋体" w:asciiTheme="minorEastAsia" w:hAnsiTheme="minorEastAsia"/>
                <w:szCs w:val="21"/>
              </w:rPr>
            </w:pPr>
            <w:r>
              <w:rPr>
                <w:rFonts w:hint="eastAsia" w:cs="宋体" w:asciiTheme="minorEastAsia" w:hAnsiTheme="minorEastAsia"/>
                <w:szCs w:val="21"/>
              </w:rPr>
              <w:t>存在正确的用户名和密码；登入页面正常加载，错误信息提示正确。（数据库有用户信息邱坤/</w:t>
            </w:r>
            <w:r>
              <w:rPr>
                <w:rFonts w:hint="eastAsia" w:ascii="Times New Roman" w:hAnsi="Times New Roman" w:cs="宋体"/>
                <w:szCs w:val="21"/>
              </w:rPr>
              <w:t>123456</w:t>
            </w:r>
            <w:r>
              <w:rPr>
                <w:rFonts w:hint="eastAsia" w:cs="宋体" w:asciiTheme="minorEastAsia" w:hAnsiTheme="minorEastAsia"/>
                <w:szCs w:val="21"/>
              </w:rPr>
              <w:t>）。</w:t>
            </w:r>
          </w:p>
        </w:tc>
      </w:tr>
      <w:tr w14:paraId="384B305B">
        <w:tblPrEx>
          <w:tblCellMar>
            <w:top w:w="0" w:type="dxa"/>
            <w:left w:w="108" w:type="dxa"/>
            <w:bottom w:w="0" w:type="dxa"/>
            <w:right w:w="108" w:type="dxa"/>
          </w:tblCellMar>
        </w:tblPrEx>
        <w:trPr>
          <w:trHeight w:val="1096"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F6BD7">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编号</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EAAEFA">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测试项</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980902">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操作步骤</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6285D">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数据</w:t>
            </w: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B6E43">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期望结果</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F8D62">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实际结果</w:t>
            </w:r>
          </w:p>
        </w:tc>
      </w:tr>
      <w:tr w14:paraId="5B2BF9DB">
        <w:tblPrEx>
          <w:tblCellMar>
            <w:top w:w="0" w:type="dxa"/>
            <w:left w:w="108" w:type="dxa"/>
            <w:bottom w:w="0" w:type="dxa"/>
            <w:right w:w="108" w:type="dxa"/>
          </w:tblCellMar>
        </w:tblPrEx>
        <w:trPr>
          <w:trHeight w:val="1425"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092F">
            <w:pPr>
              <w:spacing w:line="440" w:lineRule="exact"/>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1</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FB2084">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界面检查</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82A163">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、界面装载</w:t>
            </w:r>
          </w:p>
          <w:p w14:paraId="308D1BBA">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、检查界面的标题</w:t>
            </w:r>
          </w:p>
          <w:p w14:paraId="2EFDB129">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、检查文本框默认的焦点</w:t>
            </w:r>
          </w:p>
          <w:p w14:paraId="135390DA">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eastAsiaTheme="minorEastAsia"/>
                <w:kern w:val="0"/>
                <w:sz w:val="21"/>
                <w:szCs w:val="21"/>
                <w:lang w:val="en-US" w:eastAsia="zh-CN" w:bidi="ar-SA"/>
              </w:rPr>
            </w:pPr>
            <w:r>
              <w:rPr>
                <w:rFonts w:hint="eastAsia" w:ascii="Times New Roman" w:hAnsi="Times New Roman" w:cs="宋体"/>
                <w:sz w:val="21"/>
                <w:szCs w:val="21"/>
              </w:rPr>
              <w:t>4</w:t>
            </w:r>
            <w:r>
              <w:rPr>
                <w:rFonts w:hint="eastAsia" w:cs="宋体" w:asciiTheme="minorEastAsia" w:hAnsiTheme="minorEastAsia"/>
                <w:sz w:val="21"/>
                <w:szCs w:val="21"/>
              </w:rPr>
              <w:t>、检查</w:t>
            </w:r>
            <w:r>
              <w:rPr>
                <w:rFonts w:hint="eastAsia" w:ascii="Times New Roman" w:hAnsi="Times New Roman" w:cs="宋体"/>
                <w:sz w:val="21"/>
                <w:szCs w:val="21"/>
              </w:rPr>
              <w:t>tab</w:t>
            </w:r>
            <w:r>
              <w:rPr>
                <w:rFonts w:hint="eastAsia" w:cs="宋体" w:asciiTheme="minorEastAsia" w:hAnsiTheme="minorEastAsia"/>
                <w:sz w:val="21"/>
                <w:szCs w:val="21"/>
              </w:rPr>
              <w:t>键的正常使用</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DACA7">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、登入界面的</w:t>
            </w:r>
            <w:r>
              <w:rPr>
                <w:rFonts w:hint="eastAsia" w:ascii="Times New Roman" w:hAnsi="Times New Roman" w:cs="宋体"/>
                <w:szCs w:val="21"/>
              </w:rPr>
              <w:t>URL</w:t>
            </w:r>
            <w:r>
              <w:rPr>
                <w:rFonts w:hint="eastAsia" w:cs="宋体" w:asciiTheme="minorEastAsia" w:hAnsiTheme="minorEastAsia"/>
                <w:szCs w:val="21"/>
              </w:rPr>
              <w:t xml:space="preserve">： </w:t>
            </w:r>
          </w:p>
          <w:p w14:paraId="2C79E757">
            <w:pPr>
              <w:keepNext w:val="0"/>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localhost</w:t>
            </w:r>
            <w:r>
              <w:rPr>
                <w:rFonts w:hint="eastAsia" w:cs="宋体" w:asciiTheme="minorEastAsia" w:hAnsiTheme="minorEastAsia"/>
                <w:szCs w:val="21"/>
              </w:rPr>
              <w:t>:</w:t>
            </w:r>
            <w:r>
              <w:rPr>
                <w:rFonts w:hint="eastAsia" w:ascii="Times New Roman" w:hAnsi="Times New Roman" w:cs="宋体"/>
                <w:szCs w:val="21"/>
              </w:rPr>
              <w:t>8081</w:t>
            </w:r>
            <w:r>
              <w:rPr>
                <w:rFonts w:hint="eastAsia" w:cs="宋体" w:asciiTheme="minorEastAsia" w:hAnsiTheme="minorEastAsia"/>
                <w:szCs w:val="21"/>
              </w:rPr>
              <w:t>/#/</w:t>
            </w: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A9230">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302E8EC1">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281DCC79">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5681B0ED">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eastAsiaTheme="minorEastAsia"/>
                <w:kern w:val="0"/>
                <w:sz w:val="21"/>
                <w:szCs w:val="21"/>
                <w:lang w:val="en-US" w:eastAsia="zh-CN" w:bidi="ar-SA"/>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DFD5F">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18D22C1C">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、界面标题显示为“登录”</w:t>
            </w:r>
          </w:p>
          <w:p w14:paraId="583C42F6">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eastAsiaTheme="minorEastAsia"/>
                <w:kern w:val="0"/>
                <w:sz w:val="21"/>
                <w:szCs w:val="21"/>
                <w:lang w:val="en-US" w:eastAsia="zh-CN" w:bidi="ar-SA"/>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tc>
      </w:tr>
      <w:tr w14:paraId="32F64651">
        <w:tblPrEx>
          <w:tblCellMar>
            <w:top w:w="0" w:type="dxa"/>
            <w:left w:w="108" w:type="dxa"/>
            <w:bottom w:w="0" w:type="dxa"/>
            <w:right w:w="108" w:type="dxa"/>
          </w:tblCellMar>
        </w:tblPrEx>
        <w:trPr>
          <w:trHeight w:val="1425"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5BE2E">
            <w:pPr>
              <w:spacing w:line="440" w:lineRule="exact"/>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8AEC55">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用户登录</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2EB4FF">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、未输入用户名；</w:t>
            </w:r>
          </w:p>
          <w:p w14:paraId="35FF6D7C">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、输入密码</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81F60">
            <w:pPr>
              <w:keepNext w:val="0"/>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w:t>
            </w:r>
          </w:p>
          <w:p w14:paraId="25630921">
            <w:pPr>
              <w:keepNext w:val="0"/>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123456</w:t>
            </w: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19157">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显示出错信息“用户账户必须输入”，不能正常登录</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D8114">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显示出错信息“用户账户必须输入”，不能正常登录</w:t>
            </w:r>
          </w:p>
        </w:tc>
      </w:tr>
      <w:tr w14:paraId="4C93E2ED">
        <w:tblPrEx>
          <w:tblCellMar>
            <w:top w:w="0" w:type="dxa"/>
            <w:left w:w="108" w:type="dxa"/>
            <w:bottom w:w="0" w:type="dxa"/>
            <w:right w:w="108" w:type="dxa"/>
          </w:tblCellMar>
        </w:tblPrEx>
        <w:trPr>
          <w:trHeight w:val="1425"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0E36C">
            <w:pPr>
              <w:spacing w:line="440" w:lineRule="exact"/>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E843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用户登录</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B40B65">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、输入正确的用户名；</w:t>
            </w:r>
          </w:p>
          <w:p w14:paraId="5562B78C">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、输入错误的密码。</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131E2">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、用户名：邱坤</w:t>
            </w:r>
          </w:p>
          <w:p w14:paraId="7C722578">
            <w:pPr>
              <w:keepNext w:val="0"/>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w:t>
            </w: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8792">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显示出错信息“输入的密码错误”，不能正常登录</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8914C">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显示出错信息“输入的密码错误”，不能正常登录</w:t>
            </w:r>
          </w:p>
        </w:tc>
      </w:tr>
      <w:tr w14:paraId="0A314126">
        <w:tblPrEx>
          <w:tblCellMar>
            <w:top w:w="0" w:type="dxa"/>
            <w:left w:w="108" w:type="dxa"/>
            <w:bottom w:w="0" w:type="dxa"/>
            <w:right w:w="108" w:type="dxa"/>
          </w:tblCellMar>
        </w:tblPrEx>
        <w:trPr>
          <w:trHeight w:val="1425"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CBC25">
            <w:pPr>
              <w:spacing w:line="440" w:lineRule="exact"/>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FB8122">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用户登录</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4FD983">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、输入正确的用户名；</w:t>
            </w:r>
          </w:p>
          <w:p w14:paraId="48D3DF5B">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、输入正确</w:t>
            </w:r>
          </w:p>
          <w:p w14:paraId="12963680">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密码。</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B9165">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、用户名：邱坤</w:t>
            </w:r>
          </w:p>
          <w:p w14:paraId="490944E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、密码：</w:t>
            </w:r>
            <w:r>
              <w:rPr>
                <w:rFonts w:hint="eastAsia" w:ascii="Times New Roman" w:hAnsi="Times New Roman" w:cs="宋体"/>
                <w:szCs w:val="21"/>
              </w:rPr>
              <w:t>123456</w:t>
            </w: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D2629">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登录成功并进行页面跳转</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BB827">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登录成功并进行页面跳转</w:t>
            </w:r>
          </w:p>
        </w:tc>
      </w:tr>
      <w:tr w14:paraId="18647DA1">
        <w:tblPrEx>
          <w:tblCellMar>
            <w:top w:w="0" w:type="dxa"/>
            <w:left w:w="108" w:type="dxa"/>
            <w:bottom w:w="0" w:type="dxa"/>
            <w:right w:w="108" w:type="dxa"/>
          </w:tblCellMar>
        </w:tblPrEx>
        <w:trPr>
          <w:trHeight w:val="1425" w:hRule="atLeast"/>
          <w:jc w:val="center"/>
        </w:trPr>
        <w:tc>
          <w:tcPr>
            <w:tcW w:w="8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773AE">
            <w:pPr>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5</w:t>
            </w:r>
          </w:p>
        </w:tc>
        <w:tc>
          <w:tcPr>
            <w:tcW w:w="75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3A52DB">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用户登录</w:t>
            </w:r>
          </w:p>
        </w:tc>
        <w:tc>
          <w:tcPr>
            <w:tcW w:w="170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E9E845">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、输入正确的用户名；</w:t>
            </w:r>
          </w:p>
          <w:p w14:paraId="51F97598">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、未输入的密码。</w:t>
            </w:r>
          </w:p>
        </w:tc>
        <w:tc>
          <w:tcPr>
            <w:tcW w:w="18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8458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p>
          <w:p w14:paraId="2393689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用户名：邱坤</w:t>
            </w:r>
          </w:p>
          <w:p w14:paraId="35BC54A4">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p>
        </w:tc>
        <w:tc>
          <w:tcPr>
            <w:tcW w:w="19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DB879">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显示出错信息“用户密码必须输入”，不能正常登录</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9FA97">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显示出错信息“用户密码必须输入”，不能正常登录</w:t>
            </w:r>
          </w:p>
        </w:tc>
      </w:tr>
    </w:tbl>
    <w:p w14:paraId="210CD82A">
      <w:pPr>
        <w:tabs>
          <w:tab w:val="left" w:pos="1584"/>
        </w:tabs>
        <w:ind w:left="0" w:firstLine="0"/>
        <w:outlineLvl w:val="9"/>
      </w:pPr>
      <w:r>
        <w:br w:type="page"/>
      </w:r>
    </w:p>
    <w:p w14:paraId="19182CF6">
      <w:pPr>
        <w:tabs>
          <w:tab w:val="left" w:pos="1584"/>
        </w:tabs>
        <w:spacing w:before="0" w:after="0" w:line="440" w:lineRule="exact"/>
        <w:ind w:firstLine="480" w:firstLineChars="200"/>
        <w:outlineLvl w:val="9"/>
        <w:rPr>
          <w:rFonts w:ascii="宋体" w:hAnsi="宋体" w:eastAsia="宋体" w:cs="宋体"/>
          <w:b w:val="0"/>
          <w:sz w:val="24"/>
        </w:rPr>
      </w:pPr>
      <w:bookmarkStart w:id="740" w:name="_Toc17066"/>
      <w:bookmarkStart w:id="741" w:name="_Toc12654"/>
      <w:bookmarkStart w:id="742" w:name="_Toc4191"/>
      <w:r>
        <w:rPr>
          <w:rFonts w:ascii="Times New Roman" w:hAnsi="Times New Roman" w:eastAsia="宋体"/>
          <w:b w:val="0"/>
          <w:sz w:val="24"/>
        </w:rPr>
        <w:t>5.1.2</w:t>
      </w:r>
      <w:r>
        <w:rPr>
          <w:rFonts w:hint="eastAsia" w:ascii="宋体" w:hAnsi="宋体" w:eastAsia="宋体" w:cs="宋体"/>
          <w:b w:val="0"/>
          <w:sz w:val="24"/>
        </w:rPr>
        <w:t>个人中心模块</w:t>
      </w:r>
      <w:bookmarkEnd w:id="740"/>
      <w:bookmarkEnd w:id="741"/>
      <w:bookmarkEnd w:id="742"/>
    </w:p>
    <w:p w14:paraId="1C1247E6">
      <w:pPr>
        <w:widowControl/>
        <w:spacing w:line="440" w:lineRule="exact"/>
        <w:ind w:firstLine="480" w:firstLineChars="200"/>
        <w:outlineLvl w:val="9"/>
        <w:rPr>
          <w:rFonts w:hint="eastAsia" w:ascii="宋体" w:hAnsi="宋体" w:cs="宋体"/>
          <w:szCs w:val="21"/>
        </w:rPr>
      </w:pPr>
      <w:r>
        <w:rPr>
          <w:rFonts w:hint="eastAsia" w:ascii="宋体" w:hAnsi="宋体" w:cs="宋体"/>
          <w:sz w:val="24"/>
        </w:rPr>
        <w:t>个人中心模块</w:t>
      </w:r>
      <w:r>
        <w:rPr>
          <w:rFonts w:hint="eastAsia" w:ascii="宋体" w:hAnsi="宋体" w:cs="宋体"/>
          <w:sz w:val="24"/>
          <w:lang w:eastAsia="zh"/>
        </w:rPr>
        <w:t>用来</w:t>
      </w:r>
      <w:r>
        <w:rPr>
          <w:rFonts w:hint="eastAsia" w:ascii="宋体" w:hAnsi="宋体" w:cs="宋体"/>
          <w:sz w:val="24"/>
        </w:rPr>
        <w:t>编辑</w:t>
      </w:r>
      <w:r>
        <w:rPr>
          <w:rFonts w:hint="eastAsia" w:ascii="宋体" w:hAnsi="宋体" w:cs="宋体"/>
          <w:sz w:val="24"/>
          <w:lang w:eastAsia="zh"/>
        </w:rPr>
        <w:t>用户个人信息</w:t>
      </w:r>
      <w:r>
        <w:rPr>
          <w:rFonts w:hint="eastAsia" w:ascii="宋体" w:hAnsi="宋体" w:cs="宋体"/>
          <w:sz w:val="24"/>
        </w:rPr>
        <w:t>等内容</w:t>
      </w:r>
      <w:r>
        <w:rPr>
          <w:rFonts w:hint="eastAsia" w:ascii="宋体" w:hAnsi="宋体" w:cs="宋体"/>
          <w:sz w:val="24"/>
          <w:lang w:eastAsia="zh"/>
        </w:rPr>
        <w:t>，用户能否在该页面找到各种宠物寄养的信息</w:t>
      </w:r>
      <w:r>
        <w:rPr>
          <w:rFonts w:hint="eastAsia" w:ascii="宋体" w:hAnsi="宋体" w:cs="宋体"/>
          <w:sz w:val="24"/>
        </w:rPr>
        <w:t>以及个人信息的修改是检验该模块的重要指标之一，使得用户体验友好，错误提示清晰准确，查找和修改个人信息流程简洁高效，为了提升用户满意度我们做了以下测试如表</w:t>
      </w:r>
      <w:r>
        <w:rPr>
          <w:rFonts w:hint="eastAsia" w:ascii="Times New Roman" w:hAnsi="Times New Roman" w:cs="宋体"/>
          <w:sz w:val="24"/>
        </w:rPr>
        <w:t>5-3</w:t>
      </w:r>
      <w:r>
        <w:rPr>
          <w:rFonts w:hint="eastAsia" w:ascii="宋体" w:hAnsi="宋体" w:cs="宋体"/>
          <w:sz w:val="24"/>
        </w:rPr>
        <w:t>所示。</w:t>
      </w:r>
    </w:p>
    <w:p w14:paraId="42BDFBC2">
      <w:pPr>
        <w:widowControl/>
        <w:spacing w:line="440" w:lineRule="exact"/>
        <w:ind w:firstLine="420" w:firstLineChars="200"/>
        <w:jc w:val="center"/>
        <w:rPr>
          <w:rFonts w:ascii="宋体" w:hAnsi="宋体" w:cs="宋体"/>
          <w:szCs w:val="21"/>
        </w:rPr>
      </w:pPr>
      <w:r>
        <w:rPr>
          <w:rFonts w:hint="eastAsia" w:ascii="宋体" w:hAnsi="宋体" w:cs="宋体"/>
          <w:szCs w:val="21"/>
        </w:rPr>
        <w:t>表</w:t>
      </w:r>
      <w:r>
        <w:rPr>
          <w:rFonts w:hint="eastAsia" w:ascii="Times New Roman" w:hAnsi="Times New Roman" w:cs="宋体"/>
          <w:sz w:val="24"/>
        </w:rPr>
        <w:t>5-3</w:t>
      </w:r>
      <w:r>
        <w:rPr>
          <w:rFonts w:hint="eastAsia" w:ascii="宋体" w:hAnsi="宋体" w:cs="宋体"/>
          <w:szCs w:val="21"/>
        </w:rPr>
        <w:t>个人中心模块用例表</w:t>
      </w:r>
    </w:p>
    <w:tbl>
      <w:tblPr>
        <w:tblStyle w:val="35"/>
        <w:tblW w:w="883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8"/>
        <w:gridCol w:w="727"/>
        <w:gridCol w:w="80"/>
        <w:gridCol w:w="1660"/>
        <w:gridCol w:w="1704"/>
        <w:gridCol w:w="2216"/>
        <w:gridCol w:w="1593"/>
      </w:tblGrid>
      <w:tr w14:paraId="7766F2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858" w:type="dxa"/>
            <w:vAlign w:val="center"/>
          </w:tcPr>
          <w:p w14:paraId="47DA6338">
            <w:pPr>
              <w:spacing w:line="440" w:lineRule="exact"/>
              <w:jc w:val="center"/>
              <w:rPr>
                <w:rFonts w:cs="宋体" w:asciiTheme="minorEastAsia" w:hAnsiTheme="minorEastAsia"/>
                <w:szCs w:val="21"/>
              </w:rPr>
            </w:pPr>
            <w:r>
              <w:rPr>
                <w:rFonts w:hint="eastAsia" w:cs="宋体" w:asciiTheme="minorEastAsia" w:hAnsiTheme="minorEastAsia"/>
                <w:szCs w:val="21"/>
              </w:rPr>
              <w:t>测试类型</w:t>
            </w:r>
          </w:p>
        </w:tc>
        <w:tc>
          <w:tcPr>
            <w:tcW w:w="807" w:type="dxa"/>
            <w:gridSpan w:val="2"/>
            <w:vAlign w:val="center"/>
          </w:tcPr>
          <w:p w14:paraId="5467B97C">
            <w:pPr>
              <w:spacing w:line="440" w:lineRule="exact"/>
              <w:jc w:val="center"/>
              <w:rPr>
                <w:rFonts w:cs="宋体" w:asciiTheme="minorEastAsia" w:hAnsiTheme="minorEastAsia"/>
                <w:szCs w:val="21"/>
              </w:rPr>
            </w:pPr>
            <w:r>
              <w:rPr>
                <w:rFonts w:hint="eastAsia" w:cs="宋体" w:asciiTheme="minorEastAsia" w:hAnsiTheme="minorEastAsia"/>
                <w:szCs w:val="21"/>
              </w:rPr>
              <w:t>功能测试</w:t>
            </w:r>
          </w:p>
        </w:tc>
        <w:tc>
          <w:tcPr>
            <w:tcW w:w="1660" w:type="dxa"/>
            <w:vAlign w:val="center"/>
          </w:tcPr>
          <w:p w14:paraId="40DCE1D3">
            <w:pPr>
              <w:spacing w:line="440" w:lineRule="exact"/>
              <w:jc w:val="center"/>
              <w:rPr>
                <w:rFonts w:cs="宋体" w:asciiTheme="minorEastAsia" w:hAnsiTheme="minorEastAsia"/>
                <w:szCs w:val="21"/>
              </w:rPr>
            </w:pPr>
            <w:r>
              <w:rPr>
                <w:rFonts w:hint="eastAsia" w:cs="宋体" w:asciiTheme="minorEastAsia" w:hAnsiTheme="minorEastAsia"/>
                <w:szCs w:val="21"/>
              </w:rPr>
              <w:t>模块名称</w:t>
            </w:r>
          </w:p>
        </w:tc>
        <w:tc>
          <w:tcPr>
            <w:tcW w:w="5513" w:type="dxa"/>
            <w:gridSpan w:val="3"/>
            <w:vAlign w:val="center"/>
          </w:tcPr>
          <w:p w14:paraId="0E21D903">
            <w:pPr>
              <w:spacing w:line="440" w:lineRule="exact"/>
              <w:jc w:val="center"/>
              <w:rPr>
                <w:rFonts w:cs="宋体" w:asciiTheme="minorEastAsia" w:hAnsiTheme="minorEastAsia"/>
                <w:szCs w:val="21"/>
              </w:rPr>
            </w:pPr>
            <w:r>
              <w:rPr>
                <w:rFonts w:hint="eastAsia" w:cs="宋体" w:asciiTheme="minorEastAsia" w:hAnsiTheme="minorEastAsia"/>
                <w:szCs w:val="21"/>
              </w:rPr>
              <w:t>个人中心模块</w:t>
            </w:r>
          </w:p>
        </w:tc>
      </w:tr>
      <w:tr w14:paraId="185CF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858" w:type="dxa"/>
            <w:vAlign w:val="center"/>
          </w:tcPr>
          <w:p w14:paraId="5E6C1116">
            <w:pPr>
              <w:spacing w:line="440" w:lineRule="exact"/>
              <w:jc w:val="center"/>
              <w:rPr>
                <w:rFonts w:cs="宋体" w:asciiTheme="minorEastAsia" w:hAnsiTheme="minorEastAsia"/>
                <w:szCs w:val="21"/>
              </w:rPr>
            </w:pPr>
            <w:r>
              <w:rPr>
                <w:rFonts w:hint="eastAsia" w:cs="宋体" w:asciiTheme="minorEastAsia" w:hAnsiTheme="minorEastAsia"/>
                <w:szCs w:val="21"/>
              </w:rPr>
              <w:t>用例描述</w:t>
            </w:r>
          </w:p>
        </w:tc>
        <w:tc>
          <w:tcPr>
            <w:tcW w:w="7980" w:type="dxa"/>
            <w:gridSpan w:val="6"/>
            <w:vAlign w:val="center"/>
          </w:tcPr>
          <w:p w14:paraId="4E107BA3">
            <w:pPr>
              <w:spacing w:line="440" w:lineRule="exact"/>
              <w:jc w:val="left"/>
              <w:rPr>
                <w:rFonts w:cs="宋体" w:asciiTheme="minorEastAsia" w:hAnsiTheme="minorEastAsia"/>
                <w:szCs w:val="21"/>
              </w:rPr>
            </w:pPr>
            <w:r>
              <w:rPr>
                <w:rFonts w:hint="eastAsia" w:cs="宋体" w:asciiTheme="minorEastAsia" w:hAnsiTheme="minorEastAsia"/>
                <w:szCs w:val="21"/>
              </w:rPr>
              <w:t>该用例用来测试用户个人信息管理情况，用户能否在该页面找到各类社团的信息</w:t>
            </w:r>
          </w:p>
        </w:tc>
      </w:tr>
      <w:tr w14:paraId="298951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858" w:type="dxa"/>
            <w:vAlign w:val="center"/>
          </w:tcPr>
          <w:p w14:paraId="7A9F6672">
            <w:pPr>
              <w:spacing w:line="440" w:lineRule="exact"/>
              <w:jc w:val="center"/>
              <w:rPr>
                <w:rFonts w:cs="宋体" w:asciiTheme="minorEastAsia" w:hAnsiTheme="minorEastAsia"/>
                <w:szCs w:val="21"/>
              </w:rPr>
            </w:pPr>
            <w:r>
              <w:rPr>
                <w:rFonts w:hint="eastAsia" w:cs="宋体" w:asciiTheme="minorEastAsia" w:hAnsiTheme="minorEastAsia"/>
                <w:szCs w:val="21"/>
              </w:rPr>
              <w:t>前置条件</w:t>
            </w:r>
          </w:p>
        </w:tc>
        <w:tc>
          <w:tcPr>
            <w:tcW w:w="7980" w:type="dxa"/>
            <w:gridSpan w:val="6"/>
            <w:vAlign w:val="center"/>
          </w:tcPr>
          <w:p w14:paraId="0DF0DF88">
            <w:pPr>
              <w:spacing w:line="440" w:lineRule="exact"/>
              <w:jc w:val="left"/>
              <w:rPr>
                <w:rFonts w:cs="宋体" w:asciiTheme="minorEastAsia" w:hAnsiTheme="minorEastAsia"/>
                <w:szCs w:val="21"/>
              </w:rPr>
            </w:pPr>
            <w:r>
              <w:rPr>
                <w:rFonts w:hint="eastAsia" w:cs="宋体" w:asciiTheme="minorEastAsia" w:hAnsiTheme="minorEastAsia"/>
                <w:szCs w:val="21"/>
              </w:rPr>
              <w:t>登入正确的用户名和密码；登入页面正常加载，点击我的查看个人中心模块。（数据库有用户信息邱坤/</w:t>
            </w:r>
            <w:r>
              <w:rPr>
                <w:rFonts w:hint="eastAsia" w:ascii="Times New Roman" w:hAnsi="Times New Roman" w:cs="宋体"/>
                <w:szCs w:val="21"/>
              </w:rPr>
              <w:t>123456</w:t>
            </w:r>
            <w:r>
              <w:rPr>
                <w:rFonts w:hint="eastAsia" w:cs="宋体" w:asciiTheme="minorEastAsia" w:hAnsiTheme="minorEastAsia"/>
                <w:szCs w:val="21"/>
              </w:rPr>
              <w:t>）。</w:t>
            </w:r>
          </w:p>
        </w:tc>
      </w:tr>
      <w:tr w14:paraId="18D2C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 w:hRule="atLeast"/>
          <w:jc w:val="center"/>
        </w:trPr>
        <w:tc>
          <w:tcPr>
            <w:tcW w:w="858" w:type="dxa"/>
            <w:vAlign w:val="center"/>
          </w:tcPr>
          <w:p w14:paraId="0AE0FDC9">
            <w:pPr>
              <w:spacing w:line="440" w:lineRule="exact"/>
              <w:jc w:val="center"/>
              <w:rPr>
                <w:rFonts w:cs="宋体" w:asciiTheme="minorEastAsia" w:hAnsiTheme="minorEastAsia"/>
                <w:szCs w:val="21"/>
              </w:rPr>
            </w:pPr>
            <w:r>
              <w:rPr>
                <w:rFonts w:hint="eastAsia" w:cs="宋体" w:asciiTheme="minorEastAsia" w:hAnsiTheme="minorEastAsia"/>
                <w:szCs w:val="21"/>
              </w:rPr>
              <w:t>编号</w:t>
            </w:r>
          </w:p>
        </w:tc>
        <w:tc>
          <w:tcPr>
            <w:tcW w:w="727" w:type="dxa"/>
            <w:vAlign w:val="center"/>
          </w:tcPr>
          <w:p w14:paraId="63E074CC">
            <w:pPr>
              <w:spacing w:line="440" w:lineRule="exact"/>
              <w:jc w:val="center"/>
              <w:rPr>
                <w:rFonts w:cs="宋体" w:asciiTheme="minorEastAsia" w:hAnsiTheme="minorEastAsia"/>
                <w:szCs w:val="21"/>
              </w:rPr>
            </w:pPr>
            <w:r>
              <w:rPr>
                <w:rFonts w:hint="eastAsia" w:cs="宋体" w:asciiTheme="minorEastAsia" w:hAnsiTheme="minorEastAsia"/>
                <w:szCs w:val="21"/>
              </w:rPr>
              <w:t>测试项</w:t>
            </w:r>
          </w:p>
        </w:tc>
        <w:tc>
          <w:tcPr>
            <w:tcW w:w="1740" w:type="dxa"/>
            <w:gridSpan w:val="2"/>
            <w:vAlign w:val="center"/>
          </w:tcPr>
          <w:p w14:paraId="6B1FF66D">
            <w:pPr>
              <w:spacing w:line="440" w:lineRule="exact"/>
              <w:jc w:val="center"/>
              <w:rPr>
                <w:rFonts w:cs="宋体" w:asciiTheme="minorEastAsia" w:hAnsiTheme="minorEastAsia"/>
                <w:szCs w:val="21"/>
              </w:rPr>
            </w:pPr>
            <w:r>
              <w:rPr>
                <w:rFonts w:hint="eastAsia" w:cs="宋体" w:asciiTheme="minorEastAsia" w:hAnsiTheme="minorEastAsia"/>
                <w:szCs w:val="21"/>
              </w:rPr>
              <w:t>操作步骤</w:t>
            </w:r>
          </w:p>
        </w:tc>
        <w:tc>
          <w:tcPr>
            <w:tcW w:w="1704" w:type="dxa"/>
            <w:vAlign w:val="center"/>
          </w:tcPr>
          <w:p w14:paraId="569008E9">
            <w:pPr>
              <w:spacing w:line="440" w:lineRule="exact"/>
              <w:jc w:val="center"/>
              <w:rPr>
                <w:rFonts w:cs="宋体" w:asciiTheme="minorEastAsia" w:hAnsiTheme="minorEastAsia"/>
                <w:szCs w:val="21"/>
              </w:rPr>
            </w:pPr>
            <w:r>
              <w:rPr>
                <w:rFonts w:hint="eastAsia" w:cs="宋体" w:asciiTheme="minorEastAsia" w:hAnsiTheme="minorEastAsia"/>
                <w:szCs w:val="21"/>
              </w:rPr>
              <w:t>数据</w:t>
            </w:r>
          </w:p>
        </w:tc>
        <w:tc>
          <w:tcPr>
            <w:tcW w:w="2216" w:type="dxa"/>
            <w:vAlign w:val="center"/>
          </w:tcPr>
          <w:p w14:paraId="1BFF02B1">
            <w:pPr>
              <w:spacing w:line="440" w:lineRule="exact"/>
              <w:jc w:val="center"/>
              <w:rPr>
                <w:rFonts w:cs="宋体" w:asciiTheme="minorEastAsia" w:hAnsiTheme="minorEastAsia"/>
                <w:szCs w:val="21"/>
              </w:rPr>
            </w:pPr>
            <w:r>
              <w:rPr>
                <w:rFonts w:hint="eastAsia" w:cs="宋体" w:asciiTheme="minorEastAsia" w:hAnsiTheme="minorEastAsia"/>
                <w:szCs w:val="21"/>
              </w:rPr>
              <w:t>期望结果</w:t>
            </w:r>
          </w:p>
        </w:tc>
        <w:tc>
          <w:tcPr>
            <w:tcW w:w="1593" w:type="dxa"/>
            <w:vAlign w:val="center"/>
          </w:tcPr>
          <w:p w14:paraId="44D1B526">
            <w:pPr>
              <w:spacing w:line="440" w:lineRule="exact"/>
              <w:jc w:val="center"/>
              <w:rPr>
                <w:rFonts w:cs="宋体" w:asciiTheme="minorEastAsia" w:hAnsiTheme="minorEastAsia"/>
                <w:szCs w:val="21"/>
              </w:rPr>
            </w:pPr>
            <w:r>
              <w:rPr>
                <w:rFonts w:hint="eastAsia" w:cs="宋体" w:asciiTheme="minorEastAsia" w:hAnsiTheme="minorEastAsia"/>
                <w:szCs w:val="21"/>
              </w:rPr>
              <w:t>实际结果</w:t>
            </w:r>
          </w:p>
        </w:tc>
      </w:tr>
      <w:tr w14:paraId="1574F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3" w:hRule="atLeast"/>
          <w:jc w:val="center"/>
        </w:trPr>
        <w:tc>
          <w:tcPr>
            <w:tcW w:w="858" w:type="dxa"/>
            <w:vAlign w:val="center"/>
          </w:tcPr>
          <w:p w14:paraId="5A3FF3F5">
            <w:pPr>
              <w:spacing w:line="440" w:lineRule="exact"/>
              <w:jc w:val="center"/>
              <w:rPr>
                <w:rFonts w:cs="宋体" w:asciiTheme="minorEastAsia" w:hAnsiTheme="minorEastAsia"/>
                <w:szCs w:val="21"/>
              </w:rPr>
            </w:pPr>
            <w:r>
              <w:rPr>
                <w:rFonts w:hint="eastAsia" w:ascii="Times New Roman" w:hAnsi="Times New Roman" w:cs="宋体"/>
                <w:szCs w:val="21"/>
              </w:rPr>
              <w:t>1</w:t>
            </w:r>
          </w:p>
        </w:tc>
        <w:tc>
          <w:tcPr>
            <w:tcW w:w="727" w:type="dxa"/>
            <w:vAlign w:val="center"/>
          </w:tcPr>
          <w:p w14:paraId="751B9F8A">
            <w:pPr>
              <w:spacing w:line="440" w:lineRule="exact"/>
              <w:jc w:val="center"/>
              <w:rPr>
                <w:rFonts w:cs="宋体" w:asciiTheme="minorEastAsia" w:hAnsiTheme="minorEastAsia"/>
                <w:szCs w:val="21"/>
              </w:rPr>
            </w:pPr>
            <w:r>
              <w:rPr>
                <w:rFonts w:hint="eastAsia" w:cs="宋体" w:asciiTheme="minorEastAsia" w:hAnsiTheme="minorEastAsia"/>
                <w:szCs w:val="21"/>
              </w:rPr>
              <w:t>界面检查</w:t>
            </w:r>
          </w:p>
        </w:tc>
        <w:tc>
          <w:tcPr>
            <w:tcW w:w="1740" w:type="dxa"/>
            <w:gridSpan w:val="2"/>
            <w:vAlign w:val="center"/>
          </w:tcPr>
          <w:p w14:paraId="0E20C70D">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、界面装载</w:t>
            </w:r>
          </w:p>
          <w:p w14:paraId="4232D574">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、检查界面的标题</w:t>
            </w:r>
          </w:p>
          <w:p w14:paraId="0EB1705E">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、检查文本框默认的焦点</w:t>
            </w:r>
          </w:p>
          <w:p w14:paraId="7018ED5E">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、检查</w:t>
            </w:r>
            <w:r>
              <w:rPr>
                <w:rFonts w:hint="eastAsia" w:ascii="Times New Roman" w:hAnsi="Times New Roman" w:cs="宋体"/>
                <w:sz w:val="21"/>
                <w:szCs w:val="21"/>
              </w:rPr>
              <w:t>Enter</w:t>
            </w:r>
            <w:r>
              <w:rPr>
                <w:rFonts w:hint="eastAsia" w:cs="宋体" w:asciiTheme="minorEastAsia" w:hAnsiTheme="minorEastAsia"/>
                <w:sz w:val="21"/>
                <w:szCs w:val="21"/>
              </w:rPr>
              <w:t>键的正常使用</w:t>
            </w:r>
          </w:p>
        </w:tc>
        <w:tc>
          <w:tcPr>
            <w:tcW w:w="1704" w:type="dxa"/>
            <w:vAlign w:val="center"/>
          </w:tcPr>
          <w:p w14:paraId="5F28EAC8">
            <w:pPr>
              <w:keepNext w:val="0"/>
              <w:keepLines w:val="0"/>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、登入界面的</w:t>
            </w:r>
            <w:r>
              <w:rPr>
                <w:rFonts w:hint="eastAsia" w:ascii="Times New Roman" w:hAnsi="Times New Roman" w:cs="宋体"/>
                <w:szCs w:val="21"/>
              </w:rPr>
              <w:t>URL</w:t>
            </w:r>
            <w:r>
              <w:rPr>
                <w:rFonts w:hint="eastAsia" w:cs="宋体" w:asciiTheme="minorEastAsia" w:hAnsiTheme="minorEastAsia"/>
                <w:szCs w:val="21"/>
              </w:rPr>
              <w:t>:</w:t>
            </w:r>
            <w:r>
              <w:rPr>
                <w:rFonts w:hint="eastAsia" w:ascii="Times New Roman" w:hAnsi="Times New Roman" w:cs="宋体"/>
                <w:szCs w:val="21"/>
              </w:rPr>
              <w:t>localhost</w:t>
            </w:r>
            <w:r>
              <w:rPr>
                <w:rFonts w:hint="eastAsia" w:cs="宋体" w:asciiTheme="minorEastAsia" w:hAnsiTheme="minorEastAsia"/>
                <w:szCs w:val="21"/>
              </w:rPr>
              <w:t>:</w:t>
            </w:r>
            <w:r>
              <w:rPr>
                <w:rFonts w:hint="eastAsia" w:ascii="Times New Roman" w:hAnsi="Times New Roman" w:cs="宋体"/>
                <w:szCs w:val="21"/>
              </w:rPr>
              <w:t>8081</w:t>
            </w:r>
            <w:r>
              <w:rPr>
                <w:rFonts w:hint="eastAsia" w:cs="宋体" w:asciiTheme="minorEastAsia" w:hAnsiTheme="minorEastAsia"/>
                <w:szCs w:val="21"/>
              </w:rPr>
              <w:t>/#/</w:t>
            </w:r>
            <w:r>
              <w:rPr>
                <w:rFonts w:hint="eastAsia" w:ascii="Times New Roman" w:hAnsi="Times New Roman" w:cs="宋体"/>
                <w:szCs w:val="21"/>
              </w:rPr>
              <w:t>index</w:t>
            </w:r>
          </w:p>
        </w:tc>
        <w:tc>
          <w:tcPr>
            <w:tcW w:w="2216" w:type="dxa"/>
            <w:vAlign w:val="center"/>
          </w:tcPr>
          <w:p w14:paraId="496384AA">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791A3EC2">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1DB82009">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3666BBC5">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c>
          <w:tcPr>
            <w:tcW w:w="1593" w:type="dxa"/>
            <w:vAlign w:val="center"/>
          </w:tcPr>
          <w:p w14:paraId="4DDBEC6A">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36543DB8">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23A99FA6">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5D753492">
            <w:pPr>
              <w:pStyle w:val="32"/>
              <w:keepNext w:val="0"/>
              <w:keepLines w:val="0"/>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p>
        </w:tc>
      </w:tr>
      <w:tr w14:paraId="454780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08" w:hRule="atLeast"/>
          <w:jc w:val="center"/>
        </w:trPr>
        <w:tc>
          <w:tcPr>
            <w:tcW w:w="858" w:type="dxa"/>
            <w:shd w:val="clear" w:color="auto" w:fill="auto"/>
            <w:vAlign w:val="center"/>
          </w:tcPr>
          <w:p w14:paraId="3F02132B">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p>
        </w:tc>
        <w:tc>
          <w:tcPr>
            <w:tcW w:w="727" w:type="dxa"/>
            <w:shd w:val="clear" w:color="auto" w:fill="auto"/>
            <w:vAlign w:val="center"/>
          </w:tcPr>
          <w:p w14:paraId="499A4F92">
            <w:pPr>
              <w:spacing w:line="440" w:lineRule="exact"/>
              <w:jc w:val="center"/>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个人中心</w:t>
            </w:r>
          </w:p>
        </w:tc>
        <w:tc>
          <w:tcPr>
            <w:tcW w:w="1740" w:type="dxa"/>
            <w:gridSpan w:val="2"/>
            <w:shd w:val="clear" w:color="auto" w:fill="auto"/>
            <w:vAlign w:val="center"/>
          </w:tcPr>
          <w:p w14:paraId="5821111A">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、个人信息</w:t>
            </w:r>
          </w:p>
          <w:p w14:paraId="6569710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、修改密码</w:t>
            </w:r>
          </w:p>
          <w:p w14:paraId="35F04C36">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r>
              <w:rPr>
                <w:rFonts w:hint="eastAsia" w:cs="宋体" w:asciiTheme="minorEastAsia" w:hAnsiTheme="minorEastAsia"/>
                <w:szCs w:val="21"/>
              </w:rPr>
              <w:t>、退出系统</w:t>
            </w:r>
          </w:p>
        </w:tc>
        <w:tc>
          <w:tcPr>
            <w:tcW w:w="1704" w:type="dxa"/>
            <w:shd w:val="clear" w:color="auto" w:fill="auto"/>
            <w:vAlign w:val="center"/>
          </w:tcPr>
          <w:p w14:paraId="28A65DBD">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个人信息</w:t>
            </w:r>
          </w:p>
          <w:p w14:paraId="7FD73DB3">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修改密码</w:t>
            </w:r>
          </w:p>
          <w:p w14:paraId="241E69E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退出系统</w:t>
            </w:r>
          </w:p>
        </w:tc>
        <w:tc>
          <w:tcPr>
            <w:tcW w:w="2216" w:type="dxa"/>
            <w:shd w:val="clear" w:color="auto" w:fill="auto"/>
            <w:vAlign w:val="center"/>
          </w:tcPr>
          <w:p w14:paraId="6E2FEDD8">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用户点击个人信息自动跳转到用户修改信息模块，并进行信息的修改</w:t>
            </w:r>
          </w:p>
        </w:tc>
        <w:tc>
          <w:tcPr>
            <w:tcW w:w="1593" w:type="dxa"/>
            <w:shd w:val="clear" w:color="auto" w:fill="auto"/>
            <w:vAlign w:val="center"/>
          </w:tcPr>
          <w:p w14:paraId="248F398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用户点击个人信息自动跳转到模块修改界面</w:t>
            </w:r>
          </w:p>
        </w:tc>
      </w:tr>
      <w:tr w14:paraId="02FEB9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52" w:hRule="atLeast"/>
          <w:jc w:val="center"/>
        </w:trPr>
        <w:tc>
          <w:tcPr>
            <w:tcW w:w="858" w:type="dxa"/>
            <w:shd w:val="clear" w:color="auto" w:fill="auto"/>
            <w:vAlign w:val="center"/>
          </w:tcPr>
          <w:p w14:paraId="6D49066D">
            <w:pPr>
              <w:spacing w:line="440" w:lineRule="exact"/>
              <w:jc w:val="center"/>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p>
        </w:tc>
        <w:tc>
          <w:tcPr>
            <w:tcW w:w="727" w:type="dxa"/>
            <w:shd w:val="clear" w:color="auto" w:fill="auto"/>
            <w:vAlign w:val="center"/>
          </w:tcPr>
          <w:p w14:paraId="46BA5B2B">
            <w:pPr>
              <w:spacing w:line="440" w:lineRule="exact"/>
              <w:jc w:val="center"/>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个人中心</w:t>
            </w:r>
          </w:p>
        </w:tc>
        <w:tc>
          <w:tcPr>
            <w:tcW w:w="1740" w:type="dxa"/>
            <w:gridSpan w:val="2"/>
            <w:shd w:val="clear" w:color="auto" w:fill="auto"/>
            <w:vAlign w:val="center"/>
          </w:tcPr>
          <w:p w14:paraId="2C482E92">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、个人信息</w:t>
            </w:r>
          </w:p>
          <w:p w14:paraId="1BDECB8C">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、修改密码</w:t>
            </w:r>
          </w:p>
          <w:p w14:paraId="180374C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r>
              <w:rPr>
                <w:rFonts w:hint="eastAsia" w:cs="宋体" w:asciiTheme="minorEastAsia" w:hAnsiTheme="minorEastAsia"/>
                <w:szCs w:val="21"/>
              </w:rPr>
              <w:t>、退出系统</w:t>
            </w:r>
          </w:p>
        </w:tc>
        <w:tc>
          <w:tcPr>
            <w:tcW w:w="1704" w:type="dxa"/>
            <w:shd w:val="clear" w:color="auto" w:fill="auto"/>
            <w:vAlign w:val="center"/>
          </w:tcPr>
          <w:p w14:paraId="112BB8F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个人信息</w:t>
            </w:r>
          </w:p>
          <w:p w14:paraId="496D5CB6">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修改密码</w:t>
            </w:r>
          </w:p>
          <w:p w14:paraId="6BB5D7D2">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退出系统</w:t>
            </w:r>
          </w:p>
        </w:tc>
        <w:tc>
          <w:tcPr>
            <w:tcW w:w="2216" w:type="dxa"/>
            <w:shd w:val="clear" w:color="auto" w:fill="auto"/>
            <w:vAlign w:val="center"/>
          </w:tcPr>
          <w:p w14:paraId="498216CA">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用户点击修改密码自动跳转到用户修改密码模块，并进行密码的修改</w:t>
            </w:r>
          </w:p>
        </w:tc>
        <w:tc>
          <w:tcPr>
            <w:tcW w:w="1593" w:type="dxa"/>
            <w:shd w:val="clear" w:color="auto" w:fill="auto"/>
            <w:vAlign w:val="center"/>
          </w:tcPr>
          <w:p w14:paraId="23CB2065">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用户点击修改密码自动跳转到用户修改密码模块，并进行密码的修改</w:t>
            </w:r>
          </w:p>
        </w:tc>
      </w:tr>
    </w:tbl>
    <w:p w14:paraId="05801FF6">
      <w:pPr>
        <w:spacing w:line="440" w:lineRule="exact"/>
        <w:jc w:val="center"/>
        <w:outlineLvl w:val="9"/>
        <w:rPr>
          <w:rFonts w:ascii="宋体" w:hAnsi="宋体" w:cs="宋体"/>
          <w:szCs w:val="21"/>
        </w:rPr>
      </w:pPr>
    </w:p>
    <w:p w14:paraId="59FFA6C3">
      <w:pPr>
        <w:tabs>
          <w:tab w:val="left" w:pos="1584"/>
        </w:tabs>
        <w:outlineLvl w:val="9"/>
      </w:pPr>
      <w:r>
        <w:br w:type="page"/>
      </w:r>
    </w:p>
    <w:p w14:paraId="35C43746">
      <w:pPr>
        <w:spacing w:line="440" w:lineRule="exact"/>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5-3</w:t>
      </w:r>
      <w:r>
        <w:rPr>
          <w:rFonts w:cs="宋体" w:asciiTheme="minorEastAsia" w:hAnsiTheme="minorEastAsia"/>
          <w:szCs w:val="21"/>
        </w:rPr>
        <w:t>(</w:t>
      </w:r>
      <w:r>
        <w:rPr>
          <w:rFonts w:hint="eastAsia" w:cs="宋体" w:asciiTheme="minorEastAsia" w:hAnsiTheme="minorEastAsia"/>
          <w:szCs w:val="21"/>
        </w:rPr>
        <w:t>续)</w:t>
      </w:r>
    </w:p>
    <w:tbl>
      <w:tblPr>
        <w:tblStyle w:val="35"/>
        <w:tblW w:w="8664" w:type="dxa"/>
        <w:jc w:val="center"/>
        <w:tblLayout w:type="fixed"/>
        <w:tblCellMar>
          <w:top w:w="0" w:type="dxa"/>
          <w:left w:w="108" w:type="dxa"/>
          <w:bottom w:w="0" w:type="dxa"/>
          <w:right w:w="108" w:type="dxa"/>
        </w:tblCellMar>
      </w:tblPr>
      <w:tblGrid>
        <w:gridCol w:w="842"/>
        <w:gridCol w:w="713"/>
        <w:gridCol w:w="1706"/>
        <w:gridCol w:w="1671"/>
        <w:gridCol w:w="2172"/>
        <w:gridCol w:w="1560"/>
      </w:tblGrid>
      <w:tr w14:paraId="773548E2">
        <w:tblPrEx>
          <w:tblCellMar>
            <w:top w:w="0" w:type="dxa"/>
            <w:left w:w="108" w:type="dxa"/>
            <w:bottom w:w="0" w:type="dxa"/>
            <w:right w:w="108" w:type="dxa"/>
          </w:tblCellMar>
        </w:tblPrEx>
        <w:trPr>
          <w:trHeight w:val="714" w:hRule="atLeast"/>
          <w:jc w:val="center"/>
        </w:trPr>
        <w:tc>
          <w:tcPr>
            <w:tcW w:w="842" w:type="dxa"/>
            <w:tcBorders>
              <w:top w:val="single" w:color="000000" w:sz="4" w:space="0"/>
              <w:left w:val="single" w:color="000000" w:sz="4" w:space="0"/>
              <w:bottom w:val="single" w:color="000000" w:sz="4" w:space="0"/>
              <w:right w:val="single" w:color="000000" w:sz="4" w:space="0"/>
            </w:tcBorders>
            <w:vAlign w:val="center"/>
          </w:tcPr>
          <w:p w14:paraId="6C9B17AA">
            <w:pPr>
              <w:spacing w:line="440" w:lineRule="exact"/>
              <w:jc w:val="center"/>
              <w:rPr>
                <w:rFonts w:cs="宋体" w:asciiTheme="minorEastAsia" w:hAnsiTheme="minorEastAsia"/>
                <w:szCs w:val="21"/>
              </w:rPr>
            </w:pPr>
            <w:r>
              <w:rPr>
                <w:rFonts w:hint="eastAsia" w:ascii="Times New Roman" w:hAnsi="Times New Roman" w:cs="宋体"/>
                <w:szCs w:val="21"/>
              </w:rPr>
              <w:t>4</w:t>
            </w:r>
          </w:p>
        </w:tc>
        <w:tc>
          <w:tcPr>
            <w:tcW w:w="713" w:type="dxa"/>
            <w:tcBorders>
              <w:top w:val="single" w:color="000000" w:sz="4" w:space="0"/>
              <w:left w:val="single" w:color="000000" w:sz="4" w:space="0"/>
              <w:bottom w:val="single" w:color="000000" w:sz="4" w:space="0"/>
              <w:right w:val="single" w:color="000000" w:sz="4" w:space="0"/>
            </w:tcBorders>
            <w:vAlign w:val="center"/>
          </w:tcPr>
          <w:p w14:paraId="6A49F39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个人中心</w:t>
            </w:r>
          </w:p>
        </w:tc>
        <w:tc>
          <w:tcPr>
            <w:tcW w:w="1706" w:type="dxa"/>
            <w:tcBorders>
              <w:top w:val="single" w:color="000000" w:sz="4" w:space="0"/>
              <w:left w:val="single" w:color="000000" w:sz="4" w:space="0"/>
              <w:bottom w:val="single" w:color="000000" w:sz="4" w:space="0"/>
              <w:right w:val="single" w:color="000000" w:sz="4" w:space="0"/>
            </w:tcBorders>
            <w:vAlign w:val="center"/>
          </w:tcPr>
          <w:p w14:paraId="7CAF4122">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、个人信息</w:t>
            </w:r>
          </w:p>
          <w:p w14:paraId="38016AA3">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、修改密码</w:t>
            </w:r>
          </w:p>
          <w:p w14:paraId="78C297D6">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、退出系统</w:t>
            </w:r>
          </w:p>
        </w:tc>
        <w:tc>
          <w:tcPr>
            <w:tcW w:w="1671" w:type="dxa"/>
            <w:tcBorders>
              <w:top w:val="single" w:color="000000" w:sz="4" w:space="0"/>
              <w:left w:val="single" w:color="000000" w:sz="4" w:space="0"/>
              <w:bottom w:val="single" w:color="000000" w:sz="4" w:space="0"/>
              <w:right w:val="single" w:color="000000" w:sz="4" w:space="0"/>
            </w:tcBorders>
            <w:vAlign w:val="center"/>
          </w:tcPr>
          <w:p w14:paraId="14BA6E2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个人信息</w:t>
            </w:r>
          </w:p>
          <w:p w14:paraId="06B77E9E">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修改密码</w:t>
            </w:r>
          </w:p>
          <w:p w14:paraId="4C65F011">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退出系统</w:t>
            </w:r>
          </w:p>
        </w:tc>
        <w:tc>
          <w:tcPr>
            <w:tcW w:w="2172" w:type="dxa"/>
            <w:tcBorders>
              <w:top w:val="single" w:color="000000" w:sz="4" w:space="0"/>
              <w:left w:val="single" w:color="000000" w:sz="4" w:space="0"/>
              <w:bottom w:val="single" w:color="000000" w:sz="4" w:space="0"/>
              <w:right w:val="single" w:color="000000" w:sz="4" w:space="0"/>
            </w:tcBorders>
            <w:vAlign w:val="center"/>
          </w:tcPr>
          <w:p w14:paraId="327DB796">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用户点击退出系统自动跳转到系统提示界面，并确认是否退出，点击确认回到登录界面</w:t>
            </w:r>
          </w:p>
        </w:tc>
        <w:tc>
          <w:tcPr>
            <w:tcW w:w="1560" w:type="dxa"/>
            <w:tcBorders>
              <w:top w:val="single" w:color="000000" w:sz="4" w:space="0"/>
              <w:left w:val="single" w:color="000000" w:sz="4" w:space="0"/>
              <w:bottom w:val="single" w:color="000000" w:sz="4" w:space="0"/>
              <w:right w:val="single" w:color="000000" w:sz="4" w:space="0"/>
            </w:tcBorders>
            <w:vAlign w:val="center"/>
          </w:tcPr>
          <w:p w14:paraId="72C60FD9">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用户点击退出系统自动跳转到系统提示界面，并确认是否退出，点击确认回到登录界面</w:t>
            </w:r>
          </w:p>
        </w:tc>
      </w:tr>
    </w:tbl>
    <w:p w14:paraId="2962496D">
      <w:pPr>
        <w:tabs>
          <w:tab w:val="left" w:pos="1584"/>
        </w:tabs>
        <w:spacing w:before="0" w:after="0" w:line="440" w:lineRule="exact"/>
        <w:ind w:firstLine="480" w:firstLineChars="200"/>
        <w:jc w:val="left"/>
        <w:outlineLvl w:val="9"/>
        <w:rPr>
          <w:rFonts w:ascii="宋体" w:hAnsi="宋体" w:eastAsia="宋体" w:cs="宋体"/>
          <w:b w:val="0"/>
          <w:sz w:val="24"/>
        </w:rPr>
      </w:pPr>
      <w:bookmarkStart w:id="743" w:name="_Toc24619"/>
      <w:bookmarkStart w:id="744" w:name="_Toc7520"/>
      <w:r>
        <w:rPr>
          <w:rFonts w:ascii="Times New Roman" w:hAnsi="Times New Roman" w:eastAsia="宋体"/>
          <w:b w:val="0"/>
          <w:sz w:val="24"/>
        </w:rPr>
        <w:t>5.1.3</w:t>
      </w:r>
      <w:r>
        <w:rPr>
          <w:rFonts w:hint="eastAsia" w:ascii="宋体" w:hAnsi="宋体" w:eastAsia="宋体" w:cs="宋体"/>
          <w:b w:val="0"/>
          <w:sz w:val="24"/>
        </w:rPr>
        <w:t>社团信息管理模块</w:t>
      </w:r>
      <w:bookmarkEnd w:id="743"/>
      <w:bookmarkEnd w:id="744"/>
    </w:p>
    <w:p w14:paraId="7802379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b w:val="0"/>
          <w:sz w:val="24"/>
        </w:rPr>
      </w:pPr>
      <w:bookmarkStart w:id="745" w:name="_Toc20363"/>
      <w:r>
        <w:rPr>
          <w:rFonts w:hint="eastAsia" w:ascii="宋体" w:hAnsi="宋体" w:eastAsia="宋体" w:cs="宋体"/>
          <w:b w:val="0"/>
          <w:sz w:val="24"/>
        </w:rPr>
        <w:t>社团信息管理模块</w:t>
      </w:r>
      <w:r>
        <w:rPr>
          <w:rFonts w:hint="eastAsia" w:ascii="宋体" w:hAnsi="宋体" w:eastAsia="宋体" w:cs="宋体"/>
          <w:b w:val="0"/>
          <w:sz w:val="24"/>
          <w:lang w:eastAsia="zh"/>
        </w:rPr>
        <w:t>用来</w:t>
      </w:r>
      <w:r>
        <w:rPr>
          <w:rFonts w:hint="eastAsia" w:ascii="宋体" w:hAnsi="宋体" w:eastAsia="宋体" w:cs="宋体"/>
          <w:b w:val="0"/>
          <w:sz w:val="24"/>
        </w:rPr>
        <w:t>编辑社团</w:t>
      </w:r>
      <w:r>
        <w:rPr>
          <w:rFonts w:hint="eastAsia" w:ascii="宋体" w:hAnsi="宋体" w:eastAsia="宋体" w:cs="宋体"/>
          <w:b w:val="0"/>
          <w:sz w:val="24"/>
          <w:lang w:eastAsia="zh"/>
        </w:rPr>
        <w:t>信息</w:t>
      </w:r>
      <w:r>
        <w:rPr>
          <w:rFonts w:hint="eastAsia" w:ascii="宋体" w:hAnsi="宋体" w:eastAsia="宋体" w:cs="宋体"/>
          <w:b w:val="0"/>
          <w:sz w:val="24"/>
        </w:rPr>
        <w:t>等内容</w:t>
      </w:r>
      <w:r>
        <w:rPr>
          <w:rFonts w:hint="eastAsia" w:ascii="宋体" w:hAnsi="宋体" w:eastAsia="宋体" w:cs="宋体"/>
          <w:b w:val="0"/>
          <w:sz w:val="24"/>
          <w:lang w:eastAsia="zh"/>
        </w:rPr>
        <w:t>，</w:t>
      </w:r>
      <w:r>
        <w:rPr>
          <w:rFonts w:hint="eastAsia" w:ascii="宋体" w:hAnsi="宋体" w:eastAsia="宋体" w:cs="宋体"/>
          <w:b w:val="0"/>
          <w:sz w:val="24"/>
        </w:rPr>
        <w:t>系统管理员</w:t>
      </w:r>
      <w:r>
        <w:rPr>
          <w:rFonts w:hint="eastAsia" w:ascii="宋体" w:hAnsi="宋体" w:eastAsia="宋体" w:cs="宋体"/>
          <w:b w:val="0"/>
          <w:sz w:val="24"/>
          <w:lang w:eastAsia="zh"/>
        </w:rPr>
        <w:t>能否在该页面找到各</w:t>
      </w:r>
      <w:r>
        <w:rPr>
          <w:rFonts w:hint="eastAsia" w:ascii="宋体" w:hAnsi="宋体" w:eastAsia="宋体" w:cs="宋体"/>
          <w:b w:val="0"/>
          <w:sz w:val="24"/>
        </w:rPr>
        <w:t>类社团</w:t>
      </w:r>
      <w:r>
        <w:rPr>
          <w:rFonts w:hint="eastAsia" w:ascii="宋体" w:hAnsi="宋体" w:eastAsia="宋体" w:cs="宋体"/>
          <w:b w:val="0"/>
          <w:sz w:val="24"/>
          <w:lang w:eastAsia="zh"/>
        </w:rPr>
        <w:t>的信息</w:t>
      </w:r>
      <w:r>
        <w:rPr>
          <w:rFonts w:hint="eastAsia" w:ascii="宋体" w:hAnsi="宋体" w:eastAsia="宋体" w:cs="宋体"/>
          <w:b w:val="0"/>
          <w:sz w:val="24"/>
        </w:rPr>
        <w:t>是检验该</w:t>
      </w:r>
      <w:r>
        <w:rPr>
          <w:rFonts w:hint="eastAsia" w:ascii="宋体" w:hAnsi="宋体" w:cs="宋体"/>
          <w:sz w:val="24"/>
          <w:lang w:eastAsia="zh"/>
        </w:rPr>
        <w:t>模块</w:t>
      </w:r>
      <w:r>
        <w:rPr>
          <w:rFonts w:hint="eastAsia" w:ascii="宋体" w:hAnsi="宋体" w:eastAsia="宋体" w:cs="宋体"/>
          <w:b w:val="0"/>
          <w:sz w:val="24"/>
        </w:rPr>
        <w:t>的重要指标之一，查找和修改社团信息流程简洁高效，为了管理员更好的管理和满意，我们做了以下测试如表</w:t>
      </w:r>
      <w:r>
        <w:rPr>
          <w:rFonts w:hint="eastAsia" w:ascii="Times New Roman" w:hAnsi="Times New Roman" w:eastAsia="宋体" w:cs="宋体"/>
          <w:b w:val="0"/>
          <w:sz w:val="24"/>
        </w:rPr>
        <w:t>5-4</w:t>
      </w:r>
      <w:r>
        <w:rPr>
          <w:rFonts w:hint="eastAsia" w:ascii="宋体" w:hAnsi="宋体" w:eastAsia="宋体" w:cs="宋体"/>
          <w:b w:val="0"/>
          <w:sz w:val="24"/>
        </w:rPr>
        <w:t>所示。</w:t>
      </w:r>
      <w:bookmarkEnd w:id="745"/>
    </w:p>
    <w:p w14:paraId="3C6A2708">
      <w:pPr>
        <w:tabs>
          <w:tab w:val="left" w:pos="1584"/>
        </w:tabs>
        <w:spacing w:before="0" w:after="0" w:line="440" w:lineRule="exact"/>
        <w:ind w:firstLine="420" w:firstLineChars="200"/>
        <w:jc w:val="center"/>
        <w:outlineLvl w:val="9"/>
        <w:rPr>
          <w:sz w:val="24"/>
        </w:rPr>
      </w:pPr>
      <w:bookmarkStart w:id="746" w:name="_Toc28146"/>
      <w:bookmarkStart w:id="747" w:name="_Toc18548"/>
      <w:r>
        <w:rPr>
          <w:rFonts w:hint="eastAsia" w:ascii="宋体" w:hAnsi="宋体" w:eastAsia="宋体" w:cs="宋体"/>
          <w:b w:val="0"/>
          <w:sz w:val="21"/>
          <w:szCs w:val="21"/>
        </w:rPr>
        <w:t>表</w:t>
      </w:r>
      <w:r>
        <w:rPr>
          <w:rFonts w:hint="eastAsia" w:ascii="Times New Roman" w:hAnsi="Times New Roman" w:eastAsia="宋体" w:cs="宋体"/>
          <w:b w:val="0"/>
          <w:sz w:val="24"/>
        </w:rPr>
        <w:t>5-4</w:t>
      </w:r>
      <w:r>
        <w:rPr>
          <w:rFonts w:hint="eastAsia" w:ascii="宋体" w:hAnsi="宋体" w:eastAsia="宋体" w:cs="宋体"/>
          <w:b w:val="0"/>
          <w:sz w:val="21"/>
          <w:szCs w:val="21"/>
        </w:rPr>
        <w:t>社团信息管理模块用例表</w:t>
      </w:r>
      <w:bookmarkEnd w:id="746"/>
      <w:bookmarkEnd w:id="747"/>
    </w:p>
    <w:tbl>
      <w:tblPr>
        <w:tblStyle w:val="35"/>
        <w:tblpPr w:leftFromText="180" w:rightFromText="180" w:vertAnchor="text" w:horzAnchor="page" w:tblpXSpec="center" w:tblpY="184"/>
        <w:tblOverlap w:val="never"/>
        <w:tblW w:w="85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3"/>
        <w:gridCol w:w="768"/>
        <w:gridCol w:w="1656"/>
        <w:gridCol w:w="2076"/>
        <w:gridCol w:w="1440"/>
        <w:gridCol w:w="1812"/>
      </w:tblGrid>
      <w:tr w14:paraId="26777E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56" w:hRule="atLeast"/>
        </w:trPr>
        <w:tc>
          <w:tcPr>
            <w:tcW w:w="823" w:type="dxa"/>
            <w:vAlign w:val="center"/>
          </w:tcPr>
          <w:p w14:paraId="367B1281">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测试</w:t>
            </w:r>
          </w:p>
          <w:p w14:paraId="5FE46A67">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类型</w:t>
            </w:r>
          </w:p>
        </w:tc>
        <w:tc>
          <w:tcPr>
            <w:tcW w:w="768" w:type="dxa"/>
            <w:vAlign w:val="center"/>
          </w:tcPr>
          <w:p w14:paraId="1F820777">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功能测试</w:t>
            </w:r>
          </w:p>
        </w:tc>
        <w:tc>
          <w:tcPr>
            <w:tcW w:w="1656" w:type="dxa"/>
            <w:vAlign w:val="center"/>
          </w:tcPr>
          <w:p w14:paraId="5996DE1C">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模块名称</w:t>
            </w:r>
          </w:p>
        </w:tc>
        <w:tc>
          <w:tcPr>
            <w:tcW w:w="5328" w:type="dxa"/>
            <w:gridSpan w:val="3"/>
            <w:vAlign w:val="center"/>
          </w:tcPr>
          <w:p w14:paraId="0D42237F">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社团信息管理模块</w:t>
            </w:r>
          </w:p>
        </w:tc>
      </w:tr>
      <w:tr w14:paraId="5E420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56" w:hRule="atLeast"/>
        </w:trPr>
        <w:tc>
          <w:tcPr>
            <w:tcW w:w="823" w:type="dxa"/>
            <w:vAlign w:val="center"/>
          </w:tcPr>
          <w:p w14:paraId="7E81AFF4">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用例描述</w:t>
            </w:r>
          </w:p>
        </w:tc>
        <w:tc>
          <w:tcPr>
            <w:tcW w:w="7752" w:type="dxa"/>
            <w:gridSpan w:val="5"/>
            <w:vAlign w:val="center"/>
          </w:tcPr>
          <w:p w14:paraId="682DB54F">
            <w:pPr>
              <w:keepNext w:val="0"/>
              <w:keepLines w:val="0"/>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该用例用来测试社团信息管理情况，管理员能否在该页面找到各类社团的信息</w:t>
            </w:r>
          </w:p>
        </w:tc>
      </w:tr>
      <w:tr w14:paraId="31366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105" w:hRule="atLeast"/>
        </w:trPr>
        <w:tc>
          <w:tcPr>
            <w:tcW w:w="823" w:type="dxa"/>
            <w:vAlign w:val="center"/>
          </w:tcPr>
          <w:p w14:paraId="2D554F99">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前置条件</w:t>
            </w:r>
          </w:p>
        </w:tc>
        <w:tc>
          <w:tcPr>
            <w:tcW w:w="7752" w:type="dxa"/>
            <w:gridSpan w:val="5"/>
            <w:vAlign w:val="center"/>
          </w:tcPr>
          <w:p w14:paraId="78841DDC">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登入正确的用户名和密码；登入页面正常加载。</w:t>
            </w:r>
          </w:p>
          <w:p w14:paraId="2F07A419">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（数据库有用户信息邱坤/</w:t>
            </w:r>
            <w:r>
              <w:rPr>
                <w:rFonts w:hint="eastAsia" w:ascii="Times New Roman" w:hAnsi="Times New Roman" w:cs="宋体"/>
                <w:szCs w:val="21"/>
              </w:rPr>
              <w:t>123456</w:t>
            </w:r>
            <w:r>
              <w:rPr>
                <w:rFonts w:hint="eastAsia" w:cs="宋体" w:asciiTheme="minorEastAsia" w:hAnsiTheme="minorEastAsia"/>
                <w:szCs w:val="21"/>
              </w:rPr>
              <w:t>）。</w:t>
            </w:r>
          </w:p>
        </w:tc>
      </w:tr>
      <w:tr w14:paraId="71B53B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862" w:hRule="atLeast"/>
        </w:trPr>
        <w:tc>
          <w:tcPr>
            <w:tcW w:w="823" w:type="dxa"/>
            <w:vAlign w:val="center"/>
          </w:tcPr>
          <w:p w14:paraId="64F09715">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编号</w:t>
            </w:r>
          </w:p>
        </w:tc>
        <w:tc>
          <w:tcPr>
            <w:tcW w:w="768" w:type="dxa"/>
            <w:vAlign w:val="center"/>
          </w:tcPr>
          <w:p w14:paraId="7D7F294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测试项</w:t>
            </w:r>
          </w:p>
        </w:tc>
        <w:tc>
          <w:tcPr>
            <w:tcW w:w="1656" w:type="dxa"/>
            <w:vAlign w:val="center"/>
          </w:tcPr>
          <w:p w14:paraId="3ACAFE68">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操作步骤</w:t>
            </w:r>
          </w:p>
        </w:tc>
        <w:tc>
          <w:tcPr>
            <w:tcW w:w="2076" w:type="dxa"/>
            <w:vAlign w:val="center"/>
          </w:tcPr>
          <w:p w14:paraId="66625E21">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数据</w:t>
            </w:r>
          </w:p>
        </w:tc>
        <w:tc>
          <w:tcPr>
            <w:tcW w:w="1440" w:type="dxa"/>
            <w:vAlign w:val="center"/>
          </w:tcPr>
          <w:p w14:paraId="62D8B5A5">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期望结果</w:t>
            </w:r>
          </w:p>
        </w:tc>
        <w:tc>
          <w:tcPr>
            <w:tcW w:w="1812" w:type="dxa"/>
            <w:vAlign w:val="center"/>
          </w:tcPr>
          <w:p w14:paraId="6768B96A">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cs="宋体" w:asciiTheme="minorEastAsia" w:hAnsiTheme="minorEastAsia"/>
                <w:szCs w:val="21"/>
              </w:rPr>
              <w:t>实际结果</w:t>
            </w:r>
          </w:p>
        </w:tc>
      </w:tr>
      <w:tr w14:paraId="03DC5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247" w:hRule="atLeast"/>
        </w:trPr>
        <w:tc>
          <w:tcPr>
            <w:tcW w:w="823" w:type="dxa"/>
            <w:shd w:val="clear" w:color="auto" w:fill="auto"/>
            <w:vAlign w:val="center"/>
          </w:tcPr>
          <w:p w14:paraId="541814CD">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1</w:t>
            </w:r>
          </w:p>
        </w:tc>
        <w:tc>
          <w:tcPr>
            <w:tcW w:w="768" w:type="dxa"/>
            <w:shd w:val="clear" w:color="auto" w:fill="auto"/>
            <w:vAlign w:val="center"/>
          </w:tcPr>
          <w:p w14:paraId="71C37972">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界面检查</w:t>
            </w:r>
          </w:p>
        </w:tc>
        <w:tc>
          <w:tcPr>
            <w:tcW w:w="1656" w:type="dxa"/>
            <w:shd w:val="clear" w:color="auto" w:fill="auto"/>
            <w:vAlign w:val="center"/>
          </w:tcPr>
          <w:p w14:paraId="5B1DBA60">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、界面装载</w:t>
            </w:r>
          </w:p>
          <w:p w14:paraId="0BDFF408">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、检查界面的标题</w:t>
            </w:r>
          </w:p>
          <w:p w14:paraId="1D519E34">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、检查文本框默认的焦点</w:t>
            </w:r>
          </w:p>
          <w:p w14:paraId="255E1C41">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4</w:t>
            </w:r>
            <w:r>
              <w:rPr>
                <w:rFonts w:hint="eastAsia" w:cs="宋体" w:asciiTheme="minorEastAsia" w:hAnsiTheme="minorEastAsia"/>
                <w:sz w:val="21"/>
                <w:szCs w:val="21"/>
              </w:rPr>
              <w:t>、检查</w:t>
            </w:r>
            <w:r>
              <w:rPr>
                <w:rFonts w:hint="eastAsia" w:ascii="Times New Roman" w:hAnsi="Times New Roman" w:cs="宋体"/>
                <w:sz w:val="21"/>
                <w:szCs w:val="21"/>
              </w:rPr>
              <w:t>Enter</w:t>
            </w:r>
            <w:r>
              <w:rPr>
                <w:rFonts w:hint="eastAsia" w:cs="宋体" w:asciiTheme="minorEastAsia" w:hAnsiTheme="minorEastAsia"/>
                <w:sz w:val="21"/>
                <w:szCs w:val="21"/>
              </w:rPr>
              <w:t>键的正常使用</w:t>
            </w:r>
          </w:p>
          <w:p w14:paraId="7821D125">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hint="eastAsia" w:cs="宋体" w:asciiTheme="minorEastAsia" w:hAnsiTheme="minorEastAsia" w:eastAsiaTheme="minorEastAsia"/>
                <w:kern w:val="0"/>
                <w:sz w:val="21"/>
                <w:szCs w:val="21"/>
                <w:lang w:val="en-US" w:eastAsia="zh-CN" w:bidi="ar-SA"/>
              </w:rPr>
            </w:pPr>
          </w:p>
        </w:tc>
        <w:tc>
          <w:tcPr>
            <w:tcW w:w="2076" w:type="dxa"/>
            <w:shd w:val="clear" w:color="auto" w:fill="auto"/>
            <w:vAlign w:val="center"/>
          </w:tcPr>
          <w:p w14:paraId="07FFC22D">
            <w:pPr>
              <w:pageBreakBefore w:val="0"/>
              <w:widowControl w:val="0"/>
              <w:kinsoku/>
              <w:wordWrap/>
              <w:overflowPunct/>
              <w:topLinePunct w:val="0"/>
              <w:autoSpaceDE/>
              <w:autoSpaceDN/>
              <w:bidi w:val="0"/>
              <w:adjustRightInd/>
              <w:snapToGrid/>
              <w:spacing w:line="280" w:lineRule="exac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1</w:t>
            </w:r>
            <w:r>
              <w:rPr>
                <w:rFonts w:hint="eastAsia" w:cs="宋体" w:asciiTheme="minorEastAsia" w:hAnsiTheme="minorEastAsia"/>
                <w:szCs w:val="21"/>
              </w:rPr>
              <w:t>、登入界面的</w:t>
            </w:r>
            <w:r>
              <w:rPr>
                <w:rFonts w:hint="eastAsia" w:ascii="Times New Roman" w:hAnsi="Times New Roman" w:cs="宋体"/>
                <w:szCs w:val="21"/>
              </w:rPr>
              <w:t>URL</w:t>
            </w:r>
            <w:r>
              <w:rPr>
                <w:rFonts w:hint="eastAsia" w:cs="宋体" w:asciiTheme="minorEastAsia" w:hAnsiTheme="minorEastAsia"/>
                <w:szCs w:val="21"/>
              </w:rPr>
              <w:t>:</w:t>
            </w:r>
            <w:r>
              <w:rPr>
                <w:rFonts w:hint="eastAsia" w:ascii="Times New Roman" w:hAnsi="Times New Roman" w:cs="宋体"/>
                <w:szCs w:val="21"/>
              </w:rPr>
              <w:t>localhost</w:t>
            </w:r>
            <w:r>
              <w:rPr>
                <w:rFonts w:hint="eastAsia" w:cs="宋体" w:asciiTheme="minorEastAsia" w:hAnsiTheme="minorEastAsia"/>
                <w:szCs w:val="21"/>
              </w:rPr>
              <w:t>:</w:t>
            </w:r>
            <w:r>
              <w:rPr>
                <w:rFonts w:hint="eastAsia" w:ascii="Times New Roman" w:hAnsi="Times New Roman" w:cs="宋体"/>
                <w:szCs w:val="21"/>
              </w:rPr>
              <w:t>8081</w:t>
            </w:r>
            <w:r>
              <w:rPr>
                <w:rFonts w:hint="eastAsia" w:cs="宋体" w:asciiTheme="minorEastAsia" w:hAnsiTheme="minorEastAsia"/>
                <w:szCs w:val="21"/>
              </w:rPr>
              <w:t xml:space="preserve">/#/ </w:t>
            </w:r>
            <w:r>
              <w:rPr>
                <w:rFonts w:hint="eastAsia" w:ascii="Times New Roman" w:hAnsi="Times New Roman" w:cs="宋体"/>
                <w:szCs w:val="21"/>
              </w:rPr>
              <w:t>index</w:t>
            </w:r>
          </w:p>
        </w:tc>
        <w:tc>
          <w:tcPr>
            <w:tcW w:w="1440" w:type="dxa"/>
            <w:shd w:val="clear" w:color="auto" w:fill="auto"/>
            <w:vAlign w:val="center"/>
          </w:tcPr>
          <w:p w14:paraId="1BEB096C">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0F541B2E">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1C1A2700">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08159A75">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hint="eastAsia" w:cs="宋体" w:asciiTheme="minorEastAsia" w:hAnsiTheme="minorEastAsia" w:eastAsiaTheme="minorEastAsia"/>
                <w:kern w:val="0"/>
                <w:sz w:val="21"/>
                <w:szCs w:val="21"/>
                <w:lang w:val="en-US" w:eastAsia="zh-CN" w:bidi="ar-SA"/>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c>
          <w:tcPr>
            <w:tcW w:w="1812" w:type="dxa"/>
            <w:shd w:val="clear" w:color="auto" w:fill="auto"/>
            <w:vAlign w:val="center"/>
          </w:tcPr>
          <w:p w14:paraId="71D28D65">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1</w:t>
            </w:r>
            <w:r>
              <w:rPr>
                <w:rFonts w:hint="eastAsia" w:cs="宋体" w:asciiTheme="minorEastAsia" w:hAnsiTheme="minorEastAsia"/>
                <w:sz w:val="21"/>
                <w:szCs w:val="21"/>
              </w:rPr>
              <w:t>、界面正常装载</w:t>
            </w:r>
          </w:p>
          <w:p w14:paraId="60AB4354">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2</w:t>
            </w:r>
            <w:r>
              <w:rPr>
                <w:rFonts w:hint="eastAsia" w:cs="宋体" w:asciiTheme="minorEastAsia" w:hAnsiTheme="minorEastAsia"/>
                <w:sz w:val="21"/>
                <w:szCs w:val="21"/>
              </w:rPr>
              <w:t>、界面标题显示为“社团管理”</w:t>
            </w:r>
          </w:p>
          <w:p w14:paraId="67AAF567">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cs="宋体" w:asciiTheme="minorEastAsia" w:hAnsiTheme="minorEastAsia"/>
                <w:sz w:val="21"/>
                <w:szCs w:val="21"/>
              </w:rPr>
            </w:pPr>
            <w:r>
              <w:rPr>
                <w:rFonts w:hint="eastAsia" w:ascii="Times New Roman" w:hAnsi="Times New Roman" w:cs="宋体"/>
                <w:sz w:val="21"/>
                <w:szCs w:val="21"/>
              </w:rPr>
              <w:t>3</w:t>
            </w:r>
            <w:r>
              <w:rPr>
                <w:rFonts w:hint="eastAsia" w:cs="宋体" w:asciiTheme="minorEastAsia" w:hAnsiTheme="minorEastAsia"/>
                <w:sz w:val="21"/>
                <w:szCs w:val="21"/>
              </w:rPr>
              <w:t>、焦点在用户名文本框</w:t>
            </w:r>
          </w:p>
          <w:p w14:paraId="6C54DA17">
            <w:pPr>
              <w:pStyle w:val="32"/>
              <w:pageBreakBefore w:val="0"/>
              <w:widowControl w:val="0"/>
              <w:kinsoku/>
              <w:wordWrap/>
              <w:overflowPunct/>
              <w:topLinePunct w:val="0"/>
              <w:autoSpaceDE/>
              <w:autoSpaceDN/>
              <w:bidi w:val="0"/>
              <w:adjustRightInd/>
              <w:snapToGrid/>
              <w:spacing w:beforeAutospacing="0" w:afterAutospacing="0" w:line="280" w:lineRule="exact"/>
              <w:textAlignment w:val="auto"/>
              <w:rPr>
                <w:rFonts w:hint="eastAsia" w:cs="宋体" w:asciiTheme="minorEastAsia" w:hAnsiTheme="minorEastAsia" w:eastAsiaTheme="minorEastAsia"/>
                <w:kern w:val="0"/>
                <w:sz w:val="21"/>
                <w:szCs w:val="21"/>
                <w:lang w:val="en-US" w:eastAsia="zh-CN" w:bidi="ar-SA"/>
              </w:rPr>
            </w:pPr>
            <w:r>
              <w:rPr>
                <w:rFonts w:hint="eastAsia" w:ascii="Times New Roman" w:hAnsi="Times New Roman" w:cs="宋体"/>
                <w:sz w:val="21"/>
                <w:szCs w:val="21"/>
              </w:rPr>
              <w:t>4</w:t>
            </w:r>
            <w:r>
              <w:rPr>
                <w:rFonts w:hint="eastAsia" w:cs="宋体" w:asciiTheme="minorEastAsia" w:hAnsiTheme="minorEastAsia"/>
                <w:sz w:val="21"/>
                <w:szCs w:val="21"/>
              </w:rPr>
              <w:t>、能通过</w:t>
            </w:r>
            <w:r>
              <w:rPr>
                <w:rFonts w:hint="eastAsia" w:ascii="Times New Roman" w:hAnsi="Times New Roman" w:cs="宋体"/>
                <w:sz w:val="21"/>
                <w:szCs w:val="21"/>
              </w:rPr>
              <w:t>Enter</w:t>
            </w:r>
            <w:r>
              <w:rPr>
                <w:rFonts w:hint="eastAsia" w:cs="宋体" w:asciiTheme="minorEastAsia" w:hAnsiTheme="minorEastAsia"/>
                <w:sz w:val="21"/>
                <w:szCs w:val="21"/>
              </w:rPr>
              <w:t>控制</w:t>
            </w:r>
          </w:p>
        </w:tc>
      </w:tr>
      <w:tr w14:paraId="5ACBD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925" w:hRule="atLeast"/>
        </w:trPr>
        <w:tc>
          <w:tcPr>
            <w:tcW w:w="823" w:type="dxa"/>
            <w:shd w:val="clear" w:color="auto" w:fill="auto"/>
            <w:vAlign w:val="center"/>
          </w:tcPr>
          <w:p w14:paraId="13B6C0F4">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p>
        </w:tc>
        <w:tc>
          <w:tcPr>
            <w:tcW w:w="768" w:type="dxa"/>
            <w:shd w:val="clear" w:color="auto" w:fill="auto"/>
            <w:vAlign w:val="center"/>
          </w:tcPr>
          <w:p w14:paraId="18D203B3">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shd w:val="clear" w:color="auto" w:fill="auto"/>
            <w:vAlign w:val="center"/>
          </w:tcPr>
          <w:p w14:paraId="224F61D8">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、输入已有的社团名称</w:t>
            </w:r>
          </w:p>
          <w:p w14:paraId="1F6565C7">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、不选择社团类型</w:t>
            </w:r>
          </w:p>
          <w:p w14:paraId="514EB2B0">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p>
        </w:tc>
        <w:tc>
          <w:tcPr>
            <w:tcW w:w="2076" w:type="dxa"/>
            <w:shd w:val="clear" w:color="auto" w:fill="auto"/>
            <w:vAlign w:val="center"/>
          </w:tcPr>
          <w:p w14:paraId="4C75CCC5">
            <w:pPr>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、社团名称：艺术团</w:t>
            </w:r>
          </w:p>
          <w:p w14:paraId="75841D7D">
            <w:pPr>
              <w:pageBreakBefore w:val="0"/>
              <w:widowControl w:val="0"/>
              <w:kinsoku/>
              <w:wordWrap/>
              <w:overflowPunct/>
              <w:topLinePunct w:val="0"/>
              <w:autoSpaceDE/>
              <w:autoSpaceDN/>
              <w:bidi w:val="0"/>
              <w:adjustRightInd/>
              <w:snapToGrid/>
              <w:spacing w:line="280" w:lineRule="exac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、社团类型：</w:t>
            </w:r>
          </w:p>
        </w:tc>
        <w:tc>
          <w:tcPr>
            <w:tcW w:w="1440" w:type="dxa"/>
            <w:shd w:val="clear" w:color="auto" w:fill="auto"/>
            <w:vAlign w:val="center"/>
          </w:tcPr>
          <w:p w14:paraId="4A1EB4F5">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用户点击搜索图标后自动加载社团信息</w:t>
            </w:r>
          </w:p>
        </w:tc>
        <w:tc>
          <w:tcPr>
            <w:tcW w:w="1812" w:type="dxa"/>
            <w:shd w:val="clear" w:color="auto" w:fill="auto"/>
            <w:vAlign w:val="center"/>
          </w:tcPr>
          <w:p w14:paraId="65596A47">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用户点击搜索图标后自动加载社团信息</w:t>
            </w:r>
          </w:p>
        </w:tc>
      </w:tr>
    </w:tbl>
    <w:p w14:paraId="04DCF432">
      <w:pPr>
        <w:widowControl/>
        <w:jc w:val="left"/>
        <w:rPr>
          <w:rFonts w:ascii="宋体" w:hAnsi="宋体" w:cs="宋体"/>
          <w:sz w:val="24"/>
        </w:rPr>
      </w:pPr>
    </w:p>
    <w:p w14:paraId="55DAE052">
      <w:pPr>
        <w:tabs>
          <w:tab w:val="left" w:pos="1584"/>
        </w:tabs>
        <w:outlineLvl w:val="9"/>
      </w:pPr>
      <w:r>
        <w:br w:type="page"/>
      </w:r>
    </w:p>
    <w:p w14:paraId="75E5DE12">
      <w:pPr>
        <w:jc w:val="center"/>
        <w:rPr>
          <w:rFonts w:ascii="宋体" w:hAnsi="宋体" w:cs="宋体"/>
          <w:sz w:val="24"/>
        </w:rPr>
      </w:pPr>
      <w:r>
        <w:rPr>
          <w:rFonts w:hint="eastAsia" w:ascii="宋体" w:hAnsi="宋体" w:cs="宋体"/>
          <w:szCs w:val="21"/>
        </w:rPr>
        <w:t>表</w:t>
      </w:r>
      <w:r>
        <w:rPr>
          <w:rFonts w:hint="eastAsia" w:ascii="Times New Roman" w:hAnsi="Times New Roman" w:cs="宋体"/>
          <w:sz w:val="24"/>
        </w:rPr>
        <w:t>5-4</w:t>
      </w:r>
      <w:r>
        <w:rPr>
          <w:rFonts w:cs="宋体" w:asciiTheme="minorEastAsia" w:hAnsiTheme="minorEastAsia"/>
          <w:szCs w:val="21"/>
        </w:rPr>
        <w:t>(</w:t>
      </w:r>
      <w:r>
        <w:rPr>
          <w:rFonts w:hint="eastAsia" w:cs="宋体" w:asciiTheme="minorEastAsia" w:hAnsiTheme="minorEastAsia"/>
          <w:szCs w:val="21"/>
        </w:rPr>
        <w:t>续)</w:t>
      </w:r>
    </w:p>
    <w:tbl>
      <w:tblPr>
        <w:tblStyle w:val="35"/>
        <w:tblpPr w:leftFromText="180" w:rightFromText="180" w:vertAnchor="text" w:horzAnchor="page" w:tblpXSpec="center" w:tblpY="1"/>
        <w:tblOverlap w:val="never"/>
        <w:tblW w:w="8575" w:type="dxa"/>
        <w:tblInd w:w="0" w:type="dxa"/>
        <w:tblLayout w:type="fixed"/>
        <w:tblCellMar>
          <w:top w:w="0" w:type="dxa"/>
          <w:left w:w="108" w:type="dxa"/>
          <w:bottom w:w="0" w:type="dxa"/>
          <w:right w:w="108" w:type="dxa"/>
        </w:tblCellMar>
      </w:tblPr>
      <w:tblGrid>
        <w:gridCol w:w="823"/>
        <w:gridCol w:w="768"/>
        <w:gridCol w:w="1656"/>
        <w:gridCol w:w="2076"/>
        <w:gridCol w:w="1632"/>
        <w:gridCol w:w="1620"/>
      </w:tblGrid>
      <w:tr w14:paraId="425807F7">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91A53">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B5C8F">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75FCC">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、输入未有的社团名称</w:t>
            </w:r>
          </w:p>
          <w:p w14:paraId="259FF418">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、不选择社团类型</w:t>
            </w:r>
          </w:p>
          <w:p w14:paraId="3523842F">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58DC1">
            <w:pPr>
              <w:pStyle w:val="32"/>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sz w:val="21"/>
                <w:szCs w:val="21"/>
              </w:rPr>
            </w:pPr>
            <w:r>
              <w:rPr>
                <w:rFonts w:hint="eastAsia" w:cs="宋体" w:asciiTheme="minorEastAsia" w:hAnsiTheme="minorEastAsia"/>
                <w:sz w:val="21"/>
                <w:szCs w:val="21"/>
              </w:rPr>
              <w:t>社团名称：播音团</w:t>
            </w:r>
          </w:p>
          <w:p w14:paraId="665B2A6A">
            <w:pPr>
              <w:pStyle w:val="32"/>
              <w:pageBreakBefore w:val="0"/>
              <w:widowControl w:val="0"/>
              <w:kinsoku/>
              <w:wordWrap/>
              <w:overflowPunct/>
              <w:topLinePunct w:val="0"/>
              <w:autoSpaceDE/>
              <w:autoSpaceDN/>
              <w:bidi w:val="0"/>
              <w:adjustRightInd/>
              <w:snapToGrid/>
              <w:spacing w:beforeAutospacing="0" w:afterAutospacing="0" w:line="280" w:lineRule="exact"/>
              <w:jc w:val="both"/>
              <w:textAlignment w:val="auto"/>
              <w:rPr>
                <w:rFonts w:cs="宋体" w:asciiTheme="minorEastAsia" w:hAnsiTheme="minorEastAsia" w:eastAsiaTheme="minorEastAsia"/>
                <w:kern w:val="2"/>
                <w:sz w:val="21"/>
                <w:szCs w:val="21"/>
                <w:lang w:val="en-US" w:eastAsia="zh-CN" w:bidi="ar-SA"/>
              </w:rPr>
            </w:pP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FC383">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用户点击搜索图标后出现“暂无数据”</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353CC">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用户点击搜索图标后出现“暂无数据”</w:t>
            </w:r>
          </w:p>
        </w:tc>
      </w:tr>
      <w:tr w14:paraId="744CE189">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7F078">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D2B01">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4CCEB">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、输入已有的社团名称</w:t>
            </w:r>
          </w:p>
          <w:p w14:paraId="04C3B441">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、选择错误的社团类型</w:t>
            </w:r>
          </w:p>
          <w:p w14:paraId="4C58D385">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CF7B0">
            <w:pPr>
              <w:pageBreakBefore w:val="0"/>
              <w:widowControl w:val="0"/>
              <w:numPr>
                <w:ilvl w:val="0"/>
                <w:numId w:val="12"/>
              </w:numPr>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cs="宋体" w:asciiTheme="minorEastAsia" w:hAnsiTheme="minorEastAsia"/>
                <w:szCs w:val="21"/>
              </w:rPr>
              <w:t>社团名称：艺术团</w:t>
            </w:r>
          </w:p>
          <w:p w14:paraId="704D424A">
            <w:pPr>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、社团类型：文化</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AD1F8">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用户点击搜索图标后出现“暂无数据”</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A1A80">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用户点击搜索图标后出现“暂无数据”</w:t>
            </w:r>
          </w:p>
        </w:tc>
      </w:tr>
      <w:tr w14:paraId="4B53CB06">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F1F3D">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5</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2F41B">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F9A25">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、输入已有的社团名称</w:t>
            </w:r>
          </w:p>
          <w:p w14:paraId="1E7CEE30">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、选择正确的社团类型</w:t>
            </w:r>
          </w:p>
          <w:p w14:paraId="47907A98">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C4BDA">
            <w:pPr>
              <w:pageBreakBefore w:val="0"/>
              <w:widowControl w:val="0"/>
              <w:numPr>
                <w:ilvl w:val="0"/>
                <w:numId w:val="13"/>
              </w:numPr>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cs="宋体" w:asciiTheme="minorEastAsia" w:hAnsiTheme="minorEastAsia"/>
                <w:szCs w:val="21"/>
              </w:rPr>
              <w:t>社团名称：艺术团</w:t>
            </w:r>
          </w:p>
          <w:p w14:paraId="796C22BA">
            <w:pPr>
              <w:pageBreakBefore w:val="0"/>
              <w:widowControl w:val="0"/>
              <w:kinsoku/>
              <w:wordWrap/>
              <w:overflowPunct/>
              <w:topLinePunct w:val="0"/>
              <w:autoSpaceDE/>
              <w:autoSpaceDN/>
              <w:bidi w:val="0"/>
              <w:adjustRightInd/>
              <w:snapToGrid/>
              <w:spacing w:line="280" w:lineRule="exac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、社团类型：艺术</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ABA51">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用户点击搜索图标后自动加载社团信息</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EC299">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用户点击搜索图标后自动加载社团信息</w:t>
            </w:r>
          </w:p>
        </w:tc>
      </w:tr>
      <w:tr w14:paraId="3CAE71AE">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C8C93">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p>
          <w:p w14:paraId="49949030">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p>
          <w:p w14:paraId="44C0362B">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szCs w:val="21"/>
              </w:rPr>
            </w:pPr>
            <w:r>
              <w:rPr>
                <w:rFonts w:hint="eastAsia" w:ascii="Times New Roman" w:hAnsi="Times New Roman" w:cs="宋体"/>
                <w:szCs w:val="21"/>
              </w:rPr>
              <w:t>6</w:t>
            </w:r>
            <w:r>
              <w:rPr>
                <w:rFonts w:hint="eastAsia" w:cs="宋体" w:asciiTheme="minorEastAsia" w:hAnsiTheme="minorEastAsia"/>
                <w:szCs w:val="21"/>
              </w:rPr>
              <w:br w:type="textWrapping"/>
            </w:r>
          </w:p>
          <w:p w14:paraId="60881814">
            <w:pPr>
              <w:pStyle w:val="10"/>
              <w:pageBreakBefore w:val="0"/>
              <w:widowControl w:val="0"/>
              <w:kinsoku/>
              <w:wordWrap/>
              <w:overflowPunct/>
              <w:topLinePunct w:val="0"/>
              <w:autoSpaceDE/>
              <w:autoSpaceDN/>
              <w:bidi w:val="0"/>
              <w:adjustRightInd/>
              <w:snapToGrid/>
              <w:spacing w:line="280" w:lineRule="exact"/>
              <w:ind w:left="1584" w:leftChars="0" w:hanging="1584" w:firstLineChars="0"/>
              <w:jc w:val="center"/>
              <w:textAlignment w:val="auto"/>
              <w:rPr>
                <w:rFonts w:cs="宋体" w:asciiTheme="minorEastAsia" w:hAnsiTheme="minorEastAsia" w:eastAsiaTheme="minorEastAsia"/>
                <w:kern w:val="2"/>
                <w:sz w:val="21"/>
                <w:szCs w:val="21"/>
                <w:lang w:val="en-US" w:eastAsia="zh-CN" w:bidi="ar-SA"/>
              </w:rPr>
            </w:pP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76C1D">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84495">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、点击加号</w:t>
            </w:r>
          </w:p>
          <w:p w14:paraId="3E24A59A">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、输入社团名称</w:t>
            </w:r>
          </w:p>
          <w:p w14:paraId="08B3B8EB">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、选择社团类型</w:t>
            </w:r>
          </w:p>
          <w:p w14:paraId="0BDE4843">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r>
              <w:rPr>
                <w:rFonts w:hint="eastAsia" w:cs="宋体" w:asciiTheme="minorEastAsia" w:hAnsiTheme="minorEastAsia"/>
                <w:szCs w:val="21"/>
              </w:rPr>
              <w:t>、输入未有的社团管理员</w:t>
            </w:r>
            <w:r>
              <w:rPr>
                <w:rFonts w:hint="eastAsia" w:ascii="Times New Roman" w:hAnsi="Times New Roman" w:cs="宋体"/>
                <w:szCs w:val="21"/>
              </w:rPr>
              <w:t>ID</w:t>
            </w: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FF6F1">
            <w:pPr>
              <w:pStyle w:val="10"/>
              <w:pageBreakBefore w:val="0"/>
              <w:widowControl w:val="0"/>
              <w:kinsoku/>
              <w:wordWrap/>
              <w:overflowPunct/>
              <w:topLinePunct w:val="0"/>
              <w:autoSpaceDE/>
              <w:autoSpaceDN/>
              <w:bidi w:val="0"/>
              <w:adjustRightInd/>
              <w:snapToGrid/>
              <w:spacing w:line="280" w:lineRule="exact"/>
              <w:ind w:left="0" w:firstLine="0"/>
              <w:textAlignment w:val="auto"/>
              <w:rPr>
                <w:rFonts w:cs="宋体" w:asciiTheme="minorEastAsia" w:hAnsiTheme="minorEastAsia" w:eastAsiaTheme="minorEastAsia"/>
                <w:szCs w:val="21"/>
              </w:rPr>
            </w:pPr>
            <w:r>
              <w:rPr>
                <w:rFonts w:hint="eastAsia" w:ascii="Times New Roman" w:hAnsi="Times New Roman" w:cs="宋体" w:eastAsiaTheme="minorEastAsia"/>
                <w:szCs w:val="21"/>
              </w:rPr>
              <w:t>1</w:t>
            </w:r>
            <w:r>
              <w:rPr>
                <w:rFonts w:hint="eastAsia" w:cs="宋体" w:asciiTheme="minorEastAsia" w:hAnsiTheme="minorEastAsia" w:eastAsiaTheme="minorEastAsia"/>
                <w:szCs w:val="21"/>
              </w:rPr>
              <w:t>、添加信息</w:t>
            </w:r>
          </w:p>
          <w:p w14:paraId="1B94AAB1">
            <w:pPr>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、社团名称：滑板社</w:t>
            </w:r>
          </w:p>
          <w:p w14:paraId="115E8B91">
            <w:pPr>
              <w:pageBreakBefore w:val="0"/>
              <w:widowControl w:val="0"/>
              <w:kinsoku/>
              <w:wordWrap/>
              <w:overflowPunct/>
              <w:topLinePunct w:val="0"/>
              <w:autoSpaceDE/>
              <w:autoSpaceDN/>
              <w:bidi w:val="0"/>
              <w:adjustRightInd/>
              <w:snapToGrid/>
              <w:spacing w:line="280" w:lineRule="exact"/>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、社团类型：体育</w:t>
            </w:r>
          </w:p>
          <w:p w14:paraId="360D5C25">
            <w:pPr>
              <w:pageBreakBefore w:val="0"/>
              <w:widowControl w:val="0"/>
              <w:kinsoku/>
              <w:wordWrap/>
              <w:overflowPunct/>
              <w:topLinePunct w:val="0"/>
              <w:autoSpaceDE/>
              <w:autoSpaceDN/>
              <w:bidi w:val="0"/>
              <w:adjustRightInd/>
              <w:snapToGrid/>
              <w:spacing w:line="280" w:lineRule="exac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r>
              <w:rPr>
                <w:rFonts w:hint="eastAsia" w:cs="宋体" w:asciiTheme="minorEastAsia" w:hAnsiTheme="minorEastAsia"/>
                <w:szCs w:val="21"/>
              </w:rPr>
              <w:t>、社团管理员</w:t>
            </w:r>
            <w:r>
              <w:rPr>
                <w:rFonts w:hint="eastAsia" w:ascii="Times New Roman" w:hAnsi="Times New Roman" w:cs="宋体"/>
                <w:szCs w:val="21"/>
              </w:rPr>
              <w:t>ID</w:t>
            </w:r>
            <w:r>
              <w:rPr>
                <w:rFonts w:hint="eastAsia" w:cs="宋体" w:asciiTheme="minorEastAsia" w:hAnsiTheme="minorEastAsia"/>
                <w:szCs w:val="21"/>
              </w:rPr>
              <w:t>：</w:t>
            </w:r>
            <w:r>
              <w:rPr>
                <w:rFonts w:hint="eastAsia" w:ascii="Times New Roman" w:hAnsi="Times New Roman" w:cs="宋体"/>
                <w:szCs w:val="21"/>
              </w:rPr>
              <w:t>132532</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D1113">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用户点击确认按钮后，系统提示“系统异常”</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E56B8">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用户点击确认按钮后，系统提示“系统异常”</w:t>
            </w:r>
          </w:p>
        </w:tc>
      </w:tr>
      <w:tr w14:paraId="747CFC26">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2ABDC">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7</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CAD27">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4F19A">
            <w:pPr>
              <w:pageBreakBefore w:val="0"/>
              <w:widowControl w:val="0"/>
              <w:numPr>
                <w:ilvl w:val="0"/>
                <w:numId w:val="14"/>
              </w:numPr>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cs="宋体" w:asciiTheme="minorEastAsia" w:hAnsiTheme="minorEastAsia"/>
                <w:szCs w:val="21"/>
              </w:rPr>
              <w:t>点击加号</w:t>
            </w:r>
          </w:p>
          <w:p w14:paraId="3369F814">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、输入社团名称</w:t>
            </w:r>
          </w:p>
          <w:p w14:paraId="4CC2A193">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、选择社团类型</w:t>
            </w:r>
          </w:p>
          <w:p w14:paraId="6A00A78E">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r>
              <w:rPr>
                <w:rFonts w:hint="eastAsia" w:cs="宋体" w:asciiTheme="minorEastAsia" w:hAnsiTheme="minorEastAsia"/>
                <w:szCs w:val="21"/>
              </w:rPr>
              <w:t>、输入已有的社团管理员</w:t>
            </w:r>
            <w:r>
              <w:rPr>
                <w:rFonts w:hint="eastAsia" w:ascii="Times New Roman" w:hAnsi="Times New Roman" w:cs="宋体"/>
                <w:szCs w:val="21"/>
              </w:rPr>
              <w:t>ID</w:t>
            </w: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F6FA1">
            <w:pPr>
              <w:pStyle w:val="10"/>
              <w:pageBreakBefore w:val="0"/>
              <w:widowControl w:val="0"/>
              <w:kinsoku/>
              <w:wordWrap/>
              <w:overflowPunct/>
              <w:topLinePunct w:val="0"/>
              <w:autoSpaceDE/>
              <w:autoSpaceDN/>
              <w:bidi w:val="0"/>
              <w:adjustRightInd/>
              <w:snapToGrid/>
              <w:spacing w:line="280" w:lineRule="exact"/>
              <w:ind w:left="0" w:firstLine="0"/>
              <w:jc w:val="left"/>
              <w:textAlignment w:val="auto"/>
              <w:rPr>
                <w:rFonts w:cs="宋体" w:asciiTheme="minorEastAsia" w:hAnsiTheme="minorEastAsia" w:eastAsiaTheme="minorEastAsia"/>
                <w:szCs w:val="21"/>
              </w:rPr>
            </w:pPr>
            <w:r>
              <w:rPr>
                <w:rFonts w:hint="eastAsia" w:ascii="Times New Roman" w:hAnsi="Times New Roman" w:cs="宋体" w:eastAsiaTheme="minorEastAsia"/>
                <w:szCs w:val="21"/>
              </w:rPr>
              <w:t>1</w:t>
            </w:r>
            <w:r>
              <w:rPr>
                <w:rFonts w:hint="eastAsia" w:cs="宋体" w:asciiTheme="minorEastAsia" w:hAnsiTheme="minorEastAsia" w:eastAsiaTheme="minorEastAsia"/>
                <w:szCs w:val="21"/>
              </w:rPr>
              <w:t>、添加信息</w:t>
            </w:r>
          </w:p>
          <w:p w14:paraId="64A4DA83">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、社团名称：滑板社</w:t>
            </w:r>
          </w:p>
          <w:p w14:paraId="24137018">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3</w:t>
            </w:r>
            <w:r>
              <w:rPr>
                <w:rFonts w:hint="eastAsia" w:cs="宋体" w:asciiTheme="minorEastAsia" w:hAnsiTheme="minorEastAsia"/>
                <w:szCs w:val="21"/>
              </w:rPr>
              <w:t>、社团类型：体育</w:t>
            </w:r>
          </w:p>
          <w:p w14:paraId="7E87DD81">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4</w:t>
            </w:r>
            <w:r>
              <w:rPr>
                <w:rFonts w:hint="eastAsia" w:cs="宋体" w:asciiTheme="minorEastAsia" w:hAnsiTheme="minorEastAsia"/>
                <w:szCs w:val="21"/>
              </w:rPr>
              <w:t>、社团管理员</w:t>
            </w:r>
            <w:r>
              <w:rPr>
                <w:rFonts w:hint="eastAsia" w:ascii="Times New Roman" w:hAnsi="Times New Roman" w:cs="宋体"/>
                <w:szCs w:val="21"/>
              </w:rPr>
              <w:t>ID</w:t>
            </w:r>
            <w:r>
              <w:rPr>
                <w:rFonts w:hint="eastAsia" w:cs="宋体" w:asciiTheme="minorEastAsia" w:hAnsiTheme="minorEastAsia"/>
                <w:szCs w:val="21"/>
              </w:rPr>
              <w:t>：</w:t>
            </w:r>
            <w:r>
              <w:rPr>
                <w:rFonts w:hint="eastAsia" w:ascii="Times New Roman" w:hAnsi="Times New Roman" w:cs="宋体"/>
                <w:szCs w:val="21"/>
              </w:rPr>
              <w:t>1733280510073</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54BD5">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6A210">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r>
      <w:tr w14:paraId="7DC75528">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83607">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8</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A0683">
            <w:pPr>
              <w:pageBreakBefore w:val="0"/>
              <w:widowControl w:val="0"/>
              <w:kinsoku/>
              <w:wordWrap/>
              <w:overflowPunct/>
              <w:topLinePunct w:val="0"/>
              <w:autoSpaceDE/>
              <w:autoSpaceDN/>
              <w:bidi w:val="0"/>
              <w:adjustRightInd/>
              <w:snapToGrid/>
              <w:spacing w:line="280" w:lineRule="exact"/>
              <w:jc w:val="center"/>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5C81D">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、点击编辑按钮</w:t>
            </w:r>
          </w:p>
          <w:p w14:paraId="06740453">
            <w:pPr>
              <w:pStyle w:val="10"/>
              <w:pageBreakBefore w:val="0"/>
              <w:widowControl w:val="0"/>
              <w:kinsoku/>
              <w:wordWrap/>
              <w:overflowPunct/>
              <w:topLinePunct w:val="0"/>
              <w:autoSpaceDE/>
              <w:autoSpaceDN/>
              <w:bidi w:val="0"/>
              <w:adjustRightInd/>
              <w:snapToGrid/>
              <w:spacing w:line="280" w:lineRule="exact"/>
              <w:ind w:left="1584" w:leftChars="0" w:hanging="1584" w:firstLineChars="0"/>
              <w:jc w:val="lef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eastAsiaTheme="minorEastAsia"/>
                <w:szCs w:val="21"/>
              </w:rPr>
              <w:t>2</w:t>
            </w:r>
            <w:r>
              <w:rPr>
                <w:rFonts w:hint="eastAsia" w:cs="宋体" w:asciiTheme="minorEastAsia" w:hAnsiTheme="minorEastAsia" w:eastAsiaTheme="minorEastAsia"/>
                <w:szCs w:val="21"/>
              </w:rPr>
              <w:t>、修改社团类型</w:t>
            </w: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8123F">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、社团名称：滑板社</w:t>
            </w:r>
          </w:p>
          <w:p w14:paraId="13DDB4EC">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2</w:t>
            </w:r>
            <w:r>
              <w:rPr>
                <w:rFonts w:hint="eastAsia" w:cs="宋体" w:asciiTheme="minorEastAsia" w:hAnsiTheme="minorEastAsia"/>
                <w:szCs w:val="21"/>
              </w:rPr>
              <w:t>、社团类型：竞技</w:t>
            </w:r>
          </w:p>
          <w:p w14:paraId="2BD37299">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ascii="Times New Roman" w:hAnsi="Times New Roman" w:cs="宋体"/>
                <w:szCs w:val="21"/>
              </w:rPr>
              <w:t>3</w:t>
            </w:r>
            <w:r>
              <w:rPr>
                <w:rFonts w:hint="eastAsia" w:cs="宋体" w:asciiTheme="minorEastAsia" w:hAnsiTheme="minorEastAsia"/>
                <w:szCs w:val="21"/>
              </w:rPr>
              <w:t>、社团团长：</w:t>
            </w:r>
            <w:r>
              <w:rPr>
                <w:rFonts w:hint="eastAsia" w:ascii="Times New Roman" w:hAnsi="Times New Roman" w:cs="宋体"/>
                <w:szCs w:val="21"/>
              </w:rPr>
              <w:t>1733280510073</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FEBD4">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18BCE">
            <w:pPr>
              <w:pageBreakBefore w:val="0"/>
              <w:widowControl w:val="0"/>
              <w:kinsoku/>
              <w:wordWrap/>
              <w:overflowPunct/>
              <w:topLinePunct w:val="0"/>
              <w:autoSpaceDE/>
              <w:autoSpaceDN/>
              <w:bidi w:val="0"/>
              <w:adjustRightInd/>
              <w:snapToGrid/>
              <w:spacing w:line="280" w:lineRule="exact"/>
              <w:jc w:val="left"/>
              <w:textAlignment w:val="auto"/>
              <w:rPr>
                <w:rFonts w:hint="eastAsia"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r>
      <w:tr w14:paraId="4067719B">
        <w:tblPrEx>
          <w:tblCellMar>
            <w:top w:w="0" w:type="dxa"/>
            <w:left w:w="108" w:type="dxa"/>
            <w:bottom w:w="0" w:type="dxa"/>
            <w:right w:w="108" w:type="dxa"/>
          </w:tblCellMar>
        </w:tblPrEx>
        <w:trPr>
          <w:cantSplit/>
          <w:trHeight w:val="170" w:hRule="atLeast"/>
        </w:trPr>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D1A51">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9</w:t>
            </w:r>
          </w:p>
        </w:tc>
        <w:tc>
          <w:tcPr>
            <w:tcW w:w="7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D7C4A">
            <w:pPr>
              <w:pageBreakBefore w:val="0"/>
              <w:widowControl w:val="0"/>
              <w:kinsoku/>
              <w:wordWrap/>
              <w:overflowPunct/>
              <w:topLinePunct w:val="0"/>
              <w:autoSpaceDE/>
              <w:autoSpaceDN/>
              <w:bidi w:val="0"/>
              <w:adjustRightInd/>
              <w:snapToGrid/>
              <w:spacing w:line="280" w:lineRule="exact"/>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社团信息管理</w:t>
            </w:r>
          </w:p>
        </w:tc>
        <w:tc>
          <w:tcPr>
            <w:tcW w:w="16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35D1B">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szCs w:val="21"/>
              </w:rPr>
            </w:pPr>
            <w:r>
              <w:rPr>
                <w:rFonts w:hint="eastAsia" w:ascii="Times New Roman" w:hAnsi="Times New Roman" w:cs="宋体"/>
                <w:szCs w:val="21"/>
              </w:rPr>
              <w:t>1</w:t>
            </w:r>
            <w:r>
              <w:rPr>
                <w:rFonts w:hint="eastAsia" w:cs="宋体" w:asciiTheme="minorEastAsia" w:hAnsiTheme="minorEastAsia"/>
                <w:szCs w:val="21"/>
              </w:rPr>
              <w:t>、点击删除按钮</w:t>
            </w:r>
          </w:p>
          <w:p w14:paraId="6E962AF3">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ascii="Times New Roman" w:hAnsi="Times New Roman" w:cs="宋体"/>
                <w:szCs w:val="21"/>
              </w:rPr>
              <w:t>2</w:t>
            </w:r>
            <w:r>
              <w:rPr>
                <w:rFonts w:hint="eastAsia" w:cs="宋体" w:asciiTheme="minorEastAsia" w:hAnsiTheme="minorEastAsia"/>
                <w:szCs w:val="21"/>
              </w:rPr>
              <w:t>、点击确认</w:t>
            </w:r>
          </w:p>
        </w:tc>
        <w:tc>
          <w:tcPr>
            <w:tcW w:w="20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31059">
            <w:pPr>
              <w:pStyle w:val="10"/>
              <w:pageBreakBefore w:val="0"/>
              <w:widowControl w:val="0"/>
              <w:kinsoku/>
              <w:wordWrap/>
              <w:overflowPunct/>
              <w:topLinePunct w:val="0"/>
              <w:autoSpaceDE/>
              <w:autoSpaceDN/>
              <w:bidi w:val="0"/>
              <w:adjustRightInd/>
              <w:snapToGrid/>
              <w:spacing w:line="280" w:lineRule="exact"/>
              <w:ind w:left="0" w:leftChars="0" w:firstLine="0" w:firstLineChars="0"/>
              <w:jc w:val="center"/>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eastAsiaTheme="minorEastAsia"/>
                <w:szCs w:val="21"/>
              </w:rPr>
              <w:t>无</w:t>
            </w:r>
          </w:p>
        </w:tc>
        <w:tc>
          <w:tcPr>
            <w:tcW w:w="1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E23F5">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8543C">
            <w:pPr>
              <w:pageBreakBefore w:val="0"/>
              <w:widowControl w:val="0"/>
              <w:kinsoku/>
              <w:wordWrap/>
              <w:overflowPunct/>
              <w:topLinePunct w:val="0"/>
              <w:autoSpaceDE/>
              <w:autoSpaceDN/>
              <w:bidi w:val="0"/>
              <w:adjustRightInd/>
              <w:snapToGrid/>
              <w:spacing w:line="280" w:lineRule="exact"/>
              <w:jc w:val="left"/>
              <w:textAlignment w:val="auto"/>
              <w:rPr>
                <w:rFonts w:cs="宋体" w:asciiTheme="minorEastAsia" w:hAnsiTheme="minorEastAsia" w:eastAsiaTheme="minorEastAsia"/>
                <w:kern w:val="2"/>
                <w:sz w:val="21"/>
                <w:szCs w:val="21"/>
                <w:lang w:val="en-US" w:eastAsia="zh-CN" w:bidi="ar-SA"/>
              </w:rPr>
            </w:pPr>
            <w:r>
              <w:rPr>
                <w:rFonts w:hint="eastAsia" w:cs="宋体" w:asciiTheme="minorEastAsia" w:hAnsiTheme="minorEastAsia"/>
                <w:szCs w:val="21"/>
              </w:rPr>
              <w:t>用户点击确认按钮后，系统提示“处理成功”</w:t>
            </w:r>
          </w:p>
        </w:tc>
      </w:tr>
    </w:tbl>
    <w:p w14:paraId="11166489">
      <w:pPr>
        <w:pageBreakBefore w:val="0"/>
        <w:widowControl w:val="0"/>
        <w:kinsoku/>
        <w:wordWrap/>
        <w:overflowPunct/>
        <w:topLinePunct w:val="0"/>
        <w:autoSpaceDE/>
        <w:autoSpaceDN/>
        <w:bidi w:val="0"/>
        <w:adjustRightInd/>
        <w:snapToGrid/>
        <w:spacing w:line="280" w:lineRule="exact"/>
        <w:jc w:val="center"/>
        <w:textAlignment w:val="auto"/>
        <w:rPr>
          <w:rFonts w:hint="eastAsia" w:ascii="宋体" w:hAnsi="宋体" w:cs="宋体"/>
          <w:szCs w:val="21"/>
        </w:rPr>
      </w:pPr>
    </w:p>
    <w:p w14:paraId="64D1646C">
      <w:pPr>
        <w:pageBreakBefore w:val="0"/>
        <w:widowControl w:val="0"/>
        <w:kinsoku/>
        <w:wordWrap/>
        <w:overflowPunct/>
        <w:topLinePunct w:val="0"/>
        <w:autoSpaceDE/>
        <w:autoSpaceDN/>
        <w:bidi w:val="0"/>
        <w:adjustRightInd/>
        <w:snapToGrid/>
        <w:spacing w:line="280" w:lineRule="exact"/>
        <w:jc w:val="center"/>
        <w:textAlignment w:val="auto"/>
        <w:rPr>
          <w:rFonts w:hint="eastAsia" w:ascii="宋体" w:hAnsi="宋体" w:cs="宋体"/>
          <w:szCs w:val="21"/>
        </w:rPr>
      </w:pPr>
    </w:p>
    <w:p w14:paraId="49AE2A4A">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748" w:name="_Toc27666"/>
      <w:bookmarkStart w:id="749" w:name="_Toc9397"/>
      <w:bookmarkStart w:id="750" w:name="_Toc1824"/>
      <w:r>
        <w:rPr>
          <w:rFonts w:ascii="Times New Roman" w:hAnsi="Times New Roman" w:eastAsia="宋体"/>
          <w:b w:val="0"/>
          <w:sz w:val="24"/>
          <w:lang w:eastAsia="zh"/>
        </w:rPr>
        <w:t>5.2</w:t>
      </w:r>
      <w:r>
        <w:rPr>
          <w:rFonts w:hint="eastAsia" w:ascii="Times New Roman" w:hAnsi="Times New Roman" w:eastAsia="宋体"/>
          <w:b w:val="0"/>
          <w:sz w:val="24"/>
          <w:lang w:eastAsia="zh"/>
        </w:rPr>
        <w:t>可用性测试</w:t>
      </w:r>
      <w:bookmarkEnd w:id="735"/>
      <w:bookmarkEnd w:id="736"/>
      <w:bookmarkEnd w:id="748"/>
      <w:bookmarkEnd w:id="749"/>
      <w:bookmarkEnd w:id="750"/>
    </w:p>
    <w:p w14:paraId="39C477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cs="宋体"/>
          <w:sz w:val="24"/>
          <w:lang w:eastAsia="zh"/>
        </w:rPr>
      </w:pPr>
      <w:r>
        <w:rPr>
          <w:rFonts w:hint="eastAsia" w:ascii="宋体" w:hAnsi="宋体" w:cs="宋体"/>
          <w:sz w:val="24"/>
          <w:lang w:eastAsia="zh"/>
        </w:rPr>
        <w:t>评估系统的用户界面是否直观、易于导航和操作。这包括对界面布局、菜单结构、操作流程等方面的测试，以确保用户能够轻松找到他们需要的功能。</w:t>
      </w:r>
    </w:p>
    <w:p w14:paraId="26BA1E5E">
      <w:pPr>
        <w:snapToGrid w:val="0"/>
        <w:spacing w:before="0" w:after="0" w:line="440" w:lineRule="exact"/>
        <w:ind w:firstLine="480" w:firstLineChars="200"/>
        <w:jc w:val="left"/>
        <w:outlineLvl w:val="9"/>
        <w:rPr>
          <w:rFonts w:ascii="Times New Roman" w:hAnsi="Times New Roman" w:eastAsia="宋体"/>
          <w:b w:val="0"/>
          <w:sz w:val="24"/>
          <w:lang w:eastAsia="zh"/>
        </w:rPr>
      </w:pPr>
      <w:bookmarkStart w:id="751" w:name="_Toc3709"/>
      <w:bookmarkStart w:id="752" w:name="_Toc29459"/>
      <w:bookmarkStart w:id="753" w:name="_Toc379405678"/>
      <w:bookmarkStart w:id="754" w:name="_Toc10451"/>
      <w:bookmarkStart w:id="755" w:name="_Toc301652608"/>
      <w:r>
        <w:rPr>
          <w:rFonts w:ascii="Times New Roman" w:hAnsi="Times New Roman" w:eastAsia="宋体"/>
          <w:b w:val="0"/>
          <w:sz w:val="24"/>
          <w:lang w:eastAsia="zh"/>
        </w:rPr>
        <w:t>5.3</w:t>
      </w:r>
      <w:r>
        <w:rPr>
          <w:rFonts w:hint="eastAsia" w:ascii="Times New Roman" w:hAnsi="Times New Roman" w:eastAsia="宋体"/>
          <w:b w:val="0"/>
          <w:sz w:val="24"/>
          <w:lang w:eastAsia="zh"/>
        </w:rPr>
        <w:t>性能测试</w:t>
      </w:r>
      <w:bookmarkEnd w:id="751"/>
      <w:bookmarkEnd w:id="752"/>
      <w:bookmarkEnd w:id="753"/>
      <w:bookmarkEnd w:id="754"/>
      <w:bookmarkEnd w:id="755"/>
    </w:p>
    <w:p w14:paraId="6ED16FC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cs="宋体"/>
          <w:sz w:val="24"/>
        </w:rPr>
      </w:pPr>
      <w:r>
        <w:rPr>
          <w:rFonts w:hint="eastAsia" w:ascii="宋体" w:hAnsi="宋体" w:cs="宋体"/>
          <w:sz w:val="24"/>
          <w:lang w:eastAsia="zh"/>
        </w:rPr>
        <w:t>测试系统在不同负载条件下的响应速度和稳定性。这包括对系统的响应时间、吞吐量、资源利用率等指标的评估，以确保系统能够在高并发情况下保持良好的性能。</w:t>
      </w:r>
      <w:r>
        <w:rPr>
          <w:rFonts w:hint="eastAsia" w:ascii="宋体" w:hAnsi="宋体" w:cs="宋体"/>
          <w:sz w:val="24"/>
        </w:rPr>
        <w:t>如图</w:t>
      </w:r>
      <w:r>
        <w:rPr>
          <w:rFonts w:hint="eastAsia" w:ascii="Times New Roman" w:hAnsi="Times New Roman" w:cs="宋体"/>
          <w:sz w:val="24"/>
        </w:rPr>
        <w:t>5-3</w:t>
      </w:r>
      <w:r>
        <w:rPr>
          <w:rFonts w:hint="eastAsia" w:ascii="宋体" w:hAnsi="宋体" w:cs="宋体"/>
          <w:sz w:val="24"/>
        </w:rPr>
        <w:t>所示。</w:t>
      </w:r>
    </w:p>
    <w:p w14:paraId="4867E412">
      <w:pPr>
        <w:spacing w:line="440" w:lineRule="exact"/>
        <w:ind w:left="210" w:leftChars="100" w:firstLine="480" w:firstLineChars="200"/>
        <w:jc w:val="left"/>
        <w:rPr>
          <w:sz w:val="24"/>
          <w:lang w:eastAsia="zh"/>
        </w:rPr>
      </w:pPr>
    </w:p>
    <w:p w14:paraId="4E39A2BE">
      <w:pPr>
        <w:ind w:firstLine="420" w:firstLineChars="200"/>
        <w:jc w:val="center"/>
        <w:rPr>
          <w:lang w:eastAsia="zh"/>
        </w:rPr>
      </w:pPr>
      <w:r>
        <w:rPr>
          <w:rFonts w:hint="eastAsia"/>
        </w:rPr>
        <w:drawing>
          <wp:inline distT="0" distB="0" distL="114300" distR="114300">
            <wp:extent cx="3552825" cy="3079115"/>
            <wp:effectExtent l="0" t="0" r="0" b="6985"/>
            <wp:docPr id="1898648873" name="图片 1898648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48873" name="图片 1898648873"/>
                    <pic:cNvPicPr>
                      <a:picLocks noChangeAspect="1"/>
                    </pic:cNvPicPr>
                  </pic:nvPicPr>
                  <pic:blipFill>
                    <a:blip r:embed="rId250">
                      <a:extLst>
                        <a:ext uri="{28A0092B-C50C-407E-A947-70E740481C1C}">
                          <a14:useLocalDpi xmlns:a14="http://schemas.microsoft.com/office/drawing/2010/main" val="0"/>
                        </a:ext>
                      </a:extLst>
                    </a:blip>
                    <a:stretch>
                      <a:fillRect/>
                    </a:stretch>
                  </pic:blipFill>
                  <pic:spPr>
                    <a:xfrm>
                      <a:off x="0" y="0"/>
                      <a:ext cx="3593320" cy="3114357"/>
                    </a:xfrm>
                    <a:prstGeom prst="rect">
                      <a:avLst/>
                    </a:prstGeom>
                  </pic:spPr>
                </pic:pic>
              </a:graphicData>
            </a:graphic>
          </wp:inline>
        </w:drawing>
      </w:r>
    </w:p>
    <w:p w14:paraId="658F2A83">
      <w:pPr>
        <w:ind w:firstLine="420" w:firstLineChars="200"/>
        <w:jc w:val="center"/>
        <w:rPr>
          <w:lang w:eastAsia="zh"/>
        </w:rPr>
      </w:pPr>
    </w:p>
    <w:p w14:paraId="19453570">
      <w:pPr>
        <w:ind w:firstLine="420" w:firstLineChars="200"/>
        <w:jc w:val="center"/>
        <w:rPr>
          <w:rFonts w:ascii="宋体" w:hAnsi="宋体" w:cs="宋体"/>
          <w:szCs w:val="21"/>
          <w:lang w:eastAsia="zh"/>
        </w:rPr>
      </w:pPr>
      <w:r>
        <w:rPr>
          <w:rFonts w:hint="eastAsia" w:ascii="宋体" w:hAnsi="宋体" w:cs="宋体"/>
          <w:szCs w:val="21"/>
          <w:lang w:eastAsia="zh"/>
        </w:rPr>
        <w:t>图</w:t>
      </w:r>
      <w:r>
        <w:rPr>
          <w:rFonts w:hint="eastAsia" w:ascii="Times New Roman" w:hAnsi="Times New Roman" w:cs="宋体"/>
          <w:sz w:val="24"/>
          <w:lang w:eastAsia="zh"/>
        </w:rPr>
        <w:t>5-3</w:t>
      </w:r>
      <w:r>
        <w:rPr>
          <w:rFonts w:hint="eastAsia" w:ascii="宋体" w:hAnsi="宋体" w:cs="宋体"/>
          <w:szCs w:val="21"/>
          <w:lang w:eastAsia="zh"/>
        </w:rPr>
        <w:t>性能测试</w:t>
      </w:r>
      <w:bookmarkStart w:id="756" w:name="_Toc1187986402"/>
      <w:bookmarkStart w:id="757" w:name="_Toc26487"/>
      <w:bookmarkStart w:id="758" w:name="_Toc7786"/>
      <w:bookmarkStart w:id="759" w:name="_Toc1985213700"/>
    </w:p>
    <w:p w14:paraId="58C2C1E5">
      <w:pPr>
        <w:ind w:firstLine="562" w:firstLineChars="200"/>
        <w:jc w:val="left"/>
        <w:rPr>
          <w:rFonts w:asciiTheme="majorEastAsia" w:hAnsiTheme="majorEastAsia" w:eastAsiaTheme="majorEastAsia" w:cstheme="majorEastAsia"/>
          <w:b/>
          <w:sz w:val="28"/>
          <w:szCs w:val="28"/>
        </w:rPr>
      </w:pPr>
      <w:r>
        <w:rPr>
          <w:rFonts w:hint="eastAsia" w:ascii="Times New Roman" w:hAnsi="Times New Roman" w:eastAsiaTheme="majorEastAsia" w:cstheme="majorEastAsia"/>
          <w:b/>
          <w:sz w:val="28"/>
          <w:szCs w:val="28"/>
        </w:rPr>
        <w:t>6</w:t>
      </w:r>
      <w:r>
        <w:rPr>
          <w:rFonts w:hint="eastAsia" w:asciiTheme="majorEastAsia" w:hAnsiTheme="majorEastAsia" w:eastAsiaTheme="majorEastAsia" w:cstheme="majorEastAsia"/>
          <w:b/>
          <w:sz w:val="28"/>
          <w:szCs w:val="28"/>
        </w:rPr>
        <w:t xml:space="preserve"> 总结</w:t>
      </w:r>
      <w:bookmarkEnd w:id="756"/>
      <w:bookmarkEnd w:id="757"/>
      <w:bookmarkEnd w:id="758"/>
      <w:bookmarkEnd w:id="759"/>
    </w:p>
    <w:p w14:paraId="10190A8D">
      <w:pPr>
        <w:spacing w:line="440" w:lineRule="exact"/>
        <w:ind w:firstLine="480" w:firstLineChars="200"/>
        <w:jc w:val="left"/>
        <w:rPr>
          <w:rFonts w:ascii="宋体" w:hAnsi="宋体" w:cs="宋体"/>
          <w:sz w:val="24"/>
          <w:lang w:eastAsia="zh"/>
        </w:rPr>
      </w:pPr>
      <w:r>
        <w:rPr>
          <w:rFonts w:hint="eastAsia" w:ascii="宋体" w:hAnsi="宋体" w:cs="宋体"/>
          <w:sz w:val="24"/>
          <w:lang w:eastAsia="zh"/>
        </w:rPr>
        <w:t>本论文聚焦于社团管理系统的设计，旨在解决当前社团管理工作中面临的诸多挑战。在系统需求分析方面，深入探讨了社团管理的不同角色需求，包括社团成员、社团管理员以及学校管理部门等。社团成员期望便捷地获取社团活动信息、报名参加活动并查看自己的社团参与记录；社团管理员则需要高效地组织活动、管理成员信息以及社团资源；学校管理部门侧重于整体社团运营的监管与数据统计分析。通过详细的需求调研，明确了系统应具备的功能模块，如成员管理、活动管理、资源管理以及权限管理等。</w:t>
      </w:r>
    </w:p>
    <w:p w14:paraId="6441B54C">
      <w:pPr>
        <w:spacing w:line="440" w:lineRule="exact"/>
        <w:ind w:firstLine="480" w:firstLineChars="200"/>
        <w:jc w:val="left"/>
        <w:rPr>
          <w:rFonts w:ascii="宋体" w:hAnsi="宋体" w:cs="宋体"/>
          <w:sz w:val="24"/>
          <w:lang w:eastAsia="zh"/>
        </w:rPr>
      </w:pPr>
      <w:r>
        <w:rPr>
          <w:rFonts w:hint="eastAsia" w:ascii="宋体" w:hAnsi="宋体" w:cs="宋体"/>
          <w:sz w:val="24"/>
          <w:lang w:eastAsia="zh"/>
        </w:rPr>
        <w:t>在系统设计部分，确定了采用分层架构模式，将系统划分为表示层、业务逻辑层和数据访问层。表示层负责与用户交互，提供友好的界面展示系统功能；业务逻辑层承担核心业务逻辑处理，如活动报名逻辑、会员身份验证等；数据访问层则专注于与数据库的交互，确保数据的高效存储与读取。数据库设计上，根据功能需求规划了合理的表结构，如社团成员表（包含成员基本信息、所属社团等字段）、社团活动表（活动名称、时间、地点、负责人等字段）等，以实现数据的完整性和一致性。</w:t>
      </w:r>
    </w:p>
    <w:p w14:paraId="0F2A30C7">
      <w:pPr>
        <w:spacing w:line="440" w:lineRule="exact"/>
        <w:ind w:firstLine="480" w:firstLineChars="200"/>
        <w:jc w:val="left"/>
        <w:rPr>
          <w:rFonts w:ascii="宋体" w:hAnsi="宋体" w:cs="宋体"/>
          <w:sz w:val="24"/>
          <w:lang w:eastAsia="zh"/>
        </w:rPr>
      </w:pPr>
      <w:r>
        <w:rPr>
          <w:rFonts w:hint="eastAsia" w:ascii="宋体" w:hAnsi="宋体" w:cs="宋体"/>
          <w:sz w:val="24"/>
          <w:lang w:eastAsia="zh"/>
        </w:rPr>
        <w:t>系统功能实现方面，利用现代的软件开发技术，如编程语言（例如</w:t>
      </w:r>
      <w:r>
        <w:rPr>
          <w:rFonts w:hint="eastAsia" w:ascii="Times New Roman" w:hAnsi="Times New Roman" w:cs="宋体"/>
          <w:sz w:val="24"/>
          <w:lang w:eastAsia="zh"/>
        </w:rPr>
        <w:t>Java</w:t>
      </w:r>
      <w:r>
        <w:rPr>
          <w:rFonts w:hint="eastAsia" w:ascii="宋体" w:hAnsi="宋体" w:cs="宋体"/>
          <w:sz w:val="24"/>
          <w:lang w:eastAsia="zh"/>
        </w:rPr>
        <w:t>）和数据库管理系统（如</w:t>
      </w:r>
      <w:r>
        <w:rPr>
          <w:rFonts w:hint="eastAsia" w:ascii="Times New Roman" w:hAnsi="Times New Roman" w:cs="宋体"/>
          <w:sz w:val="24"/>
          <w:lang w:eastAsia="zh"/>
        </w:rPr>
        <w:t>MySQL</w:t>
      </w:r>
      <w:r>
        <w:rPr>
          <w:rFonts w:hint="eastAsia" w:ascii="宋体" w:hAnsi="宋体" w:cs="宋体"/>
          <w:sz w:val="24"/>
          <w:lang w:eastAsia="zh"/>
        </w:rPr>
        <w:t>），成功开发出各个功能模块。会员管理模块能够实现会员的注册、登录、信息修改等功能；活动管理模块支持活动的创建、发布、报名管理等操作；资源管理模块可对社团的物资、场地等资源进行有效管理；权限管理模块确保不同角色在系统中拥有合适的操作权限。</w:t>
      </w:r>
    </w:p>
    <w:p w14:paraId="187F40F1">
      <w:pPr>
        <w:spacing w:line="440" w:lineRule="exact"/>
        <w:ind w:firstLine="480" w:firstLineChars="200"/>
        <w:rPr>
          <w:rFonts w:ascii="宋体" w:hAnsi="宋体" w:cs="宋体"/>
          <w:sz w:val="24"/>
          <w:lang w:eastAsia="zh"/>
        </w:rPr>
        <w:sectPr>
          <w:headerReference r:id="rId14" w:type="default"/>
          <w:footerReference r:id="rId15" w:type="default"/>
          <w:pgSz w:w="11906" w:h="16838"/>
          <w:pgMar w:top="1440" w:right="1576"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cs="宋体"/>
          <w:sz w:val="24"/>
          <w:lang w:eastAsia="zh"/>
        </w:rPr>
        <w:t>通过本社团管理系统的设计，有效地提高了社团管理的效率和准确性，减少了人工管理的工作量和可能出现的错误。同时，该系统也增强了社团成员与管理员之间的互动性，促进了社团活动的积极开展。然而，系统在实际应用中可能还会面临一些问题，如随着社团数量和成员规模的不断扩大，系统的性能优化需要进一步研究，并且在安全性方面，需要不断更新加密技术和安全策略以保护用户数据的隐私。未来的研究方向可以包括系统的移动化扩展，使社团管理能够更加便捷地通过移动设备进行，以及与学校其他管理系统（如教务系统）的集成，实现数据的共享与协同工作。</w:t>
      </w:r>
    </w:p>
    <w:p w14:paraId="0D6F7736">
      <w:pPr>
        <w:outlineLvl w:val="9"/>
        <w:rPr>
          <w:rFonts w:asciiTheme="minorEastAsia" w:hAnsiTheme="minorEastAsia" w:cstheme="minorEastAsia"/>
          <w:sz w:val="28"/>
          <w:szCs w:val="28"/>
        </w:rPr>
      </w:pPr>
      <w:bookmarkStart w:id="760" w:name="_Toc4680"/>
      <w:r>
        <w:rPr>
          <w:rFonts w:hint="eastAsia" w:asciiTheme="minorEastAsia" w:hAnsiTheme="minorEastAsia" w:cstheme="minorEastAsia"/>
          <w:sz w:val="28"/>
          <w:szCs w:val="28"/>
        </w:rPr>
        <w:t>参考文献</w:t>
      </w:r>
      <w:bookmarkEnd w:id="760"/>
    </w:p>
    <w:p w14:paraId="57BA3C59">
      <w:pPr>
        <w:numPr>
          <w:ilvl w:val="0"/>
          <w:numId w:val="15"/>
        </w:numPr>
        <w:spacing w:line="400" w:lineRule="exact"/>
        <w:ind w:left="420" w:hanging="420" w:hangingChars="200"/>
        <w:outlineLvl w:val="9"/>
        <w:rPr>
          <w:rFonts w:ascii="宋体" w:hAnsi="宋体" w:cs="宋体"/>
          <w:szCs w:val="21"/>
        </w:rPr>
      </w:pPr>
      <w:r>
        <w:rPr>
          <w:rFonts w:hint="eastAsia" w:ascii="宋体" w:hAnsi="宋体" w:cs="宋体"/>
          <w:szCs w:val="21"/>
        </w:rPr>
        <w:t>郭静.基于</w:t>
      </w:r>
      <w:r>
        <w:rPr>
          <w:rFonts w:hint="eastAsia" w:ascii="Times New Roman" w:hAnsi="Times New Roman" w:cs="宋体"/>
          <w:szCs w:val="21"/>
        </w:rPr>
        <w:t>SSM</w:t>
      </w:r>
      <w:r>
        <w:rPr>
          <w:rFonts w:hint="eastAsia" w:ascii="宋体" w:hAnsi="宋体" w:cs="宋体"/>
          <w:szCs w:val="21"/>
        </w:rPr>
        <w:t>框架的高校新生预报到系统的设计与实现[</w:t>
      </w:r>
      <w:r>
        <w:rPr>
          <w:rFonts w:hint="eastAsia" w:ascii="Times New Roman" w:hAnsi="Times New Roman" w:cs="宋体"/>
          <w:szCs w:val="21"/>
        </w:rPr>
        <w:t>J</w:t>
      </w:r>
      <w:r>
        <w:rPr>
          <w:rFonts w:hint="eastAsia" w:ascii="宋体" w:hAnsi="宋体" w:cs="宋体"/>
          <w:szCs w:val="21"/>
        </w:rPr>
        <w:t>].电子技术与软件工程,</w:t>
      </w:r>
      <w:r>
        <w:rPr>
          <w:rFonts w:hint="eastAsia" w:ascii="Times New Roman" w:hAnsi="Times New Roman" w:cs="宋体"/>
          <w:szCs w:val="21"/>
        </w:rPr>
        <w:t>2022</w:t>
      </w:r>
      <w:r>
        <w:rPr>
          <w:rFonts w:hint="eastAsia" w:ascii="宋体" w:hAnsi="宋体" w:cs="宋体"/>
          <w:szCs w:val="21"/>
        </w:rPr>
        <w:t>.</w:t>
      </w:r>
    </w:p>
    <w:p w14:paraId="6FE4CD54">
      <w:pPr>
        <w:spacing w:line="400" w:lineRule="exact"/>
        <w:ind w:left="420" w:hanging="420" w:hangingChars="200"/>
        <w:outlineLvl w:val="9"/>
        <w:rPr>
          <w:rFonts w:ascii="宋体" w:hAnsi="宋体" w:cs="宋体"/>
          <w:sz w:val="21"/>
          <w:szCs w:val="21"/>
        </w:rPr>
      </w:pPr>
      <w:r>
        <w:rPr>
          <w:rFonts w:hint="eastAsia" w:ascii="宋体" w:hAnsi="宋体" w:cs="宋体"/>
          <w:szCs w:val="21"/>
        </w:rPr>
        <w:t>[</w:t>
      </w:r>
      <w:r>
        <w:rPr>
          <w:rFonts w:hint="eastAsia" w:ascii="Times New Roman" w:hAnsi="Times New Roman" w:cs="宋体"/>
          <w:szCs w:val="21"/>
        </w:rPr>
        <w:t>2</w:t>
      </w:r>
      <w:r>
        <w:rPr>
          <w:rFonts w:hint="eastAsia" w:ascii="宋体" w:hAnsi="宋体" w:cs="宋体"/>
          <w:szCs w:val="21"/>
        </w:rPr>
        <w:t>]徐旭,李明明,夏辉,陈曦,王天宇,肖硕,雍旭.基于</w:t>
      </w:r>
      <w:r>
        <w:rPr>
          <w:rFonts w:hint="eastAsia" w:ascii="Times New Roman" w:hAnsi="Times New Roman" w:cs="宋体"/>
          <w:szCs w:val="21"/>
        </w:rPr>
        <w:t>SSM</w:t>
      </w:r>
      <w:r>
        <w:rPr>
          <w:rFonts w:hint="eastAsia" w:ascii="宋体" w:hAnsi="宋体" w:cs="宋体"/>
          <w:szCs w:val="21"/>
        </w:rPr>
        <w:t>框架的互联网+多元监管下构建医疗设备质量控制管理服务平台</w:t>
      </w:r>
      <w:r>
        <w:rPr>
          <w:rFonts w:hint="eastAsia" w:ascii="宋体" w:hAnsi="宋体" w:cs="宋体"/>
          <w:sz w:val="21"/>
          <w:szCs w:val="21"/>
        </w:rPr>
        <w:t>研究[</w:t>
      </w:r>
      <w:r>
        <w:rPr>
          <w:rFonts w:hint="eastAsia" w:ascii="Times New Roman" w:hAnsi="Times New Roman" w:cs="宋体"/>
          <w:sz w:val="21"/>
          <w:szCs w:val="21"/>
        </w:rPr>
        <w:t>J</w:t>
      </w:r>
      <w:r>
        <w:rPr>
          <w:rFonts w:hint="eastAsia" w:ascii="宋体" w:hAnsi="宋体" w:cs="宋体"/>
          <w:sz w:val="21"/>
          <w:szCs w:val="21"/>
        </w:rPr>
        <w:t>].中国医学装备,</w:t>
      </w:r>
      <w:r>
        <w:rPr>
          <w:rFonts w:hint="eastAsia" w:ascii="Times New Roman" w:hAnsi="Times New Roman" w:cs="宋体"/>
          <w:sz w:val="21"/>
          <w:szCs w:val="21"/>
        </w:rPr>
        <w:t>2021</w:t>
      </w:r>
      <w:r>
        <w:rPr>
          <w:rFonts w:hint="eastAsia" w:ascii="宋体" w:hAnsi="宋体" w:cs="宋体"/>
          <w:sz w:val="21"/>
          <w:szCs w:val="21"/>
        </w:rPr>
        <w:t>.</w:t>
      </w:r>
    </w:p>
    <w:p w14:paraId="400603D8">
      <w:pPr>
        <w:spacing w:line="400" w:lineRule="exact"/>
        <w:ind w:left="420" w:hanging="420" w:hangingChars="200"/>
        <w:rPr>
          <w:rFonts w:ascii="宋体" w:hAnsi="宋体" w:cs="宋体"/>
          <w:sz w:val="21"/>
          <w:szCs w:val="21"/>
        </w:rPr>
      </w:pPr>
      <w:r>
        <w:rPr>
          <w:rFonts w:hint="eastAsia" w:ascii="宋体" w:hAnsi="宋体" w:cs="宋体"/>
          <w:sz w:val="21"/>
          <w:szCs w:val="21"/>
        </w:rPr>
        <w:t>[</w:t>
      </w:r>
      <w:r>
        <w:rPr>
          <w:rFonts w:hint="eastAsia" w:ascii="Times New Roman" w:hAnsi="Times New Roman" w:cs="宋体"/>
          <w:sz w:val="21"/>
          <w:szCs w:val="21"/>
        </w:rPr>
        <w:t>3</w:t>
      </w:r>
      <w:r>
        <w:rPr>
          <w:rFonts w:hint="eastAsia" w:ascii="宋体" w:hAnsi="宋体" w:cs="宋体"/>
          <w:sz w:val="21"/>
          <w:szCs w:val="21"/>
        </w:rPr>
        <w:t>]李伟雄,李海燕.基于微信的高校社团管理系统设计与实现[</w:t>
      </w:r>
      <w:r>
        <w:rPr>
          <w:rFonts w:hint="eastAsia" w:ascii="Times New Roman" w:hAnsi="Times New Roman" w:cs="宋体"/>
          <w:sz w:val="21"/>
          <w:szCs w:val="21"/>
        </w:rPr>
        <w:t>J</w:t>
      </w:r>
      <w:r>
        <w:rPr>
          <w:rFonts w:hint="eastAsia" w:ascii="宋体" w:hAnsi="宋体" w:cs="宋体"/>
          <w:sz w:val="21"/>
          <w:szCs w:val="21"/>
        </w:rPr>
        <w:t>].信息技术与信息化,</w:t>
      </w:r>
      <w:r>
        <w:rPr>
          <w:rFonts w:hint="eastAsia" w:ascii="Times New Roman" w:hAnsi="Times New Roman" w:cs="宋体"/>
          <w:sz w:val="21"/>
          <w:szCs w:val="21"/>
        </w:rPr>
        <w:t>2021</w:t>
      </w:r>
      <w:r>
        <w:rPr>
          <w:rFonts w:hint="eastAsia" w:ascii="宋体" w:hAnsi="宋体" w:cs="宋体"/>
          <w:sz w:val="21"/>
          <w:szCs w:val="21"/>
        </w:rPr>
        <w:t>.</w:t>
      </w:r>
    </w:p>
    <w:p w14:paraId="531DF622">
      <w:pPr>
        <w:spacing w:line="400" w:lineRule="exact"/>
        <w:ind w:left="420" w:hanging="420" w:hangingChars="200"/>
        <w:rPr>
          <w:rFonts w:ascii="宋体" w:hAnsi="宋体" w:cs="宋体"/>
          <w:sz w:val="21"/>
          <w:szCs w:val="21"/>
        </w:rPr>
      </w:pPr>
      <w:r>
        <w:rPr>
          <w:rFonts w:hint="eastAsia" w:ascii="宋体" w:hAnsi="宋体" w:cs="宋体"/>
          <w:sz w:val="21"/>
          <w:szCs w:val="21"/>
        </w:rPr>
        <w:t>[</w:t>
      </w:r>
      <w:r>
        <w:rPr>
          <w:rFonts w:hint="eastAsia" w:ascii="Times New Roman" w:hAnsi="Times New Roman" w:cs="宋体"/>
          <w:sz w:val="21"/>
          <w:szCs w:val="21"/>
        </w:rPr>
        <w:t>3</w:t>
      </w:r>
      <w:r>
        <w:rPr>
          <w:rFonts w:hint="eastAsia" w:ascii="宋体" w:hAnsi="宋体" w:cs="宋体"/>
          <w:sz w:val="21"/>
          <w:szCs w:val="21"/>
        </w:rPr>
        <w:t>]李伟雄,李海燕.基于微信的高校社团管理系统设计与实现[</w:t>
      </w:r>
      <w:r>
        <w:rPr>
          <w:rFonts w:hint="eastAsia" w:ascii="Times New Roman" w:hAnsi="Times New Roman" w:cs="宋体"/>
          <w:sz w:val="21"/>
          <w:szCs w:val="21"/>
        </w:rPr>
        <w:t>J</w:t>
      </w:r>
      <w:r>
        <w:rPr>
          <w:rFonts w:hint="eastAsia" w:ascii="宋体" w:hAnsi="宋体" w:cs="宋体"/>
          <w:sz w:val="21"/>
          <w:szCs w:val="21"/>
        </w:rPr>
        <w:t>].信息技术与信息化,</w:t>
      </w:r>
      <w:r>
        <w:rPr>
          <w:rFonts w:hint="eastAsia" w:ascii="Times New Roman" w:hAnsi="Times New Roman" w:cs="宋体"/>
          <w:sz w:val="21"/>
          <w:szCs w:val="21"/>
        </w:rPr>
        <w:t>2021</w:t>
      </w:r>
      <w:r>
        <w:rPr>
          <w:rFonts w:hint="eastAsia" w:ascii="宋体" w:hAnsi="宋体" w:cs="宋体"/>
          <w:sz w:val="21"/>
          <w:szCs w:val="21"/>
        </w:rPr>
        <w:t>.</w:t>
      </w:r>
    </w:p>
    <w:p w14:paraId="2AB69E44">
      <w:pPr>
        <w:spacing w:line="400" w:lineRule="exact"/>
        <w:ind w:left="420" w:hanging="420" w:hangingChars="200"/>
        <w:rPr>
          <w:rFonts w:ascii="宋体" w:hAnsi="宋体" w:cs="宋体"/>
          <w:sz w:val="21"/>
          <w:szCs w:val="21"/>
        </w:rPr>
      </w:pPr>
      <w:r>
        <w:rPr>
          <w:rFonts w:hint="eastAsia" w:ascii="宋体" w:hAnsi="宋体" w:cs="宋体"/>
          <w:sz w:val="21"/>
          <w:szCs w:val="21"/>
        </w:rPr>
        <w:t>[</w:t>
      </w:r>
      <w:r>
        <w:rPr>
          <w:rFonts w:hint="eastAsia" w:ascii="Times New Roman" w:hAnsi="Times New Roman" w:cs="宋体"/>
          <w:sz w:val="21"/>
          <w:szCs w:val="21"/>
        </w:rPr>
        <w:t>4</w:t>
      </w:r>
      <w:r>
        <w:rPr>
          <w:rFonts w:hint="eastAsia" w:ascii="宋体" w:hAnsi="宋体" w:cs="宋体"/>
          <w:sz w:val="21"/>
          <w:szCs w:val="21"/>
        </w:rPr>
        <w:t>]李双,郭晨晨,李佳虎,张慧娥.基于</w:t>
      </w:r>
      <w:r>
        <w:rPr>
          <w:rFonts w:hint="eastAsia" w:ascii="Times New Roman" w:hAnsi="Times New Roman" w:cs="宋体"/>
          <w:sz w:val="21"/>
          <w:szCs w:val="21"/>
        </w:rPr>
        <w:t>SSM</w:t>
      </w:r>
      <w:r>
        <w:rPr>
          <w:rFonts w:hint="eastAsia" w:ascii="宋体" w:hAnsi="宋体" w:cs="宋体"/>
          <w:sz w:val="21"/>
          <w:szCs w:val="21"/>
        </w:rPr>
        <w:t>框架的智能驾校系统的设计与开发[</w:t>
      </w:r>
      <w:r>
        <w:rPr>
          <w:rFonts w:hint="eastAsia" w:ascii="Times New Roman" w:hAnsi="Times New Roman" w:cs="宋体"/>
          <w:sz w:val="21"/>
          <w:szCs w:val="21"/>
        </w:rPr>
        <w:t>J</w:t>
      </w:r>
      <w:r>
        <w:rPr>
          <w:rFonts w:hint="eastAsia" w:ascii="宋体" w:hAnsi="宋体" w:cs="宋体"/>
          <w:sz w:val="21"/>
          <w:szCs w:val="21"/>
        </w:rPr>
        <w:t>].电脑知识与技术,</w:t>
      </w:r>
      <w:r>
        <w:rPr>
          <w:rFonts w:hint="eastAsia" w:ascii="Times New Roman" w:hAnsi="Times New Roman" w:cs="宋体"/>
          <w:sz w:val="21"/>
          <w:szCs w:val="21"/>
        </w:rPr>
        <w:t>2022</w:t>
      </w:r>
      <w:r>
        <w:rPr>
          <w:rFonts w:hint="eastAsia" w:ascii="宋体" w:hAnsi="宋体" w:cs="宋体"/>
          <w:sz w:val="21"/>
          <w:szCs w:val="21"/>
        </w:rPr>
        <w:t>.</w:t>
      </w:r>
    </w:p>
    <w:p w14:paraId="38F75594">
      <w:pPr>
        <w:spacing w:line="400" w:lineRule="exact"/>
        <w:ind w:left="420" w:hanging="420" w:hangingChars="200"/>
        <w:rPr>
          <w:rFonts w:ascii="宋体" w:hAnsi="宋体" w:cs="宋体"/>
          <w:sz w:val="21"/>
          <w:szCs w:val="21"/>
        </w:rPr>
      </w:pPr>
      <w:r>
        <w:rPr>
          <w:rFonts w:hint="eastAsia" w:ascii="宋体" w:hAnsi="宋体" w:cs="宋体"/>
          <w:sz w:val="21"/>
          <w:szCs w:val="21"/>
        </w:rPr>
        <w:t>[</w:t>
      </w:r>
      <w:r>
        <w:rPr>
          <w:rFonts w:hint="eastAsia" w:ascii="Times New Roman" w:hAnsi="Times New Roman" w:cs="宋体"/>
          <w:sz w:val="21"/>
          <w:szCs w:val="21"/>
        </w:rPr>
        <w:t>5</w:t>
      </w:r>
      <w:r>
        <w:rPr>
          <w:rFonts w:hint="eastAsia" w:ascii="宋体" w:hAnsi="宋体" w:cs="宋体"/>
          <w:sz w:val="21"/>
          <w:szCs w:val="21"/>
        </w:rPr>
        <w:t>]龚文辉. 高校大学生社团管理平台的设计与实现[</w:t>
      </w:r>
      <w:r>
        <w:rPr>
          <w:rFonts w:hint="eastAsia" w:ascii="Times New Roman" w:hAnsi="Times New Roman" w:cs="宋体"/>
          <w:sz w:val="21"/>
          <w:szCs w:val="21"/>
        </w:rPr>
        <w:t>D</w:t>
      </w:r>
      <w:r>
        <w:rPr>
          <w:rFonts w:hint="eastAsia" w:ascii="宋体" w:hAnsi="宋体" w:cs="宋体"/>
          <w:sz w:val="21"/>
          <w:szCs w:val="21"/>
        </w:rPr>
        <w:t>].江西师范大学,</w:t>
      </w:r>
      <w:r>
        <w:rPr>
          <w:rFonts w:hint="eastAsia" w:ascii="Times New Roman" w:hAnsi="Times New Roman" w:cs="宋体"/>
          <w:sz w:val="21"/>
          <w:szCs w:val="21"/>
        </w:rPr>
        <w:t>2018</w:t>
      </w:r>
      <w:r>
        <w:rPr>
          <w:rFonts w:hint="eastAsia" w:ascii="宋体" w:hAnsi="宋体" w:cs="宋体"/>
          <w:sz w:val="21"/>
          <w:szCs w:val="21"/>
        </w:rPr>
        <w:t>.</w:t>
      </w:r>
    </w:p>
    <w:p w14:paraId="3D37CA88">
      <w:pPr>
        <w:spacing w:line="400" w:lineRule="exact"/>
        <w:ind w:left="420" w:hanging="420" w:hangingChars="200"/>
        <w:rPr>
          <w:rFonts w:ascii="宋体" w:hAnsi="宋体" w:cs="宋体"/>
          <w:sz w:val="21"/>
          <w:szCs w:val="21"/>
        </w:rPr>
      </w:pPr>
      <w:r>
        <w:rPr>
          <w:rFonts w:hint="eastAsia" w:ascii="宋体" w:hAnsi="宋体" w:cs="宋体"/>
          <w:sz w:val="21"/>
          <w:szCs w:val="21"/>
        </w:rPr>
        <w:t>[</w:t>
      </w:r>
      <w:r>
        <w:rPr>
          <w:rFonts w:ascii="Times New Roman" w:hAnsi="Times New Roman" w:cs="宋体"/>
          <w:sz w:val="21"/>
          <w:szCs w:val="21"/>
        </w:rPr>
        <w:t>6</w:t>
      </w:r>
      <w:r>
        <w:rPr>
          <w:rFonts w:hint="eastAsia" w:ascii="宋体" w:hAnsi="宋体" w:cs="宋体"/>
          <w:sz w:val="21"/>
          <w:szCs w:val="21"/>
        </w:rPr>
        <w:t>]张靖旭，曾晓晶，郭玉坤. 给予</w:t>
      </w:r>
      <w:r>
        <w:rPr>
          <w:rFonts w:hint="eastAsia" w:ascii="Times New Roman" w:hAnsi="Times New Roman" w:cs="宋体"/>
          <w:sz w:val="21"/>
          <w:szCs w:val="21"/>
        </w:rPr>
        <w:t>SpringBoot</w:t>
      </w:r>
      <w:r>
        <w:rPr>
          <w:rFonts w:hint="eastAsia" w:ascii="宋体" w:hAnsi="宋体" w:cs="宋体"/>
          <w:sz w:val="21"/>
          <w:szCs w:val="21"/>
        </w:rPr>
        <w:t>的校园植物信息网建设研究[</w:t>
      </w:r>
      <w:r>
        <w:rPr>
          <w:rFonts w:hint="eastAsia" w:ascii="Times New Roman" w:hAnsi="Times New Roman" w:cs="宋体"/>
          <w:sz w:val="21"/>
          <w:szCs w:val="21"/>
        </w:rPr>
        <w:t>J</w:t>
      </w:r>
      <w:r>
        <w:rPr>
          <w:rFonts w:hint="eastAsia" w:ascii="宋体" w:hAnsi="宋体" w:cs="宋体"/>
          <w:sz w:val="21"/>
          <w:szCs w:val="21"/>
        </w:rPr>
        <w:t>].信息与电脑（理论版）,</w:t>
      </w:r>
      <w:r>
        <w:rPr>
          <w:rFonts w:hint="eastAsia" w:ascii="Times New Roman" w:hAnsi="Times New Roman" w:cs="宋体"/>
          <w:sz w:val="21"/>
          <w:szCs w:val="21"/>
        </w:rPr>
        <w:t>20</w:t>
      </w:r>
      <w:r>
        <w:rPr>
          <w:rFonts w:ascii="Times New Roman" w:hAnsi="Times New Roman" w:cs="宋体"/>
          <w:sz w:val="21"/>
          <w:szCs w:val="21"/>
        </w:rPr>
        <w:t>24</w:t>
      </w:r>
      <w:r>
        <w:rPr>
          <w:rFonts w:hint="eastAsia" w:ascii="宋体" w:hAnsi="宋体" w:cs="宋体"/>
          <w:sz w:val="21"/>
          <w:szCs w:val="21"/>
        </w:rPr>
        <w:t>,</w:t>
      </w:r>
      <w:r>
        <w:rPr>
          <w:rFonts w:hint="eastAsia" w:ascii="Times New Roman" w:hAnsi="Times New Roman" w:cs="宋体"/>
          <w:sz w:val="21"/>
          <w:szCs w:val="21"/>
        </w:rPr>
        <w:t>3</w:t>
      </w:r>
      <w:r>
        <w:rPr>
          <w:rFonts w:ascii="Times New Roman" w:hAnsi="Times New Roman" w:cs="宋体"/>
          <w:sz w:val="21"/>
          <w:szCs w:val="21"/>
        </w:rPr>
        <w:t>6</w:t>
      </w:r>
      <w:r>
        <w:rPr>
          <w:rFonts w:hint="eastAsia" w:ascii="宋体" w:hAnsi="宋体" w:cs="宋体"/>
          <w:sz w:val="21"/>
          <w:szCs w:val="21"/>
        </w:rPr>
        <w:t>（</w:t>
      </w:r>
      <w:r>
        <w:rPr>
          <w:rFonts w:hint="eastAsia" w:ascii="Times New Roman" w:hAnsi="Times New Roman" w:cs="宋体"/>
          <w:sz w:val="21"/>
          <w:szCs w:val="21"/>
        </w:rPr>
        <w:t>2</w:t>
      </w:r>
      <w:r>
        <w:rPr>
          <w:rFonts w:ascii="Times New Roman" w:hAnsi="Times New Roman" w:cs="宋体"/>
          <w:sz w:val="21"/>
          <w:szCs w:val="21"/>
        </w:rPr>
        <w:t>2</w:t>
      </w:r>
      <w:r>
        <w:rPr>
          <w:rFonts w:hint="eastAsia" w:ascii="宋体" w:hAnsi="宋体" w:cs="宋体"/>
          <w:sz w:val="21"/>
          <w:szCs w:val="21"/>
        </w:rPr>
        <w:t>）：</w:t>
      </w:r>
      <w:r>
        <w:rPr>
          <w:rFonts w:hint="eastAsia" w:ascii="Times New Roman" w:hAnsi="Times New Roman" w:cs="宋体"/>
          <w:sz w:val="21"/>
          <w:szCs w:val="21"/>
        </w:rPr>
        <w:t>1</w:t>
      </w:r>
      <w:r>
        <w:rPr>
          <w:rFonts w:ascii="Times New Roman" w:hAnsi="Times New Roman" w:cs="宋体"/>
          <w:sz w:val="21"/>
          <w:szCs w:val="21"/>
        </w:rPr>
        <w:t>19</w:t>
      </w:r>
      <w:r>
        <w:rPr>
          <w:rFonts w:hint="eastAsia" w:ascii="Times New Roman" w:hAnsi="Times New Roman" w:cs="宋体"/>
          <w:sz w:val="21"/>
          <w:szCs w:val="21"/>
        </w:rPr>
        <w:t>-</w:t>
      </w:r>
      <w:r>
        <w:rPr>
          <w:rFonts w:ascii="Times New Roman" w:hAnsi="Times New Roman" w:cs="宋体"/>
          <w:sz w:val="21"/>
          <w:szCs w:val="21"/>
        </w:rPr>
        <w:t>121</w:t>
      </w:r>
      <w:r>
        <w:rPr>
          <w:rFonts w:hint="eastAsia" w:ascii="宋体" w:hAnsi="宋体" w:cs="宋体"/>
          <w:sz w:val="21"/>
          <w:szCs w:val="21"/>
        </w:rPr>
        <w:t>.</w:t>
      </w:r>
    </w:p>
    <w:p w14:paraId="62E811B5">
      <w:pPr>
        <w:tabs>
          <w:tab w:val="left" w:pos="1584"/>
        </w:tabs>
        <w:outlineLvl w:val="9"/>
        <w:rPr>
          <w:lang w:eastAsia="zh"/>
        </w:rPr>
      </w:pPr>
    </w:p>
    <w:p w14:paraId="66D0CEF0"/>
    <w:p w14:paraId="29C91140">
      <w:pPr>
        <w:outlineLvl w:val="9"/>
        <w:rPr>
          <w:rFonts w:hint="eastAsia"/>
        </w:rPr>
      </w:pPr>
    </w:p>
    <w:p w14:paraId="11C2AC38">
      <w:pPr>
        <w:rPr>
          <w:rFonts w:hint="eastAsia"/>
        </w:rPr>
        <w:sectPr>
          <w:footerReference r:id="rId1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1DA5EBD">
      <w:pPr>
        <w:pStyle w:val="2"/>
        <w:keepNext/>
        <w:keepLines/>
        <w:pageBreakBefore w:val="0"/>
        <w:widowControl w:val="0"/>
        <w:numPr>
          <w:ilvl w:val="0"/>
          <w:numId w:val="0"/>
        </w:numPr>
        <w:tabs>
          <w:tab w:val="left" w:pos="1584"/>
        </w:tabs>
        <w:kinsoku/>
        <w:wordWrap/>
        <w:overflowPunct/>
        <w:topLinePunct w:val="0"/>
        <w:autoSpaceDE/>
        <w:autoSpaceDN/>
        <w:bidi w:val="0"/>
        <w:adjustRightInd/>
        <w:snapToGrid/>
        <w:spacing w:before="40" w:after="20" w:line="320" w:lineRule="auto"/>
        <w:ind w:left="0" w:leftChars="0" w:firstLine="0" w:firstLineChars="0"/>
        <w:jc w:val="center"/>
        <w:textAlignment w:val="auto"/>
        <w:outlineLvl w:val="0"/>
        <w:rPr>
          <w:rFonts w:hint="eastAsia" w:ascii="微软雅黑" w:hAnsi="微软雅黑" w:eastAsia="微软雅黑" w:cs="微软雅黑"/>
          <w:b/>
          <w:bCs/>
          <w:kern w:val="2"/>
          <w:sz w:val="28"/>
          <w:szCs w:val="28"/>
          <w:lang w:val="en-US" w:eastAsia="zh-CN" w:bidi="ar-SA"/>
        </w:rPr>
      </w:pPr>
      <w:bookmarkStart w:id="761" w:name="_Toc29489"/>
      <w:bookmarkStart w:id="762" w:name="_Toc10815"/>
      <w:r>
        <w:rPr>
          <w:rFonts w:hint="eastAsia" w:ascii="微软雅黑" w:hAnsi="微软雅黑" w:eastAsia="微软雅黑" w:cs="微软雅黑"/>
          <w:b/>
          <w:bCs/>
          <w:kern w:val="2"/>
          <w:sz w:val="28"/>
          <w:szCs w:val="28"/>
          <w:lang w:val="en-US" w:eastAsia="zh-CN" w:bidi="ar-SA"/>
        </w:rPr>
        <w:t>二、云科数据科学新产业学院</w:t>
      </w:r>
      <w:bookmarkEnd w:id="761"/>
      <w:bookmarkEnd w:id="762"/>
    </w:p>
    <w:p w14:paraId="01939E14">
      <w:pPr>
        <w:rPr>
          <w:rFonts w:hint="eastAsia"/>
          <w:lang w:val="en-US" w:eastAsia="zh-CN"/>
        </w:rPr>
      </w:pPr>
    </w:p>
    <w:p w14:paraId="5BA05965">
      <w:pPr>
        <w:pStyle w:val="3"/>
        <w:bidi w:val="0"/>
        <w:rPr>
          <w:rFonts w:hint="eastAsia"/>
          <w:lang w:val="en-US" w:eastAsia="zh-CN"/>
        </w:rPr>
      </w:pPr>
      <w:bookmarkStart w:id="763" w:name="_Toc27466"/>
      <w:bookmarkStart w:id="764" w:name="_Toc7630"/>
      <w:r>
        <w:rPr>
          <w:rFonts w:hint="eastAsia"/>
          <w:lang w:val="en-US" w:eastAsia="zh-CN"/>
        </w:rPr>
        <w:t>1.基于区块链技术的众心筹平台设计与实现</w:t>
      </w:r>
      <w:bookmarkEnd w:id="763"/>
      <w:bookmarkEnd w:id="764"/>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AB196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48C053C">
            <w:pPr>
              <w:jc w:val="left"/>
              <w:outlineLvl w:val="0"/>
              <w:rPr>
                <w:rFonts w:hint="default" w:ascii="Calibri" w:hAnsi="Calibri" w:eastAsia="黑体" w:cs="Times New Roman"/>
                <w:szCs w:val="21"/>
                <w:lang w:val="en-US"/>
              </w:rPr>
            </w:pPr>
            <w:bookmarkStart w:id="765" w:name="_Toc25145"/>
            <w:bookmarkStart w:id="766" w:name="_Toc26739"/>
            <w:r>
              <w:rPr>
                <w:rFonts w:hint="eastAsia" w:ascii="Calibri" w:hAnsi="Calibri" w:eastAsia="黑体" w:cs="Times New Roman"/>
                <w:sz w:val="24"/>
                <w:lang w:val="en-US" w:eastAsia="zh-CN"/>
              </w:rPr>
              <w:t>项目</w:t>
            </w:r>
            <w:r>
              <w:rPr>
                <w:rFonts w:hint="eastAsia" w:ascii="Calibri" w:hAnsi="Calibri" w:eastAsia="黑体" w:cs="Times New Roman"/>
                <w:sz w:val="24"/>
              </w:rPr>
              <w:t>主题：</w:t>
            </w:r>
            <w:r>
              <w:rPr>
                <w:rFonts w:hint="eastAsia" w:ascii="Calibri" w:hAnsi="Calibri" w:eastAsia="黑体" w:cs="Times New Roman"/>
                <w:sz w:val="24"/>
                <w:lang w:val="en-US" w:eastAsia="zh-CN"/>
              </w:rPr>
              <w:t>基于区块链技术的众心筹平台设计与实现</w:t>
            </w:r>
            <w:bookmarkEnd w:id="765"/>
            <w:bookmarkEnd w:id="766"/>
          </w:p>
        </w:tc>
      </w:tr>
      <w:tr w14:paraId="1F07CF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BDB819B">
            <w:pPr>
              <w:jc w:val="left"/>
              <w:rPr>
                <w:rFonts w:ascii="Calibri" w:hAnsi="Calibri" w:eastAsia="黑体" w:cs="Times New Roman"/>
                <w:sz w:val="24"/>
              </w:rPr>
            </w:pPr>
            <w:r>
              <w:rPr>
                <w:rFonts w:hint="eastAsia" w:ascii="Calibri" w:hAnsi="Calibri" w:eastAsia="黑体" w:cs="Times New Roman"/>
                <w:sz w:val="24"/>
              </w:rPr>
              <w:t>班    级：</w:t>
            </w:r>
            <w:r>
              <w:rPr>
                <w:rFonts w:hint="eastAsia" w:ascii="Calibri" w:hAnsi="Calibri" w:eastAsia="黑体" w:cs="Times New Roman"/>
                <w:sz w:val="24"/>
                <w:lang w:val="en-US" w:eastAsia="zh-CN"/>
              </w:rPr>
              <w:t>23级区块链工程</w:t>
            </w:r>
            <w:r>
              <w:rPr>
                <w:rFonts w:hint="eastAsia" w:ascii="Calibri" w:hAnsi="Calibri" w:eastAsia="黑体" w:cs="Times New Roman"/>
                <w:sz w:val="24"/>
              </w:rPr>
              <w:t>本科1班</w:t>
            </w:r>
          </w:p>
        </w:tc>
      </w:tr>
      <w:tr w14:paraId="3138B6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9D666F5">
            <w:pPr>
              <w:jc w:val="left"/>
              <w:rPr>
                <w:rFonts w:hint="default" w:ascii="Calibri" w:hAnsi="Calibri" w:eastAsia="黑体" w:cs="Times New Roman"/>
                <w:szCs w:val="21"/>
                <w:lang w:val="en-US"/>
              </w:rPr>
            </w:pPr>
            <w:r>
              <w:rPr>
                <w:rFonts w:hint="eastAsia" w:ascii="Calibri" w:hAnsi="Calibri" w:eastAsia="黑体" w:cs="Times New Roman"/>
                <w:sz w:val="24"/>
              </w:rPr>
              <w:t>学生姓名：贺哲鹏 丁奕凯 冯思伟 刘华 唐梦如 柯昌庭</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指导教师：</w:t>
            </w:r>
            <w:r>
              <w:rPr>
                <w:rFonts w:hint="eastAsia" w:ascii="Calibri" w:hAnsi="Calibri" w:eastAsia="黑体" w:cs="Times New Roman"/>
                <w:sz w:val="21"/>
                <w:szCs w:val="21"/>
                <w:lang w:val="en-US" w:eastAsia="zh-CN"/>
              </w:rPr>
              <w:t>翟剑锟</w:t>
            </w:r>
          </w:p>
        </w:tc>
      </w:tr>
    </w:tbl>
    <w:p w14:paraId="42C76E65">
      <w:pPr>
        <w:bidi w:val="0"/>
        <w:outlineLvl w:val="9"/>
        <w:rPr>
          <w:rFonts w:hint="default"/>
          <w:b/>
          <w:bCs/>
          <w:sz w:val="28"/>
          <w:szCs w:val="28"/>
          <w:lang w:val="en-US" w:eastAsia="zh-CN"/>
        </w:rPr>
      </w:pPr>
      <w:r>
        <w:rPr>
          <w:rFonts w:hint="default"/>
          <w:b/>
          <w:bCs/>
          <w:sz w:val="28"/>
          <w:szCs w:val="28"/>
          <w:lang w:val="en-US" w:eastAsia="zh-CN"/>
        </w:rPr>
        <w:t>1 项目概述</w:t>
      </w:r>
    </w:p>
    <w:p w14:paraId="39C06F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Times New Roman" w:hAnsi="Times New Roman"/>
          <w:sz w:val="24"/>
          <w:lang w:val="en-US" w:eastAsia="zh-CN"/>
        </w:rPr>
      </w:pPr>
      <w:r>
        <w:rPr>
          <w:rFonts w:hint="default" w:ascii="Times New Roman" w:hAnsi="Times New Roman"/>
          <w:sz w:val="24"/>
          <w:lang w:val="en-US" w:eastAsia="zh-CN"/>
        </w:rPr>
        <w:t>1.1 项目介绍</w:t>
      </w:r>
    </w:p>
    <w:p w14:paraId="0EA876D7">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本项目是一款基于区块链的去中心化众筹平台，旨在解决传统众筹平台存在的监管滞后、资金管理混乱、信息不透明等核心问题。平台依托区块链技术特性与智能合约机制，实现众筹全流程自动化执行，确保资金由用户自主控制，所有交易记录公开可查且不可篡改。项目核心目标是构建零信任第三方、高效透明的众筹环境，让众筹回归“人人参与、信任为本”的初心，为众筹项目发起方与投</w:t>
      </w:r>
    </w:p>
    <w:p w14:paraId="79457387">
      <w:pPr>
        <w:spacing w:line="440" w:lineRule="exact"/>
        <w:outlineLvl w:val="9"/>
        <w:rPr>
          <w:rFonts w:hint="default" w:ascii="宋体" w:hAnsi="宋体" w:cs="宋体"/>
          <w:sz w:val="24"/>
          <w:lang w:val="en-US" w:eastAsia="zh-CN"/>
        </w:rPr>
      </w:pPr>
      <w:r>
        <w:rPr>
          <w:rFonts w:hint="default" w:ascii="宋体" w:hAnsi="宋体" w:cs="宋体"/>
          <w:sz w:val="24"/>
          <w:lang w:val="en-US" w:eastAsia="zh-CN"/>
        </w:rPr>
        <w:t>资方提供安全、可信的交互渠道。</w:t>
      </w:r>
    </w:p>
    <w:p w14:paraId="44481BC3">
      <w:pPr>
        <w:bidi w:val="0"/>
        <w:rPr>
          <w:rFonts w:hint="default"/>
          <w:lang w:val="en-US" w:eastAsia="zh-CN"/>
        </w:rPr>
      </w:pPr>
      <w:r>
        <w:rPr>
          <w:rFonts w:hint="default"/>
          <w:lang w:val="en-US" w:eastAsia="zh-CN"/>
        </w:rPr>
        <w:drawing>
          <wp:inline distT="0" distB="0" distL="114300" distR="114300">
            <wp:extent cx="5261610" cy="2411095"/>
            <wp:effectExtent l="0" t="0" r="15240" b="8255"/>
            <wp:docPr id="1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
                    <pic:cNvPicPr>
                      <a:picLocks noChangeAspect="1"/>
                    </pic:cNvPicPr>
                  </pic:nvPicPr>
                  <pic:blipFill>
                    <a:blip r:embed="rId251"/>
                    <a:stretch>
                      <a:fillRect/>
                    </a:stretch>
                  </pic:blipFill>
                  <pic:spPr>
                    <a:xfrm>
                      <a:off x="0" y="0"/>
                      <a:ext cx="5261610" cy="2411095"/>
                    </a:xfrm>
                    <a:prstGeom prst="rect">
                      <a:avLst/>
                    </a:prstGeom>
                    <a:noFill/>
                    <a:ln>
                      <a:noFill/>
                    </a:ln>
                  </pic:spPr>
                </pic:pic>
              </a:graphicData>
            </a:graphic>
          </wp:inline>
        </w:drawing>
      </w:r>
    </w:p>
    <w:p w14:paraId="1E6DC918">
      <w:pPr>
        <w:bidi w:val="0"/>
        <w:jc w:val="center"/>
        <w:rPr>
          <w:rFonts w:hint="default"/>
          <w:lang w:val="en-US" w:eastAsia="zh-CN"/>
        </w:rPr>
      </w:pPr>
      <w:r>
        <w:rPr>
          <w:rFonts w:hint="default"/>
          <w:lang w:val="en-US" w:eastAsia="zh-CN"/>
        </w:rPr>
        <w:t>图1.1众筹平台</w:t>
      </w:r>
    </w:p>
    <w:p w14:paraId="190034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Times New Roman" w:hAnsi="Times New Roman"/>
          <w:sz w:val="24"/>
          <w:lang w:val="en-US" w:eastAsia="zh-CN"/>
        </w:rPr>
      </w:pPr>
      <w:r>
        <w:rPr>
          <w:rFonts w:hint="default" w:ascii="Times New Roman" w:hAnsi="Times New Roman"/>
          <w:sz w:val="24"/>
          <w:lang w:val="en-US" w:eastAsia="zh-CN"/>
        </w:rPr>
        <w:t>1.2 项目开发环境</w:t>
      </w:r>
    </w:p>
    <w:p w14:paraId="5E53BB6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图1.2展示了一个完整且层次分明的以太坊DApp（去中心化应用）开发技术体系，它以构建一个功能丰富的本地化Web3应用为目标，清晰地勾勒了从底层区块链环境搭建到上层用户交互的全流程闭环。其核心架构可以从以下几个层面来理解。</w:t>
      </w:r>
    </w:p>
    <w:p w14:paraId="57034163">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基础层：本地开发与仿真环境。</w:t>
      </w:r>
    </w:p>
    <w:p w14:paraId="1B2BF60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整个体系的基石是本地化的区块链开发环境。Ganache是一个用于以太坊开发的个人区块链，它允许开发者在安全、可控的本地环境中模拟以太坊网络，无需消耗真实的以太币（ETH）作为Gas费，极大地加速了开发、调试和测试的迭代周期。与之紧密关联的“Local Blockchain”进一步明确了这一环境属性，而“TRUFFLE”框架则作为这一层的指挥官。Truffle是以太坊生态中最流行的开发框架，它提供了一套完整的工具链，用于智能合约的编译、部署、迁移和测试，将本地区块链环境的管理变得标准化和自动化。</w:t>
      </w:r>
    </w:p>
    <w:p w14:paraId="18E178F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核心逻辑层：智能合约开发与保障。</w:t>
      </w:r>
    </w:p>
    <w:p w14:paraId="4D6DA6E2">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在稳固的基础之上，是应用的核心业务逻辑层，即智能合约。“Core Contrast Code”（应为“Core Contract Code”）指明了代码的核心地位，而“Solidify”（应为“Solidity”）则是实现这些核心逻辑的编程语言。Solidity是专门为以太坊虚拟机（EVM）设计的高级语言，用于编写定义应用规则和资产操作的智能合约。为了保证这些部署后难以更改的合约代码的可靠性，“Unit Testing”（单元测试）环节至关重要。图中将“mocha”（一个灵活的JavaScript测试框架）与“Truffle”关联，表明通常使用Truffle集成Mocha/Chai等工具来对Solidity合约进行详尽的功能和安全性测试，确保其在各种边界条件下的行为符合预期。</w:t>
      </w:r>
    </w:p>
    <w:p w14:paraId="56091EE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交互层：连接区块链与用户。</w:t>
      </w:r>
    </w:p>
    <w:p w14:paraId="7C42239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智能合约部署后，需要通过前端界面与用户交互，这由交互层实现。该层分为前端呈现和区块链连接两部分。前端设计及具体的HTML, CSS, Bootstrap构成了传统的Web前端技术栈，负责构建用户友好、响应式的可视化界面。而连接这个界面与以太坊网络的桥梁则是“Web Interfacing”部分，其中“web3js”（即web3.js库）是关键。它是一个JavaScript库，允许前端应用通过RPC调用与以太坊节点（这里是本地的Ganache节点）进行通信，从而读取区块链数据、发送交易并调用智能合约功能。用户端的交互入口则体现为“Browser Tools”中的“MetaMask + Firefox”。MetaMask是一个浏览器扩展钱包，它为用户管理私钥和账户，并在前端应用发起交易时弹出签名确认窗口，是用户安全参与DApp的门户。Firefox代表支持此类扩展的现代浏览器。</w:t>
      </w:r>
    </w:p>
    <w:p w14:paraId="02E9753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应用场景层：功能模块示例。</w:t>
      </w:r>
    </w:p>
    <w:p w14:paraId="6C2EE2ED">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体系的最顶层Emailwork，Traffic，Mail，Media（推测“Emailwork”为“Email”或某种工作流，“mucha”可能为“Media”的笔误或另一模块）并非具体技术，而是暗示了该技术栈所能支撑的多样化应用场景或功能模块示例。例如，可以基于此体系开发去中心化的邮件系统（Mail）、数字内容媒体平台（Media）、流量分析服务（Traffic）或任务协作工作流（Emailwork）。这些标签展示了区块链技术超越金融领域，在通信、内容、数据服务等多方面的潜在应用可能性。</w:t>
      </w:r>
    </w:p>
    <w:p w14:paraId="139A42A0">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体系的协同工作流程。</w:t>
      </w:r>
    </w:p>
    <w:p w14:paraId="389070F4">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这个技术体系的运作流程是线性的、循环的：开发者首先利用Ganache启动一个Local Blockchain。接着，在Truffle框架内使用Solidity编写Core Contract Code，并用Mocha进行Unit Testing。测试通过后，通过Truffle将合约部署到本地链上。与此同时，前端开发者使用HTML, CSS, Bootstrap构建界面，并利用web3.js库编写与已部署合约交互的脚本。用户在Firefox浏览器中通过MetaMask钱包（需配置连接到本地Ganache网络）访问该前端应用。当用户在前端进行操作（例如触发“Media”内容购买或“Mail”发送），前端通过web3.js发起交易，MetaMask弹出提示让用户确认并签名，最终交易被发送到本地区块链执行，结果更新并反馈给前端界面。</w:t>
      </w:r>
    </w:p>
    <w:p w14:paraId="2665B9A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总结而言，图1.2是一个包含、高效率的以太坊DApp原型开发技术栈。它强调在本地环境中完成从合约开发、测试到前端集成的全过程，最大限度地降低了早期开发的门槛和风险。其中，Truffle和Ganache提供了开发基础设施，Solidity和web3.js构成了核心的技术连接件，而HTML/CSS/Bootstrap与MetaMask则分别负责用户体验和安全交互。这套体系是现代以太坊开发者构建和验证去中心化应用创意的事实标准起点。这样的结构适用于构建和测试一个完整的区块链应用原型，之后再部署到公共测试网或主网。前端技术：Vue3 框架；合约开发：Solidity 语言；交互工具：MetaMask 钱包；依托区块链网络实现全链上数据存储与交互，保障系统去中心化特性与数据安全性。</w:t>
      </w:r>
    </w:p>
    <w:p w14:paraId="260911A2">
      <w:pPr>
        <w:bidi w:val="0"/>
        <w:jc w:val="center"/>
        <w:rPr>
          <w:rFonts w:hint="default"/>
          <w:lang w:val="en-US" w:eastAsia="zh-CN"/>
        </w:rPr>
      </w:pPr>
      <w:r>
        <w:rPr>
          <w:rFonts w:hint="default"/>
          <w:lang w:val="en-US" w:eastAsia="zh-CN"/>
        </w:rPr>
        <w:drawing>
          <wp:inline distT="0" distB="0" distL="114300" distR="114300">
            <wp:extent cx="2995295" cy="2651760"/>
            <wp:effectExtent l="0" t="0" r="14605" b="1524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252"/>
                    <a:stretch>
                      <a:fillRect/>
                    </a:stretch>
                  </pic:blipFill>
                  <pic:spPr>
                    <a:xfrm>
                      <a:off x="0" y="0"/>
                      <a:ext cx="2995295" cy="2651760"/>
                    </a:xfrm>
                    <a:prstGeom prst="rect">
                      <a:avLst/>
                    </a:prstGeom>
                  </pic:spPr>
                </pic:pic>
              </a:graphicData>
            </a:graphic>
          </wp:inline>
        </w:drawing>
      </w:r>
    </w:p>
    <w:p w14:paraId="1A4DE2A3">
      <w:pPr>
        <w:bidi w:val="0"/>
        <w:jc w:val="center"/>
        <w:rPr>
          <w:rFonts w:hint="default"/>
          <w:lang w:val="en-US" w:eastAsia="zh-CN"/>
        </w:rPr>
      </w:pPr>
      <w:r>
        <w:rPr>
          <w:rFonts w:hint="default"/>
          <w:lang w:val="en-US" w:eastAsia="zh-CN"/>
        </w:rPr>
        <w:t>图1.2技术体系</w:t>
      </w:r>
    </w:p>
    <w:p w14:paraId="755BB42F">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1.3 小组人员及分工</w:t>
      </w:r>
    </w:p>
    <w:p w14:paraId="0D77747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如图1.3人员分工，贺哲鹏项目负责人：统筹项目整体进度，协调各模块开发衔接，把控项目核心目标与技术方向；前端开发人员丁奕凯、刘华：基于 Vue3 框架实现平台前端页面开发，包括项目展示、用户交互、钱包连接等界面功能；智能合约开发人员冯思伟：使用 Solidity 语言编写智能合约，实现项目创建、投资、资金分配等核心业务逻辑的自动化执行；测试人员柯昌庭：负责系统功能测试、性能测试与安全测试，验证智能合约安全性与平台交互稳定性；文档编写人员唐梦如：整理项目开发文档、用户使用说明等相关文档资料，保障项目文档的完整性与规范性。</w:t>
      </w:r>
    </w:p>
    <w:p w14:paraId="68535B1F">
      <w:pPr>
        <w:bidi w:val="0"/>
        <w:rPr>
          <w:rFonts w:hint="default"/>
          <w:lang w:val="en-US" w:eastAsia="zh-CN"/>
        </w:rPr>
      </w:pPr>
      <w:r>
        <w:rPr>
          <w:rFonts w:hint="default"/>
          <w:lang w:val="en-US" w:eastAsia="zh-CN"/>
        </w:rPr>
        <w:drawing>
          <wp:inline distT="0" distB="0" distL="114300" distR="114300">
            <wp:extent cx="5271135" cy="1882140"/>
            <wp:effectExtent l="0" t="0" r="5715" b="3810"/>
            <wp:docPr id="1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7"/>
                    <pic:cNvPicPr>
                      <a:picLocks noChangeAspect="1"/>
                    </pic:cNvPicPr>
                  </pic:nvPicPr>
                  <pic:blipFill>
                    <a:blip r:embed="rId253"/>
                    <a:stretch>
                      <a:fillRect/>
                    </a:stretch>
                  </pic:blipFill>
                  <pic:spPr>
                    <a:xfrm>
                      <a:off x="0" y="0"/>
                      <a:ext cx="5271135" cy="1882140"/>
                    </a:xfrm>
                    <a:prstGeom prst="rect">
                      <a:avLst/>
                    </a:prstGeom>
                    <a:noFill/>
                    <a:ln>
                      <a:noFill/>
                    </a:ln>
                  </pic:spPr>
                </pic:pic>
              </a:graphicData>
            </a:graphic>
          </wp:inline>
        </w:drawing>
      </w:r>
    </w:p>
    <w:p w14:paraId="131A2B11">
      <w:pPr>
        <w:bidi w:val="0"/>
        <w:jc w:val="center"/>
        <w:rPr>
          <w:rFonts w:hint="default"/>
          <w:lang w:val="en-US" w:eastAsia="zh-CN"/>
        </w:rPr>
      </w:pPr>
      <w:r>
        <w:rPr>
          <w:rFonts w:hint="default"/>
          <w:lang w:val="en-US" w:eastAsia="zh-CN"/>
        </w:rPr>
        <w:t>图1.3人员分工</w:t>
      </w:r>
    </w:p>
    <w:p w14:paraId="0CAD2C49">
      <w:pPr>
        <w:bidi w:val="0"/>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2 需求分析</w:t>
      </w:r>
    </w:p>
    <w:p w14:paraId="7BB610A9">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2.1 系统需求分析</w:t>
      </w:r>
    </w:p>
    <w:p w14:paraId="3212F4CA">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去中心化核心需求：系统需摆脱传统第三方平台管控，依托区块链技术实现用户自主控制资金与交易流程；全流程自动化需求：通过智能合约实现项目创建审核、投资资金锁定、达标后资金划拨、未达标退款等全流程自动化执行，减少人工干预；信息透明需求：项目信息、投资记录、资金流向等所有数据均需上链存储，保障公开可查、不可篡改，提升用户信任度；钱包交互需求：支持与 MetaMask 等主流区块链钱包对接，实现用户身份认证、资金支付与接收等功能；安全性需求：保障智能合约无漏洞，防范恶意攻击，确保用户资金与个人信息安全；易用性需求：前端界面简洁直观，操作流程清晰，降低用户使用门槛，适配不同技术基础的用户。</w:t>
      </w:r>
    </w:p>
    <w:p w14:paraId="47D545D4">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2.2 可行性分析</w:t>
      </w:r>
    </w:p>
    <w:p w14:paraId="3A7AA5C7">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技术可行性：Vue3 框架具备成熟的前端开发生态，Solidity 语言是区块链智能合约开发的主流语言，技术体系成熟稳定；MetaMask 钱包提供完善的开发接口，支持与前端应用快速对接，区块链网络的去中心化特性可保障数据安全与透明，技术层面可实现项目核心需求。2. 经济可行性：项目开发基于现有成熟技术框架，无需大量定制化底层开发，降低开发成本；去中心化模式减少了传统平台的运营与监管成本，同时透明可信的特性可吸引更多项目发起方与投资方参与，具备一定的市场推广潜力与经济价值。3. 市场可行性：传统众筹平台的监管滞后、资金混乱等问题长期存在，用户对安全可信的众筹环境需求迫切，本项目依托区块链技术解决行业痛点，符合市场需求趋势，具备良好的市场应用前景。</w:t>
      </w:r>
    </w:p>
    <w:p w14:paraId="0494E151">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 xml:space="preserve">2.3 用户需求分析 </w:t>
      </w:r>
    </w:p>
    <w:p w14:paraId="005CF173">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项目发起方需求：希望拥有低门槛、低成本的项目融资渠道，保障融资资金安全到账，同时项目信息能够真实、广泛地触达投资方，避免传统平台的高额手续费与繁琐审核流程；2. 投资方需求：希望投资过程安全可控，清楚了解项目真实情况与资金流向，降低投资风险，在项目未达标时能够顺利收回投资资金，保障自身权益；3. 整体用户需求：核心是对“信任”的需求，期望摆脱第三方平台的信用依赖，通过技术手段实现公平、公正、透明的众筹交互。</w:t>
      </w:r>
    </w:p>
    <w:p w14:paraId="05079193">
      <w:pPr>
        <w:bidi w:val="0"/>
        <w:rPr>
          <w:rFonts w:hint="default"/>
          <w:lang w:val="en-US" w:eastAsia="zh-CN"/>
        </w:rPr>
      </w:pPr>
      <w:r>
        <w:rPr>
          <w:rFonts w:hint="default"/>
          <w:lang w:val="en-US" w:eastAsia="zh-CN"/>
        </w:rPr>
        <w:drawing>
          <wp:inline distT="0" distB="0" distL="114300" distR="114300">
            <wp:extent cx="5269865" cy="4273550"/>
            <wp:effectExtent l="0" t="0" r="6985" b="12700"/>
            <wp:docPr id="1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
                    <pic:cNvPicPr>
                      <a:picLocks noChangeAspect="1"/>
                    </pic:cNvPicPr>
                  </pic:nvPicPr>
                  <pic:blipFill>
                    <a:blip r:embed="rId254"/>
                    <a:stretch>
                      <a:fillRect/>
                    </a:stretch>
                  </pic:blipFill>
                  <pic:spPr>
                    <a:xfrm>
                      <a:off x="0" y="0"/>
                      <a:ext cx="5269865" cy="4273550"/>
                    </a:xfrm>
                    <a:prstGeom prst="rect">
                      <a:avLst/>
                    </a:prstGeom>
                    <a:noFill/>
                    <a:ln>
                      <a:noFill/>
                    </a:ln>
                  </pic:spPr>
                </pic:pic>
              </a:graphicData>
            </a:graphic>
          </wp:inline>
        </w:drawing>
      </w:r>
    </w:p>
    <w:p w14:paraId="069D9A86">
      <w:pPr>
        <w:bidi w:val="0"/>
        <w:jc w:val="center"/>
        <w:rPr>
          <w:rFonts w:hint="default"/>
          <w:lang w:val="en-US" w:eastAsia="zh-CN"/>
        </w:rPr>
      </w:pPr>
      <w:r>
        <w:rPr>
          <w:rFonts w:hint="default"/>
          <w:lang w:val="en-US" w:eastAsia="zh-CN"/>
        </w:rPr>
        <w:t>图1.4 系统需求分析图</w:t>
      </w:r>
    </w:p>
    <w:p w14:paraId="263625E3">
      <w:pPr>
        <w:bidi w:val="0"/>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3系统设计</w:t>
      </w:r>
    </w:p>
    <w:p w14:paraId="5C405C6C">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3.1 系统结构设计</w:t>
      </w:r>
    </w:p>
    <w:p w14:paraId="5E566191">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本系统采用区块链去中心化架构，整体分为三层：1. 前端交互层：基于 Vue3 框架开发的 Web 前端应用，负责用户与系统的交互，包括项目创建、投资操作、信息查询等，通过钱包接口与区块链网络通信；2. 智能合约层：系统核心业务逻辑层，基于 Solidity 开发的智能合约部署于区块链网络，实现项目创建审核、资金锁定与划拨、退款等自动化逻辑，是保障系统去中心化与自动化的核心；3. 区块链底层层：提供数据存储与交易确认功能，所有项目信息、投资记录、资金流向等数据均上链存储，保障数据公开、透明、不可篡改，为系统提供安全可靠的底层支撑。</w:t>
      </w:r>
    </w:p>
    <w:p w14:paraId="0BEFC540">
      <w:pPr>
        <w:bidi w:val="0"/>
        <w:jc w:val="center"/>
        <w:rPr>
          <w:rFonts w:hint="default"/>
          <w:lang w:val="en-US" w:eastAsia="zh-CN"/>
        </w:rPr>
      </w:pPr>
      <w:r>
        <w:rPr>
          <w:rFonts w:hint="default"/>
          <w:lang w:val="en-US" w:eastAsia="zh-CN"/>
        </w:rPr>
        <w:drawing>
          <wp:anchor distT="0" distB="0" distL="114300" distR="114300" simplePos="0" relativeHeight="251734016" behindDoc="0" locked="0" layoutInCell="1" allowOverlap="1">
            <wp:simplePos x="0" y="0"/>
            <wp:positionH relativeFrom="column">
              <wp:posOffset>1157605</wp:posOffset>
            </wp:positionH>
            <wp:positionV relativeFrom="paragraph">
              <wp:posOffset>36830</wp:posOffset>
            </wp:positionV>
            <wp:extent cx="3270885" cy="1937385"/>
            <wp:effectExtent l="0" t="0" r="5715" b="5715"/>
            <wp:wrapTopAndBottom/>
            <wp:docPr id="1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
                    <pic:cNvPicPr>
                      <a:picLocks noChangeAspect="1"/>
                    </pic:cNvPicPr>
                  </pic:nvPicPr>
                  <pic:blipFill>
                    <a:blip r:embed="rId255"/>
                    <a:stretch>
                      <a:fillRect/>
                    </a:stretch>
                  </pic:blipFill>
                  <pic:spPr>
                    <a:xfrm>
                      <a:off x="0" y="0"/>
                      <a:ext cx="3270885" cy="1937385"/>
                    </a:xfrm>
                    <a:prstGeom prst="rect">
                      <a:avLst/>
                    </a:prstGeom>
                    <a:noFill/>
                    <a:ln>
                      <a:noFill/>
                    </a:ln>
                  </pic:spPr>
                </pic:pic>
              </a:graphicData>
            </a:graphic>
          </wp:anchor>
        </w:drawing>
      </w:r>
      <w:r>
        <w:rPr>
          <w:rFonts w:hint="default"/>
          <w:lang w:val="en-US" w:eastAsia="zh-CN"/>
        </w:rPr>
        <w:t>图3.1 系统结构图</w:t>
      </w:r>
    </w:p>
    <w:p w14:paraId="622E43A2">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3.2 系统功能模块设计</w:t>
      </w:r>
    </w:p>
    <w:p w14:paraId="5B7EE2A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1、钱包对接模块：负责与 MetaMask 钱包建立连接，实现用户身份认证、签名验证、资金支付与接收等功能，是用户参与平台交互的基础；</w:t>
      </w:r>
    </w:p>
    <w:p w14:paraId="257668B3">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2、项目创建模块：支持项目发起方提交项目信息（包括项目介绍、融资目标、融资期限等），通过智能合约记录项目信息并上链，完成项目创建流程；</w:t>
      </w:r>
    </w:p>
    <w:p w14:paraId="3D985B9D">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3、项目展示模块：前端展示已创建的众筹项目，包括项目详情、当前融资进度、剩余时间、投资方列表等信息，方便投资方浏览与了解项目；</w:t>
      </w:r>
    </w:p>
    <w:p w14:paraId="77587044">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4、投资模块：投资方通过钱包向智能合约转入资金完成投资，智能合约自动记录投资信息、锁定资金，同时更新项目融资进度；</w:t>
      </w:r>
    </w:p>
    <w:p w14:paraId="0E3A098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5、资金分配模块：当项目融资达到目标且期限结束后，智能合约自动将锁定的资金划拨至项目发起方钱包；若未达到融资目标，自动将资金按投资比例退还至各投资方钱包；</w:t>
      </w:r>
    </w:p>
    <w:p w14:paraId="31E89F3D">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6、信息查询模块：支持用户查询所有上链的项目信息、投资记录、资金流向等数据，保障信息透明可追溯。</w:t>
      </w:r>
    </w:p>
    <w:p w14:paraId="0A9E1A0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众筹项目的目标是实现去中心化架构，无单一控制节点，避免中心化平台的单点故障风险，通过智能合约托管资金，自动执行资金释放与退款逻辑，保障资金安全，提供清晰的项目进度展示与资金流向追溯功能，增强用户信任，支持主流区块链钱包集成，降低用户使用门槛，实现项目创建者资金使用审批机制，确保资金用于项目实际推进。</w:t>
      </w:r>
    </w:p>
    <w:p w14:paraId="48325D93">
      <w:pPr>
        <w:bidi w:val="0"/>
        <w:jc w:val="center"/>
        <w:rPr>
          <w:rFonts w:hint="default"/>
          <w:lang w:val="en-US" w:eastAsia="zh-CN"/>
        </w:rPr>
      </w:pPr>
      <w:r>
        <w:rPr>
          <w:rFonts w:hint="default"/>
          <w:lang w:val="en-US" w:eastAsia="zh-CN"/>
        </w:rPr>
        <w:t>表3.1 项目技术栈选型表</w:t>
      </w:r>
    </w:p>
    <w:tbl>
      <w:tblPr>
        <w:tblStyle w:val="35"/>
        <w:tblW w:w="0" w:type="auto"/>
        <w:tblInd w:w="157"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603"/>
        <w:gridCol w:w="2760"/>
        <w:gridCol w:w="2893"/>
      </w:tblGrid>
      <w:tr w14:paraId="5AA7EF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434" w:hRule="atLeast"/>
        </w:trPr>
        <w:tc>
          <w:tcPr>
            <w:tcW w:w="2603" w:type="dxa"/>
            <w:tcMar>
              <w:top w:w="60" w:type="dxa"/>
              <w:left w:w="120" w:type="dxa"/>
              <w:bottom w:w="30" w:type="dxa"/>
              <w:right w:w="120" w:type="dxa"/>
            </w:tcMar>
            <w:vAlign w:val="center"/>
          </w:tcPr>
          <w:p w14:paraId="7CC8690D">
            <w:pPr>
              <w:bidi w:val="0"/>
              <w:rPr>
                <w:rFonts w:hint="default"/>
                <w:lang w:val="en-US" w:eastAsia="zh-CN"/>
              </w:rPr>
            </w:pPr>
            <w:r>
              <w:rPr>
                <w:rFonts w:hint="default"/>
                <w:lang w:val="en-US" w:eastAsia="zh-CN"/>
              </w:rPr>
              <w:t>技术层面</w:t>
            </w:r>
          </w:p>
        </w:tc>
        <w:tc>
          <w:tcPr>
            <w:tcW w:w="2760" w:type="dxa"/>
            <w:tcMar>
              <w:top w:w="60" w:type="dxa"/>
              <w:left w:w="120" w:type="dxa"/>
              <w:bottom w:w="30" w:type="dxa"/>
              <w:right w:w="120" w:type="dxa"/>
            </w:tcMar>
            <w:vAlign w:val="center"/>
          </w:tcPr>
          <w:p w14:paraId="659DD1A9">
            <w:pPr>
              <w:bidi w:val="0"/>
              <w:rPr>
                <w:rFonts w:hint="default"/>
                <w:lang w:val="en-US" w:eastAsia="zh-CN"/>
              </w:rPr>
            </w:pPr>
            <w:r>
              <w:rPr>
                <w:rFonts w:hint="default"/>
                <w:lang w:val="en-US" w:eastAsia="zh-CN"/>
              </w:rPr>
              <w:t>选用技术</w:t>
            </w:r>
          </w:p>
        </w:tc>
        <w:tc>
          <w:tcPr>
            <w:tcW w:w="2893" w:type="dxa"/>
            <w:tcMar>
              <w:top w:w="60" w:type="dxa"/>
              <w:left w:w="120" w:type="dxa"/>
              <w:bottom w:w="30" w:type="dxa"/>
              <w:right w:w="120" w:type="dxa"/>
            </w:tcMar>
            <w:vAlign w:val="center"/>
          </w:tcPr>
          <w:p w14:paraId="24A5C0B8">
            <w:pPr>
              <w:bidi w:val="0"/>
              <w:rPr>
                <w:rFonts w:hint="default"/>
                <w:lang w:val="en-US" w:eastAsia="zh-CN"/>
              </w:rPr>
            </w:pPr>
            <w:r>
              <w:rPr>
                <w:rFonts w:hint="default"/>
                <w:lang w:val="en-US" w:eastAsia="zh-CN"/>
              </w:rPr>
              <w:t>选用理由</w:t>
            </w:r>
          </w:p>
        </w:tc>
      </w:tr>
      <w:tr w14:paraId="19FE463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12428178">
            <w:pPr>
              <w:bidi w:val="0"/>
              <w:rPr>
                <w:rFonts w:hint="default"/>
                <w:lang w:val="en-US" w:eastAsia="zh-CN"/>
              </w:rPr>
            </w:pPr>
            <w:r>
              <w:rPr>
                <w:rFonts w:hint="default"/>
                <w:lang w:val="en-US" w:eastAsia="zh-CN"/>
              </w:rPr>
              <w:t>前端交互</w:t>
            </w:r>
          </w:p>
        </w:tc>
        <w:tc>
          <w:tcPr>
            <w:tcW w:w="2760" w:type="dxa"/>
            <w:tcMar>
              <w:top w:w="60" w:type="dxa"/>
              <w:left w:w="120" w:type="dxa"/>
              <w:bottom w:w="30" w:type="dxa"/>
              <w:right w:w="120" w:type="dxa"/>
            </w:tcMar>
          </w:tcPr>
          <w:p w14:paraId="24B80727">
            <w:pPr>
              <w:bidi w:val="0"/>
              <w:rPr>
                <w:rFonts w:hint="default"/>
                <w:lang w:val="en-US" w:eastAsia="zh-CN"/>
              </w:rPr>
            </w:pPr>
            <w:r>
              <w:rPr>
                <w:rFonts w:hint="default"/>
                <w:lang w:val="en-US" w:eastAsia="zh-CN"/>
              </w:rPr>
              <w:t>React.js + Web3.js/Ethers.js</w:t>
            </w:r>
          </w:p>
        </w:tc>
        <w:tc>
          <w:tcPr>
            <w:tcW w:w="2893" w:type="dxa"/>
            <w:tcMar>
              <w:top w:w="60" w:type="dxa"/>
              <w:left w:w="120" w:type="dxa"/>
              <w:bottom w:w="30" w:type="dxa"/>
              <w:right w:w="120" w:type="dxa"/>
            </w:tcMar>
          </w:tcPr>
          <w:p w14:paraId="330356CA">
            <w:pPr>
              <w:bidi w:val="0"/>
              <w:rPr>
                <w:rFonts w:hint="default"/>
                <w:lang w:val="en-US" w:eastAsia="zh-CN"/>
              </w:rPr>
            </w:pPr>
            <w:r>
              <w:rPr>
                <w:rFonts w:hint="default"/>
                <w:lang w:val="en-US" w:eastAsia="zh-CN"/>
              </w:rPr>
              <w:t>React.js 组件化开发效率高，适配响应式界面需求；Web3.js/Ethers.js 提供与区块链节点交互的核心能力，支持钱包连接与智能合约调用</w:t>
            </w:r>
          </w:p>
        </w:tc>
      </w:tr>
      <w:tr w14:paraId="17E3A75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1E0B0C89">
            <w:pPr>
              <w:bidi w:val="0"/>
              <w:rPr>
                <w:rFonts w:hint="default"/>
                <w:lang w:val="en-US" w:eastAsia="zh-CN"/>
              </w:rPr>
            </w:pPr>
            <w:r>
              <w:rPr>
                <w:rFonts w:hint="default"/>
                <w:lang w:val="en-US" w:eastAsia="zh-CN"/>
              </w:rPr>
              <w:t>智能合约</w:t>
            </w:r>
          </w:p>
        </w:tc>
        <w:tc>
          <w:tcPr>
            <w:tcW w:w="2760" w:type="dxa"/>
            <w:tcMar>
              <w:top w:w="60" w:type="dxa"/>
              <w:left w:w="120" w:type="dxa"/>
              <w:bottom w:w="30" w:type="dxa"/>
              <w:right w:w="120" w:type="dxa"/>
            </w:tcMar>
          </w:tcPr>
          <w:p w14:paraId="430555FB">
            <w:pPr>
              <w:bidi w:val="0"/>
              <w:rPr>
                <w:rFonts w:hint="default"/>
                <w:lang w:val="en-US" w:eastAsia="zh-CN"/>
              </w:rPr>
            </w:pPr>
            <w:r>
              <w:rPr>
                <w:rFonts w:hint="default"/>
                <w:lang w:val="en-US" w:eastAsia="zh-CN"/>
              </w:rPr>
              <w:t>Solidity</w:t>
            </w:r>
          </w:p>
        </w:tc>
        <w:tc>
          <w:tcPr>
            <w:tcW w:w="2893" w:type="dxa"/>
            <w:tcMar>
              <w:top w:w="60" w:type="dxa"/>
              <w:left w:w="120" w:type="dxa"/>
              <w:bottom w:w="30" w:type="dxa"/>
              <w:right w:w="120" w:type="dxa"/>
            </w:tcMar>
          </w:tcPr>
          <w:p w14:paraId="4CDEAE64">
            <w:pPr>
              <w:bidi w:val="0"/>
              <w:rPr>
                <w:rFonts w:hint="default"/>
                <w:lang w:val="en-US" w:eastAsia="zh-CN"/>
              </w:rPr>
            </w:pPr>
            <w:r>
              <w:rPr>
                <w:rFonts w:hint="default"/>
                <w:lang w:val="en-US" w:eastAsia="zh-CN"/>
              </w:rPr>
              <w:t>以太坊生态主流智能合约开发语言，语法贴近JavaScript，社区支持完善，适配众筹场景的资金管理与逻辑自动化需求</w:t>
            </w:r>
          </w:p>
        </w:tc>
      </w:tr>
      <w:tr w14:paraId="1A9C2C9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6CC79BAD">
            <w:pPr>
              <w:bidi w:val="0"/>
              <w:rPr>
                <w:rFonts w:hint="default"/>
                <w:lang w:val="en-US" w:eastAsia="zh-CN"/>
              </w:rPr>
            </w:pPr>
            <w:r>
              <w:rPr>
                <w:rFonts w:hint="default"/>
                <w:lang w:val="en-US" w:eastAsia="zh-CN"/>
              </w:rPr>
              <w:t>合约开发工具</w:t>
            </w:r>
          </w:p>
        </w:tc>
        <w:tc>
          <w:tcPr>
            <w:tcW w:w="2760" w:type="dxa"/>
            <w:tcMar>
              <w:top w:w="60" w:type="dxa"/>
              <w:left w:w="120" w:type="dxa"/>
              <w:bottom w:w="30" w:type="dxa"/>
              <w:right w:w="120" w:type="dxa"/>
            </w:tcMar>
          </w:tcPr>
          <w:p w14:paraId="56EC70B7">
            <w:pPr>
              <w:bidi w:val="0"/>
              <w:rPr>
                <w:rFonts w:hint="default"/>
                <w:lang w:val="en-US" w:eastAsia="zh-CN"/>
              </w:rPr>
            </w:pPr>
            <w:r>
              <w:rPr>
                <w:rFonts w:hint="default"/>
                <w:lang w:val="en-US" w:eastAsia="zh-CN"/>
              </w:rPr>
              <w:t>Hardhat</w:t>
            </w:r>
          </w:p>
        </w:tc>
        <w:tc>
          <w:tcPr>
            <w:tcW w:w="2893" w:type="dxa"/>
            <w:tcMar>
              <w:top w:w="60" w:type="dxa"/>
              <w:left w:w="120" w:type="dxa"/>
              <w:bottom w:w="30" w:type="dxa"/>
              <w:right w:w="120" w:type="dxa"/>
            </w:tcMar>
          </w:tcPr>
          <w:p w14:paraId="6EBFF2F1">
            <w:pPr>
              <w:bidi w:val="0"/>
              <w:rPr>
                <w:rFonts w:hint="default"/>
                <w:lang w:val="en-US" w:eastAsia="zh-CN"/>
              </w:rPr>
            </w:pPr>
            <w:r>
              <w:rPr>
                <w:rFonts w:hint="default"/>
                <w:lang w:val="en-US" w:eastAsia="zh-CN"/>
              </w:rPr>
              <w:t>提供合约编译、测试、部署一体化工具链，支持本地测试网络搭建，提升开发与测试效率</w:t>
            </w:r>
          </w:p>
        </w:tc>
      </w:tr>
      <w:tr w14:paraId="1683016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230DDF60">
            <w:pPr>
              <w:bidi w:val="0"/>
              <w:rPr>
                <w:rFonts w:hint="default"/>
                <w:lang w:val="en-US" w:eastAsia="zh-CN"/>
              </w:rPr>
            </w:pPr>
            <w:r>
              <w:rPr>
                <w:rFonts w:hint="default"/>
                <w:lang w:val="en-US" w:eastAsia="zh-CN"/>
              </w:rPr>
              <w:t>后端服务（可选）</w:t>
            </w:r>
          </w:p>
        </w:tc>
        <w:tc>
          <w:tcPr>
            <w:tcW w:w="2760" w:type="dxa"/>
            <w:tcMar>
              <w:top w:w="60" w:type="dxa"/>
              <w:left w:w="120" w:type="dxa"/>
              <w:bottom w:w="30" w:type="dxa"/>
              <w:right w:w="120" w:type="dxa"/>
            </w:tcMar>
          </w:tcPr>
          <w:p w14:paraId="099206E0">
            <w:pPr>
              <w:bidi w:val="0"/>
              <w:rPr>
                <w:rFonts w:hint="default"/>
                <w:lang w:val="en-US" w:eastAsia="zh-CN"/>
              </w:rPr>
            </w:pPr>
            <w:r>
              <w:rPr>
                <w:rFonts w:hint="default"/>
                <w:lang w:val="en-US" w:eastAsia="zh-CN"/>
              </w:rPr>
              <w:t>Node.js + Express</w:t>
            </w:r>
          </w:p>
        </w:tc>
        <w:tc>
          <w:tcPr>
            <w:tcW w:w="2893" w:type="dxa"/>
            <w:tcMar>
              <w:top w:w="60" w:type="dxa"/>
              <w:left w:w="120" w:type="dxa"/>
              <w:bottom w:w="30" w:type="dxa"/>
              <w:right w:w="120" w:type="dxa"/>
            </w:tcMar>
          </w:tcPr>
          <w:p w14:paraId="0507C93F">
            <w:pPr>
              <w:bidi w:val="0"/>
              <w:rPr>
                <w:rFonts w:hint="default"/>
                <w:lang w:val="en-US" w:eastAsia="zh-CN"/>
              </w:rPr>
            </w:pPr>
            <w:r>
              <w:rPr>
                <w:rFonts w:hint="default"/>
                <w:lang w:val="en-US" w:eastAsia="zh-CN"/>
              </w:rPr>
              <w:t>用于存储项目非核心中心化数据（如项目详情、图片链接等），提供API接口供前端调用，降低链上存储成本</w:t>
            </w:r>
          </w:p>
        </w:tc>
      </w:tr>
      <w:tr w14:paraId="46A4137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4B20D0E2">
            <w:pPr>
              <w:bidi w:val="0"/>
              <w:rPr>
                <w:rFonts w:hint="default"/>
                <w:lang w:val="en-US" w:eastAsia="zh-CN"/>
              </w:rPr>
            </w:pPr>
            <w:r>
              <w:rPr>
                <w:rFonts w:hint="default"/>
                <w:lang w:val="en-US" w:eastAsia="zh-CN"/>
              </w:rPr>
              <w:t>区块链网络</w:t>
            </w:r>
          </w:p>
        </w:tc>
        <w:tc>
          <w:tcPr>
            <w:tcW w:w="2760" w:type="dxa"/>
            <w:tcMar>
              <w:top w:w="60" w:type="dxa"/>
              <w:left w:w="120" w:type="dxa"/>
              <w:bottom w:w="30" w:type="dxa"/>
              <w:right w:w="120" w:type="dxa"/>
            </w:tcMar>
          </w:tcPr>
          <w:p w14:paraId="33755DC5">
            <w:pPr>
              <w:bidi w:val="0"/>
              <w:rPr>
                <w:rFonts w:hint="default"/>
                <w:lang w:val="en-US" w:eastAsia="zh-CN"/>
              </w:rPr>
            </w:pPr>
            <w:r>
              <w:rPr>
                <w:rFonts w:hint="default"/>
                <w:lang w:val="en-US" w:eastAsia="zh-CN"/>
              </w:rPr>
              <w:t>以太坊测试网（Sepolia/Görli）+ 主网适配</w:t>
            </w:r>
          </w:p>
        </w:tc>
        <w:tc>
          <w:tcPr>
            <w:tcW w:w="2893" w:type="dxa"/>
            <w:tcMar>
              <w:top w:w="60" w:type="dxa"/>
              <w:left w:w="120" w:type="dxa"/>
              <w:bottom w:w="30" w:type="dxa"/>
              <w:right w:w="120" w:type="dxa"/>
            </w:tcMar>
          </w:tcPr>
          <w:p w14:paraId="0AA9B833">
            <w:pPr>
              <w:bidi w:val="0"/>
              <w:rPr>
                <w:rFonts w:hint="default"/>
                <w:lang w:val="en-US" w:eastAsia="zh-CN"/>
              </w:rPr>
            </w:pPr>
            <w:r>
              <w:rPr>
                <w:rFonts w:hint="default"/>
                <w:lang w:val="en-US" w:eastAsia="zh-CN"/>
              </w:rPr>
              <w:t>测试网用于开发调试，降低测试成本；主网适配保障应用正式上线后的可用性</w:t>
            </w:r>
          </w:p>
        </w:tc>
      </w:tr>
      <w:tr w14:paraId="641C9F3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03" w:type="dxa"/>
            <w:tcMar>
              <w:top w:w="60" w:type="dxa"/>
              <w:left w:w="120" w:type="dxa"/>
              <w:bottom w:w="30" w:type="dxa"/>
              <w:right w:w="120" w:type="dxa"/>
            </w:tcMar>
          </w:tcPr>
          <w:p w14:paraId="34F5F95F">
            <w:pPr>
              <w:bidi w:val="0"/>
              <w:rPr>
                <w:rFonts w:hint="default"/>
                <w:lang w:val="en-US" w:eastAsia="zh-CN"/>
              </w:rPr>
            </w:pPr>
            <w:r>
              <w:rPr>
                <w:rFonts w:hint="default"/>
                <w:lang w:val="en-US" w:eastAsia="zh-CN"/>
              </w:rPr>
              <w:t>钱包集成</w:t>
            </w:r>
          </w:p>
        </w:tc>
        <w:tc>
          <w:tcPr>
            <w:tcW w:w="2760" w:type="dxa"/>
            <w:tcMar>
              <w:top w:w="60" w:type="dxa"/>
              <w:left w:w="120" w:type="dxa"/>
              <w:bottom w:w="30" w:type="dxa"/>
              <w:right w:w="120" w:type="dxa"/>
            </w:tcMar>
          </w:tcPr>
          <w:p w14:paraId="31BEC4F6">
            <w:pPr>
              <w:bidi w:val="0"/>
              <w:rPr>
                <w:rFonts w:hint="default"/>
                <w:lang w:val="en-US" w:eastAsia="zh-CN"/>
              </w:rPr>
            </w:pPr>
            <w:r>
              <w:rPr>
                <w:rFonts w:hint="default"/>
                <w:lang w:val="en-US" w:eastAsia="zh-CN"/>
              </w:rPr>
              <w:t>MetaMask</w:t>
            </w:r>
          </w:p>
        </w:tc>
        <w:tc>
          <w:tcPr>
            <w:tcW w:w="2893" w:type="dxa"/>
            <w:tcMar>
              <w:top w:w="60" w:type="dxa"/>
              <w:left w:w="120" w:type="dxa"/>
              <w:bottom w:w="30" w:type="dxa"/>
              <w:right w:w="120" w:type="dxa"/>
            </w:tcMar>
          </w:tcPr>
          <w:p w14:paraId="79B473F5">
            <w:pPr>
              <w:bidi w:val="0"/>
              <w:rPr>
                <w:rFonts w:hint="default"/>
                <w:lang w:val="en-US" w:eastAsia="zh-CN"/>
              </w:rPr>
            </w:pPr>
            <w:r>
              <w:rPr>
                <w:rFonts w:hint="default"/>
                <w:lang w:val="en-US" w:eastAsia="zh-CN"/>
              </w:rPr>
              <w:t>以太坊生态最主流的浏览器钱包插件，用户基数大，集成成本低，支持交易签名与身份认证</w:t>
            </w:r>
          </w:p>
        </w:tc>
      </w:tr>
    </w:tbl>
    <w:p w14:paraId="60D469F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本系统采用经典的去中心化应用三层架构，结合区块链技术特性，各层职责清晰、松耦合，用户交互层：基于React.js构建的Web前端界面，负责用户与系统的直接交互，包括项目创建、项目浏览、资金贡献、钱包连接等功能的可视化展示；合约交互层：通过Web3.js/Ethers.js实现前端与智能合约的通信，负责交易签名、合约方法调用、链上数据查询等核心交互逻辑；区块链核心层：包含智能合约与以太坊区块链网络，智能合约实现资金托管、项目管理、审批投票等核心业务逻辑，区块链网络提供分布式账本存储，保障交易不可篡改与可追溯。</w:t>
      </w:r>
    </w:p>
    <w:p w14:paraId="0E75F6D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参考行业主流众筹DAPP设计方案，本系统采用“工厂合约+单项目合约”的架构模式，实现多项目并行管理，降低单合约复杂度与风险。工厂合约（CrowdfundFactory）：作为项目注册入口，负责创建单项目合约、维护所有项目的索引信息（如项目ID、合约地址、创建者等），提供项目列表查询功能；单项目合约（Crowdfund）：每个众筹项目对应一个独立的单项目合约，负责托管该项目的募集资金、记录投资者信息、执行资金释放/退款逻辑、管理资金使用审批流程等核心功能。</w:t>
      </w:r>
    </w:p>
    <w:p w14:paraId="48784486">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项目创建流程。</w:t>
      </w:r>
    </w:p>
    <w:p w14:paraId="4294CA6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用户连接MetaMask钱包，前端通过Web3.js验证钱包连接状态与网络正确性；</w:t>
      </w:r>
    </w:p>
    <w:p w14:paraId="221D890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用户填写项目信息（名称、描述、目标金额、截止时间等），前端对信息进行合法性校验（如目标金额大于0、截止时间晚于当前时间）；</w:t>
      </w:r>
    </w:p>
    <w:p w14:paraId="3753512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前端调用工厂合约的createProject方法，传入项目信息，发起区块链交易并由用户钱包签名；</w:t>
      </w:r>
    </w:p>
    <w:p w14:paraId="79C772F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交易上链确认后，工厂合约创建新的单项目合约，记录项目索引信息，并触发ProjectCreated事件；</w:t>
      </w:r>
    </w:p>
    <w:p w14:paraId="5FFF87E4">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前端监听ProjectCreated事件，更新项目列表展示。</w:t>
      </w:r>
    </w:p>
    <w:p w14:paraId="5BB051AD">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资金贡献流程</w:t>
      </w:r>
    </w:p>
    <w:p w14:paraId="02A26B6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用户浏览项目详情，确认贡献金额，前端校验金额大于0且不超过用户钱包余额；</w:t>
      </w:r>
    </w:p>
    <w:p w14:paraId="52A53390">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用户点击“贡献资金”按钮，前端调用对应项目合约的contribute方法，传入贡献金额，发起交易；</w:t>
      </w:r>
    </w:p>
    <w:p w14:paraId="68F605E6">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交易上链确认后，项目合约更新已筹金额与投资者列表，记录该用户的贡献信息，并触发Contributed事件；</w:t>
      </w:r>
    </w:p>
    <w:p w14:paraId="39F1430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前端监听Contributed事件，更新项目已筹金额与投资者数量展示。</w:t>
      </w:r>
    </w:p>
    <w:p w14:paraId="3EFFB61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资金释放与退款流程</w:t>
      </w:r>
    </w:p>
    <w:p w14:paraId="3D2BA5E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募集截止后，前端通过调用项目合约的checkFundingStatus方法查询项目状态；</w:t>
      </w:r>
    </w:p>
    <w:p w14:paraId="39DA01D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若已筹金额≥目标金额（众筹成功）：</w:t>
      </w:r>
    </w:p>
    <w:p w14:paraId="6221F4A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项目创建者提交资金使用申请，调用项目合约的createRequest方法；</w:t>
      </w:r>
    </w:p>
    <w:p w14:paraId="4E6362B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投资者浏览申请详情，调用approveRequest方法进行投票；</w:t>
      </w:r>
    </w:p>
    <w:p w14:paraId="4739293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当同意投票数超过投资者总数的50%时，创建者可调用releaseFunds方法，合约将对应金额转入申请的收款地址；</w:t>
      </w:r>
    </w:p>
    <w:p w14:paraId="10C5886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若已筹金额&lt;目标金额（众筹失败）：</w:t>
      </w:r>
    </w:p>
    <w:p w14:paraId="390EF8A8">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投资者调用项目合约的refund方法，发起退款申请；</w:t>
      </w:r>
    </w:p>
    <w:p w14:paraId="28628C8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合约校验投资者身份后，将其贡献的资金原路退回，并更新退款状态。</w:t>
      </w:r>
    </w:p>
    <w:p w14:paraId="351F4F96">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源码说明，源码目录结构。</w:t>
      </w:r>
    </w:p>
    <w:tbl>
      <w:tblPr>
        <w:tblStyle w:val="35"/>
        <w:tblW w:w="0" w:type="auto"/>
        <w:tblInd w:w="12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95"/>
      </w:tblGrid>
      <w:tr w14:paraId="0AE9714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95" w:type="dxa"/>
            <w:shd w:val="clear" w:color="auto" w:fill="F5F6F7"/>
            <w:tcMar>
              <w:top w:w="60" w:type="dxa"/>
              <w:left w:w="120" w:type="dxa"/>
              <w:bottom w:w="30" w:type="dxa"/>
              <w:right w:w="120" w:type="dxa"/>
            </w:tcMar>
          </w:tcPr>
          <w:p w14:paraId="7D47C11F">
            <w:pPr>
              <w:bidi w:val="0"/>
              <w:rPr>
                <w:rFonts w:hint="default"/>
                <w:lang w:val="en-US" w:eastAsia="zh-CN"/>
              </w:rPr>
            </w:pPr>
            <w:r>
              <w:rPr>
                <w:rFonts w:hint="default"/>
                <w:lang w:val="en-US" w:eastAsia="zh-CN"/>
              </w:rPr>
              <w:t>plaintext</w:t>
            </w:r>
            <w:r>
              <w:rPr>
                <w:rFonts w:hint="default"/>
                <w:lang w:val="en-US" w:eastAsia="zh-CN"/>
              </w:rPr>
              <w:br w:type="textWrapping"/>
            </w:r>
            <w:r>
              <w:rPr>
                <w:rFonts w:hint="default"/>
                <w:lang w:val="en-US" w:eastAsia="zh-CN"/>
              </w:rPr>
              <w:t>Crowdfunding-DAPP/</w:t>
            </w:r>
            <w:r>
              <w:rPr>
                <w:rFonts w:hint="default"/>
                <w:lang w:val="en-US" w:eastAsia="zh-CN"/>
              </w:rPr>
              <w:br w:type="textWrapping"/>
            </w:r>
            <w:r>
              <w:rPr>
                <w:rFonts w:hint="default"/>
                <w:lang w:val="en-US" w:eastAsia="zh-CN"/>
              </w:rPr>
              <w:t>├── client/                # 前端项目目录</w:t>
            </w:r>
            <w:r>
              <w:rPr>
                <w:rFonts w:hint="default"/>
                <w:lang w:val="en-US" w:eastAsia="zh-CN"/>
              </w:rPr>
              <w:br w:type="textWrapping"/>
            </w:r>
            <w:r>
              <w:rPr>
                <w:rFonts w:hint="default"/>
                <w:lang w:val="en-US" w:eastAsia="zh-CN"/>
              </w:rPr>
              <w:t>│   ├── public/            # 静态资源（图片、图标等）</w:t>
            </w:r>
            <w:r>
              <w:rPr>
                <w:rFonts w:hint="default"/>
                <w:lang w:val="en-US" w:eastAsia="zh-CN"/>
              </w:rPr>
              <w:br w:type="textWrapping"/>
            </w:r>
            <w:r>
              <w:rPr>
                <w:rFonts w:hint="default"/>
                <w:lang w:val="en-US" w:eastAsia="zh-CN"/>
              </w:rPr>
              <w:t>│   ├── src/</w:t>
            </w:r>
            <w:r>
              <w:rPr>
                <w:rFonts w:hint="default"/>
                <w:lang w:val="en-US" w:eastAsia="zh-CN"/>
              </w:rPr>
              <w:br w:type="textWrapping"/>
            </w:r>
            <w:r>
              <w:rPr>
                <w:rFonts w:hint="default"/>
                <w:lang w:val="en-US" w:eastAsia="zh-CN"/>
              </w:rPr>
              <w:t>│   │   ├── components/    # 可复用组件（钱包连接、项目卡片、表单等）</w:t>
            </w:r>
            <w:r>
              <w:rPr>
                <w:rFonts w:hint="default"/>
                <w:lang w:val="en-US" w:eastAsia="zh-CN"/>
              </w:rPr>
              <w:br w:type="textWrapping"/>
            </w:r>
            <w:r>
              <w:rPr>
                <w:rFonts w:hint="default"/>
                <w:lang w:val="en-US" w:eastAsia="zh-CN"/>
              </w:rPr>
              <w:t>│   │   ├── contexts/      # 全局上下文（钱包上下文、项目上下文等）</w:t>
            </w:r>
            <w:r>
              <w:rPr>
                <w:rFonts w:hint="default"/>
                <w:lang w:val="en-US" w:eastAsia="zh-CN"/>
              </w:rPr>
              <w:br w:type="textWrapping"/>
            </w:r>
            <w:r>
              <w:rPr>
                <w:rFonts w:hint="default"/>
                <w:lang w:val="en-US" w:eastAsia="zh-CN"/>
              </w:rPr>
              <w:t>│   │   ├── hooks/         # 自定义Hooks（useWeb3、useContract等）</w:t>
            </w:r>
            <w:r>
              <w:rPr>
                <w:rFonts w:hint="default"/>
                <w:lang w:val="en-US" w:eastAsia="zh-CN"/>
              </w:rPr>
              <w:br w:type="textWrapping"/>
            </w:r>
            <w:r>
              <w:rPr>
                <w:rFonts w:hint="default"/>
                <w:lang w:val="en-US" w:eastAsia="zh-CN"/>
              </w:rPr>
              <w:t>│   │   ├── pages/         # 页面组件（首页、项目详情页、创建项目页等）</w:t>
            </w:r>
            <w:r>
              <w:rPr>
                <w:rFonts w:hint="default"/>
                <w:lang w:val="en-US" w:eastAsia="zh-CN"/>
              </w:rPr>
              <w:br w:type="textWrapping"/>
            </w:r>
            <w:r>
              <w:rPr>
                <w:rFonts w:hint="default"/>
                <w:lang w:val="en-US" w:eastAsia="zh-CN"/>
              </w:rPr>
              <w:t>│   │   ├── services/      # 服务层（合约调用、API请求等）</w:t>
            </w:r>
            <w:r>
              <w:rPr>
                <w:rFonts w:hint="default"/>
                <w:lang w:val="en-US" w:eastAsia="zh-CN"/>
              </w:rPr>
              <w:br w:type="textWrapping"/>
            </w:r>
            <w:r>
              <w:rPr>
                <w:rFonts w:hint="default"/>
                <w:lang w:val="en-US" w:eastAsia="zh-CN"/>
              </w:rPr>
              <w:t>│   │   ├── utils/         # 工具函数（格式化、校验等）</w:t>
            </w:r>
            <w:r>
              <w:rPr>
                <w:rFonts w:hint="default"/>
                <w:lang w:val="en-US" w:eastAsia="zh-CN"/>
              </w:rPr>
              <w:br w:type="textWrapping"/>
            </w:r>
            <w:r>
              <w:rPr>
                <w:rFonts w:hint="default"/>
                <w:lang w:val="en-US" w:eastAsia="zh-CN"/>
              </w:rPr>
              <w:t>│   │   ├── App.js         # 根组件</w:t>
            </w:r>
            <w:r>
              <w:rPr>
                <w:rFonts w:hint="default"/>
                <w:lang w:val="en-US" w:eastAsia="zh-CN"/>
              </w:rPr>
              <w:br w:type="textWrapping"/>
            </w:r>
            <w:r>
              <w:rPr>
                <w:rFonts w:hint="default"/>
                <w:lang w:val="en-US" w:eastAsia="zh-CN"/>
              </w:rPr>
              <w:t>│   │   └── index.js       # 入口文件</w:t>
            </w:r>
            <w:r>
              <w:rPr>
                <w:rFonts w:hint="default"/>
                <w:lang w:val="en-US" w:eastAsia="zh-CN"/>
              </w:rPr>
              <w:br w:type="textWrapping"/>
            </w:r>
            <w:r>
              <w:rPr>
                <w:rFonts w:hint="default"/>
                <w:lang w:val="en-US" w:eastAsia="zh-CN"/>
              </w:rPr>
              <w:t>├── contracts/             # 智能合约目录</w:t>
            </w:r>
            <w:r>
              <w:rPr>
                <w:rFonts w:hint="default"/>
                <w:lang w:val="en-US" w:eastAsia="zh-CN"/>
              </w:rPr>
              <w:br w:type="textWrapping"/>
            </w:r>
            <w:r>
              <w:rPr>
                <w:rFonts w:hint="default"/>
                <w:lang w:val="en-US" w:eastAsia="zh-CN"/>
              </w:rPr>
              <w:t>│   ├── CrowdfundFactory.sol  # 工厂合约</w:t>
            </w:r>
            <w:r>
              <w:rPr>
                <w:rFonts w:hint="default"/>
                <w:lang w:val="en-US" w:eastAsia="zh-CN"/>
              </w:rPr>
              <w:br w:type="textWrapping"/>
            </w:r>
            <w:r>
              <w:rPr>
                <w:rFonts w:hint="default"/>
                <w:lang w:val="en-US" w:eastAsia="zh-CN"/>
              </w:rPr>
              <w:t>│   └── Crowdfund.sol         # 单项目合约</w:t>
            </w:r>
            <w:r>
              <w:rPr>
                <w:rFonts w:hint="default"/>
                <w:lang w:val="en-US" w:eastAsia="zh-CN"/>
              </w:rPr>
              <w:br w:type="textWrapping"/>
            </w:r>
            <w:r>
              <w:rPr>
                <w:rFonts w:hint="default"/>
                <w:lang w:val="en-US" w:eastAsia="zh-CN"/>
              </w:rPr>
              <w:t>├── scripts/               # 部署脚本目录</w:t>
            </w:r>
            <w:r>
              <w:rPr>
                <w:rFonts w:hint="default"/>
                <w:lang w:val="en-US" w:eastAsia="zh-CN"/>
              </w:rPr>
              <w:br w:type="textWrapping"/>
            </w:r>
            <w:r>
              <w:rPr>
                <w:rFonts w:hint="default"/>
                <w:lang w:val="en-US" w:eastAsia="zh-CN"/>
              </w:rPr>
              <w:t>│   ├── deployFactory.js   # 工厂合约部署脚本</w:t>
            </w:r>
            <w:r>
              <w:rPr>
                <w:rFonts w:hint="default"/>
                <w:lang w:val="en-US" w:eastAsia="zh-CN"/>
              </w:rPr>
              <w:br w:type="textWrapping"/>
            </w:r>
            <w:r>
              <w:rPr>
                <w:rFonts w:hint="default"/>
                <w:lang w:val="en-US" w:eastAsia="zh-CN"/>
              </w:rPr>
              <w:t>│   └── deployCrowdfund.js # 单项目合约部署脚本（测试用）</w:t>
            </w:r>
            <w:r>
              <w:rPr>
                <w:rFonts w:hint="default"/>
                <w:lang w:val="en-US" w:eastAsia="zh-CN"/>
              </w:rPr>
              <w:br w:type="textWrapping"/>
            </w:r>
            <w:r>
              <w:rPr>
                <w:rFonts w:hint="default"/>
                <w:lang w:val="en-US" w:eastAsia="zh-CN"/>
              </w:rPr>
              <w:t>├── test/                  # 测试用例目录</w:t>
            </w:r>
            <w:r>
              <w:rPr>
                <w:rFonts w:hint="default"/>
                <w:lang w:val="en-US" w:eastAsia="zh-CN"/>
              </w:rPr>
              <w:br w:type="textWrapping"/>
            </w:r>
            <w:r>
              <w:rPr>
                <w:rFonts w:hint="default"/>
                <w:lang w:val="en-US" w:eastAsia="zh-CN"/>
              </w:rPr>
              <w:t>│   ├── CrowdfundFactory.test.js</w:t>
            </w:r>
            <w:r>
              <w:rPr>
                <w:rFonts w:hint="default"/>
                <w:lang w:val="en-US" w:eastAsia="zh-CN"/>
              </w:rPr>
              <w:br w:type="textWrapping"/>
            </w:r>
            <w:r>
              <w:rPr>
                <w:rFonts w:hint="default"/>
                <w:lang w:val="en-US" w:eastAsia="zh-CN"/>
              </w:rPr>
              <w:t>│   └── Crowdfund.test.js</w:t>
            </w:r>
            <w:r>
              <w:rPr>
                <w:rFonts w:hint="default"/>
                <w:lang w:val="en-US" w:eastAsia="zh-CN"/>
              </w:rPr>
              <w:br w:type="textWrapping"/>
            </w:r>
            <w:r>
              <w:rPr>
                <w:rFonts w:hint="default"/>
                <w:lang w:val="en-US" w:eastAsia="zh-CN"/>
              </w:rPr>
              <w:t>├── hardhat.config.js      # Hardhat配置文件</w:t>
            </w:r>
            <w:r>
              <w:rPr>
                <w:rFonts w:hint="default"/>
                <w:lang w:val="en-US" w:eastAsia="zh-CN"/>
              </w:rPr>
              <w:br w:type="textWrapping"/>
            </w:r>
            <w:r>
              <w:rPr>
                <w:rFonts w:hint="default"/>
                <w:lang w:val="en-US" w:eastAsia="zh-CN"/>
              </w:rPr>
              <w:t>├── .env                   # 环境变量配置（私钥、Infura API Key等）</w:t>
            </w:r>
            <w:r>
              <w:rPr>
                <w:rFonts w:hint="default"/>
                <w:lang w:val="en-US" w:eastAsia="zh-CN"/>
              </w:rPr>
              <w:br w:type="textWrapping"/>
            </w:r>
            <w:r>
              <w:rPr>
                <w:rFonts w:hint="default"/>
                <w:lang w:val="en-US" w:eastAsia="zh-CN"/>
              </w:rPr>
              <w:t>└── README.md              # 项目说明文档</w:t>
            </w:r>
          </w:p>
        </w:tc>
      </w:tr>
    </w:tbl>
    <w:p w14:paraId="1C2E9DB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源码说明，核心源码工厂合约CrowdfundFactory.sol。核心功能，创建单项目合约、维护项目列表、提供项目查询接口。关键代码及说明如下：</w:t>
      </w:r>
    </w:p>
    <w:tbl>
      <w:tblPr>
        <w:tblStyle w:val="35"/>
        <w:tblW w:w="0" w:type="auto"/>
        <w:tblInd w:w="11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310"/>
      </w:tblGrid>
      <w:tr w14:paraId="5058A5C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310" w:type="dxa"/>
            <w:shd w:val="clear" w:color="auto" w:fill="F5F6F7"/>
            <w:tcMar>
              <w:top w:w="60" w:type="dxa"/>
              <w:left w:w="120" w:type="dxa"/>
              <w:bottom w:w="30" w:type="dxa"/>
              <w:right w:w="120" w:type="dxa"/>
            </w:tcMar>
          </w:tcPr>
          <w:p w14:paraId="5AEF933F">
            <w:pPr>
              <w:bidi w:val="0"/>
              <w:rPr>
                <w:rFonts w:hint="default"/>
                <w:lang w:val="en-US" w:eastAsia="zh-CN"/>
              </w:rPr>
            </w:pPr>
            <w:r>
              <w:rPr>
                <w:rFonts w:hint="default"/>
                <w:lang w:val="en-US" w:eastAsia="zh-CN"/>
              </w:rPr>
              <w:t>solidity</w:t>
            </w:r>
            <w:r>
              <w:rPr>
                <w:rFonts w:hint="default"/>
                <w:lang w:val="en-US" w:eastAsia="zh-CN"/>
              </w:rPr>
              <w:br w:type="textWrapping"/>
            </w:r>
            <w:r>
              <w:rPr>
                <w:rFonts w:hint="default"/>
                <w:lang w:val="en-US" w:eastAsia="zh-CN"/>
              </w:rPr>
              <w:t>// SPDX-License-Identifier: MIT</w:t>
            </w:r>
            <w:r>
              <w:rPr>
                <w:rFonts w:hint="default"/>
                <w:lang w:val="en-US" w:eastAsia="zh-CN"/>
              </w:rPr>
              <w:br w:type="textWrapping"/>
            </w:r>
            <w:r>
              <w:rPr>
                <w:rFonts w:hint="default"/>
                <w:lang w:val="en-US" w:eastAsia="zh-CN"/>
              </w:rPr>
              <w:t>pragma solidity ^0.8.20;</w:t>
            </w:r>
            <w:r>
              <w:rPr>
                <w:rFonts w:hint="default"/>
                <w:lang w:val="en-US" w:eastAsia="zh-CN"/>
              </w:rPr>
              <w:br w:type="textWrapping"/>
            </w:r>
            <w:r>
              <w:rPr>
                <w:rFonts w:hint="default"/>
                <w:lang w:val="en-US" w:eastAsia="zh-CN"/>
              </w:rPr>
              <w:t>import "./Crowdfund.sol";</w:t>
            </w:r>
            <w:r>
              <w:rPr>
                <w:rFonts w:hint="default"/>
                <w:lang w:val="en-US" w:eastAsia="zh-CN"/>
              </w:rPr>
              <w:br w:type="textWrapping"/>
            </w:r>
            <w:r>
              <w:rPr>
                <w:rFonts w:hint="default"/>
                <w:lang w:val="en-US" w:eastAsia="zh-CN"/>
              </w:rPr>
              <w:t>contract CrowdfundFactory {</w:t>
            </w:r>
            <w:r>
              <w:rPr>
                <w:rFonts w:hint="default"/>
                <w:lang w:val="en-US" w:eastAsia="zh-CN"/>
              </w:rPr>
              <w:br w:type="textWrapping"/>
            </w:r>
            <w:r>
              <w:rPr>
                <w:rFonts w:hint="default"/>
                <w:lang w:val="en-US" w:eastAsia="zh-CN"/>
              </w:rPr>
              <w:t xml:space="preserve">    // 存储所有项目合约地址</w:t>
            </w:r>
            <w:r>
              <w:rPr>
                <w:rFonts w:hint="default"/>
                <w:lang w:val="en-US" w:eastAsia="zh-CN"/>
              </w:rPr>
              <w:br w:type="textWrapping"/>
            </w:r>
            <w:r>
              <w:rPr>
                <w:rFonts w:hint="default"/>
                <w:lang w:val="en-US" w:eastAsia="zh-CN"/>
              </w:rPr>
              <w:t xml:space="preserve">    address[] public allCrowdfunds;</w:t>
            </w:r>
            <w:r>
              <w:rPr>
                <w:rFonts w:hint="default"/>
                <w:lang w:val="en-US" w:eastAsia="zh-CN"/>
              </w:rPr>
              <w:br w:type="textWrapping"/>
            </w:r>
            <w:r>
              <w:rPr>
                <w:rFonts w:hint="default"/>
                <w:lang w:val="en-US" w:eastAsia="zh-CN"/>
              </w:rPr>
              <w:t xml:space="preserve">    // 项目ID与项目信息的映射（可选，增强查询功能）</w:t>
            </w:r>
            <w:r>
              <w:rPr>
                <w:rFonts w:hint="default"/>
                <w:lang w:val="en-US" w:eastAsia="zh-CN"/>
              </w:rPr>
              <w:br w:type="textWrapping"/>
            </w:r>
            <w:r>
              <w:rPr>
                <w:rFonts w:hint="default"/>
                <w:lang w:val="en-US" w:eastAsia="zh-CN"/>
              </w:rPr>
              <w:t xml:space="preserve">    mapping(uint256 =&gt; CrowdfundInfo) public crowdfundInfos;</w:t>
            </w:r>
            <w:r>
              <w:rPr>
                <w:rFonts w:hint="default"/>
                <w:lang w:val="en-US" w:eastAsia="zh-CN"/>
              </w:rPr>
              <w:br w:type="textWrapping"/>
            </w:r>
            <w:r>
              <w:rPr>
                <w:rFonts w:hint="default"/>
                <w:lang w:val="en-US" w:eastAsia="zh-CN"/>
              </w:rPr>
              <w:t xml:space="preserve">    uint256 public projectCount; // 项目计数器</w:t>
            </w:r>
            <w:r>
              <w:rPr>
                <w:rFonts w:hint="default"/>
                <w:lang w:val="en-US" w:eastAsia="zh-CN"/>
              </w:rPr>
              <w:br w:type="textWrapping"/>
            </w:r>
            <w:r>
              <w:rPr>
                <w:rFonts w:hint="default"/>
                <w:lang w:val="en-US" w:eastAsia="zh-CN"/>
              </w:rPr>
              <w:br w:type="textWrapping"/>
            </w:r>
            <w:r>
              <w:rPr>
                <w:rFonts w:hint="default"/>
                <w:lang w:val="en-US" w:eastAsia="zh-CN"/>
              </w:rPr>
              <w:t xml:space="preserve">    // 项目信息结构体</w:t>
            </w:r>
            <w:r>
              <w:rPr>
                <w:rFonts w:hint="default"/>
                <w:lang w:val="en-US" w:eastAsia="zh-CN"/>
              </w:rPr>
              <w:br w:type="textWrapping"/>
            </w:r>
            <w:r>
              <w:rPr>
                <w:rFonts w:hint="default"/>
                <w:lang w:val="en-US" w:eastAsia="zh-CN"/>
              </w:rPr>
              <w:t xml:space="preserve">    struct CrowdfundInfo {</w:t>
            </w:r>
            <w:r>
              <w:rPr>
                <w:rFonts w:hint="default"/>
                <w:lang w:val="en-US" w:eastAsia="zh-CN"/>
              </w:rPr>
              <w:br w:type="textWrapping"/>
            </w:r>
            <w:r>
              <w:rPr>
                <w:rFonts w:hint="default"/>
                <w:lang w:val="en-US" w:eastAsia="zh-CN"/>
              </w:rPr>
              <w:t xml:space="preserve">        address creator;       // 项目创建者地址</w:t>
            </w:r>
            <w:r>
              <w:rPr>
                <w:rFonts w:hint="default"/>
                <w:lang w:val="en-US" w:eastAsia="zh-CN"/>
              </w:rPr>
              <w:br w:type="textWrapping"/>
            </w:r>
            <w:r>
              <w:rPr>
                <w:rFonts w:hint="default"/>
                <w:lang w:val="en-US" w:eastAsia="zh-CN"/>
              </w:rPr>
              <w:t xml:space="preserve">        address crowdfundAddr; // 项目合约地址</w:t>
            </w:r>
            <w:r>
              <w:rPr>
                <w:rFonts w:hint="default"/>
                <w:lang w:val="en-US" w:eastAsia="zh-CN"/>
              </w:rPr>
              <w:br w:type="textWrapping"/>
            </w:r>
            <w:r>
              <w:rPr>
                <w:rFonts w:hint="default"/>
                <w:lang w:val="en-US" w:eastAsia="zh-CN"/>
              </w:rPr>
              <w:t xml:space="preserve">        string projectName;    // 项目名称</w:t>
            </w:r>
            <w:r>
              <w:rPr>
                <w:rFonts w:hint="default"/>
                <w:lang w:val="en-US" w:eastAsia="zh-CN"/>
              </w:rPr>
              <w:br w:type="textWrapping"/>
            </w:r>
            <w:r>
              <w:rPr>
                <w:rFonts w:hint="default"/>
                <w:lang w:val="en-US" w:eastAsia="zh-CN"/>
              </w:rPr>
              <w:t xml:space="preserve">        uint256 targetAmount;  // 目标金额</w:t>
            </w:r>
            <w:r>
              <w:rPr>
                <w:rFonts w:hint="default"/>
                <w:lang w:val="en-US" w:eastAsia="zh-CN"/>
              </w:rPr>
              <w:br w:type="textWrapping"/>
            </w:r>
            <w:r>
              <w:rPr>
                <w:rFonts w:hint="default"/>
                <w:lang w:val="en-US" w:eastAsia="zh-CN"/>
              </w:rPr>
              <w:t xml:space="preserve">        uint256 deadline;      // 截止时间</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项目创建事件</w:t>
            </w:r>
            <w:r>
              <w:rPr>
                <w:rFonts w:hint="default"/>
                <w:lang w:val="en-US" w:eastAsia="zh-CN"/>
              </w:rPr>
              <w:br w:type="textWrapping"/>
            </w:r>
            <w:r>
              <w:rPr>
                <w:rFonts w:hint="default"/>
                <w:lang w:val="en-US" w:eastAsia="zh-CN"/>
              </w:rPr>
              <w:t xml:space="preserve">    event ProjectCreated(</w:t>
            </w:r>
            <w:r>
              <w:rPr>
                <w:rFonts w:hint="default"/>
                <w:lang w:val="en-US" w:eastAsia="zh-CN"/>
              </w:rPr>
              <w:br w:type="textWrapping"/>
            </w:r>
            <w:r>
              <w:rPr>
                <w:rFonts w:hint="default"/>
                <w:lang w:val="en-US" w:eastAsia="zh-CN"/>
              </w:rPr>
              <w:t xml:space="preserve">        uint256 indexed projectId,</w:t>
            </w:r>
            <w:r>
              <w:rPr>
                <w:rFonts w:hint="default"/>
                <w:lang w:val="en-US" w:eastAsia="zh-CN"/>
              </w:rPr>
              <w:br w:type="textWrapping"/>
            </w:r>
            <w:r>
              <w:rPr>
                <w:rFonts w:hint="default"/>
                <w:lang w:val="en-US" w:eastAsia="zh-CN"/>
              </w:rPr>
              <w:t xml:space="preserve">        address indexed creator,</w:t>
            </w:r>
            <w:r>
              <w:rPr>
                <w:rFonts w:hint="default"/>
                <w:lang w:val="en-US" w:eastAsia="zh-CN"/>
              </w:rPr>
              <w:br w:type="textWrapping"/>
            </w:r>
            <w:r>
              <w:rPr>
                <w:rFonts w:hint="default"/>
                <w:lang w:val="en-US" w:eastAsia="zh-CN"/>
              </w:rPr>
              <w:t xml:space="preserve">        address crowdfundAddr,</w:t>
            </w:r>
            <w:r>
              <w:rPr>
                <w:rFonts w:hint="default"/>
                <w:lang w:val="en-US" w:eastAsia="zh-CN"/>
              </w:rPr>
              <w:br w:type="textWrapping"/>
            </w:r>
            <w:r>
              <w:rPr>
                <w:rFonts w:hint="default"/>
                <w:lang w:val="en-US" w:eastAsia="zh-CN"/>
              </w:rPr>
              <w:t xml:space="preserve">        string projectName,</w:t>
            </w:r>
            <w:r>
              <w:rPr>
                <w:rFonts w:hint="default"/>
                <w:lang w:val="en-US" w:eastAsia="zh-CN"/>
              </w:rPr>
              <w:br w:type="textWrapping"/>
            </w:r>
            <w:r>
              <w:rPr>
                <w:rFonts w:hint="default"/>
                <w:lang w:val="en-US" w:eastAsia="zh-CN"/>
              </w:rPr>
              <w:t xml:space="preserve">        uint256 targetAmount,</w:t>
            </w:r>
            <w:r>
              <w:rPr>
                <w:rFonts w:hint="default"/>
                <w:lang w:val="en-US" w:eastAsia="zh-CN"/>
              </w:rPr>
              <w:br w:type="textWrapping"/>
            </w:r>
            <w:r>
              <w:rPr>
                <w:rFonts w:hint="default"/>
                <w:lang w:val="en-US" w:eastAsia="zh-CN"/>
              </w:rPr>
              <w:t xml:space="preserve">        uint256 deadline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创建众筹项目</w:t>
            </w:r>
            <w:r>
              <w:rPr>
                <w:rFonts w:hint="default"/>
                <w:lang w:val="en-US" w:eastAsia="zh-CN"/>
              </w:rPr>
              <w:br w:type="textWrapping"/>
            </w:r>
            <w:r>
              <w:rPr>
                <w:rFonts w:hint="default"/>
                <w:lang w:val="en-US" w:eastAsia="zh-CN"/>
              </w:rPr>
              <w:t xml:space="preserve">    function createProject(</w:t>
            </w:r>
            <w:r>
              <w:rPr>
                <w:rFonts w:hint="default"/>
                <w:lang w:val="en-US" w:eastAsia="zh-CN"/>
              </w:rPr>
              <w:br w:type="textWrapping"/>
            </w:r>
            <w:r>
              <w:rPr>
                <w:rFonts w:hint="default"/>
                <w:lang w:val="en-US" w:eastAsia="zh-CN"/>
              </w:rPr>
              <w:t xml:space="preserve">        string calldata projectName,</w:t>
            </w:r>
            <w:r>
              <w:rPr>
                <w:rFonts w:hint="default"/>
                <w:lang w:val="en-US" w:eastAsia="zh-CN"/>
              </w:rPr>
              <w:br w:type="textWrapping"/>
            </w:r>
            <w:r>
              <w:rPr>
                <w:rFonts w:hint="default"/>
                <w:lang w:val="en-US" w:eastAsia="zh-CN"/>
              </w:rPr>
              <w:t xml:space="preserve">        uint256 targetAmount,</w:t>
            </w:r>
            <w:r>
              <w:rPr>
                <w:rFonts w:hint="default"/>
                <w:lang w:val="en-US" w:eastAsia="zh-CN"/>
              </w:rPr>
              <w:br w:type="textWrapping"/>
            </w:r>
            <w:r>
              <w:rPr>
                <w:rFonts w:hint="default"/>
                <w:lang w:val="en-US" w:eastAsia="zh-CN"/>
              </w:rPr>
              <w:t xml:space="preserve">        uint256 duration // 募集时长（秒）</w:t>
            </w:r>
            <w:r>
              <w:rPr>
                <w:rFonts w:hint="default"/>
                <w:lang w:val="en-US" w:eastAsia="zh-CN"/>
              </w:rPr>
              <w:br w:type="textWrapping"/>
            </w:r>
            <w:r>
              <w:rPr>
                <w:rFonts w:hint="default"/>
                <w:lang w:val="en-US" w:eastAsia="zh-CN"/>
              </w:rPr>
              <w:t xml:space="preserve">    ) external {</w:t>
            </w:r>
            <w:r>
              <w:rPr>
                <w:rFonts w:hint="default"/>
                <w:lang w:val="en-US" w:eastAsia="zh-CN"/>
              </w:rPr>
              <w:br w:type="textWrapping"/>
            </w:r>
            <w:r>
              <w:rPr>
                <w:rFonts w:hint="default"/>
                <w:lang w:val="en-US" w:eastAsia="zh-CN"/>
              </w:rPr>
              <w:t xml:space="preserve">        // 校验参数合法性</w:t>
            </w:r>
            <w:r>
              <w:rPr>
                <w:rFonts w:hint="default"/>
                <w:lang w:val="en-US" w:eastAsia="zh-CN"/>
              </w:rPr>
              <w:br w:type="textWrapping"/>
            </w:r>
            <w:r>
              <w:rPr>
                <w:rFonts w:hint="default"/>
                <w:lang w:val="en-US" w:eastAsia="zh-CN"/>
              </w:rPr>
              <w:t xml:space="preserve">        require(bytes(projectName).length &gt; 0, "Project name cannot be empty");</w:t>
            </w:r>
            <w:r>
              <w:rPr>
                <w:rFonts w:hint="default"/>
                <w:lang w:val="en-US" w:eastAsia="zh-CN"/>
              </w:rPr>
              <w:br w:type="textWrapping"/>
            </w:r>
            <w:r>
              <w:rPr>
                <w:rFonts w:hint="default"/>
                <w:lang w:val="en-US" w:eastAsia="zh-CN"/>
              </w:rPr>
              <w:t xml:space="preserve">        require(targetAmount &gt; 0, "Target amount must be greater than 0");</w:t>
            </w:r>
            <w:r>
              <w:rPr>
                <w:rFonts w:hint="default"/>
                <w:lang w:val="en-US" w:eastAsia="zh-CN"/>
              </w:rPr>
              <w:br w:type="textWrapping"/>
            </w:r>
            <w:r>
              <w:rPr>
                <w:rFonts w:hint="default"/>
                <w:lang w:val="en-US" w:eastAsia="zh-CN"/>
              </w:rPr>
              <w:t xml:space="preserve">        require(duration &gt; 0, "Duration must be greater than 0");</w:t>
            </w:r>
            <w:r>
              <w:rPr>
                <w:rFonts w:hint="default"/>
                <w:lang w:val="en-US" w:eastAsia="zh-CN"/>
              </w:rPr>
              <w:br w:type="textWrapping"/>
            </w:r>
            <w:r>
              <w:rPr>
                <w:rFonts w:hint="default"/>
                <w:lang w:val="en-US" w:eastAsia="zh-CN"/>
              </w:rPr>
              <w:br w:type="textWrapping"/>
            </w:r>
            <w:r>
              <w:rPr>
                <w:rFonts w:hint="default"/>
                <w:lang w:val="en-US" w:eastAsia="zh-CN"/>
              </w:rPr>
              <w:t xml:space="preserve">        // 计算截止时间（当前区块时间 + 募集时长）</w:t>
            </w:r>
            <w:r>
              <w:rPr>
                <w:rFonts w:hint="default"/>
                <w:lang w:val="en-US" w:eastAsia="zh-CN"/>
              </w:rPr>
              <w:br w:type="textWrapping"/>
            </w:r>
            <w:r>
              <w:rPr>
                <w:rFonts w:hint="default"/>
                <w:lang w:val="en-US" w:eastAsia="zh-CN"/>
              </w:rPr>
              <w:t xml:space="preserve">        uint256 deadline = block.timestamp + duration;</w:t>
            </w:r>
            <w:r>
              <w:rPr>
                <w:rFonts w:hint="default"/>
                <w:lang w:val="en-US" w:eastAsia="zh-CN"/>
              </w:rPr>
              <w:br w:type="textWrapping"/>
            </w:r>
            <w:r>
              <w:rPr>
                <w:rFonts w:hint="default"/>
                <w:lang w:val="en-US" w:eastAsia="zh-CN"/>
              </w:rPr>
              <w:br w:type="textWrapping"/>
            </w:r>
            <w:r>
              <w:rPr>
                <w:rFonts w:hint="default"/>
                <w:lang w:val="en-US" w:eastAsia="zh-CN"/>
              </w:rPr>
              <w:t xml:space="preserve">        // 创建单项目合约</w:t>
            </w:r>
            <w:r>
              <w:rPr>
                <w:rFonts w:hint="default"/>
                <w:lang w:val="en-US" w:eastAsia="zh-CN"/>
              </w:rPr>
              <w:br w:type="textWrapping"/>
            </w:r>
            <w:r>
              <w:rPr>
                <w:rFonts w:hint="default"/>
                <w:lang w:val="en-US" w:eastAsia="zh-CN"/>
              </w:rPr>
              <w:t xml:space="preserve">        Crowdfund newCrowdfund = new Crowdfund(</w:t>
            </w:r>
            <w:r>
              <w:rPr>
                <w:rFonts w:hint="default"/>
                <w:lang w:val="en-US" w:eastAsia="zh-CN"/>
              </w:rPr>
              <w:br w:type="textWrapping"/>
            </w:r>
            <w:r>
              <w:rPr>
                <w:rFonts w:hint="default"/>
                <w:lang w:val="en-US" w:eastAsia="zh-CN"/>
              </w:rPr>
              <w:t xml:space="preserve">            msg.sender,</w:t>
            </w:r>
            <w:r>
              <w:rPr>
                <w:rFonts w:hint="default"/>
                <w:lang w:val="en-US" w:eastAsia="zh-CN"/>
              </w:rPr>
              <w:br w:type="textWrapping"/>
            </w:r>
            <w:r>
              <w:rPr>
                <w:rFonts w:hint="default"/>
                <w:lang w:val="en-US" w:eastAsia="zh-CN"/>
              </w:rPr>
              <w:t xml:space="preserve">            projectName,</w:t>
            </w:r>
            <w:r>
              <w:rPr>
                <w:rFonts w:hint="default"/>
                <w:lang w:val="en-US" w:eastAsia="zh-CN"/>
              </w:rPr>
              <w:br w:type="textWrapping"/>
            </w:r>
            <w:r>
              <w:rPr>
                <w:rFonts w:hint="default"/>
                <w:lang w:val="en-US" w:eastAsia="zh-CN"/>
              </w:rPr>
              <w:t xml:space="preserve">            targetAmount,</w:t>
            </w:r>
            <w:r>
              <w:rPr>
                <w:rFonts w:hint="default"/>
                <w:lang w:val="en-US" w:eastAsia="zh-CN"/>
              </w:rPr>
              <w:br w:type="textWrapping"/>
            </w:r>
            <w:r>
              <w:rPr>
                <w:rFonts w:hint="default"/>
                <w:lang w:val="en-US" w:eastAsia="zh-CN"/>
              </w:rPr>
              <w:t xml:space="preserve">            deadline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记录项目信息</w:t>
            </w:r>
            <w:r>
              <w:rPr>
                <w:rFonts w:hint="default"/>
                <w:lang w:val="en-US" w:eastAsia="zh-CN"/>
              </w:rPr>
              <w:br w:type="textWrapping"/>
            </w:r>
            <w:r>
              <w:rPr>
                <w:rFonts w:hint="default"/>
                <w:lang w:val="en-US" w:eastAsia="zh-CN"/>
              </w:rPr>
              <w:t xml:space="preserve">        uint256 projectId = projectCount;</w:t>
            </w:r>
            <w:r>
              <w:rPr>
                <w:rFonts w:hint="default"/>
                <w:lang w:val="en-US" w:eastAsia="zh-CN"/>
              </w:rPr>
              <w:br w:type="textWrapping"/>
            </w:r>
            <w:r>
              <w:rPr>
                <w:rFonts w:hint="default"/>
                <w:lang w:val="en-US" w:eastAsia="zh-CN"/>
              </w:rPr>
              <w:t xml:space="preserve">        crowdfundInfos[projectId] = CrowdfundInfo({</w:t>
            </w:r>
            <w:r>
              <w:rPr>
                <w:rFonts w:hint="default"/>
                <w:lang w:val="en-US" w:eastAsia="zh-CN"/>
              </w:rPr>
              <w:br w:type="textWrapping"/>
            </w:r>
            <w:r>
              <w:rPr>
                <w:rFonts w:hint="default"/>
                <w:lang w:val="en-US" w:eastAsia="zh-CN"/>
              </w:rPr>
              <w:t xml:space="preserve">            creator: msg.sender,</w:t>
            </w:r>
            <w:r>
              <w:rPr>
                <w:rFonts w:hint="default"/>
                <w:lang w:val="en-US" w:eastAsia="zh-CN"/>
              </w:rPr>
              <w:br w:type="textWrapping"/>
            </w:r>
            <w:r>
              <w:rPr>
                <w:rFonts w:hint="default"/>
                <w:lang w:val="en-US" w:eastAsia="zh-CN"/>
              </w:rPr>
              <w:t xml:space="preserve">            crowdfundAddr: address(newCrowdfund),</w:t>
            </w:r>
            <w:r>
              <w:rPr>
                <w:rFonts w:hint="default"/>
                <w:lang w:val="en-US" w:eastAsia="zh-CN"/>
              </w:rPr>
              <w:br w:type="textWrapping"/>
            </w:r>
            <w:r>
              <w:rPr>
                <w:rFonts w:hint="default"/>
                <w:lang w:val="en-US" w:eastAsia="zh-CN"/>
              </w:rPr>
              <w:t xml:space="preserve">            projectName: projectName,</w:t>
            </w:r>
            <w:r>
              <w:rPr>
                <w:rFonts w:hint="default"/>
                <w:lang w:val="en-US" w:eastAsia="zh-CN"/>
              </w:rPr>
              <w:br w:type="textWrapping"/>
            </w:r>
            <w:r>
              <w:rPr>
                <w:rFonts w:hint="default"/>
                <w:lang w:val="en-US" w:eastAsia="zh-CN"/>
              </w:rPr>
              <w:t xml:space="preserve">            targetAmount: targetAmount,</w:t>
            </w:r>
            <w:r>
              <w:rPr>
                <w:rFonts w:hint="default"/>
                <w:lang w:val="en-US" w:eastAsia="zh-CN"/>
              </w:rPr>
              <w:br w:type="textWrapping"/>
            </w:r>
            <w:r>
              <w:rPr>
                <w:rFonts w:hint="default"/>
                <w:lang w:val="en-US" w:eastAsia="zh-CN"/>
              </w:rPr>
              <w:t xml:space="preserve">            deadline: deadline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allCrowdfunds.push(address(newCrowdfund));</w:t>
            </w:r>
            <w:r>
              <w:rPr>
                <w:rFonts w:hint="default"/>
                <w:lang w:val="en-US" w:eastAsia="zh-CN"/>
              </w:rPr>
              <w:br w:type="textWrapping"/>
            </w:r>
            <w:r>
              <w:rPr>
                <w:rFonts w:hint="default"/>
                <w:lang w:val="en-US" w:eastAsia="zh-CN"/>
              </w:rPr>
              <w:t xml:space="preserve">        projectCount++;</w:t>
            </w:r>
            <w:r>
              <w:rPr>
                <w:rFonts w:hint="default"/>
                <w:lang w:val="en-US" w:eastAsia="zh-CN"/>
              </w:rPr>
              <w:br w:type="textWrapping"/>
            </w:r>
            <w:r>
              <w:rPr>
                <w:rFonts w:hint="default"/>
                <w:lang w:val="en-US" w:eastAsia="zh-CN"/>
              </w:rPr>
              <w:br w:type="textWrapping"/>
            </w:r>
            <w:r>
              <w:rPr>
                <w:rFonts w:hint="default"/>
                <w:lang w:val="en-US" w:eastAsia="zh-CN"/>
              </w:rPr>
              <w:t xml:space="preserve">        // 触发事件</w:t>
            </w:r>
            <w:r>
              <w:rPr>
                <w:rFonts w:hint="default"/>
                <w:lang w:val="en-US" w:eastAsia="zh-CN"/>
              </w:rPr>
              <w:br w:type="textWrapping"/>
            </w:r>
            <w:r>
              <w:rPr>
                <w:rFonts w:hint="default"/>
                <w:lang w:val="en-US" w:eastAsia="zh-CN"/>
              </w:rPr>
              <w:t xml:space="preserve">        emit ProjectCreated(</w:t>
            </w:r>
            <w:r>
              <w:rPr>
                <w:rFonts w:hint="default"/>
                <w:lang w:val="en-US" w:eastAsia="zh-CN"/>
              </w:rPr>
              <w:br w:type="textWrapping"/>
            </w:r>
            <w:r>
              <w:rPr>
                <w:rFonts w:hint="default"/>
                <w:lang w:val="en-US" w:eastAsia="zh-CN"/>
              </w:rPr>
              <w:t xml:space="preserve">            projectId,</w:t>
            </w:r>
            <w:r>
              <w:rPr>
                <w:rFonts w:hint="default"/>
                <w:lang w:val="en-US" w:eastAsia="zh-CN"/>
              </w:rPr>
              <w:br w:type="textWrapping"/>
            </w:r>
            <w:r>
              <w:rPr>
                <w:rFonts w:hint="default"/>
                <w:lang w:val="en-US" w:eastAsia="zh-CN"/>
              </w:rPr>
              <w:t xml:space="preserve">            msg.sender,</w:t>
            </w:r>
            <w:r>
              <w:rPr>
                <w:rFonts w:hint="default"/>
                <w:lang w:val="en-US" w:eastAsia="zh-CN"/>
              </w:rPr>
              <w:br w:type="textWrapping"/>
            </w:r>
            <w:r>
              <w:rPr>
                <w:rFonts w:hint="default"/>
                <w:lang w:val="en-US" w:eastAsia="zh-CN"/>
              </w:rPr>
              <w:t xml:space="preserve">            address(newCrowdfund),</w:t>
            </w:r>
            <w:r>
              <w:rPr>
                <w:rFonts w:hint="default"/>
                <w:lang w:val="en-US" w:eastAsia="zh-CN"/>
              </w:rPr>
              <w:br w:type="textWrapping"/>
            </w:r>
            <w:r>
              <w:rPr>
                <w:rFonts w:hint="default"/>
                <w:lang w:val="en-US" w:eastAsia="zh-CN"/>
              </w:rPr>
              <w:t xml:space="preserve">            projectName,</w:t>
            </w:r>
            <w:r>
              <w:rPr>
                <w:rFonts w:hint="default"/>
                <w:lang w:val="en-US" w:eastAsia="zh-CN"/>
              </w:rPr>
              <w:br w:type="textWrapping"/>
            </w:r>
            <w:r>
              <w:rPr>
                <w:rFonts w:hint="default"/>
                <w:lang w:val="en-US" w:eastAsia="zh-CN"/>
              </w:rPr>
              <w:t xml:space="preserve">            targetAmount,</w:t>
            </w:r>
            <w:r>
              <w:rPr>
                <w:rFonts w:hint="default"/>
                <w:lang w:val="en-US" w:eastAsia="zh-CN"/>
              </w:rPr>
              <w:br w:type="textWrapping"/>
            </w:r>
            <w:r>
              <w:rPr>
                <w:rFonts w:hint="default"/>
                <w:lang w:val="en-US" w:eastAsia="zh-CN"/>
              </w:rPr>
              <w:t xml:space="preserve">            deadline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获取所有项目合约地址</w:t>
            </w:r>
            <w:r>
              <w:rPr>
                <w:rFonts w:hint="default"/>
                <w:lang w:val="en-US" w:eastAsia="zh-CN"/>
              </w:rPr>
              <w:br w:type="textWrapping"/>
            </w:r>
            <w:r>
              <w:rPr>
                <w:rFonts w:hint="default"/>
                <w:lang w:val="en-US" w:eastAsia="zh-CN"/>
              </w:rPr>
              <w:t xml:space="preserve">    function getAllCrowdfunds() external view returns (address[] memory) {</w:t>
            </w:r>
            <w:r>
              <w:rPr>
                <w:rFonts w:hint="default"/>
                <w:lang w:val="en-US" w:eastAsia="zh-CN"/>
              </w:rPr>
              <w:br w:type="textWrapping"/>
            </w:r>
            <w:r>
              <w:rPr>
                <w:rFonts w:hint="default"/>
                <w:lang w:val="en-US" w:eastAsia="zh-CN"/>
              </w:rPr>
              <w:t xml:space="preserve">        return allCrowdfunds;</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根据项目ID获取项目详情</w:t>
            </w:r>
            <w:r>
              <w:rPr>
                <w:rFonts w:hint="default"/>
                <w:lang w:val="en-US" w:eastAsia="zh-CN"/>
              </w:rPr>
              <w:br w:type="textWrapping"/>
            </w:r>
            <w:r>
              <w:rPr>
                <w:rFonts w:hint="default"/>
                <w:lang w:val="en-US" w:eastAsia="zh-CN"/>
              </w:rPr>
              <w:t xml:space="preserve">    function getCrowdfundInfo(uint256 projectId) external view returns (CrowdfundInfo memory) {</w:t>
            </w:r>
            <w:r>
              <w:rPr>
                <w:rFonts w:hint="default"/>
                <w:lang w:val="en-US" w:eastAsia="zh-CN"/>
              </w:rPr>
              <w:br w:type="textWrapping"/>
            </w:r>
            <w:r>
              <w:rPr>
                <w:rFonts w:hint="default"/>
                <w:lang w:val="en-US" w:eastAsia="zh-CN"/>
              </w:rPr>
              <w:t xml:space="preserve">        require(projectId &lt; projectCount, "Project does not exist");</w:t>
            </w:r>
            <w:r>
              <w:rPr>
                <w:rFonts w:hint="default"/>
                <w:lang w:val="en-US" w:eastAsia="zh-CN"/>
              </w:rPr>
              <w:br w:type="textWrapping"/>
            </w:r>
            <w:r>
              <w:rPr>
                <w:rFonts w:hint="default"/>
                <w:lang w:val="en-US" w:eastAsia="zh-CN"/>
              </w:rPr>
              <w:t xml:space="preserve">        return crowdfundInfos[projectId];</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w:t>
            </w:r>
          </w:p>
        </w:tc>
      </w:tr>
    </w:tbl>
    <w:p w14:paraId="0D691673">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代码说明：引入Crowdfund合约，通过createProject方法创建新的项目合约，传入创建者地址、项目名称、目标金额、截止时间等核心参数；通过projectCount维护项目ID自增，使用crowdfundInfos映射存储项目详细信息，便于后续查询；定义ProjectCreated事件，便于前端监听项目创建状态，及时更新界面；提供getAllCrowdfunds和getCrowdfundInfo方法，支持查询所有项目地址和单个项目详情。</w:t>
      </w:r>
    </w:p>
    <w:p w14:paraId="593C137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源码说明，核心源码工厂合约Crowdfund.sol。核心功能：托管项目资金、记录投资者信息、处理资金贡献、审批与释放、退款等。关键代码及说明如下：</w:t>
      </w:r>
    </w:p>
    <w:tbl>
      <w:tblPr>
        <w:tblStyle w:val="35"/>
        <w:tblW w:w="0" w:type="auto"/>
        <w:tblInd w:w="121"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61"/>
      </w:tblGrid>
      <w:tr w14:paraId="6A9894A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261" w:type="dxa"/>
            <w:shd w:val="clear" w:color="auto" w:fill="F5F6F7"/>
            <w:tcMar>
              <w:top w:w="60" w:type="dxa"/>
              <w:left w:w="120" w:type="dxa"/>
              <w:bottom w:w="30" w:type="dxa"/>
              <w:right w:w="120" w:type="dxa"/>
            </w:tcMar>
          </w:tcPr>
          <w:p w14:paraId="3BE5D69F">
            <w:pPr>
              <w:bidi w:val="0"/>
              <w:rPr>
                <w:rFonts w:hint="default"/>
                <w:lang w:val="en-US" w:eastAsia="zh-CN"/>
              </w:rPr>
            </w:pPr>
            <w:r>
              <w:rPr>
                <w:rFonts w:hint="default"/>
                <w:lang w:val="en-US" w:eastAsia="zh-CN"/>
              </w:rPr>
              <w:t>solidity</w:t>
            </w:r>
            <w:r>
              <w:rPr>
                <w:rFonts w:hint="default"/>
                <w:lang w:val="en-US" w:eastAsia="zh-CN"/>
              </w:rPr>
              <w:br w:type="textWrapping"/>
            </w:r>
            <w:r>
              <w:rPr>
                <w:rFonts w:hint="default"/>
                <w:lang w:val="en-US" w:eastAsia="zh-CN"/>
              </w:rPr>
              <w:t>// SPDX-License-Identifier: MIT</w:t>
            </w:r>
            <w:r>
              <w:rPr>
                <w:rFonts w:hint="default"/>
                <w:lang w:val="en-US" w:eastAsia="zh-CN"/>
              </w:rPr>
              <w:br w:type="textWrapping"/>
            </w:r>
            <w:r>
              <w:rPr>
                <w:rFonts w:hint="default"/>
                <w:lang w:val="en-US" w:eastAsia="zh-CN"/>
              </w:rPr>
              <w:t>pragma solidity ^0.8.20;</w:t>
            </w:r>
            <w:r>
              <w:rPr>
                <w:rFonts w:hint="default"/>
                <w:lang w:val="en-US" w:eastAsia="zh-CN"/>
              </w:rPr>
              <w:br w:type="textWrapping"/>
            </w:r>
            <w:r>
              <w:rPr>
                <w:rFonts w:hint="default"/>
                <w:lang w:val="en-US" w:eastAsia="zh-CN"/>
              </w:rPr>
              <w:br w:type="textWrapping"/>
            </w:r>
            <w:r>
              <w:rPr>
                <w:rFonts w:hint="default"/>
                <w:lang w:val="en-US" w:eastAsia="zh-CN"/>
              </w:rPr>
              <w:t>contract Crowdfund {</w:t>
            </w:r>
            <w:r>
              <w:rPr>
                <w:rFonts w:hint="default"/>
                <w:lang w:val="en-US" w:eastAsia="zh-CN"/>
              </w:rPr>
              <w:br w:type="textWrapping"/>
            </w:r>
            <w:r>
              <w:rPr>
                <w:rFonts w:hint="default"/>
                <w:lang w:val="en-US" w:eastAsia="zh-CN"/>
              </w:rPr>
              <w:t xml:space="preserve">    // 项目状态枚举</w:t>
            </w:r>
            <w:r>
              <w:rPr>
                <w:rFonts w:hint="default"/>
                <w:lang w:val="en-US" w:eastAsia="zh-CN"/>
              </w:rPr>
              <w:br w:type="textWrapping"/>
            </w:r>
            <w:r>
              <w:rPr>
                <w:rFonts w:hint="default"/>
                <w:lang w:val="en-US" w:eastAsia="zh-CN"/>
              </w:rPr>
              <w:t xml:space="preserve">    enum ProjectStatus { Funding, Succeeded, Failed }</w:t>
            </w:r>
            <w:r>
              <w:rPr>
                <w:rFonts w:hint="default"/>
                <w:lang w:val="en-US" w:eastAsia="zh-CN"/>
              </w:rPr>
              <w:br w:type="textWrapping"/>
            </w:r>
            <w:r>
              <w:rPr>
                <w:rFonts w:hint="default"/>
                <w:lang w:val="en-US" w:eastAsia="zh-CN"/>
              </w:rPr>
              <w:t xml:space="preserve">    // 资金使用申请状态枚举</w:t>
            </w:r>
            <w:r>
              <w:rPr>
                <w:rFonts w:hint="default"/>
                <w:lang w:val="en-US" w:eastAsia="zh-CN"/>
              </w:rPr>
              <w:br w:type="textWrapping"/>
            </w:r>
            <w:r>
              <w:rPr>
                <w:rFonts w:hint="default"/>
                <w:lang w:val="en-US" w:eastAsia="zh-CN"/>
              </w:rPr>
              <w:t xml:space="preserve">    enum RequestStatus { Voting, Approved, Rejected }</w:t>
            </w:r>
            <w:r>
              <w:rPr>
                <w:rFonts w:hint="default"/>
                <w:lang w:val="en-US" w:eastAsia="zh-CN"/>
              </w:rPr>
              <w:br w:type="textWrapping"/>
            </w:r>
            <w:r>
              <w:rPr>
                <w:rFonts w:hint="default"/>
                <w:lang w:val="en-US" w:eastAsia="zh-CN"/>
              </w:rPr>
              <w:br w:type="textWrapping"/>
            </w:r>
            <w:r>
              <w:rPr>
                <w:rFonts w:hint="default"/>
                <w:lang w:val="en-US" w:eastAsia="zh-CN"/>
              </w:rPr>
              <w:t xml:space="preserve">    // 投资者信息结构体</w:t>
            </w:r>
            <w:r>
              <w:rPr>
                <w:rFonts w:hint="default"/>
                <w:lang w:val="en-US" w:eastAsia="zh-CN"/>
              </w:rPr>
              <w:br w:type="textWrapping"/>
            </w:r>
            <w:r>
              <w:rPr>
                <w:rFonts w:hint="default"/>
                <w:lang w:val="en-US" w:eastAsia="zh-CN"/>
              </w:rPr>
              <w:t xml:space="preserve">    struct Funder {</w:t>
            </w:r>
            <w:r>
              <w:rPr>
                <w:rFonts w:hint="default"/>
                <w:lang w:val="en-US" w:eastAsia="zh-CN"/>
              </w:rPr>
              <w:br w:type="textWrapping"/>
            </w:r>
            <w:r>
              <w:rPr>
                <w:rFonts w:hint="default"/>
                <w:lang w:val="en-US" w:eastAsia="zh-CN"/>
              </w:rPr>
              <w:t xml:space="preserve">        address addr;    // 投资者地址</w:t>
            </w:r>
            <w:r>
              <w:rPr>
                <w:rFonts w:hint="default"/>
                <w:lang w:val="en-US" w:eastAsia="zh-CN"/>
              </w:rPr>
              <w:br w:type="textWrapping"/>
            </w:r>
            <w:r>
              <w:rPr>
                <w:rFonts w:hint="default"/>
                <w:lang w:val="en-US" w:eastAsia="zh-CN"/>
              </w:rPr>
              <w:t xml:space="preserve">        uint256 amount;  // 投资金额</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资金使用申请结构体</w:t>
            </w:r>
            <w:r>
              <w:rPr>
                <w:rFonts w:hint="default"/>
                <w:lang w:val="en-US" w:eastAsia="zh-CN"/>
              </w:rPr>
              <w:br w:type="textWrapping"/>
            </w:r>
            <w:r>
              <w:rPr>
                <w:rFonts w:hint="default"/>
                <w:lang w:val="en-US" w:eastAsia="zh-CN"/>
              </w:rPr>
              <w:t xml:space="preserve">    struct FundingRequest {</w:t>
            </w:r>
            <w:r>
              <w:rPr>
                <w:rFonts w:hint="default"/>
                <w:lang w:val="en-US" w:eastAsia="zh-CN"/>
              </w:rPr>
              <w:br w:type="textWrapping"/>
            </w:r>
            <w:r>
              <w:rPr>
                <w:rFonts w:hint="default"/>
                <w:lang w:val="en-US" w:eastAsia="zh-CN"/>
              </w:rPr>
              <w:t xml:space="preserve">        string purpose;       // 使用用途</w:t>
            </w:r>
            <w:r>
              <w:rPr>
                <w:rFonts w:hint="default"/>
                <w:lang w:val="en-US" w:eastAsia="zh-CN"/>
              </w:rPr>
              <w:br w:type="textWrapping"/>
            </w:r>
            <w:r>
              <w:rPr>
                <w:rFonts w:hint="default"/>
                <w:lang w:val="en-US" w:eastAsia="zh-CN"/>
              </w:rPr>
              <w:t xml:space="preserve">        uint256 amount;       // 申请金额</w:t>
            </w:r>
            <w:r>
              <w:rPr>
                <w:rFonts w:hint="default"/>
                <w:lang w:val="en-US" w:eastAsia="zh-CN"/>
              </w:rPr>
              <w:br w:type="textWrapping"/>
            </w:r>
            <w:r>
              <w:rPr>
                <w:rFonts w:hint="default"/>
                <w:lang w:val="en-US" w:eastAsia="zh-CN"/>
              </w:rPr>
              <w:t xml:space="preserve">        address payable recipient; // 收款地址</w:t>
            </w:r>
            <w:r>
              <w:rPr>
                <w:rFonts w:hint="default"/>
                <w:lang w:val="en-US" w:eastAsia="zh-CN"/>
              </w:rPr>
              <w:br w:type="textWrapping"/>
            </w:r>
            <w:r>
              <w:rPr>
                <w:rFonts w:hint="default"/>
                <w:lang w:val="en-US" w:eastAsia="zh-CN"/>
              </w:rPr>
              <w:t xml:space="preserve">        uint256 approvalCount; // 同意票数</w:t>
            </w:r>
            <w:r>
              <w:rPr>
                <w:rFonts w:hint="default"/>
                <w:lang w:val="en-US" w:eastAsia="zh-CN"/>
              </w:rPr>
              <w:br w:type="textWrapping"/>
            </w:r>
            <w:r>
              <w:rPr>
                <w:rFonts w:hint="default"/>
                <w:lang w:val="en-US" w:eastAsia="zh-CN"/>
              </w:rPr>
              <w:t xml:space="preserve">        RequestStatus status; // 申请状态</w:t>
            </w:r>
            <w:r>
              <w:rPr>
                <w:rFonts w:hint="default"/>
                <w:lang w:val="en-US" w:eastAsia="zh-CN"/>
              </w:rPr>
              <w:br w:type="textWrapping"/>
            </w:r>
            <w:r>
              <w:rPr>
                <w:rFonts w:hint="default"/>
                <w:lang w:val="en-US" w:eastAsia="zh-CN"/>
              </w:rPr>
              <w:t xml:space="preserve">        mapping(address =&gt; bool) hasVoted; // 记录投资者是否已投票</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项目核心信息</w:t>
            </w:r>
            <w:r>
              <w:rPr>
                <w:rFonts w:hint="default"/>
                <w:lang w:val="en-US" w:eastAsia="zh-CN"/>
              </w:rPr>
              <w:br w:type="textWrapping"/>
            </w:r>
            <w:r>
              <w:rPr>
                <w:rFonts w:hint="default"/>
                <w:lang w:val="en-US" w:eastAsia="zh-CN"/>
              </w:rPr>
              <w:t xml:space="preserve">    address public immutable creator;       // 项目创建者</w:t>
            </w:r>
            <w:r>
              <w:rPr>
                <w:rFonts w:hint="default"/>
                <w:lang w:val="en-US" w:eastAsia="zh-CN"/>
              </w:rPr>
              <w:br w:type="textWrapping"/>
            </w:r>
            <w:r>
              <w:rPr>
                <w:rFonts w:hint="default"/>
                <w:lang w:val="en-US" w:eastAsia="zh-CN"/>
              </w:rPr>
              <w:t xml:space="preserve">    string public projectName;              // 项目名称</w:t>
            </w:r>
            <w:r>
              <w:rPr>
                <w:rFonts w:hint="default"/>
                <w:lang w:val="en-US" w:eastAsia="zh-CN"/>
              </w:rPr>
              <w:br w:type="textWrapping"/>
            </w:r>
            <w:r>
              <w:rPr>
                <w:rFonts w:hint="default"/>
                <w:lang w:val="en-US" w:eastAsia="zh-CN"/>
              </w:rPr>
              <w:t xml:space="preserve">    uint256 public immutable targetAmount;  // 目标金额</w:t>
            </w:r>
            <w:r>
              <w:rPr>
                <w:rFonts w:hint="default"/>
                <w:lang w:val="en-US" w:eastAsia="zh-CN"/>
              </w:rPr>
              <w:br w:type="textWrapping"/>
            </w:r>
            <w:r>
              <w:rPr>
                <w:rFonts w:hint="default"/>
                <w:lang w:val="en-US" w:eastAsia="zh-CN"/>
              </w:rPr>
              <w:t xml:space="preserve">    uint256 public immutable deadline;      // 截止时间</w:t>
            </w:r>
            <w:r>
              <w:rPr>
                <w:rFonts w:hint="default"/>
                <w:lang w:val="en-US" w:eastAsia="zh-CN"/>
              </w:rPr>
              <w:br w:type="textWrapping"/>
            </w:r>
            <w:r>
              <w:rPr>
                <w:rFonts w:hint="default"/>
                <w:lang w:val="en-US" w:eastAsia="zh-CN"/>
              </w:rPr>
              <w:t xml:space="preserve">    ProjectStatus public currentStatus;     // 当前项目状态</w:t>
            </w:r>
            <w:r>
              <w:rPr>
                <w:rFonts w:hint="default"/>
                <w:lang w:val="en-US" w:eastAsia="zh-CN"/>
              </w:rPr>
              <w:br w:type="textWrapping"/>
            </w:r>
            <w:r>
              <w:rPr>
                <w:rFonts w:hint="default"/>
                <w:lang w:val="en-US" w:eastAsia="zh-CN"/>
              </w:rPr>
              <w:br w:type="textWrapping"/>
            </w:r>
            <w:r>
              <w:rPr>
                <w:rFonts w:hint="default"/>
                <w:lang w:val="en-US" w:eastAsia="zh-CN"/>
              </w:rPr>
              <w:t xml:space="preserve">    // 资金与投资者相关</w:t>
            </w:r>
            <w:r>
              <w:rPr>
                <w:rFonts w:hint="default"/>
                <w:lang w:val="en-US" w:eastAsia="zh-CN"/>
              </w:rPr>
              <w:br w:type="textWrapping"/>
            </w:r>
            <w:r>
              <w:rPr>
                <w:rFonts w:hint="default"/>
                <w:lang w:val="en-US" w:eastAsia="zh-CN"/>
              </w:rPr>
              <w:t xml:space="preserve">    uint256 public totalFunded;             // 已筹金额</w:t>
            </w:r>
            <w:r>
              <w:rPr>
                <w:rFonts w:hint="default"/>
                <w:lang w:val="en-US" w:eastAsia="zh-CN"/>
              </w:rPr>
              <w:br w:type="textWrapping"/>
            </w:r>
            <w:r>
              <w:rPr>
                <w:rFonts w:hint="default"/>
                <w:lang w:val="en-US" w:eastAsia="zh-CN"/>
              </w:rPr>
              <w:t xml:space="preserve">    Funder[] public funders;                // 投资者列表</w:t>
            </w:r>
            <w:r>
              <w:rPr>
                <w:rFonts w:hint="default"/>
                <w:lang w:val="en-US" w:eastAsia="zh-CN"/>
              </w:rPr>
              <w:br w:type="textWrapping"/>
            </w:r>
            <w:r>
              <w:rPr>
                <w:rFonts w:hint="default"/>
                <w:lang w:val="en-US" w:eastAsia="zh-CN"/>
              </w:rPr>
              <w:t xml:space="preserve">    mapping(address =&gt; bool) public isFunder; // 快速判断地址是否为投资者</w:t>
            </w:r>
            <w:r>
              <w:rPr>
                <w:rFonts w:hint="default"/>
                <w:lang w:val="en-US" w:eastAsia="zh-CN"/>
              </w:rPr>
              <w:br w:type="textWrapping"/>
            </w:r>
            <w:r>
              <w:rPr>
                <w:rFonts w:hint="default"/>
                <w:lang w:val="en-US" w:eastAsia="zh-CN"/>
              </w:rPr>
              <w:br w:type="textWrapping"/>
            </w:r>
            <w:r>
              <w:rPr>
                <w:rFonts w:hint="default"/>
                <w:lang w:val="en-US" w:eastAsia="zh-CN"/>
              </w:rPr>
              <w:t xml:space="preserve">    // 资金使用申请相关</w:t>
            </w:r>
            <w:r>
              <w:rPr>
                <w:rFonts w:hint="default"/>
                <w:lang w:val="en-US" w:eastAsia="zh-CN"/>
              </w:rPr>
              <w:br w:type="textWrapping"/>
            </w:r>
            <w:r>
              <w:rPr>
                <w:rFonts w:hint="default"/>
                <w:lang w:val="en-US" w:eastAsia="zh-CN"/>
              </w:rPr>
              <w:t xml:space="preserve">    FundingRequest[] public fundingRequests; // 申请列表</w:t>
            </w:r>
            <w:r>
              <w:rPr>
                <w:rFonts w:hint="default"/>
                <w:lang w:val="en-US" w:eastAsia="zh-CN"/>
              </w:rPr>
              <w:br w:type="textWrapping"/>
            </w:r>
            <w:r>
              <w:rPr>
                <w:rFonts w:hint="default"/>
                <w:lang w:val="en-US" w:eastAsia="zh-CN"/>
              </w:rPr>
              <w:t xml:space="preserve">    uint256 public requestCount;            // 申请计数器</w:t>
            </w:r>
            <w:r>
              <w:rPr>
                <w:rFonts w:hint="default"/>
                <w:lang w:val="en-US" w:eastAsia="zh-CN"/>
              </w:rPr>
              <w:br w:type="textWrapping"/>
            </w:r>
            <w:r>
              <w:rPr>
                <w:rFonts w:hint="default"/>
                <w:lang w:val="en-US" w:eastAsia="zh-CN"/>
              </w:rPr>
              <w:br w:type="textWrapping"/>
            </w:r>
            <w:r>
              <w:rPr>
                <w:rFonts w:hint="default"/>
                <w:lang w:val="en-US" w:eastAsia="zh-CN"/>
              </w:rPr>
              <w:t xml:space="preserve">    // 事件定义</w:t>
            </w:r>
            <w:r>
              <w:rPr>
                <w:rFonts w:hint="default"/>
                <w:lang w:val="en-US" w:eastAsia="zh-CN"/>
              </w:rPr>
              <w:br w:type="textWrapping"/>
            </w:r>
            <w:r>
              <w:rPr>
                <w:rFonts w:hint="default"/>
                <w:lang w:val="en-US" w:eastAsia="zh-CN"/>
              </w:rPr>
              <w:t xml:space="preserve">    event Contributed(address indexed funder, uint256 amount);</w:t>
            </w:r>
            <w:r>
              <w:rPr>
                <w:rFonts w:hint="default"/>
                <w:lang w:val="en-US" w:eastAsia="zh-CN"/>
              </w:rPr>
              <w:br w:type="textWrapping"/>
            </w:r>
            <w:r>
              <w:rPr>
                <w:rFonts w:hint="default"/>
                <w:lang w:val="en-US" w:eastAsia="zh-CN"/>
              </w:rPr>
              <w:t xml:space="preserve">    event RequestCreated(uint256 indexed requestId, string purpose, uint256 amount);</w:t>
            </w:r>
            <w:r>
              <w:rPr>
                <w:rFonts w:hint="default"/>
                <w:lang w:val="en-US" w:eastAsia="zh-CN"/>
              </w:rPr>
              <w:br w:type="textWrapping"/>
            </w:r>
            <w:r>
              <w:rPr>
                <w:rFonts w:hint="default"/>
                <w:lang w:val="en-US" w:eastAsia="zh-CN"/>
              </w:rPr>
              <w:t xml:space="preserve">    event RequestApproved(uint256 indexed requestId);</w:t>
            </w:r>
            <w:r>
              <w:rPr>
                <w:rFonts w:hint="default"/>
                <w:lang w:val="en-US" w:eastAsia="zh-CN"/>
              </w:rPr>
              <w:br w:type="textWrapping"/>
            </w:r>
            <w:r>
              <w:rPr>
                <w:rFonts w:hint="default"/>
                <w:lang w:val="en-US" w:eastAsia="zh-CN"/>
              </w:rPr>
              <w:t xml:space="preserve">    event FundReleased(uint256 indexed requestId, address recipient, uint256 amount);</w:t>
            </w:r>
            <w:r>
              <w:rPr>
                <w:rFonts w:hint="default"/>
                <w:lang w:val="en-US" w:eastAsia="zh-CN"/>
              </w:rPr>
              <w:br w:type="textWrapping"/>
            </w:r>
            <w:r>
              <w:rPr>
                <w:rFonts w:hint="default"/>
                <w:lang w:val="en-US" w:eastAsia="zh-CN"/>
              </w:rPr>
              <w:t xml:space="preserve">    event Refunded(address indexed funder, uint256 amount);</w:t>
            </w:r>
            <w:r>
              <w:rPr>
                <w:rFonts w:hint="default"/>
                <w:lang w:val="en-US" w:eastAsia="zh-CN"/>
              </w:rPr>
              <w:br w:type="textWrapping"/>
            </w:r>
            <w:r>
              <w:rPr>
                <w:rFonts w:hint="default"/>
                <w:lang w:val="en-US" w:eastAsia="zh-CN"/>
              </w:rPr>
              <w:br w:type="textWrapping"/>
            </w:r>
            <w:r>
              <w:rPr>
                <w:rFonts w:hint="default"/>
                <w:lang w:val="en-US" w:eastAsia="zh-CN"/>
              </w:rPr>
              <w:t xml:space="preserve">    // 修饰器：仅项目创建者可调用</w:t>
            </w:r>
            <w:r>
              <w:rPr>
                <w:rFonts w:hint="default"/>
                <w:lang w:val="en-US" w:eastAsia="zh-CN"/>
              </w:rPr>
              <w:br w:type="textWrapping"/>
            </w:r>
            <w:r>
              <w:rPr>
                <w:rFonts w:hint="default"/>
                <w:lang w:val="en-US" w:eastAsia="zh-CN"/>
              </w:rPr>
              <w:t xml:space="preserve">    modifier onlyCreator() {</w:t>
            </w:r>
            <w:r>
              <w:rPr>
                <w:rFonts w:hint="default"/>
                <w:lang w:val="en-US" w:eastAsia="zh-CN"/>
              </w:rPr>
              <w:br w:type="textWrapping"/>
            </w:r>
            <w:r>
              <w:rPr>
                <w:rFonts w:hint="default"/>
                <w:lang w:val="en-US" w:eastAsia="zh-CN"/>
              </w:rPr>
              <w:t xml:space="preserve">        require(msg.sender == creator, "Only creator can call this function");</w:t>
            </w:r>
            <w:r>
              <w:rPr>
                <w:rFonts w:hint="default"/>
                <w:lang w:val="en-US" w:eastAsia="zh-CN"/>
              </w:rPr>
              <w:br w:type="textWrapping"/>
            </w:r>
            <w:r>
              <w:rPr>
                <w:rFonts w:hint="default"/>
                <w:lang w:val="en-US" w:eastAsia="zh-CN"/>
              </w:rPr>
              <w:t xml:space="preserve">        _;</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修饰器：仅在众筹中状态可调用</w:t>
            </w:r>
            <w:r>
              <w:rPr>
                <w:rFonts w:hint="default"/>
                <w:lang w:val="en-US" w:eastAsia="zh-CN"/>
              </w:rPr>
              <w:br w:type="textWrapping"/>
            </w:r>
            <w:r>
              <w:rPr>
                <w:rFonts w:hint="default"/>
                <w:lang w:val="en-US" w:eastAsia="zh-CN"/>
              </w:rPr>
              <w:t xml:space="preserve">    modifier inFunding() {</w:t>
            </w:r>
            <w:r>
              <w:rPr>
                <w:rFonts w:hint="default"/>
                <w:lang w:val="en-US" w:eastAsia="zh-CN"/>
              </w:rPr>
              <w:br w:type="textWrapping"/>
            </w:r>
            <w:r>
              <w:rPr>
                <w:rFonts w:hint="default"/>
                <w:lang w:val="en-US" w:eastAsia="zh-CN"/>
              </w:rPr>
              <w:t xml:space="preserve">        require(currentStatus == ProjectStatus.Funding, "Not in funding phase");</w:t>
            </w:r>
            <w:r>
              <w:rPr>
                <w:rFonts w:hint="default"/>
                <w:lang w:val="en-US" w:eastAsia="zh-CN"/>
              </w:rPr>
              <w:br w:type="textWrapping"/>
            </w:r>
            <w:r>
              <w:rPr>
                <w:rFonts w:hint="default"/>
                <w:lang w:val="en-US" w:eastAsia="zh-CN"/>
              </w:rPr>
              <w:t xml:space="preserve">        require(block.timestamp &lt; deadline, "Funding has ended");</w:t>
            </w:r>
            <w:r>
              <w:rPr>
                <w:rFonts w:hint="default"/>
                <w:lang w:val="en-US" w:eastAsia="zh-CN"/>
              </w:rPr>
              <w:br w:type="textWrapping"/>
            </w:r>
            <w:r>
              <w:rPr>
                <w:rFonts w:hint="default"/>
                <w:lang w:val="en-US" w:eastAsia="zh-CN"/>
              </w:rPr>
              <w:t xml:space="preserve">        _;</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修饰器：仅在众筹成功后可调用</w:t>
            </w:r>
            <w:r>
              <w:rPr>
                <w:rFonts w:hint="default"/>
                <w:lang w:val="en-US" w:eastAsia="zh-CN"/>
              </w:rPr>
              <w:br w:type="textWrapping"/>
            </w:r>
            <w:r>
              <w:rPr>
                <w:rFonts w:hint="default"/>
                <w:lang w:val="en-US" w:eastAsia="zh-CN"/>
              </w:rPr>
              <w:t xml:space="preserve">    modifier afterSuccess() {</w:t>
            </w:r>
            <w:r>
              <w:rPr>
                <w:rFonts w:hint="default"/>
                <w:lang w:val="en-US" w:eastAsia="zh-CN"/>
              </w:rPr>
              <w:br w:type="textWrapping"/>
            </w:r>
            <w:r>
              <w:rPr>
                <w:rFonts w:hint="default"/>
                <w:lang w:val="en-US" w:eastAsia="zh-CN"/>
              </w:rPr>
              <w:t xml:space="preserve">        require(currentStatus == ProjectStatus.Succeeded, "Project not succeeded");</w:t>
            </w:r>
            <w:r>
              <w:rPr>
                <w:rFonts w:hint="default"/>
                <w:lang w:val="en-US" w:eastAsia="zh-CN"/>
              </w:rPr>
              <w:br w:type="textWrapping"/>
            </w:r>
            <w:r>
              <w:rPr>
                <w:rFonts w:hint="default"/>
                <w:lang w:val="en-US" w:eastAsia="zh-CN"/>
              </w:rPr>
              <w:t xml:space="preserve">        _;</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constructor(</w:t>
            </w:r>
            <w:r>
              <w:rPr>
                <w:rFonts w:hint="default"/>
                <w:lang w:val="en-US" w:eastAsia="zh-CN"/>
              </w:rPr>
              <w:br w:type="textWrapping"/>
            </w:r>
            <w:r>
              <w:rPr>
                <w:rFonts w:hint="default"/>
                <w:lang w:val="en-US" w:eastAsia="zh-CN"/>
              </w:rPr>
              <w:t xml:space="preserve">        address _creator,</w:t>
            </w:r>
            <w:r>
              <w:rPr>
                <w:rFonts w:hint="default"/>
                <w:lang w:val="en-US" w:eastAsia="zh-CN"/>
              </w:rPr>
              <w:br w:type="textWrapping"/>
            </w:r>
            <w:r>
              <w:rPr>
                <w:rFonts w:hint="default"/>
                <w:lang w:val="en-US" w:eastAsia="zh-CN"/>
              </w:rPr>
              <w:t xml:space="preserve">        string memory _projectName,</w:t>
            </w:r>
            <w:r>
              <w:rPr>
                <w:rFonts w:hint="default"/>
                <w:lang w:val="en-US" w:eastAsia="zh-CN"/>
              </w:rPr>
              <w:br w:type="textWrapping"/>
            </w:r>
            <w:r>
              <w:rPr>
                <w:rFonts w:hint="default"/>
                <w:lang w:val="en-US" w:eastAsia="zh-CN"/>
              </w:rPr>
              <w:t xml:space="preserve">        uint256 _targetAmount,</w:t>
            </w:r>
            <w:r>
              <w:rPr>
                <w:rFonts w:hint="default"/>
                <w:lang w:val="en-US" w:eastAsia="zh-CN"/>
              </w:rPr>
              <w:br w:type="textWrapping"/>
            </w:r>
            <w:r>
              <w:rPr>
                <w:rFonts w:hint="default"/>
                <w:lang w:val="en-US" w:eastAsia="zh-CN"/>
              </w:rPr>
              <w:t xml:space="preserve">        uint256 _deadline</w:t>
            </w:r>
            <w:r>
              <w:rPr>
                <w:rFonts w:hint="default"/>
                <w:lang w:val="en-US" w:eastAsia="zh-CN"/>
              </w:rPr>
              <w:br w:type="textWrapping"/>
            </w:r>
            <w:r>
              <w:rPr>
                <w:rFonts w:hint="default"/>
                <w:lang w:val="en-US" w:eastAsia="zh-CN"/>
              </w:rPr>
              <w:t xml:space="preserve">    ) {</w:t>
            </w:r>
            <w:r>
              <w:rPr>
                <w:rFonts w:hint="default"/>
                <w:lang w:val="en-US" w:eastAsia="zh-CN"/>
              </w:rPr>
              <w:br w:type="textWrapping"/>
            </w:r>
            <w:r>
              <w:rPr>
                <w:rFonts w:hint="default"/>
                <w:lang w:val="en-US" w:eastAsia="zh-CN"/>
              </w:rPr>
              <w:t xml:space="preserve">        creator = _creator;</w:t>
            </w:r>
            <w:r>
              <w:rPr>
                <w:rFonts w:hint="default"/>
                <w:lang w:val="en-US" w:eastAsia="zh-CN"/>
              </w:rPr>
              <w:br w:type="textWrapping"/>
            </w:r>
            <w:r>
              <w:rPr>
                <w:rFonts w:hint="default"/>
                <w:lang w:val="en-US" w:eastAsia="zh-CN"/>
              </w:rPr>
              <w:t xml:space="preserve">        projectName = _projectName;</w:t>
            </w:r>
            <w:r>
              <w:rPr>
                <w:rFonts w:hint="default"/>
                <w:lang w:val="en-US" w:eastAsia="zh-CN"/>
              </w:rPr>
              <w:br w:type="textWrapping"/>
            </w:r>
            <w:r>
              <w:rPr>
                <w:rFonts w:hint="default"/>
                <w:lang w:val="en-US" w:eastAsia="zh-CN"/>
              </w:rPr>
              <w:t xml:space="preserve">        targetAmount = _targetAmount;</w:t>
            </w:r>
            <w:r>
              <w:rPr>
                <w:rFonts w:hint="default"/>
                <w:lang w:val="en-US" w:eastAsia="zh-CN"/>
              </w:rPr>
              <w:br w:type="textWrapping"/>
            </w:r>
            <w:r>
              <w:rPr>
                <w:rFonts w:hint="default"/>
                <w:lang w:val="en-US" w:eastAsia="zh-CN"/>
              </w:rPr>
              <w:t xml:space="preserve">        deadline = _deadline;</w:t>
            </w:r>
            <w:r>
              <w:rPr>
                <w:rFonts w:hint="default"/>
                <w:lang w:val="en-US" w:eastAsia="zh-CN"/>
              </w:rPr>
              <w:br w:type="textWrapping"/>
            </w:r>
            <w:r>
              <w:rPr>
                <w:rFonts w:hint="default"/>
                <w:lang w:val="en-US" w:eastAsia="zh-CN"/>
              </w:rPr>
              <w:t xml:space="preserve">        currentStatus = ProjectStatus.Funding;</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资金贡献函数</w:t>
            </w:r>
            <w:r>
              <w:rPr>
                <w:rFonts w:hint="default"/>
                <w:lang w:val="en-US" w:eastAsia="zh-CN"/>
              </w:rPr>
              <w:br w:type="textWrapping"/>
            </w:r>
            <w:r>
              <w:rPr>
                <w:rFonts w:hint="default"/>
                <w:lang w:val="en-US" w:eastAsia="zh-CN"/>
              </w:rPr>
              <w:t xml:space="preserve">    function contribute() external payable inFunding {</w:t>
            </w:r>
            <w:r>
              <w:rPr>
                <w:rFonts w:hint="default"/>
                <w:lang w:val="en-US" w:eastAsia="zh-CN"/>
              </w:rPr>
              <w:br w:type="textWrapping"/>
            </w:r>
            <w:r>
              <w:rPr>
                <w:rFonts w:hint="default"/>
                <w:lang w:val="en-US" w:eastAsia="zh-CN"/>
              </w:rPr>
              <w:t xml:space="preserve">        uint256 amount = msg.value;</w:t>
            </w:r>
            <w:r>
              <w:rPr>
                <w:rFonts w:hint="default"/>
                <w:lang w:val="en-US" w:eastAsia="zh-CN"/>
              </w:rPr>
              <w:br w:type="textWrapping"/>
            </w:r>
            <w:r>
              <w:rPr>
                <w:rFonts w:hint="default"/>
                <w:lang w:val="en-US" w:eastAsia="zh-CN"/>
              </w:rPr>
              <w:t xml:space="preserve">        require(amount &gt; 0, "Contribution amount must be greater than 0");</w:t>
            </w:r>
            <w:r>
              <w:rPr>
                <w:rFonts w:hint="default"/>
                <w:lang w:val="en-US" w:eastAsia="zh-CN"/>
              </w:rPr>
              <w:br w:type="textWrapping"/>
            </w:r>
            <w:r>
              <w:rPr>
                <w:rFonts w:hint="default"/>
                <w:lang w:val="en-US" w:eastAsia="zh-CN"/>
              </w:rPr>
              <w:br w:type="textWrapping"/>
            </w:r>
            <w:r>
              <w:rPr>
                <w:rFonts w:hint="default"/>
                <w:lang w:val="en-US" w:eastAsia="zh-CN"/>
              </w:rPr>
              <w:t xml:space="preserve">        // 记录投资者信息</w:t>
            </w:r>
            <w:r>
              <w:rPr>
                <w:rFonts w:hint="default"/>
                <w:lang w:val="en-US" w:eastAsia="zh-CN"/>
              </w:rPr>
              <w:br w:type="textWrapping"/>
            </w:r>
            <w:r>
              <w:rPr>
                <w:rFonts w:hint="default"/>
                <w:lang w:val="en-US" w:eastAsia="zh-CN"/>
              </w:rPr>
              <w:t xml:space="preserve">        if (!isFunder[msg.sender]) {</w:t>
            </w:r>
            <w:r>
              <w:rPr>
                <w:rFonts w:hint="default"/>
                <w:lang w:val="en-US" w:eastAsia="zh-CN"/>
              </w:rPr>
              <w:br w:type="textWrapping"/>
            </w:r>
            <w:r>
              <w:rPr>
                <w:rFonts w:hint="default"/>
                <w:lang w:val="en-US" w:eastAsia="zh-CN"/>
              </w:rPr>
              <w:t xml:space="preserve">            funders.push(Funder({addr: msg.sender, amount: amount}));</w:t>
            </w:r>
            <w:r>
              <w:rPr>
                <w:rFonts w:hint="default"/>
                <w:lang w:val="en-US" w:eastAsia="zh-CN"/>
              </w:rPr>
              <w:br w:type="textWrapping"/>
            </w:r>
            <w:r>
              <w:rPr>
                <w:rFonts w:hint="default"/>
                <w:lang w:val="en-US" w:eastAsia="zh-CN"/>
              </w:rPr>
              <w:t xml:space="preserve">            isFunder[msg.sender] = true;</w:t>
            </w:r>
            <w:r>
              <w:rPr>
                <w:rFonts w:hint="default"/>
                <w:lang w:val="en-US" w:eastAsia="zh-CN"/>
              </w:rPr>
              <w:br w:type="textWrapping"/>
            </w:r>
            <w:r>
              <w:rPr>
                <w:rFonts w:hint="default"/>
                <w:lang w:val="en-US" w:eastAsia="zh-CN"/>
              </w:rPr>
              <w:t xml:space="preserve">        } else {</w:t>
            </w:r>
            <w:r>
              <w:rPr>
                <w:rFonts w:hint="default"/>
                <w:lang w:val="en-US" w:eastAsia="zh-CN"/>
              </w:rPr>
              <w:br w:type="textWrapping"/>
            </w:r>
            <w:r>
              <w:rPr>
                <w:rFonts w:hint="default"/>
                <w:lang w:val="en-US" w:eastAsia="zh-CN"/>
              </w:rPr>
              <w:t xml:space="preserve">            // 若已投资，更新投资金额</w:t>
            </w:r>
            <w:r>
              <w:rPr>
                <w:rFonts w:hint="default"/>
                <w:lang w:val="en-US" w:eastAsia="zh-CN"/>
              </w:rPr>
              <w:br w:type="textWrapping"/>
            </w:r>
            <w:r>
              <w:rPr>
                <w:rFonts w:hint="default"/>
                <w:lang w:val="en-US" w:eastAsia="zh-CN"/>
              </w:rPr>
              <w:t xml:space="preserve">            for (uint256 i = 0; i &lt; funders.length; i++) {</w:t>
            </w:r>
            <w:r>
              <w:rPr>
                <w:rFonts w:hint="default"/>
                <w:lang w:val="en-US" w:eastAsia="zh-CN"/>
              </w:rPr>
              <w:br w:type="textWrapping"/>
            </w:r>
            <w:r>
              <w:rPr>
                <w:rFonts w:hint="default"/>
                <w:lang w:val="en-US" w:eastAsia="zh-CN"/>
              </w:rPr>
              <w:t xml:space="preserve">                if (funders[i].addr == msg.sender) {</w:t>
            </w:r>
            <w:r>
              <w:rPr>
                <w:rFonts w:hint="default"/>
                <w:lang w:val="en-US" w:eastAsia="zh-CN"/>
              </w:rPr>
              <w:br w:type="textWrapping"/>
            </w:r>
            <w:r>
              <w:rPr>
                <w:rFonts w:hint="default"/>
                <w:lang w:val="en-US" w:eastAsia="zh-CN"/>
              </w:rPr>
              <w:t xml:space="preserve">                    funders[i].amount += amount;</w:t>
            </w:r>
            <w:r>
              <w:rPr>
                <w:rFonts w:hint="default"/>
                <w:lang w:val="en-US" w:eastAsia="zh-CN"/>
              </w:rPr>
              <w:br w:type="textWrapping"/>
            </w:r>
            <w:r>
              <w:rPr>
                <w:rFonts w:hint="default"/>
                <w:lang w:val="en-US" w:eastAsia="zh-CN"/>
              </w:rPr>
              <w:t xml:space="preserve">                    break;</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更新已筹金额</w:t>
            </w:r>
            <w:r>
              <w:rPr>
                <w:rFonts w:hint="default"/>
                <w:lang w:val="en-US" w:eastAsia="zh-CN"/>
              </w:rPr>
              <w:br w:type="textWrapping"/>
            </w:r>
            <w:r>
              <w:rPr>
                <w:rFonts w:hint="default"/>
                <w:lang w:val="en-US" w:eastAsia="zh-CN"/>
              </w:rPr>
              <w:t xml:space="preserve">        totalFunded += amount;</w:t>
            </w:r>
            <w:r>
              <w:rPr>
                <w:rFonts w:hint="default"/>
                <w:lang w:val="en-US" w:eastAsia="zh-CN"/>
              </w:rPr>
              <w:br w:type="textWrapping"/>
            </w:r>
            <w:r>
              <w:rPr>
                <w:rFonts w:hint="default"/>
                <w:lang w:val="en-US" w:eastAsia="zh-CN"/>
              </w:rPr>
              <w:br w:type="textWrapping"/>
            </w:r>
            <w:r>
              <w:rPr>
                <w:rFonts w:hint="default"/>
                <w:lang w:val="en-US" w:eastAsia="zh-CN"/>
              </w:rPr>
              <w:t xml:space="preserve">        // 触发事件</w:t>
            </w:r>
            <w:r>
              <w:rPr>
                <w:rFonts w:hint="default"/>
                <w:lang w:val="en-US" w:eastAsia="zh-CN"/>
              </w:rPr>
              <w:br w:type="textWrapping"/>
            </w:r>
            <w:r>
              <w:rPr>
                <w:rFonts w:hint="default"/>
                <w:lang w:val="en-US" w:eastAsia="zh-CN"/>
              </w:rPr>
              <w:t xml:space="preserve">        emit Contributed(msg.sender, amount);</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检查众筹状态（仅创建者可触发，或前端主动查询）</w:t>
            </w:r>
            <w:r>
              <w:rPr>
                <w:rFonts w:hint="default"/>
                <w:lang w:val="en-US" w:eastAsia="zh-CN"/>
              </w:rPr>
              <w:br w:type="textWrapping"/>
            </w:r>
            <w:r>
              <w:rPr>
                <w:rFonts w:hint="default"/>
                <w:lang w:val="en-US" w:eastAsia="zh-CN"/>
              </w:rPr>
              <w:t xml:space="preserve">    function checkFundingStatus() external {</w:t>
            </w:r>
            <w:r>
              <w:rPr>
                <w:rFonts w:hint="default"/>
                <w:lang w:val="en-US" w:eastAsia="zh-CN"/>
              </w:rPr>
              <w:br w:type="textWrapping"/>
            </w:r>
            <w:r>
              <w:rPr>
                <w:rFonts w:hint="default"/>
                <w:lang w:val="en-US" w:eastAsia="zh-CN"/>
              </w:rPr>
              <w:t xml:space="preserve">        require(block.timestamp &gt;= deadline, "Funding not ended yet");</w:t>
            </w:r>
            <w:r>
              <w:rPr>
                <w:rFonts w:hint="default"/>
                <w:lang w:val="en-US" w:eastAsia="zh-CN"/>
              </w:rPr>
              <w:br w:type="textWrapping"/>
            </w:r>
            <w:r>
              <w:rPr>
                <w:rFonts w:hint="default"/>
                <w:lang w:val="en-US" w:eastAsia="zh-CN"/>
              </w:rPr>
              <w:t xml:space="preserve">        require(currentStatus == ProjectStatus.Funding, "Status already determined");</w:t>
            </w:r>
            <w:r>
              <w:rPr>
                <w:rFonts w:hint="default"/>
                <w:lang w:val="en-US" w:eastAsia="zh-CN"/>
              </w:rPr>
              <w:br w:type="textWrapping"/>
            </w:r>
            <w:r>
              <w:rPr>
                <w:rFonts w:hint="default"/>
                <w:lang w:val="en-US" w:eastAsia="zh-CN"/>
              </w:rPr>
              <w:br w:type="textWrapping"/>
            </w:r>
            <w:r>
              <w:rPr>
                <w:rFonts w:hint="default"/>
                <w:lang w:val="en-US" w:eastAsia="zh-CN"/>
              </w:rPr>
              <w:t xml:space="preserve">        if (totalFunded &gt;= targetAmount) {</w:t>
            </w:r>
            <w:r>
              <w:rPr>
                <w:rFonts w:hint="default"/>
                <w:lang w:val="en-US" w:eastAsia="zh-CN"/>
              </w:rPr>
              <w:br w:type="textWrapping"/>
            </w:r>
            <w:r>
              <w:rPr>
                <w:rFonts w:hint="default"/>
                <w:lang w:val="en-US" w:eastAsia="zh-CN"/>
              </w:rPr>
              <w:t xml:space="preserve">            currentStatus = ProjectStatus.Succeeded;</w:t>
            </w:r>
            <w:r>
              <w:rPr>
                <w:rFonts w:hint="default"/>
                <w:lang w:val="en-US" w:eastAsia="zh-CN"/>
              </w:rPr>
              <w:br w:type="textWrapping"/>
            </w:r>
            <w:r>
              <w:rPr>
                <w:rFonts w:hint="default"/>
                <w:lang w:val="en-US" w:eastAsia="zh-CN"/>
              </w:rPr>
              <w:t xml:space="preserve">        } else {</w:t>
            </w:r>
            <w:r>
              <w:rPr>
                <w:rFonts w:hint="default"/>
                <w:lang w:val="en-US" w:eastAsia="zh-CN"/>
              </w:rPr>
              <w:br w:type="textWrapping"/>
            </w:r>
            <w:r>
              <w:rPr>
                <w:rFonts w:hint="default"/>
                <w:lang w:val="en-US" w:eastAsia="zh-CN"/>
              </w:rPr>
              <w:t xml:space="preserve">            currentStatus = ProjectStatus.Failed;</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创建资金使用申请（仅创建者）</w:t>
            </w:r>
            <w:r>
              <w:rPr>
                <w:rFonts w:hint="default"/>
                <w:lang w:val="en-US" w:eastAsia="zh-CN"/>
              </w:rPr>
              <w:br w:type="textWrapping"/>
            </w:r>
            <w:r>
              <w:rPr>
                <w:rFonts w:hint="default"/>
                <w:lang w:val="en-US" w:eastAsia="zh-CN"/>
              </w:rPr>
              <w:t xml:space="preserve">    function createFundingRequest(</w:t>
            </w:r>
            <w:r>
              <w:rPr>
                <w:rFonts w:hint="default"/>
                <w:lang w:val="en-US" w:eastAsia="zh-CN"/>
              </w:rPr>
              <w:br w:type="textWrapping"/>
            </w:r>
            <w:r>
              <w:rPr>
                <w:rFonts w:hint="default"/>
                <w:lang w:val="en-US" w:eastAsia="zh-CN"/>
              </w:rPr>
              <w:t xml:space="preserve">        string calldata purpose,</w:t>
            </w:r>
            <w:r>
              <w:rPr>
                <w:rFonts w:hint="default"/>
                <w:lang w:val="en-US" w:eastAsia="zh-CN"/>
              </w:rPr>
              <w:br w:type="textWrapping"/>
            </w:r>
            <w:r>
              <w:rPr>
                <w:rFonts w:hint="default"/>
                <w:lang w:val="en-US" w:eastAsia="zh-CN"/>
              </w:rPr>
              <w:t xml:space="preserve">        uint256 amount,</w:t>
            </w:r>
            <w:r>
              <w:rPr>
                <w:rFonts w:hint="default"/>
                <w:lang w:val="en-US" w:eastAsia="zh-CN"/>
              </w:rPr>
              <w:br w:type="textWrapping"/>
            </w:r>
            <w:r>
              <w:rPr>
                <w:rFonts w:hint="default"/>
                <w:lang w:val="en-US" w:eastAsia="zh-CN"/>
              </w:rPr>
              <w:t xml:space="preserve">        address payable recipient</w:t>
            </w:r>
            <w:r>
              <w:rPr>
                <w:rFonts w:hint="default"/>
                <w:lang w:val="en-US" w:eastAsia="zh-CN"/>
              </w:rPr>
              <w:br w:type="textWrapping"/>
            </w:r>
            <w:r>
              <w:rPr>
                <w:rFonts w:hint="default"/>
                <w:lang w:val="en-US" w:eastAsia="zh-CN"/>
              </w:rPr>
              <w:t xml:space="preserve">    ) external onlyCreator afterSuccess {</w:t>
            </w:r>
            <w:r>
              <w:rPr>
                <w:rFonts w:hint="default"/>
                <w:lang w:val="en-US" w:eastAsia="zh-CN"/>
              </w:rPr>
              <w:br w:type="textWrapping"/>
            </w:r>
            <w:r>
              <w:rPr>
                <w:rFonts w:hint="default"/>
                <w:lang w:val="en-US" w:eastAsia="zh-CN"/>
              </w:rPr>
              <w:t xml:space="preserve">        require(bytes(purpose).length &gt; 0, "Purpose cannot be empty");</w:t>
            </w:r>
            <w:r>
              <w:rPr>
                <w:rFonts w:hint="default"/>
                <w:lang w:val="en-US" w:eastAsia="zh-CN"/>
              </w:rPr>
              <w:br w:type="textWrapping"/>
            </w:r>
            <w:r>
              <w:rPr>
                <w:rFonts w:hint="default"/>
                <w:lang w:val="en-US" w:eastAsia="zh-CN"/>
              </w:rPr>
              <w:t xml:space="preserve">        require(amount &gt; 0 &amp;&amp; amount &lt;= address(this).balance, "Invalid amount");</w:t>
            </w:r>
            <w:r>
              <w:rPr>
                <w:rFonts w:hint="default"/>
                <w:lang w:val="en-US" w:eastAsia="zh-CN"/>
              </w:rPr>
              <w:br w:type="textWrapping"/>
            </w:r>
            <w:r>
              <w:rPr>
                <w:rFonts w:hint="default"/>
                <w:lang w:val="en-US" w:eastAsia="zh-CN"/>
              </w:rPr>
              <w:t xml:space="preserve">        require(recipient != address(0), "Invalid recipient address");</w:t>
            </w:r>
            <w:r>
              <w:rPr>
                <w:rFonts w:hint="default"/>
                <w:lang w:val="en-US" w:eastAsia="zh-CN"/>
              </w:rPr>
              <w:br w:type="textWrapping"/>
            </w:r>
            <w:r>
              <w:rPr>
                <w:rFonts w:hint="default"/>
                <w:lang w:val="en-US" w:eastAsia="zh-CN"/>
              </w:rPr>
              <w:br w:type="textWrapping"/>
            </w:r>
            <w:r>
              <w:rPr>
                <w:rFonts w:hint="default"/>
                <w:lang w:val="en-US" w:eastAsia="zh-CN"/>
              </w:rPr>
              <w:t xml:space="preserve">        // 创建申请</w:t>
            </w:r>
            <w:r>
              <w:rPr>
                <w:rFonts w:hint="default"/>
                <w:lang w:val="en-US" w:eastAsia="zh-CN"/>
              </w:rPr>
              <w:br w:type="textWrapping"/>
            </w:r>
            <w:r>
              <w:rPr>
                <w:rFonts w:hint="default"/>
                <w:lang w:val="en-US" w:eastAsia="zh-CN"/>
              </w:rPr>
              <w:t xml:space="preserve">        FundingRequest storage request = fundingRequests.push();</w:t>
            </w:r>
            <w:r>
              <w:rPr>
                <w:rFonts w:hint="default"/>
                <w:lang w:val="en-US" w:eastAsia="zh-CN"/>
              </w:rPr>
              <w:br w:type="textWrapping"/>
            </w:r>
            <w:r>
              <w:rPr>
                <w:rFonts w:hint="default"/>
                <w:lang w:val="en-US" w:eastAsia="zh-CN"/>
              </w:rPr>
              <w:t xml:space="preserve">        request.purpose = purpose;</w:t>
            </w:r>
            <w:r>
              <w:rPr>
                <w:rFonts w:hint="default"/>
                <w:lang w:val="en-US" w:eastAsia="zh-CN"/>
              </w:rPr>
              <w:br w:type="textWrapping"/>
            </w:r>
            <w:r>
              <w:rPr>
                <w:rFonts w:hint="default"/>
                <w:lang w:val="en-US" w:eastAsia="zh-CN"/>
              </w:rPr>
              <w:t xml:space="preserve">        request.amount = amount;</w:t>
            </w:r>
            <w:r>
              <w:rPr>
                <w:rFonts w:hint="default"/>
                <w:lang w:val="en-US" w:eastAsia="zh-CN"/>
              </w:rPr>
              <w:br w:type="textWrapping"/>
            </w:r>
            <w:r>
              <w:rPr>
                <w:rFonts w:hint="default"/>
                <w:lang w:val="en-US" w:eastAsia="zh-CN"/>
              </w:rPr>
              <w:t xml:space="preserve">        request.recipient = recipient;</w:t>
            </w:r>
            <w:r>
              <w:rPr>
                <w:rFonts w:hint="default"/>
                <w:lang w:val="en-US" w:eastAsia="zh-CN"/>
              </w:rPr>
              <w:br w:type="textWrapping"/>
            </w:r>
            <w:r>
              <w:rPr>
                <w:rFonts w:hint="default"/>
                <w:lang w:val="en-US" w:eastAsia="zh-CN"/>
              </w:rPr>
              <w:t xml:space="preserve">        request.approvalCount = 0;</w:t>
            </w:r>
            <w:r>
              <w:rPr>
                <w:rFonts w:hint="default"/>
                <w:lang w:val="en-US" w:eastAsia="zh-CN"/>
              </w:rPr>
              <w:br w:type="textWrapping"/>
            </w:r>
            <w:r>
              <w:rPr>
                <w:rFonts w:hint="default"/>
                <w:lang w:val="en-US" w:eastAsia="zh-CN"/>
              </w:rPr>
              <w:t xml:space="preserve">        request.status = RequestStatus.Voting;</w:t>
            </w:r>
            <w:r>
              <w:rPr>
                <w:rFonts w:hint="default"/>
                <w:lang w:val="en-US" w:eastAsia="zh-CN"/>
              </w:rPr>
              <w:br w:type="textWrapping"/>
            </w:r>
            <w:r>
              <w:rPr>
                <w:rFonts w:hint="default"/>
                <w:lang w:val="en-US" w:eastAsia="zh-CN"/>
              </w:rPr>
              <w:br w:type="textWrapping"/>
            </w:r>
            <w:r>
              <w:rPr>
                <w:rFonts w:hint="default"/>
                <w:lang w:val="en-US" w:eastAsia="zh-CN"/>
              </w:rPr>
              <w:t xml:space="preserve">        // 更新申请计数器</w:t>
            </w:r>
            <w:r>
              <w:rPr>
                <w:rFonts w:hint="default"/>
                <w:lang w:val="en-US" w:eastAsia="zh-CN"/>
              </w:rPr>
              <w:br w:type="textWrapping"/>
            </w:r>
            <w:r>
              <w:rPr>
                <w:rFonts w:hint="default"/>
                <w:lang w:val="en-US" w:eastAsia="zh-CN"/>
              </w:rPr>
              <w:t xml:space="preserve">        requestCount++;</w:t>
            </w:r>
            <w:r>
              <w:rPr>
                <w:rFonts w:hint="default"/>
                <w:lang w:val="en-US" w:eastAsia="zh-CN"/>
              </w:rPr>
              <w:br w:type="textWrapping"/>
            </w:r>
            <w:r>
              <w:rPr>
                <w:rFonts w:hint="default"/>
                <w:lang w:val="en-US" w:eastAsia="zh-CN"/>
              </w:rPr>
              <w:br w:type="textWrapping"/>
            </w:r>
            <w:r>
              <w:rPr>
                <w:rFonts w:hint="default"/>
                <w:lang w:val="en-US" w:eastAsia="zh-CN"/>
              </w:rPr>
              <w:t xml:space="preserve">        // 触发事件</w:t>
            </w:r>
            <w:r>
              <w:rPr>
                <w:rFonts w:hint="default"/>
                <w:lang w:val="en-US" w:eastAsia="zh-CN"/>
              </w:rPr>
              <w:br w:type="textWrapping"/>
            </w:r>
            <w:r>
              <w:rPr>
                <w:rFonts w:hint="default"/>
                <w:lang w:val="en-US" w:eastAsia="zh-CN"/>
              </w:rPr>
              <w:t xml:space="preserve">        emit RequestCreated(requestCount - 1, purpose, amount);</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投票同意资金使用申请（仅投资者）</w:t>
            </w:r>
            <w:r>
              <w:rPr>
                <w:rFonts w:hint="default"/>
                <w:lang w:val="en-US" w:eastAsia="zh-CN"/>
              </w:rPr>
              <w:br w:type="textWrapping"/>
            </w:r>
            <w:r>
              <w:rPr>
                <w:rFonts w:hint="default"/>
                <w:lang w:val="en-US" w:eastAsia="zh-CN"/>
              </w:rPr>
              <w:t xml:space="preserve">    function approveRequest(uint256 requestId) external {</w:t>
            </w:r>
            <w:r>
              <w:rPr>
                <w:rFonts w:hint="default"/>
                <w:lang w:val="en-US" w:eastAsia="zh-CN"/>
              </w:rPr>
              <w:br w:type="textWrapping"/>
            </w:r>
            <w:r>
              <w:rPr>
                <w:rFonts w:hint="default"/>
                <w:lang w:val="en-US" w:eastAsia="zh-CN"/>
              </w:rPr>
              <w:t xml:space="preserve">        require(isFunder[msg.sender], "Only funders can vote");</w:t>
            </w:r>
            <w:r>
              <w:rPr>
                <w:rFonts w:hint="default"/>
                <w:lang w:val="en-US" w:eastAsia="zh-CN"/>
              </w:rPr>
              <w:br w:type="textWrapping"/>
            </w:r>
            <w:r>
              <w:rPr>
                <w:rFonts w:hint="default"/>
                <w:lang w:val="en-US" w:eastAsia="zh-CN"/>
              </w:rPr>
              <w:t xml:space="preserve">        require(requestId &lt; requestCount, "Request does not exist");</w:t>
            </w:r>
            <w:r>
              <w:rPr>
                <w:rFonts w:hint="default"/>
                <w:lang w:val="en-US" w:eastAsia="zh-CN"/>
              </w:rPr>
              <w:br w:type="textWrapping"/>
            </w:r>
            <w:r>
              <w:rPr>
                <w:rFonts w:hint="default"/>
                <w:lang w:val="en-US" w:eastAsia="zh-CN"/>
              </w:rPr>
              <w:br w:type="textWrapping"/>
            </w:r>
            <w:r>
              <w:rPr>
                <w:rFonts w:hint="default"/>
                <w:lang w:val="en-US" w:eastAsia="zh-CN"/>
              </w:rPr>
              <w:t xml:space="preserve">        FundingRequest storage request = fundingRequests[requestId];</w:t>
            </w:r>
            <w:r>
              <w:rPr>
                <w:rFonts w:hint="default"/>
                <w:lang w:val="en-US" w:eastAsia="zh-CN"/>
              </w:rPr>
              <w:br w:type="textWrapping"/>
            </w:r>
            <w:r>
              <w:rPr>
                <w:rFonts w:hint="default"/>
                <w:lang w:val="en-US" w:eastAsia="zh-CN"/>
              </w:rPr>
              <w:t xml:space="preserve">        require(request.status == RequestStatus.Voting, "Request not in voting");</w:t>
            </w:r>
            <w:r>
              <w:rPr>
                <w:rFonts w:hint="default"/>
                <w:lang w:val="en-US" w:eastAsia="zh-CN"/>
              </w:rPr>
              <w:br w:type="textWrapping"/>
            </w:r>
            <w:r>
              <w:rPr>
                <w:rFonts w:hint="default"/>
                <w:lang w:val="en-US" w:eastAsia="zh-CN"/>
              </w:rPr>
              <w:t xml:space="preserve">        require(!request.hasVoted[msg.sender], "Already voted");</w:t>
            </w:r>
            <w:r>
              <w:rPr>
                <w:rFonts w:hint="default"/>
                <w:lang w:val="en-US" w:eastAsia="zh-CN"/>
              </w:rPr>
              <w:br w:type="textWrapping"/>
            </w:r>
            <w:r>
              <w:rPr>
                <w:rFonts w:hint="default"/>
                <w:lang w:val="en-US" w:eastAsia="zh-CN"/>
              </w:rPr>
              <w:br w:type="textWrapping"/>
            </w:r>
            <w:r>
              <w:rPr>
                <w:rFonts w:hint="default"/>
                <w:lang w:val="en-US" w:eastAsia="zh-CN"/>
              </w:rPr>
              <w:t xml:space="preserve">        // 记录投票</w:t>
            </w:r>
            <w:r>
              <w:rPr>
                <w:rFonts w:hint="default"/>
                <w:lang w:val="en-US" w:eastAsia="zh-CN"/>
              </w:rPr>
              <w:br w:type="textWrapping"/>
            </w:r>
            <w:r>
              <w:rPr>
                <w:rFonts w:hint="default"/>
                <w:lang w:val="en-US" w:eastAsia="zh-CN"/>
              </w:rPr>
              <w:t xml:space="preserve">        request.hasVoted[msg.sender] = true;</w:t>
            </w:r>
            <w:r>
              <w:rPr>
                <w:rFonts w:hint="default"/>
                <w:lang w:val="en-US" w:eastAsia="zh-CN"/>
              </w:rPr>
              <w:br w:type="textWrapping"/>
            </w:r>
            <w:r>
              <w:rPr>
                <w:rFonts w:hint="default"/>
                <w:lang w:val="en-US" w:eastAsia="zh-CN"/>
              </w:rPr>
              <w:t xml:space="preserve">        request.approvalCount++;</w:t>
            </w:r>
            <w:r>
              <w:rPr>
                <w:rFonts w:hint="default"/>
                <w:lang w:val="en-US" w:eastAsia="zh-CN"/>
              </w:rPr>
              <w:br w:type="textWrapping"/>
            </w:r>
            <w:r>
              <w:rPr>
                <w:rFonts w:hint="default"/>
                <w:lang w:val="en-US" w:eastAsia="zh-CN"/>
              </w:rPr>
              <w:br w:type="textWrapping"/>
            </w:r>
            <w:r>
              <w:rPr>
                <w:rFonts w:hint="default"/>
                <w:lang w:val="en-US" w:eastAsia="zh-CN"/>
              </w:rPr>
              <w:t xml:space="preserve">        // 检查是否超过半数同意（简化逻辑：超过投资者总数的50%）</w:t>
            </w:r>
            <w:r>
              <w:rPr>
                <w:rFonts w:hint="default"/>
                <w:lang w:val="en-US" w:eastAsia="zh-CN"/>
              </w:rPr>
              <w:br w:type="textWrapping"/>
            </w:r>
            <w:r>
              <w:rPr>
                <w:rFonts w:hint="default"/>
                <w:lang w:val="en-US" w:eastAsia="zh-CN"/>
              </w:rPr>
              <w:t xml:space="preserve">        if (request.approvalCount &gt; funders.length / 2) {</w:t>
            </w:r>
            <w:r>
              <w:rPr>
                <w:rFonts w:hint="default"/>
                <w:lang w:val="en-US" w:eastAsia="zh-CN"/>
              </w:rPr>
              <w:br w:type="textWrapping"/>
            </w:r>
            <w:r>
              <w:rPr>
                <w:rFonts w:hint="default"/>
                <w:lang w:val="en-US" w:eastAsia="zh-CN"/>
              </w:rPr>
              <w:t xml:space="preserve">            request.status = RequestStatus.Approved;</w:t>
            </w:r>
            <w:r>
              <w:rPr>
                <w:rFonts w:hint="default"/>
                <w:lang w:val="en-US" w:eastAsia="zh-CN"/>
              </w:rPr>
              <w:br w:type="textWrapping"/>
            </w:r>
            <w:r>
              <w:rPr>
                <w:rFonts w:hint="default"/>
                <w:lang w:val="en-US" w:eastAsia="zh-CN"/>
              </w:rPr>
              <w:t xml:space="preserve">            emit RequestApproved(requestId);</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释放资金（仅创建者，申请已通过）</w:t>
            </w:r>
            <w:r>
              <w:rPr>
                <w:rFonts w:hint="default"/>
                <w:lang w:val="en-US" w:eastAsia="zh-CN"/>
              </w:rPr>
              <w:br w:type="textWrapping"/>
            </w:r>
            <w:r>
              <w:rPr>
                <w:rFonts w:hint="default"/>
                <w:lang w:val="en-US" w:eastAsia="zh-CN"/>
              </w:rPr>
              <w:t xml:space="preserve">    function releaseFunds(uint256 requestId) external onlyCreator afterSuccess {</w:t>
            </w:r>
            <w:r>
              <w:rPr>
                <w:rFonts w:hint="default"/>
                <w:lang w:val="en-US" w:eastAsia="zh-CN"/>
              </w:rPr>
              <w:br w:type="textWrapping"/>
            </w:r>
            <w:r>
              <w:rPr>
                <w:rFonts w:hint="default"/>
                <w:lang w:val="en-US" w:eastAsia="zh-CN"/>
              </w:rPr>
              <w:t xml:space="preserve">        require(requestId &lt; requestCount, "Request does not exist");</w:t>
            </w:r>
            <w:r>
              <w:rPr>
                <w:rFonts w:hint="default"/>
                <w:lang w:val="en-US" w:eastAsia="zh-CN"/>
              </w:rPr>
              <w:br w:type="textWrapping"/>
            </w:r>
            <w:r>
              <w:rPr>
                <w:rFonts w:hint="default"/>
                <w:lang w:val="en-US" w:eastAsia="zh-CN"/>
              </w:rPr>
              <w:br w:type="textWrapping"/>
            </w:r>
            <w:r>
              <w:rPr>
                <w:rFonts w:hint="default"/>
                <w:lang w:val="en-US" w:eastAsia="zh-CN"/>
              </w:rPr>
              <w:t xml:space="preserve">        FundingRequest storage request = fundingRequests[requestId];</w:t>
            </w:r>
            <w:r>
              <w:rPr>
                <w:rFonts w:hint="default"/>
                <w:lang w:val="en-US" w:eastAsia="zh-CN"/>
              </w:rPr>
              <w:br w:type="textWrapping"/>
            </w:r>
            <w:r>
              <w:rPr>
                <w:rFonts w:hint="default"/>
                <w:lang w:val="en-US" w:eastAsia="zh-CN"/>
              </w:rPr>
              <w:t xml:space="preserve">        require(request.status == RequestStatus.Approved, "Request not approved");</w:t>
            </w:r>
            <w:r>
              <w:rPr>
                <w:rFonts w:hint="default"/>
                <w:lang w:val="en-US" w:eastAsia="zh-CN"/>
              </w:rPr>
              <w:br w:type="textWrapping"/>
            </w:r>
            <w:r>
              <w:rPr>
                <w:rFonts w:hint="default"/>
                <w:lang w:val="en-US" w:eastAsia="zh-CN"/>
              </w:rPr>
              <w:br w:type="textWrapping"/>
            </w:r>
            <w:r>
              <w:rPr>
                <w:rFonts w:hint="default"/>
                <w:lang w:val="en-US" w:eastAsia="zh-CN"/>
              </w:rPr>
              <w:t xml:space="preserve">        // 转账资金</w:t>
            </w:r>
            <w:r>
              <w:rPr>
                <w:rFonts w:hint="default"/>
                <w:lang w:val="en-US" w:eastAsia="zh-CN"/>
              </w:rPr>
              <w:br w:type="textWrapping"/>
            </w:r>
            <w:r>
              <w:rPr>
                <w:rFonts w:hint="default"/>
                <w:lang w:val="en-US" w:eastAsia="zh-CN"/>
              </w:rPr>
              <w:t xml:space="preserve">        uint256 amount = request.amount;</w:t>
            </w:r>
            <w:r>
              <w:rPr>
                <w:rFonts w:hint="default"/>
                <w:lang w:val="en-US" w:eastAsia="zh-CN"/>
              </w:rPr>
              <w:br w:type="textWrapping"/>
            </w:r>
            <w:r>
              <w:rPr>
                <w:rFonts w:hint="default"/>
                <w:lang w:val="en-US" w:eastAsia="zh-CN"/>
              </w:rPr>
              <w:t xml:space="preserve">        request.recipient.transfer(amount);</w:t>
            </w:r>
            <w:r>
              <w:rPr>
                <w:rFonts w:hint="default"/>
                <w:lang w:val="en-US" w:eastAsia="zh-CN"/>
              </w:rPr>
              <w:br w:type="textWrapping"/>
            </w:r>
            <w:r>
              <w:rPr>
                <w:rFonts w:hint="default"/>
                <w:lang w:val="en-US" w:eastAsia="zh-CN"/>
              </w:rPr>
              <w:br w:type="textWrapping"/>
            </w:r>
            <w:r>
              <w:rPr>
                <w:rFonts w:hint="default"/>
                <w:lang w:val="en-US" w:eastAsia="zh-CN"/>
              </w:rPr>
              <w:t xml:space="preserve">        // 触发事件</w:t>
            </w:r>
            <w:r>
              <w:rPr>
                <w:rFonts w:hint="default"/>
                <w:lang w:val="en-US" w:eastAsia="zh-CN"/>
              </w:rPr>
              <w:br w:type="textWrapping"/>
            </w:r>
            <w:r>
              <w:rPr>
                <w:rFonts w:hint="default"/>
                <w:lang w:val="en-US" w:eastAsia="zh-CN"/>
              </w:rPr>
              <w:t xml:space="preserve">        emit FundReleased(requestId, request.recipient, amount);</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退款（仅投资者，众筹失败）</w:t>
            </w:r>
            <w:r>
              <w:rPr>
                <w:rFonts w:hint="default"/>
                <w:lang w:val="en-US" w:eastAsia="zh-CN"/>
              </w:rPr>
              <w:br w:type="textWrapping"/>
            </w:r>
            <w:r>
              <w:rPr>
                <w:rFonts w:hint="default"/>
                <w:lang w:val="en-US" w:eastAsia="zh-CN"/>
              </w:rPr>
              <w:t xml:space="preserve">    function refund() external {</w:t>
            </w:r>
            <w:r>
              <w:rPr>
                <w:rFonts w:hint="default"/>
                <w:lang w:val="en-US" w:eastAsia="zh-CN"/>
              </w:rPr>
              <w:br w:type="textWrapping"/>
            </w:r>
            <w:r>
              <w:rPr>
                <w:rFonts w:hint="default"/>
                <w:lang w:val="en-US" w:eastAsia="zh-CN"/>
              </w:rPr>
              <w:t xml:space="preserve">        require(currentStatus == ProjectStatus.Failed, "Project not failed");</w:t>
            </w:r>
            <w:r>
              <w:rPr>
                <w:rFonts w:hint="default"/>
                <w:lang w:val="en-US" w:eastAsia="zh-CN"/>
              </w:rPr>
              <w:br w:type="textWrapping"/>
            </w:r>
            <w:r>
              <w:rPr>
                <w:rFonts w:hint="default"/>
                <w:lang w:val="en-US" w:eastAsia="zh-CN"/>
              </w:rPr>
              <w:t xml:space="preserve">        require(isFunder[msg.sender], "Only funders can refund");</w:t>
            </w:r>
            <w:r>
              <w:rPr>
                <w:rFonts w:hint="default"/>
                <w:lang w:val="en-US" w:eastAsia="zh-CN"/>
              </w:rPr>
              <w:br w:type="textWrapping"/>
            </w:r>
            <w:r>
              <w:rPr>
                <w:rFonts w:hint="default"/>
                <w:lang w:val="en-US" w:eastAsia="zh-CN"/>
              </w:rPr>
              <w:br w:type="textWrapping"/>
            </w:r>
            <w:r>
              <w:rPr>
                <w:rFonts w:hint="default"/>
                <w:lang w:val="en-US" w:eastAsia="zh-CN"/>
              </w:rPr>
              <w:t xml:space="preserve">        // 查询投资者的投资金额</w:t>
            </w:r>
            <w:r>
              <w:rPr>
                <w:rFonts w:hint="default"/>
                <w:lang w:val="en-US" w:eastAsia="zh-CN"/>
              </w:rPr>
              <w:br w:type="textWrapping"/>
            </w:r>
            <w:r>
              <w:rPr>
                <w:rFonts w:hint="default"/>
                <w:lang w:val="en-US" w:eastAsia="zh-CN"/>
              </w:rPr>
              <w:t xml:space="preserve">        uint256 refundAmount = 0;</w:t>
            </w:r>
            <w:r>
              <w:rPr>
                <w:rFonts w:hint="default"/>
                <w:lang w:val="en-US" w:eastAsia="zh-CN"/>
              </w:rPr>
              <w:br w:type="textWrapping"/>
            </w:r>
            <w:r>
              <w:rPr>
                <w:rFonts w:hint="default"/>
                <w:lang w:val="en-US" w:eastAsia="zh-CN"/>
              </w:rPr>
              <w:t xml:space="preserve">        for (uint256 i = 0; i &lt; funders.length; i++) {</w:t>
            </w:r>
            <w:r>
              <w:rPr>
                <w:rFonts w:hint="default"/>
                <w:lang w:val="en-US" w:eastAsia="zh-CN"/>
              </w:rPr>
              <w:br w:type="textWrapping"/>
            </w:r>
            <w:r>
              <w:rPr>
                <w:rFonts w:hint="default"/>
                <w:lang w:val="en-US" w:eastAsia="zh-CN"/>
              </w:rPr>
              <w:t xml:space="preserve">            if (funders[i].addr == msg.sender) {</w:t>
            </w:r>
            <w:r>
              <w:rPr>
                <w:rFonts w:hint="default"/>
                <w:lang w:val="en-US" w:eastAsia="zh-CN"/>
              </w:rPr>
              <w:br w:type="textWrapping"/>
            </w:r>
            <w:r>
              <w:rPr>
                <w:rFonts w:hint="default"/>
                <w:lang w:val="en-US" w:eastAsia="zh-CN"/>
              </w:rPr>
              <w:t xml:space="preserve">                refundAmount = funders[i].amount;</w:t>
            </w:r>
            <w:r>
              <w:rPr>
                <w:rFonts w:hint="default"/>
                <w:lang w:val="en-US" w:eastAsia="zh-CN"/>
              </w:rPr>
              <w:br w:type="textWrapping"/>
            </w:r>
            <w:r>
              <w:rPr>
                <w:rFonts w:hint="default"/>
                <w:lang w:val="en-US" w:eastAsia="zh-CN"/>
              </w:rPr>
              <w:t xml:space="preserve">                require(refundAmount &gt; 0, "No amount to refund");</w:t>
            </w:r>
            <w:r>
              <w:rPr>
                <w:rFonts w:hint="default"/>
                <w:lang w:val="en-US" w:eastAsia="zh-CN"/>
              </w:rPr>
              <w:br w:type="textWrapping"/>
            </w:r>
            <w:r>
              <w:rPr>
                <w:rFonts w:hint="default"/>
                <w:lang w:val="en-US" w:eastAsia="zh-CN"/>
              </w:rPr>
              <w:t xml:space="preserve">                funders[i].amount = 0; // 标记已退款，防止重复退款</w:t>
            </w:r>
            <w:r>
              <w:rPr>
                <w:rFonts w:hint="default"/>
                <w:lang w:val="en-US" w:eastAsia="zh-CN"/>
              </w:rPr>
              <w:br w:type="textWrapping"/>
            </w:r>
            <w:r>
              <w:rPr>
                <w:rFonts w:hint="default"/>
                <w:lang w:val="en-US" w:eastAsia="zh-CN"/>
              </w:rPr>
              <w:t xml:space="preserve">                break;</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转账退款</w:t>
            </w:r>
            <w:r>
              <w:rPr>
                <w:rFonts w:hint="default"/>
                <w:lang w:val="en-US" w:eastAsia="zh-CN"/>
              </w:rPr>
              <w:br w:type="textWrapping"/>
            </w:r>
            <w:r>
              <w:rPr>
                <w:rFonts w:hint="default"/>
                <w:lang w:val="en-US" w:eastAsia="zh-CN"/>
              </w:rPr>
              <w:t xml:space="preserve">        payable(msg.sender).transfer(refundAmount);</w:t>
            </w:r>
            <w:r>
              <w:rPr>
                <w:rFonts w:hint="default"/>
                <w:lang w:val="en-US" w:eastAsia="zh-CN"/>
              </w:rPr>
              <w:br w:type="textWrapping"/>
            </w:r>
            <w:r>
              <w:rPr>
                <w:rFonts w:hint="default"/>
                <w:lang w:val="en-US" w:eastAsia="zh-CN"/>
              </w:rPr>
              <w:br w:type="textWrapping"/>
            </w:r>
            <w:r>
              <w:rPr>
                <w:rFonts w:hint="default"/>
                <w:lang w:val="en-US" w:eastAsia="zh-CN"/>
              </w:rPr>
              <w:t xml:space="preserve">        // 触发事件</w:t>
            </w:r>
            <w:r>
              <w:rPr>
                <w:rFonts w:hint="default"/>
                <w:lang w:val="en-US" w:eastAsia="zh-CN"/>
              </w:rPr>
              <w:br w:type="textWrapping"/>
            </w:r>
            <w:r>
              <w:rPr>
                <w:rFonts w:hint="default"/>
                <w:lang w:val="en-US" w:eastAsia="zh-CN"/>
              </w:rPr>
              <w:t xml:space="preserve">        emit Refunded(msg.sender, refundAmount);</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获取投资者数量</w:t>
            </w:r>
            <w:r>
              <w:rPr>
                <w:rFonts w:hint="default"/>
                <w:lang w:val="en-US" w:eastAsia="zh-CN"/>
              </w:rPr>
              <w:br w:type="textWrapping"/>
            </w:r>
            <w:r>
              <w:rPr>
                <w:rFonts w:hint="default"/>
                <w:lang w:val="en-US" w:eastAsia="zh-CN"/>
              </w:rPr>
              <w:t xml:space="preserve">    function getFunderCount() external view returns (uint256) {</w:t>
            </w:r>
            <w:r>
              <w:rPr>
                <w:rFonts w:hint="default"/>
                <w:lang w:val="en-US" w:eastAsia="zh-CN"/>
              </w:rPr>
              <w:br w:type="textWrapping"/>
            </w:r>
            <w:r>
              <w:rPr>
                <w:rFonts w:hint="default"/>
                <w:lang w:val="en-US" w:eastAsia="zh-CN"/>
              </w:rPr>
              <w:t xml:space="preserve">        return funders.length;</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获取资金使用申请详情</w:t>
            </w:r>
            <w:r>
              <w:rPr>
                <w:rFonts w:hint="default"/>
                <w:lang w:val="en-US" w:eastAsia="zh-CN"/>
              </w:rPr>
              <w:br w:type="textWrapping"/>
            </w:r>
            <w:r>
              <w:rPr>
                <w:rFonts w:hint="default"/>
                <w:lang w:val="en-US" w:eastAsia="zh-CN"/>
              </w:rPr>
              <w:t xml:space="preserve">    function getFundingRequest(uint256 requestId) external view returns (</w:t>
            </w:r>
            <w:r>
              <w:rPr>
                <w:rFonts w:hint="default"/>
                <w:lang w:val="en-US" w:eastAsia="zh-CN"/>
              </w:rPr>
              <w:br w:type="textWrapping"/>
            </w:r>
            <w:r>
              <w:rPr>
                <w:rFonts w:hint="default"/>
                <w:lang w:val="en-US" w:eastAsia="zh-CN"/>
              </w:rPr>
              <w:t xml:space="preserve">        string memory purpose,</w:t>
            </w:r>
            <w:r>
              <w:rPr>
                <w:rFonts w:hint="default"/>
                <w:lang w:val="en-US" w:eastAsia="zh-CN"/>
              </w:rPr>
              <w:br w:type="textWrapping"/>
            </w:r>
            <w:r>
              <w:rPr>
                <w:rFonts w:hint="default"/>
                <w:lang w:val="en-US" w:eastAsia="zh-CN"/>
              </w:rPr>
              <w:t xml:space="preserve">        uint256 amount,</w:t>
            </w:r>
            <w:r>
              <w:rPr>
                <w:rFonts w:hint="default"/>
                <w:lang w:val="en-US" w:eastAsia="zh-CN"/>
              </w:rPr>
              <w:br w:type="textWrapping"/>
            </w:r>
            <w:r>
              <w:rPr>
                <w:rFonts w:hint="default"/>
                <w:lang w:val="en-US" w:eastAsia="zh-CN"/>
              </w:rPr>
              <w:t xml:space="preserve">        address recipient,</w:t>
            </w:r>
            <w:r>
              <w:rPr>
                <w:rFonts w:hint="default"/>
                <w:lang w:val="en-US" w:eastAsia="zh-CN"/>
              </w:rPr>
              <w:br w:type="textWrapping"/>
            </w:r>
            <w:r>
              <w:rPr>
                <w:rFonts w:hint="default"/>
                <w:lang w:val="en-US" w:eastAsia="zh-CN"/>
              </w:rPr>
              <w:t xml:space="preserve">        uint256 approvalCount,</w:t>
            </w:r>
            <w:r>
              <w:rPr>
                <w:rFonts w:hint="default"/>
                <w:lang w:val="en-US" w:eastAsia="zh-CN"/>
              </w:rPr>
              <w:br w:type="textWrapping"/>
            </w:r>
            <w:r>
              <w:rPr>
                <w:rFonts w:hint="default"/>
                <w:lang w:val="en-US" w:eastAsia="zh-CN"/>
              </w:rPr>
              <w:t xml:space="preserve">        RequestStatus status</w:t>
            </w:r>
            <w:r>
              <w:rPr>
                <w:rFonts w:hint="default"/>
                <w:lang w:val="en-US" w:eastAsia="zh-CN"/>
              </w:rPr>
              <w:br w:type="textWrapping"/>
            </w:r>
            <w:r>
              <w:rPr>
                <w:rFonts w:hint="default"/>
                <w:lang w:val="en-US" w:eastAsia="zh-CN"/>
              </w:rPr>
              <w:t xml:space="preserve">    ) {</w:t>
            </w:r>
            <w:r>
              <w:rPr>
                <w:rFonts w:hint="default"/>
                <w:lang w:val="en-US" w:eastAsia="zh-CN"/>
              </w:rPr>
              <w:br w:type="textWrapping"/>
            </w:r>
            <w:r>
              <w:rPr>
                <w:rFonts w:hint="default"/>
                <w:lang w:val="en-US" w:eastAsia="zh-CN"/>
              </w:rPr>
              <w:t xml:space="preserve">        require(requestId &lt; requestCount, "Request does not exist");</w:t>
            </w:r>
            <w:r>
              <w:rPr>
                <w:rFonts w:hint="default"/>
                <w:lang w:val="en-US" w:eastAsia="zh-CN"/>
              </w:rPr>
              <w:br w:type="textWrapping"/>
            </w:r>
            <w:r>
              <w:rPr>
                <w:rFonts w:hint="default"/>
                <w:lang w:val="en-US" w:eastAsia="zh-CN"/>
              </w:rPr>
              <w:t xml:space="preserve">        FundingRequest storage request = fundingRequests[requestId];</w:t>
            </w:r>
            <w:r>
              <w:rPr>
                <w:rFonts w:hint="default"/>
                <w:lang w:val="en-US" w:eastAsia="zh-CN"/>
              </w:rPr>
              <w:br w:type="textWrapping"/>
            </w:r>
            <w:r>
              <w:rPr>
                <w:rFonts w:hint="default"/>
                <w:lang w:val="en-US" w:eastAsia="zh-CN"/>
              </w:rPr>
              <w:t xml:space="preserve">        return (</w:t>
            </w:r>
            <w:r>
              <w:rPr>
                <w:rFonts w:hint="default"/>
                <w:lang w:val="en-US" w:eastAsia="zh-CN"/>
              </w:rPr>
              <w:br w:type="textWrapping"/>
            </w:r>
            <w:r>
              <w:rPr>
                <w:rFonts w:hint="default"/>
                <w:lang w:val="en-US" w:eastAsia="zh-CN"/>
              </w:rPr>
              <w:t xml:space="preserve">            request.purpose,</w:t>
            </w:r>
            <w:r>
              <w:rPr>
                <w:rFonts w:hint="default"/>
                <w:lang w:val="en-US" w:eastAsia="zh-CN"/>
              </w:rPr>
              <w:br w:type="textWrapping"/>
            </w:r>
            <w:r>
              <w:rPr>
                <w:rFonts w:hint="default"/>
                <w:lang w:val="en-US" w:eastAsia="zh-CN"/>
              </w:rPr>
              <w:t xml:space="preserve">            request.amount,</w:t>
            </w:r>
            <w:r>
              <w:rPr>
                <w:rFonts w:hint="default"/>
                <w:lang w:val="en-US" w:eastAsia="zh-CN"/>
              </w:rPr>
              <w:br w:type="textWrapping"/>
            </w:r>
            <w:r>
              <w:rPr>
                <w:rFonts w:hint="default"/>
                <w:lang w:val="en-US" w:eastAsia="zh-CN"/>
              </w:rPr>
              <w:t xml:space="preserve">            request.recipient,</w:t>
            </w:r>
            <w:r>
              <w:rPr>
                <w:rFonts w:hint="default"/>
                <w:lang w:val="en-US" w:eastAsia="zh-CN"/>
              </w:rPr>
              <w:br w:type="textWrapping"/>
            </w:r>
            <w:r>
              <w:rPr>
                <w:rFonts w:hint="default"/>
                <w:lang w:val="en-US" w:eastAsia="zh-CN"/>
              </w:rPr>
              <w:t xml:space="preserve">            request.approvalCount,</w:t>
            </w:r>
            <w:r>
              <w:rPr>
                <w:rFonts w:hint="default"/>
                <w:lang w:val="en-US" w:eastAsia="zh-CN"/>
              </w:rPr>
              <w:br w:type="textWrapping"/>
            </w:r>
            <w:r>
              <w:rPr>
                <w:rFonts w:hint="default"/>
                <w:lang w:val="en-US" w:eastAsia="zh-CN"/>
              </w:rPr>
              <w:t xml:space="preserve">            request.status</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w:t>
            </w:r>
          </w:p>
        </w:tc>
      </w:tr>
    </w:tbl>
    <w:p w14:paraId="53692C70">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代码说明：定义ProjectStatus和RequestStatus枚举，清晰管理项目状态和资金使用申请状态；通过Funder结构体和funders列表记录所有投资者信息，isFunder映射用于快速判断地址是否为投资者，提升查询效率；contribute函数支持投资者贡献资金，自动处理首次投资和追加投资的场景，更新投资者信息和已筹金额；checkFundingStatus函数用于在募集截止后判断项目状态（成功/失败），为后续资金释放或退款提供依据；资金使用申请流程（createFundingRequest→approveRequest→releaseFunds）通过智能合约严格管控，确保资金使用需经投资者多数同意，保障投资者权益；refund函数支持众筹失败时的原路退款，通过标记已退款金额防止重复退款，保障资金安全；提供多个查询接口（getFunderCount、getFundingRequest等），支持前端获取项目关键数据。</w:t>
      </w:r>
    </w:p>
    <w:p w14:paraId="166338C5">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前端核心代码，以钱包连接和项目创建功能为例，展示前端与合约交互的核心代码：</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42"/>
      </w:tblGrid>
      <w:tr w14:paraId="66B1EE4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42" w:type="dxa"/>
            <w:shd w:val="clear" w:color="auto" w:fill="F5F6F7"/>
            <w:tcMar>
              <w:top w:w="60" w:type="dxa"/>
              <w:left w:w="120" w:type="dxa"/>
              <w:bottom w:w="30" w:type="dxa"/>
              <w:right w:w="120" w:type="dxa"/>
            </w:tcMar>
          </w:tcPr>
          <w:p w14:paraId="1200A353">
            <w:pPr>
              <w:bidi w:val="0"/>
              <w:rPr>
                <w:rFonts w:hint="default"/>
                <w:lang w:val="en-US" w:eastAsia="zh-CN"/>
              </w:rPr>
            </w:pPr>
            <w:r>
              <w:rPr>
                <w:rFonts w:hint="default"/>
                <w:lang w:val="en-US" w:eastAsia="zh-CN"/>
              </w:rPr>
              <w:t>javascript</w:t>
            </w:r>
            <w:r>
              <w:rPr>
                <w:rFonts w:hint="default"/>
                <w:lang w:val="en-US" w:eastAsia="zh-CN"/>
              </w:rPr>
              <w:br w:type="textWrapping"/>
            </w:r>
            <w:r>
              <w:rPr>
                <w:rFonts w:hint="default"/>
                <w:lang w:val="en-US" w:eastAsia="zh-CN"/>
              </w:rPr>
              <w:t>// src/hooks/useWeb3.js - 自定义Hook：处理Web3相关逻辑</w:t>
            </w:r>
            <w:r>
              <w:rPr>
                <w:rFonts w:hint="default"/>
                <w:lang w:val="en-US" w:eastAsia="zh-CN"/>
              </w:rPr>
              <w:br w:type="textWrapping"/>
            </w:r>
            <w:r>
              <w:rPr>
                <w:rFonts w:hint="default"/>
                <w:lang w:val="en-US" w:eastAsia="zh-CN"/>
              </w:rPr>
              <w:t>import { useState, useEffect } from 'react';</w:t>
            </w:r>
            <w:r>
              <w:rPr>
                <w:rFonts w:hint="default"/>
                <w:lang w:val="en-US" w:eastAsia="zh-CN"/>
              </w:rPr>
              <w:br w:type="textWrapping"/>
            </w:r>
            <w:r>
              <w:rPr>
                <w:rFonts w:hint="default"/>
                <w:lang w:val="en-US" w:eastAsia="zh-CN"/>
              </w:rPr>
              <w:t>import { ethers } from 'ethers';</w:t>
            </w:r>
            <w:r>
              <w:rPr>
                <w:rFonts w:hint="default"/>
                <w:lang w:val="en-US" w:eastAsia="zh-CN"/>
              </w:rPr>
              <w:br w:type="textWrapping"/>
            </w:r>
            <w:r>
              <w:rPr>
                <w:rFonts w:hint="default"/>
                <w:lang w:val="en-US" w:eastAsia="zh-CN"/>
              </w:rPr>
              <w:t>import CrowdfundFactory from '../artifacts/contracts/CrowdfundFactory.sol/CrowdfundFactory.json';</w:t>
            </w:r>
            <w:r>
              <w:rPr>
                <w:rFonts w:hint="default"/>
                <w:lang w:val="en-US" w:eastAsia="zh-CN"/>
              </w:rPr>
              <w:br w:type="textWrapping"/>
            </w:r>
            <w:r>
              <w:rPr>
                <w:rFonts w:hint="default"/>
                <w:lang w:val="en-US" w:eastAsia="zh-CN"/>
              </w:rPr>
              <w:br w:type="textWrapping"/>
            </w:r>
            <w:r>
              <w:rPr>
                <w:rFonts w:hint="default"/>
                <w:lang w:val="en-US" w:eastAsia="zh-CN"/>
              </w:rPr>
              <w:t>// 工厂合约部署地址（部署后替换）</w:t>
            </w:r>
            <w:r>
              <w:rPr>
                <w:rFonts w:hint="default"/>
                <w:lang w:val="en-US" w:eastAsia="zh-CN"/>
              </w:rPr>
              <w:br w:type="textWrapping"/>
            </w:r>
            <w:r>
              <w:rPr>
                <w:rFonts w:hint="default"/>
                <w:lang w:val="en-US" w:eastAsia="zh-CN"/>
              </w:rPr>
              <w:t>const FACTORY_CONTRACT_ADDRESS = '0xYourDeployedFactoryContractAddress';</w:t>
            </w:r>
            <w:r>
              <w:rPr>
                <w:rFonts w:hint="default"/>
                <w:lang w:val="en-US" w:eastAsia="zh-CN"/>
              </w:rPr>
              <w:br w:type="textWrapping"/>
            </w:r>
            <w:r>
              <w:rPr>
                <w:rFonts w:hint="default"/>
                <w:lang w:val="en-US" w:eastAsia="zh-CN"/>
              </w:rPr>
              <w:br w:type="textWrapping"/>
            </w:r>
            <w:r>
              <w:rPr>
                <w:rFonts w:hint="default"/>
                <w:lang w:val="en-US" w:eastAsia="zh-CN"/>
              </w:rPr>
              <w:t>export const useWeb3 = () =&gt; {</w:t>
            </w:r>
            <w:r>
              <w:rPr>
                <w:rFonts w:hint="default"/>
                <w:lang w:val="en-US" w:eastAsia="zh-CN"/>
              </w:rPr>
              <w:br w:type="textWrapping"/>
            </w:r>
            <w:r>
              <w:rPr>
                <w:rFonts w:hint="default"/>
                <w:lang w:val="en-US" w:eastAsia="zh-CN"/>
              </w:rPr>
              <w:t xml:space="preserve">  const [provider, setProvider] = useState(null);</w:t>
            </w:r>
            <w:r>
              <w:rPr>
                <w:rFonts w:hint="default"/>
                <w:lang w:val="en-US" w:eastAsia="zh-CN"/>
              </w:rPr>
              <w:br w:type="textWrapping"/>
            </w:r>
            <w:r>
              <w:rPr>
                <w:rFonts w:hint="default"/>
                <w:lang w:val="en-US" w:eastAsia="zh-CN"/>
              </w:rPr>
              <w:t xml:space="preserve">  const [signer, setSigner] = useState(null);</w:t>
            </w:r>
            <w:r>
              <w:rPr>
                <w:rFonts w:hint="default"/>
                <w:lang w:val="en-US" w:eastAsia="zh-CN"/>
              </w:rPr>
              <w:br w:type="textWrapping"/>
            </w:r>
            <w:r>
              <w:rPr>
                <w:rFonts w:hint="default"/>
                <w:lang w:val="en-US" w:eastAsia="zh-CN"/>
              </w:rPr>
              <w:t xml:space="preserve">  const [factoryContract, setFactoryContract] = useState(null);</w:t>
            </w:r>
            <w:r>
              <w:rPr>
                <w:rFonts w:hint="default"/>
                <w:lang w:val="en-US" w:eastAsia="zh-CN"/>
              </w:rPr>
              <w:br w:type="textWrapping"/>
            </w:r>
            <w:r>
              <w:rPr>
                <w:rFonts w:hint="default"/>
                <w:lang w:val="en-US" w:eastAsia="zh-CN"/>
              </w:rPr>
              <w:t xml:space="preserve">  const [connectedAccount, setConnectedAccount] = useState(null);</w:t>
            </w:r>
            <w:r>
              <w:rPr>
                <w:rFonts w:hint="default"/>
                <w:lang w:val="en-US" w:eastAsia="zh-CN"/>
              </w:rPr>
              <w:br w:type="textWrapping"/>
            </w:r>
            <w:r>
              <w:rPr>
                <w:rFonts w:hint="default"/>
                <w:lang w:val="en-US" w:eastAsia="zh-CN"/>
              </w:rPr>
              <w:br w:type="textWrapping"/>
            </w:r>
            <w:r>
              <w:rPr>
                <w:rFonts w:hint="default"/>
                <w:lang w:val="en-US" w:eastAsia="zh-CN"/>
              </w:rPr>
              <w:t xml:space="preserve">  // 连接钱包</w:t>
            </w:r>
            <w:r>
              <w:rPr>
                <w:rFonts w:hint="default"/>
                <w:lang w:val="en-US" w:eastAsia="zh-CN"/>
              </w:rPr>
              <w:br w:type="textWrapping"/>
            </w:r>
            <w:r>
              <w:rPr>
                <w:rFonts w:hint="default"/>
                <w:lang w:val="en-US" w:eastAsia="zh-CN"/>
              </w:rPr>
              <w:t xml:space="preserve">  const connectWallet = async () =&gt; {</w:t>
            </w:r>
            <w:r>
              <w:rPr>
                <w:rFonts w:hint="default"/>
                <w:lang w:val="en-US" w:eastAsia="zh-CN"/>
              </w:rPr>
              <w:br w:type="textWrapping"/>
            </w:r>
            <w:r>
              <w:rPr>
                <w:rFonts w:hint="default"/>
                <w:lang w:val="en-US" w:eastAsia="zh-CN"/>
              </w:rPr>
              <w:t xml:space="preserve">    try {</w:t>
            </w:r>
            <w:r>
              <w:rPr>
                <w:rFonts w:hint="default"/>
                <w:lang w:val="en-US" w:eastAsia="zh-CN"/>
              </w:rPr>
              <w:br w:type="textWrapping"/>
            </w:r>
            <w:r>
              <w:rPr>
                <w:rFonts w:hint="default"/>
                <w:lang w:val="en-US" w:eastAsia="zh-CN"/>
              </w:rPr>
              <w:t xml:space="preserve">      // 检查是否安装MetaMask</w:t>
            </w:r>
            <w:r>
              <w:rPr>
                <w:rFonts w:hint="default"/>
                <w:lang w:val="en-US" w:eastAsia="zh-CN"/>
              </w:rPr>
              <w:br w:type="textWrapping"/>
            </w:r>
            <w:r>
              <w:rPr>
                <w:rFonts w:hint="default"/>
                <w:lang w:val="en-US" w:eastAsia="zh-CN"/>
              </w:rPr>
              <w:t xml:space="preserve">      if (!window.ethereum) {</w:t>
            </w:r>
            <w:r>
              <w:rPr>
                <w:rFonts w:hint="default"/>
                <w:lang w:val="en-US" w:eastAsia="zh-CN"/>
              </w:rPr>
              <w:br w:type="textWrapping"/>
            </w:r>
            <w:r>
              <w:rPr>
                <w:rFonts w:hint="default"/>
                <w:lang w:val="en-US" w:eastAsia="zh-CN"/>
              </w:rPr>
              <w:t xml:space="preserve">        alert('Please install MetaMask first!');</w:t>
            </w:r>
            <w:r>
              <w:rPr>
                <w:rFonts w:hint="default"/>
                <w:lang w:val="en-US" w:eastAsia="zh-CN"/>
              </w:rPr>
              <w:br w:type="textWrapping"/>
            </w:r>
            <w:r>
              <w:rPr>
                <w:rFonts w:hint="default"/>
                <w:lang w:val="en-US" w:eastAsia="zh-CN"/>
              </w:rPr>
              <w:t xml:space="preserve">        return;</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请求用户授权连接钱包</w:t>
            </w:r>
            <w:r>
              <w:rPr>
                <w:rFonts w:hint="default"/>
                <w:lang w:val="en-US" w:eastAsia="zh-CN"/>
              </w:rPr>
              <w:br w:type="textWrapping"/>
            </w:r>
            <w:r>
              <w:rPr>
                <w:rFonts w:hint="default"/>
                <w:lang w:val="en-US" w:eastAsia="zh-CN"/>
              </w:rPr>
              <w:t xml:space="preserve">      const accounts = await window.ethereum.request({ method: 'eth_requestAccounts' });</w:t>
            </w:r>
            <w:r>
              <w:rPr>
                <w:rFonts w:hint="default"/>
                <w:lang w:val="en-US" w:eastAsia="zh-CN"/>
              </w:rPr>
              <w:br w:type="textWrapping"/>
            </w:r>
            <w:r>
              <w:rPr>
                <w:rFonts w:hint="default"/>
                <w:lang w:val="en-US" w:eastAsia="zh-CN"/>
              </w:rPr>
              <w:t xml:space="preserve">      setConnectedAccount(accounts[0]);</w:t>
            </w:r>
            <w:r>
              <w:rPr>
                <w:rFonts w:hint="default"/>
                <w:lang w:val="en-US" w:eastAsia="zh-CN"/>
              </w:rPr>
              <w:br w:type="textWrapping"/>
            </w:r>
            <w:r>
              <w:rPr>
                <w:rFonts w:hint="default"/>
                <w:lang w:val="en-US" w:eastAsia="zh-CN"/>
              </w:rPr>
              <w:br w:type="textWrapping"/>
            </w:r>
            <w:r>
              <w:rPr>
                <w:rFonts w:hint="default"/>
                <w:lang w:val="en-US" w:eastAsia="zh-CN"/>
              </w:rPr>
              <w:t xml:space="preserve">      // 初始化Provider和Signer</w:t>
            </w:r>
            <w:r>
              <w:rPr>
                <w:rFonts w:hint="default"/>
                <w:lang w:val="en-US" w:eastAsia="zh-CN"/>
              </w:rPr>
              <w:br w:type="textWrapping"/>
            </w:r>
            <w:r>
              <w:rPr>
                <w:rFonts w:hint="default"/>
                <w:lang w:val="en-US" w:eastAsia="zh-CN"/>
              </w:rPr>
              <w:t xml:space="preserve">      const provider = new ethers.providers.Web3Provider(window.ethereum);</w:t>
            </w:r>
            <w:r>
              <w:rPr>
                <w:rFonts w:hint="default"/>
                <w:lang w:val="en-US" w:eastAsia="zh-CN"/>
              </w:rPr>
              <w:br w:type="textWrapping"/>
            </w:r>
            <w:r>
              <w:rPr>
                <w:rFonts w:hint="default"/>
                <w:lang w:val="en-US" w:eastAsia="zh-CN"/>
              </w:rPr>
              <w:t xml:space="preserve">      const signer = provider.getSigner();</w:t>
            </w:r>
            <w:r>
              <w:rPr>
                <w:rFonts w:hint="default"/>
                <w:lang w:val="en-US" w:eastAsia="zh-CN"/>
              </w:rPr>
              <w:br w:type="textWrapping"/>
            </w:r>
            <w:r>
              <w:rPr>
                <w:rFonts w:hint="default"/>
                <w:lang w:val="en-US" w:eastAsia="zh-CN"/>
              </w:rPr>
              <w:t xml:space="preserve">      setProvider(provider);</w:t>
            </w:r>
            <w:r>
              <w:rPr>
                <w:rFonts w:hint="default"/>
                <w:lang w:val="en-US" w:eastAsia="zh-CN"/>
              </w:rPr>
              <w:br w:type="textWrapping"/>
            </w:r>
            <w:r>
              <w:rPr>
                <w:rFonts w:hint="default"/>
                <w:lang w:val="en-US" w:eastAsia="zh-CN"/>
              </w:rPr>
              <w:t xml:space="preserve">      setSigner(signer);</w:t>
            </w:r>
            <w:r>
              <w:rPr>
                <w:rFonts w:hint="default"/>
                <w:lang w:val="en-US" w:eastAsia="zh-CN"/>
              </w:rPr>
              <w:br w:type="textWrapping"/>
            </w:r>
            <w:r>
              <w:rPr>
                <w:rFonts w:hint="default"/>
                <w:lang w:val="en-US" w:eastAsia="zh-CN"/>
              </w:rPr>
              <w:br w:type="textWrapping"/>
            </w:r>
            <w:r>
              <w:rPr>
                <w:rFonts w:hint="default"/>
                <w:lang w:val="en-US" w:eastAsia="zh-CN"/>
              </w:rPr>
              <w:t xml:space="preserve">      // 初始化工厂合约</w:t>
            </w:r>
            <w:r>
              <w:rPr>
                <w:rFonts w:hint="default"/>
                <w:lang w:val="en-US" w:eastAsia="zh-CN"/>
              </w:rPr>
              <w:br w:type="textWrapping"/>
            </w:r>
            <w:r>
              <w:rPr>
                <w:rFonts w:hint="default"/>
                <w:lang w:val="en-US" w:eastAsia="zh-CN"/>
              </w:rPr>
              <w:t xml:space="preserve">      const factoryContract = new ethers.Contract(</w:t>
            </w:r>
            <w:r>
              <w:rPr>
                <w:rFonts w:hint="default"/>
                <w:lang w:val="en-US" w:eastAsia="zh-CN"/>
              </w:rPr>
              <w:br w:type="textWrapping"/>
            </w:r>
            <w:r>
              <w:rPr>
                <w:rFonts w:hint="default"/>
                <w:lang w:val="en-US" w:eastAsia="zh-CN"/>
              </w:rPr>
              <w:t xml:space="preserve">        FACTORY_CONTRACT_ADDRESS,</w:t>
            </w:r>
            <w:r>
              <w:rPr>
                <w:rFonts w:hint="default"/>
                <w:lang w:val="en-US" w:eastAsia="zh-CN"/>
              </w:rPr>
              <w:br w:type="textWrapping"/>
            </w:r>
            <w:r>
              <w:rPr>
                <w:rFonts w:hint="default"/>
                <w:lang w:val="en-US" w:eastAsia="zh-CN"/>
              </w:rPr>
              <w:t xml:space="preserve">        CrowdfundFactory.abi,</w:t>
            </w:r>
            <w:r>
              <w:rPr>
                <w:rFonts w:hint="default"/>
                <w:lang w:val="en-US" w:eastAsia="zh-CN"/>
              </w:rPr>
              <w:br w:type="textWrapping"/>
            </w:r>
            <w:r>
              <w:rPr>
                <w:rFonts w:hint="default"/>
                <w:lang w:val="en-US" w:eastAsia="zh-CN"/>
              </w:rPr>
              <w:t xml:space="preserve">        signer</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setFactoryContract(factoryContract);</w:t>
            </w:r>
            <w:r>
              <w:rPr>
                <w:rFonts w:hint="default"/>
                <w:lang w:val="en-US" w:eastAsia="zh-CN"/>
              </w:rPr>
              <w:br w:type="textWrapping"/>
            </w:r>
            <w:r>
              <w:rPr>
                <w:rFonts w:hint="default"/>
                <w:lang w:val="en-US" w:eastAsia="zh-CN"/>
              </w:rPr>
              <w:t xml:space="preserve">    } catch (error) {</w:t>
            </w:r>
            <w:r>
              <w:rPr>
                <w:rFonts w:hint="default"/>
                <w:lang w:val="en-US" w:eastAsia="zh-CN"/>
              </w:rPr>
              <w:br w:type="textWrapping"/>
            </w:r>
            <w:r>
              <w:rPr>
                <w:rFonts w:hint="default"/>
                <w:lang w:val="en-US" w:eastAsia="zh-CN"/>
              </w:rPr>
              <w:t xml:space="preserve">      console.error('Failed to connect wallet:', error);</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监听钱包账户变化</w:t>
            </w:r>
            <w:r>
              <w:rPr>
                <w:rFonts w:hint="default"/>
                <w:lang w:val="en-US" w:eastAsia="zh-CN"/>
              </w:rPr>
              <w:br w:type="textWrapping"/>
            </w:r>
            <w:r>
              <w:rPr>
                <w:rFonts w:hint="default"/>
                <w:lang w:val="en-US" w:eastAsia="zh-CN"/>
              </w:rPr>
              <w:t xml:space="preserve">  useEffect(() =&gt; {</w:t>
            </w:r>
            <w:r>
              <w:rPr>
                <w:rFonts w:hint="default"/>
                <w:lang w:val="en-US" w:eastAsia="zh-CN"/>
              </w:rPr>
              <w:br w:type="textWrapping"/>
            </w:r>
            <w:r>
              <w:rPr>
                <w:rFonts w:hint="default"/>
                <w:lang w:val="en-US" w:eastAsia="zh-CN"/>
              </w:rPr>
              <w:t xml:space="preserve">    const handleAccountChange = (accounts) =&gt; {</w:t>
            </w:r>
            <w:r>
              <w:rPr>
                <w:rFonts w:hint="default"/>
                <w:lang w:val="en-US" w:eastAsia="zh-CN"/>
              </w:rPr>
              <w:br w:type="textWrapping"/>
            </w:r>
            <w:r>
              <w:rPr>
                <w:rFonts w:hint="default"/>
                <w:lang w:val="en-US" w:eastAsia="zh-CN"/>
              </w:rPr>
              <w:t xml:space="preserve">      if (accounts.length &gt; 0) {</w:t>
            </w:r>
            <w:r>
              <w:rPr>
                <w:rFonts w:hint="default"/>
                <w:lang w:val="en-US" w:eastAsia="zh-CN"/>
              </w:rPr>
              <w:br w:type="textWrapping"/>
            </w:r>
            <w:r>
              <w:rPr>
                <w:rFonts w:hint="default"/>
                <w:lang w:val="en-US" w:eastAsia="zh-CN"/>
              </w:rPr>
              <w:t xml:space="preserve">        setConnectedAccount(accounts[0]);</w:t>
            </w:r>
            <w:r>
              <w:rPr>
                <w:rFonts w:hint="default"/>
                <w:lang w:val="en-US" w:eastAsia="zh-CN"/>
              </w:rPr>
              <w:br w:type="textWrapping"/>
            </w:r>
            <w:r>
              <w:rPr>
                <w:rFonts w:hint="default"/>
                <w:lang w:val="en-US" w:eastAsia="zh-CN"/>
              </w:rPr>
              <w:t xml:space="preserve">      } else {</w:t>
            </w:r>
            <w:r>
              <w:rPr>
                <w:rFonts w:hint="default"/>
                <w:lang w:val="en-US" w:eastAsia="zh-CN"/>
              </w:rPr>
              <w:br w:type="textWrapping"/>
            </w:r>
            <w:r>
              <w:rPr>
                <w:rFonts w:hint="default"/>
                <w:lang w:val="en-US" w:eastAsia="zh-CN"/>
              </w:rPr>
              <w:t xml:space="preserve">        setConnectedAccount(null);</w:t>
            </w:r>
            <w:r>
              <w:rPr>
                <w:rFonts w:hint="default"/>
                <w:lang w:val="en-US" w:eastAsia="zh-CN"/>
              </w:rPr>
              <w:br w:type="textWrapping"/>
            </w:r>
            <w:r>
              <w:rPr>
                <w:rFonts w:hint="default"/>
                <w:lang w:val="en-US" w:eastAsia="zh-CN"/>
              </w:rPr>
              <w:t xml:space="preserve">        setSigner(null);</w:t>
            </w:r>
            <w:r>
              <w:rPr>
                <w:rFonts w:hint="default"/>
                <w:lang w:val="en-US" w:eastAsia="zh-CN"/>
              </w:rPr>
              <w:br w:type="textWrapping"/>
            </w:r>
            <w:r>
              <w:rPr>
                <w:rFonts w:hint="default"/>
                <w:lang w:val="en-US" w:eastAsia="zh-CN"/>
              </w:rPr>
              <w:t xml:space="preserve">        setFactoryContract(null);</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if (window.ethereum) {</w:t>
            </w:r>
            <w:r>
              <w:rPr>
                <w:rFonts w:hint="default"/>
                <w:lang w:val="en-US" w:eastAsia="zh-CN"/>
              </w:rPr>
              <w:br w:type="textWrapping"/>
            </w:r>
            <w:r>
              <w:rPr>
                <w:rFonts w:hint="default"/>
                <w:lang w:val="en-US" w:eastAsia="zh-CN"/>
              </w:rPr>
              <w:t xml:space="preserve">      window.ethereum.on('accountsChanged', handleAccountChange);</w:t>
            </w:r>
            <w:r>
              <w:rPr>
                <w:rFonts w:hint="default"/>
                <w:lang w:val="en-US" w:eastAsia="zh-CN"/>
              </w:rPr>
              <w:br w:type="textWrapping"/>
            </w:r>
            <w:r>
              <w:rPr>
                <w:rFonts w:hint="default"/>
                <w:lang w:val="en-US" w:eastAsia="zh-CN"/>
              </w:rPr>
              <w:t xml:space="preserve">      return () =&gt; {</w:t>
            </w:r>
            <w:r>
              <w:rPr>
                <w:rFonts w:hint="default"/>
                <w:lang w:val="en-US" w:eastAsia="zh-CN"/>
              </w:rPr>
              <w:br w:type="textWrapping"/>
            </w:r>
            <w:r>
              <w:rPr>
                <w:rFonts w:hint="default"/>
                <w:lang w:val="en-US" w:eastAsia="zh-CN"/>
              </w:rPr>
              <w:t xml:space="preserve">        window.ethereum.removeListener('accountsChanged', handleAccountChange);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 []);</w:t>
            </w:r>
            <w:r>
              <w:rPr>
                <w:rFonts w:hint="default"/>
                <w:lang w:val="en-US" w:eastAsia="zh-CN"/>
              </w:rPr>
              <w:br w:type="textWrapping"/>
            </w:r>
            <w:r>
              <w:rPr>
                <w:rFonts w:hint="default"/>
                <w:lang w:val="en-US" w:eastAsia="zh-CN"/>
              </w:rPr>
              <w:br w:type="textWrapping"/>
            </w:r>
            <w:r>
              <w:rPr>
                <w:rFonts w:hint="default"/>
                <w:lang w:val="en-US" w:eastAsia="zh-CN"/>
              </w:rPr>
              <w:t xml:space="preserve">  // 创建众筹项目</w:t>
            </w:r>
            <w:r>
              <w:rPr>
                <w:rFonts w:hint="default"/>
                <w:lang w:val="en-US" w:eastAsia="zh-CN"/>
              </w:rPr>
              <w:br w:type="textWrapping"/>
            </w:r>
            <w:r>
              <w:rPr>
                <w:rFonts w:hint="default"/>
                <w:lang w:val="en-US" w:eastAsia="zh-CN"/>
              </w:rPr>
              <w:t xml:space="preserve">  const createProject = async (projectName, targetAmount, duration) =&gt; {</w:t>
            </w:r>
            <w:r>
              <w:rPr>
                <w:rFonts w:hint="default"/>
                <w:lang w:val="en-US" w:eastAsia="zh-CN"/>
              </w:rPr>
              <w:br w:type="textWrapping"/>
            </w:r>
            <w:r>
              <w:rPr>
                <w:rFonts w:hint="default"/>
                <w:lang w:val="en-US" w:eastAsia="zh-CN"/>
              </w:rPr>
              <w:t xml:space="preserve">    try {</w:t>
            </w:r>
            <w:r>
              <w:rPr>
                <w:rFonts w:hint="default"/>
                <w:lang w:val="en-US" w:eastAsia="zh-CN"/>
              </w:rPr>
              <w:br w:type="textWrapping"/>
            </w:r>
            <w:r>
              <w:rPr>
                <w:rFonts w:hint="default"/>
                <w:lang w:val="en-US" w:eastAsia="zh-CN"/>
              </w:rPr>
              <w:t xml:space="preserve">      if (!factoryContract || !connectedAccount) {</w:t>
            </w:r>
            <w:r>
              <w:rPr>
                <w:rFonts w:hint="default"/>
                <w:lang w:val="en-US" w:eastAsia="zh-CN"/>
              </w:rPr>
              <w:br w:type="textWrapping"/>
            </w:r>
            <w:r>
              <w:rPr>
                <w:rFonts w:hint="default"/>
                <w:lang w:val="en-US" w:eastAsia="zh-CN"/>
              </w:rPr>
              <w:t xml:space="preserve">        alert('Please connect wallet first!');</w:t>
            </w:r>
            <w:r>
              <w:rPr>
                <w:rFonts w:hint="default"/>
                <w:lang w:val="en-US" w:eastAsia="zh-CN"/>
              </w:rPr>
              <w:br w:type="textWrapping"/>
            </w:r>
            <w:r>
              <w:rPr>
                <w:rFonts w:hint="default"/>
                <w:lang w:val="en-US" w:eastAsia="zh-CN"/>
              </w:rPr>
              <w:t xml:space="preserve">        return;</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转换目标金额为 wei（ETH转wei，乘以10^18）</w:t>
            </w:r>
            <w:r>
              <w:rPr>
                <w:rFonts w:hint="default"/>
                <w:lang w:val="en-US" w:eastAsia="zh-CN"/>
              </w:rPr>
              <w:br w:type="textWrapping"/>
            </w:r>
            <w:r>
              <w:rPr>
                <w:rFonts w:hint="default"/>
                <w:lang w:val="en-US" w:eastAsia="zh-CN"/>
              </w:rPr>
              <w:t xml:space="preserve">      const targetAmountWei = ethers.utils.parseEther(targetAmount.toString());</w:t>
            </w:r>
            <w:r>
              <w:rPr>
                <w:rFonts w:hint="default"/>
                <w:lang w:val="en-US" w:eastAsia="zh-CN"/>
              </w:rPr>
              <w:br w:type="textWrapping"/>
            </w:r>
            <w:r>
              <w:rPr>
                <w:rFonts w:hint="default"/>
                <w:lang w:val="en-US" w:eastAsia="zh-CN"/>
              </w:rPr>
              <w:br w:type="textWrapping"/>
            </w:r>
            <w:r>
              <w:rPr>
                <w:rFonts w:hint="default"/>
                <w:lang w:val="en-US" w:eastAsia="zh-CN"/>
              </w:rPr>
              <w:t xml:space="preserve">      // 调用工厂合约的createProject方法</w:t>
            </w:r>
            <w:r>
              <w:rPr>
                <w:rFonts w:hint="default"/>
                <w:lang w:val="en-US" w:eastAsia="zh-CN"/>
              </w:rPr>
              <w:br w:type="textWrapping"/>
            </w:r>
            <w:r>
              <w:rPr>
                <w:rFonts w:hint="default"/>
                <w:lang w:val="en-US" w:eastAsia="zh-CN"/>
              </w:rPr>
              <w:t xml:space="preserve">      const tx = await factoryContract.createProject(</w:t>
            </w:r>
            <w:r>
              <w:rPr>
                <w:rFonts w:hint="default"/>
                <w:lang w:val="en-US" w:eastAsia="zh-CN"/>
              </w:rPr>
              <w:br w:type="textWrapping"/>
            </w:r>
            <w:r>
              <w:rPr>
                <w:rFonts w:hint="default"/>
                <w:lang w:val="en-US" w:eastAsia="zh-CN"/>
              </w:rPr>
              <w:t xml:space="preserve">        projectName,</w:t>
            </w:r>
            <w:r>
              <w:rPr>
                <w:rFonts w:hint="default"/>
                <w:lang w:val="en-US" w:eastAsia="zh-CN"/>
              </w:rPr>
              <w:br w:type="textWrapping"/>
            </w:r>
            <w:r>
              <w:rPr>
                <w:rFonts w:hint="default"/>
                <w:lang w:val="en-US" w:eastAsia="zh-CN"/>
              </w:rPr>
              <w:t xml:space="preserve">        targetAmountWei,</w:t>
            </w:r>
            <w:r>
              <w:rPr>
                <w:rFonts w:hint="default"/>
                <w:lang w:val="en-US" w:eastAsia="zh-CN"/>
              </w:rPr>
              <w:br w:type="textWrapping"/>
            </w:r>
            <w:r>
              <w:rPr>
                <w:rFonts w:hint="default"/>
                <w:lang w:val="en-US" w:eastAsia="zh-CN"/>
              </w:rPr>
              <w:t xml:space="preserve">        duration</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 等待交易上链确认</w:t>
            </w:r>
            <w:r>
              <w:rPr>
                <w:rFonts w:hint="default"/>
                <w:lang w:val="en-US" w:eastAsia="zh-CN"/>
              </w:rPr>
              <w:br w:type="textWrapping"/>
            </w:r>
            <w:r>
              <w:rPr>
                <w:rFonts w:hint="default"/>
                <w:lang w:val="en-US" w:eastAsia="zh-CN"/>
              </w:rPr>
              <w:t xml:space="preserve">      await tx.wait();</w:t>
            </w:r>
            <w:r>
              <w:rPr>
                <w:rFonts w:hint="default"/>
                <w:lang w:val="en-US" w:eastAsia="zh-CN"/>
              </w:rPr>
              <w:br w:type="textWrapping"/>
            </w:r>
            <w:r>
              <w:rPr>
                <w:rFonts w:hint="default"/>
                <w:lang w:val="en-US" w:eastAsia="zh-CN"/>
              </w:rPr>
              <w:t xml:space="preserve">      alert('Project created successfully!');</w:t>
            </w:r>
            <w:r>
              <w:rPr>
                <w:rFonts w:hint="default"/>
                <w:lang w:val="en-US" w:eastAsia="zh-CN"/>
              </w:rPr>
              <w:br w:type="textWrapping"/>
            </w:r>
            <w:r>
              <w:rPr>
                <w:rFonts w:hint="default"/>
                <w:lang w:val="en-US" w:eastAsia="zh-CN"/>
              </w:rPr>
              <w:t xml:space="preserve">      return tx;</w:t>
            </w:r>
            <w:r>
              <w:rPr>
                <w:rFonts w:hint="default"/>
                <w:lang w:val="en-US" w:eastAsia="zh-CN"/>
              </w:rPr>
              <w:br w:type="textWrapping"/>
            </w:r>
            <w:r>
              <w:rPr>
                <w:rFonts w:hint="default"/>
                <w:lang w:val="en-US" w:eastAsia="zh-CN"/>
              </w:rPr>
              <w:t xml:space="preserve">    } catch (error) {</w:t>
            </w:r>
            <w:r>
              <w:rPr>
                <w:rFonts w:hint="default"/>
                <w:lang w:val="en-US" w:eastAsia="zh-CN"/>
              </w:rPr>
              <w:br w:type="textWrapping"/>
            </w:r>
            <w:r>
              <w:rPr>
                <w:rFonts w:hint="default"/>
                <w:lang w:val="en-US" w:eastAsia="zh-CN"/>
              </w:rPr>
              <w:t xml:space="preserve">      console.error('Failed to create project:', error);</w:t>
            </w:r>
            <w:r>
              <w:rPr>
                <w:rFonts w:hint="default"/>
                <w:lang w:val="en-US" w:eastAsia="zh-CN"/>
              </w:rPr>
              <w:br w:type="textWrapping"/>
            </w:r>
            <w:r>
              <w:rPr>
                <w:rFonts w:hint="default"/>
                <w:lang w:val="en-US" w:eastAsia="zh-CN"/>
              </w:rPr>
              <w:t xml:space="preserve">      alert('Failed to create project: ' + error.message);</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br w:type="textWrapping"/>
            </w:r>
            <w:r>
              <w:rPr>
                <w:rFonts w:hint="default"/>
                <w:lang w:val="en-US" w:eastAsia="zh-CN"/>
              </w:rPr>
              <w:t xml:space="preserve">  return {</w:t>
            </w:r>
            <w:r>
              <w:rPr>
                <w:rFonts w:hint="default"/>
                <w:lang w:val="en-US" w:eastAsia="zh-CN"/>
              </w:rPr>
              <w:br w:type="textWrapping"/>
            </w:r>
            <w:r>
              <w:rPr>
                <w:rFonts w:hint="default"/>
                <w:lang w:val="en-US" w:eastAsia="zh-CN"/>
              </w:rPr>
              <w:t xml:space="preserve">    provider,</w:t>
            </w:r>
            <w:r>
              <w:rPr>
                <w:rFonts w:hint="default"/>
                <w:lang w:val="en-US" w:eastAsia="zh-CN"/>
              </w:rPr>
              <w:br w:type="textWrapping"/>
            </w:r>
            <w:r>
              <w:rPr>
                <w:rFonts w:hint="default"/>
                <w:lang w:val="en-US" w:eastAsia="zh-CN"/>
              </w:rPr>
              <w:t xml:space="preserve">    signer,</w:t>
            </w:r>
            <w:r>
              <w:rPr>
                <w:rFonts w:hint="default"/>
                <w:lang w:val="en-US" w:eastAsia="zh-CN"/>
              </w:rPr>
              <w:br w:type="textWrapping"/>
            </w:r>
            <w:r>
              <w:rPr>
                <w:rFonts w:hint="default"/>
                <w:lang w:val="en-US" w:eastAsia="zh-CN"/>
              </w:rPr>
              <w:t xml:space="preserve">    factoryContract,</w:t>
            </w:r>
            <w:r>
              <w:rPr>
                <w:rFonts w:hint="default"/>
                <w:lang w:val="en-US" w:eastAsia="zh-CN"/>
              </w:rPr>
              <w:br w:type="textWrapping"/>
            </w:r>
            <w:r>
              <w:rPr>
                <w:rFonts w:hint="default"/>
                <w:lang w:val="en-US" w:eastAsia="zh-CN"/>
              </w:rPr>
              <w:t xml:space="preserve">    connectedAccount,</w:t>
            </w:r>
            <w:r>
              <w:rPr>
                <w:rFonts w:hint="default"/>
                <w:lang w:val="en-US" w:eastAsia="zh-CN"/>
              </w:rPr>
              <w:br w:type="textWrapping"/>
            </w:r>
            <w:r>
              <w:rPr>
                <w:rFonts w:hint="default"/>
                <w:lang w:val="en-US" w:eastAsia="zh-CN"/>
              </w:rPr>
              <w:t xml:space="preserve">    connectWallet,</w:t>
            </w:r>
            <w:r>
              <w:rPr>
                <w:rFonts w:hint="default"/>
                <w:lang w:val="en-US" w:eastAsia="zh-CN"/>
              </w:rPr>
              <w:br w:type="textWrapping"/>
            </w:r>
            <w:r>
              <w:rPr>
                <w:rFonts w:hint="default"/>
                <w:lang w:val="en-US" w:eastAsia="zh-CN"/>
              </w:rPr>
              <w:t xml:space="preserve">    createProject</w:t>
            </w:r>
            <w:r>
              <w:rPr>
                <w:rFonts w:hint="default"/>
                <w:lang w:val="en-US" w:eastAsia="zh-CN"/>
              </w:rPr>
              <w:br w:type="textWrapping"/>
            </w:r>
            <w:r>
              <w:rPr>
                <w:rFonts w:hint="default"/>
                <w:lang w:val="en-US" w:eastAsia="zh-CN"/>
              </w:rPr>
              <w:t xml:space="preserve">  };</w:t>
            </w:r>
            <w:r>
              <w:rPr>
                <w:rFonts w:hint="default"/>
                <w:lang w:val="en-US" w:eastAsia="zh-CN"/>
              </w:rPr>
              <w:br w:type="textWrapping"/>
            </w:r>
            <w:r>
              <w:rPr>
                <w:rFonts w:hint="default"/>
                <w:lang w:val="en-US" w:eastAsia="zh-CN"/>
              </w:rPr>
              <w:t>};</w:t>
            </w:r>
          </w:p>
        </w:tc>
      </w:tr>
    </w:tbl>
    <w:p w14:paraId="0FE265A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代码说明，自定义useWeb3 Hook封装钱包连接、合约初始化、项目创建等核心逻辑，便于在多个组件中复用，connectWallet函数通过window.ethereum与MetaMask交互，请求用户授权并初始化Provider、Signer和工厂合约，监听accountsChanged事件，处理用户切换钱包账户的场景，及时更新应用状态，createProject函数将前端传入的目标金额转换为wei（以太坊最小单位），调用工厂合约的createProject方法发起交易，等待上链确认后提示用户。</w:t>
      </w:r>
    </w:p>
    <w:p w14:paraId="0927750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部署部署流程</w:t>
      </w:r>
    </w:p>
    <w:p w14:paraId="7B54CF5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环境准备：安装Node.js、npm/yarn、Hardhat，配置.env文件（私钥、Infura API Key等）；</w:t>
      </w:r>
    </w:p>
    <w:p w14:paraId="69035833">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合约编译：执行npx hardhat compile命令，编译CrowdfundFactory.sol和Crowdfund.sol，生成ABI文件和字节码；</w:t>
      </w:r>
    </w:p>
    <w:p w14:paraId="1454BE8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部署工厂合约：执行scripts/deployFactory.js脚本（npx hardhat run scripts/deployFactory.js --network sepolia），将工厂合约部署到测试网，记录部署后的合约地址；</w:t>
      </w:r>
    </w:p>
    <w:p w14:paraId="5CD7960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前端配置：将部署后的工厂合约地址更新到前端useWeb3 Hook中；</w:t>
      </w:r>
    </w:p>
    <w:p w14:paraId="51E871C9">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前端部署：执行npm run build打包前端项目，将打包后的文件部署到静态资源服务器（如Netlify、Vercel等）。</w:t>
      </w:r>
    </w:p>
    <w:p w14:paraId="718A8C9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3.3 数据结构设计</w:t>
      </w:r>
    </w:p>
    <w:p w14:paraId="6A47985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本系统无传统中心化数据库，所有数据通过智能合约与区块链网络存储，核心链上数据结构如下：</w:t>
      </w:r>
    </w:p>
    <w:p w14:paraId="22E8B88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1.、项目信息结构：包含项目 ID、发起方地址、项目名称、项目介绍、融资目标金额、融资期限、当前融资金额、项目状态（融资中、已完成、已失败）、创建时间等字段；</w:t>
      </w:r>
    </w:p>
    <w:p w14:paraId="5FE220EE">
      <w:pPr>
        <w:bidi w:val="0"/>
        <w:jc w:val="center"/>
        <w:rPr>
          <w:rFonts w:hint="default"/>
          <w:lang w:val="en-US" w:eastAsia="zh-CN"/>
        </w:rPr>
      </w:pPr>
      <w:r>
        <w:rPr>
          <w:rFonts w:hint="default"/>
          <w:lang w:val="en-US" w:eastAsia="zh-CN"/>
        </w:rPr>
        <w:t>表3.2 项目信息表</w:t>
      </w:r>
    </w:p>
    <w:tbl>
      <w:tblPr>
        <w:tblStyle w:val="35"/>
        <w:tblW w:w="0" w:type="auto"/>
        <w:tblInd w:w="1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504"/>
        <w:gridCol w:w="1248"/>
        <w:gridCol w:w="1062"/>
        <w:gridCol w:w="1512"/>
        <w:gridCol w:w="2984"/>
      </w:tblGrid>
      <w:tr w14:paraId="4A8CD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F0D10EE">
            <w:pPr>
              <w:bidi w:val="0"/>
              <w:rPr>
                <w:rFonts w:hint="default"/>
                <w:lang w:val="en-US" w:eastAsia="zh-CN"/>
              </w:rPr>
            </w:pPr>
            <w:r>
              <w:rPr>
                <w:rFonts w:hint="default"/>
                <w:lang w:val="en-US" w:eastAsia="zh-CN"/>
              </w:rPr>
              <w:t>字段名</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82AD8AD">
            <w:pPr>
              <w:bidi w:val="0"/>
              <w:rPr>
                <w:rFonts w:hint="default"/>
                <w:lang w:val="en-US" w:eastAsia="zh-CN"/>
              </w:rPr>
            </w:pPr>
            <w:r>
              <w:rPr>
                <w:rFonts w:hint="default"/>
                <w:lang w:val="en-US" w:eastAsia="zh-CN"/>
              </w:rPr>
              <w:t>数据类型</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E66B9E">
            <w:pPr>
              <w:bidi w:val="0"/>
              <w:rPr>
                <w:rFonts w:hint="default"/>
                <w:lang w:val="en-US" w:eastAsia="zh-CN"/>
              </w:rPr>
            </w:pPr>
            <w:r>
              <w:rPr>
                <w:rFonts w:hint="default"/>
                <w:lang w:val="en-US" w:eastAsia="zh-CN"/>
              </w:rPr>
              <w:t>长度</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79B7C9">
            <w:pPr>
              <w:bidi w:val="0"/>
              <w:rPr>
                <w:rFonts w:hint="default"/>
                <w:lang w:val="en-US" w:eastAsia="zh-CN"/>
              </w:rPr>
            </w:pPr>
            <w:r>
              <w:rPr>
                <w:rFonts w:hint="default"/>
                <w:lang w:val="en-US" w:eastAsia="zh-CN"/>
              </w:rPr>
              <w:t>非空</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9CFA46">
            <w:pPr>
              <w:bidi w:val="0"/>
              <w:rPr>
                <w:rFonts w:hint="default"/>
                <w:lang w:val="en-US" w:eastAsia="zh-CN"/>
              </w:rPr>
            </w:pPr>
            <w:r>
              <w:rPr>
                <w:rFonts w:hint="default"/>
                <w:lang w:val="en-US" w:eastAsia="zh-CN"/>
              </w:rPr>
              <w:t>描述</w:t>
            </w:r>
          </w:p>
        </w:tc>
      </w:tr>
      <w:tr w14:paraId="6C170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E8F819">
            <w:pPr>
              <w:bidi w:val="0"/>
              <w:rPr>
                <w:rFonts w:hint="default"/>
                <w:lang w:val="en-US" w:eastAsia="zh-CN"/>
              </w:rPr>
            </w:pPr>
            <w:r>
              <w:rPr>
                <w:rFonts w:hint="default"/>
                <w:lang w:val="en-US" w:eastAsia="zh-CN"/>
              </w:rPr>
              <w:t>id</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F41FB0A">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248177">
            <w:pPr>
              <w:bidi w:val="0"/>
              <w:rPr>
                <w:rFonts w:hint="default"/>
                <w:lang w:val="en-US" w:eastAsia="zh-CN"/>
              </w:rPr>
            </w:pPr>
            <w:r>
              <w:rPr>
                <w:rFonts w:hint="default"/>
                <w:lang w:val="en-US" w:eastAsia="zh-CN"/>
              </w:rPr>
              <w:t>32</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E3CF945">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5BE3C93">
            <w:pPr>
              <w:bidi w:val="0"/>
              <w:rPr>
                <w:rFonts w:hint="default"/>
                <w:lang w:val="en-US" w:eastAsia="zh-CN"/>
              </w:rPr>
            </w:pPr>
            <w:r>
              <w:rPr>
                <w:rFonts w:hint="default"/>
                <w:lang w:val="en-US" w:eastAsia="zh-CN"/>
              </w:rPr>
              <w:t>项目唯一 ID（UUID）</w:t>
            </w:r>
          </w:p>
        </w:tc>
      </w:tr>
      <w:tr w14:paraId="5D147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8B0C367">
            <w:pPr>
              <w:bidi w:val="0"/>
              <w:rPr>
                <w:rFonts w:hint="default"/>
                <w:lang w:val="en-US" w:eastAsia="zh-CN"/>
              </w:rPr>
            </w:pPr>
            <w:r>
              <w:rPr>
                <w:rFonts w:hint="default"/>
                <w:lang w:val="en-US" w:eastAsia="zh-CN"/>
              </w:rPr>
              <w:t>user_id</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CA24E8F">
            <w:pPr>
              <w:bidi w:val="0"/>
              <w:rPr>
                <w:rFonts w:hint="default"/>
                <w:lang w:val="en-US" w:eastAsia="zh-CN"/>
              </w:rPr>
            </w:pPr>
            <w:r>
              <w:rPr>
                <w:rFonts w:hint="default"/>
                <w:lang w:val="en-US" w:eastAsia="zh-CN"/>
              </w:rPr>
              <w:t>BIGINT</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262E1E">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E88124">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F15E158">
            <w:pPr>
              <w:bidi w:val="0"/>
              <w:rPr>
                <w:rFonts w:hint="default"/>
                <w:lang w:val="en-US" w:eastAsia="zh-CN"/>
              </w:rPr>
            </w:pPr>
            <w:r>
              <w:rPr>
                <w:rFonts w:hint="default"/>
                <w:lang w:val="en-US" w:eastAsia="zh-CN"/>
              </w:rPr>
              <w:t>发起人 ID</w:t>
            </w:r>
          </w:p>
        </w:tc>
      </w:tr>
      <w:tr w14:paraId="2EDA5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80FE86D">
            <w:pPr>
              <w:bidi w:val="0"/>
              <w:rPr>
                <w:rFonts w:hint="default"/>
                <w:lang w:val="en-US" w:eastAsia="zh-CN"/>
              </w:rPr>
            </w:pPr>
            <w:r>
              <w:rPr>
                <w:rFonts w:hint="default"/>
                <w:lang w:val="en-US" w:eastAsia="zh-CN"/>
              </w:rPr>
              <w:t>title</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E3B64C1">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6054FC">
            <w:pPr>
              <w:bidi w:val="0"/>
              <w:rPr>
                <w:rFonts w:hint="default"/>
                <w:lang w:val="en-US" w:eastAsia="zh-CN"/>
              </w:rPr>
            </w:pPr>
            <w:r>
              <w:rPr>
                <w:rFonts w:hint="default"/>
                <w:lang w:val="en-US" w:eastAsia="zh-CN"/>
              </w:rPr>
              <w:t>100</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5E0BD4">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52B0A5">
            <w:pPr>
              <w:bidi w:val="0"/>
              <w:rPr>
                <w:rFonts w:hint="default"/>
                <w:lang w:val="en-US" w:eastAsia="zh-CN"/>
              </w:rPr>
            </w:pPr>
            <w:r>
              <w:rPr>
                <w:rFonts w:hint="default"/>
                <w:lang w:val="en-US" w:eastAsia="zh-CN"/>
              </w:rPr>
              <w:t>项目标题</w:t>
            </w:r>
          </w:p>
        </w:tc>
      </w:tr>
      <w:tr w14:paraId="728A3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CEF04CB">
            <w:pPr>
              <w:bidi w:val="0"/>
              <w:rPr>
                <w:rFonts w:hint="default"/>
                <w:lang w:val="en-US" w:eastAsia="zh-CN"/>
              </w:rPr>
            </w:pPr>
            <w:r>
              <w:rPr>
                <w:rFonts w:hint="default"/>
                <w:lang w:val="en-US" w:eastAsia="zh-CN"/>
              </w:rPr>
              <w:t>category</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D9354E">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6760E7">
            <w:pPr>
              <w:bidi w:val="0"/>
              <w:rPr>
                <w:rFonts w:hint="default"/>
                <w:lang w:val="en-US" w:eastAsia="zh-CN"/>
              </w:rPr>
            </w:pPr>
            <w:r>
              <w:rPr>
                <w:rFonts w:hint="default"/>
                <w:lang w:val="en-US" w:eastAsia="zh-CN"/>
              </w:rPr>
              <w:t>50</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7038BF">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08F061">
            <w:pPr>
              <w:bidi w:val="0"/>
              <w:rPr>
                <w:rFonts w:hint="default"/>
                <w:lang w:val="en-US" w:eastAsia="zh-CN"/>
              </w:rPr>
            </w:pPr>
            <w:r>
              <w:rPr>
                <w:rFonts w:hint="default"/>
                <w:lang w:val="en-US" w:eastAsia="zh-CN"/>
              </w:rPr>
              <w:t>项目分类（如 “科技产品”）</w:t>
            </w:r>
          </w:p>
        </w:tc>
      </w:tr>
      <w:tr w14:paraId="33CB4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22265A">
            <w:pPr>
              <w:bidi w:val="0"/>
              <w:rPr>
                <w:rFonts w:hint="default"/>
                <w:lang w:val="en-US" w:eastAsia="zh-CN"/>
              </w:rPr>
            </w:pPr>
            <w:r>
              <w:rPr>
                <w:rFonts w:hint="default"/>
                <w:lang w:val="en-US" w:eastAsia="zh-CN"/>
              </w:rPr>
              <w:t>target_amount</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38F4F4">
            <w:pPr>
              <w:bidi w:val="0"/>
              <w:rPr>
                <w:rFonts w:hint="default"/>
                <w:lang w:val="en-US" w:eastAsia="zh-CN"/>
              </w:rPr>
            </w:pPr>
            <w:r>
              <w:rPr>
                <w:rFonts w:hint="default"/>
                <w:lang w:val="en-US" w:eastAsia="zh-CN"/>
              </w:rPr>
              <w:t>DECIMAL</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C64BFD7">
            <w:pPr>
              <w:bidi w:val="0"/>
              <w:rPr>
                <w:rFonts w:hint="default"/>
                <w:lang w:val="en-US" w:eastAsia="zh-CN"/>
              </w:rPr>
            </w:pPr>
            <w:r>
              <w:rPr>
                <w:rFonts w:hint="default"/>
                <w:lang w:val="en-US" w:eastAsia="zh-CN"/>
              </w:rPr>
              <w:t>18,6</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C74EBD">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EE7DB7">
            <w:pPr>
              <w:bidi w:val="0"/>
              <w:rPr>
                <w:rFonts w:hint="default"/>
                <w:lang w:val="en-US" w:eastAsia="zh-CN"/>
              </w:rPr>
            </w:pPr>
            <w:r>
              <w:rPr>
                <w:rFonts w:hint="default"/>
                <w:lang w:val="en-US" w:eastAsia="zh-CN"/>
              </w:rPr>
              <w:t>目标金额（ETH）</w:t>
            </w:r>
          </w:p>
        </w:tc>
      </w:tr>
      <w:tr w14:paraId="67917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5CA33C">
            <w:pPr>
              <w:bidi w:val="0"/>
              <w:rPr>
                <w:rFonts w:hint="default"/>
                <w:lang w:val="en-US" w:eastAsia="zh-CN"/>
              </w:rPr>
            </w:pPr>
            <w:r>
              <w:rPr>
                <w:rFonts w:hint="default"/>
                <w:lang w:val="en-US" w:eastAsia="zh-CN"/>
              </w:rPr>
              <w:t>raised_amount</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FBB4761">
            <w:pPr>
              <w:bidi w:val="0"/>
              <w:rPr>
                <w:rFonts w:hint="default"/>
                <w:lang w:val="en-US" w:eastAsia="zh-CN"/>
              </w:rPr>
            </w:pPr>
            <w:r>
              <w:rPr>
                <w:rFonts w:hint="default"/>
                <w:lang w:val="en-US" w:eastAsia="zh-CN"/>
              </w:rPr>
              <w:t>DECIMAL</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A8B469">
            <w:pPr>
              <w:bidi w:val="0"/>
              <w:rPr>
                <w:rFonts w:hint="default"/>
                <w:lang w:val="en-US" w:eastAsia="zh-CN"/>
              </w:rPr>
            </w:pPr>
            <w:r>
              <w:rPr>
                <w:rFonts w:hint="default"/>
                <w:lang w:val="en-US" w:eastAsia="zh-CN"/>
              </w:rPr>
              <w:t>18,6</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0E0D50D">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868E732">
            <w:pPr>
              <w:bidi w:val="0"/>
              <w:rPr>
                <w:rFonts w:hint="default"/>
                <w:lang w:val="en-US" w:eastAsia="zh-CN"/>
              </w:rPr>
            </w:pPr>
            <w:r>
              <w:rPr>
                <w:rFonts w:hint="default"/>
                <w:lang w:val="en-US" w:eastAsia="zh-CN"/>
              </w:rPr>
              <w:t>已筹金额（ETH）</w:t>
            </w:r>
          </w:p>
        </w:tc>
      </w:tr>
      <w:tr w14:paraId="0C49B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1855F85">
            <w:pPr>
              <w:bidi w:val="0"/>
              <w:rPr>
                <w:rFonts w:hint="default"/>
                <w:lang w:val="en-US" w:eastAsia="zh-CN"/>
              </w:rPr>
            </w:pPr>
            <w:r>
              <w:rPr>
                <w:rFonts w:hint="default"/>
                <w:lang w:val="en-US" w:eastAsia="zh-CN"/>
              </w:rPr>
              <w:t>end_time</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7E3A84F">
            <w:pPr>
              <w:bidi w:val="0"/>
              <w:rPr>
                <w:rFonts w:hint="default"/>
                <w:lang w:val="en-US" w:eastAsia="zh-CN"/>
              </w:rPr>
            </w:pPr>
            <w:r>
              <w:rPr>
                <w:rFonts w:hint="default"/>
                <w:lang w:val="en-US" w:eastAsia="zh-CN"/>
              </w:rPr>
              <w:t>DATETIME</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C5F1CD">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2EACF8">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3DECB5">
            <w:pPr>
              <w:bidi w:val="0"/>
              <w:rPr>
                <w:rFonts w:hint="default"/>
                <w:lang w:val="en-US" w:eastAsia="zh-CN"/>
              </w:rPr>
            </w:pPr>
            <w:r>
              <w:rPr>
                <w:rFonts w:hint="default"/>
                <w:lang w:val="en-US" w:eastAsia="zh-CN"/>
              </w:rPr>
              <w:t>筹款截止时间</w:t>
            </w:r>
          </w:p>
        </w:tc>
      </w:tr>
      <w:tr w14:paraId="56389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1E9778">
            <w:pPr>
              <w:bidi w:val="0"/>
              <w:rPr>
                <w:rFonts w:hint="default"/>
                <w:lang w:val="en-US" w:eastAsia="zh-CN"/>
              </w:rPr>
            </w:pPr>
            <w:r>
              <w:rPr>
                <w:rFonts w:hint="default"/>
                <w:lang w:val="en-US" w:eastAsia="zh-CN"/>
              </w:rPr>
              <w:t>status</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BA2662">
            <w:pPr>
              <w:bidi w:val="0"/>
              <w:rPr>
                <w:rFonts w:hint="default"/>
                <w:lang w:val="en-US" w:eastAsia="zh-CN"/>
              </w:rPr>
            </w:pPr>
            <w:r>
              <w:rPr>
                <w:rFonts w:hint="default"/>
                <w:lang w:val="en-US" w:eastAsia="zh-CN"/>
              </w:rPr>
              <w:t>TINYINT</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F99D73D">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465C8D6">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A835802">
            <w:pPr>
              <w:bidi w:val="0"/>
              <w:rPr>
                <w:rFonts w:hint="default"/>
                <w:lang w:val="en-US" w:eastAsia="zh-CN"/>
              </w:rPr>
            </w:pPr>
            <w:r>
              <w:rPr>
                <w:rFonts w:hint="default"/>
                <w:lang w:val="en-US" w:eastAsia="zh-CN"/>
              </w:rPr>
              <w:t>状态（0 - 待审核，1 - 正在众筹，2 - 众筹成功，3 - 众筹失败）</w:t>
            </w:r>
          </w:p>
        </w:tc>
      </w:tr>
      <w:tr w14:paraId="3D43F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2970782">
            <w:pPr>
              <w:bidi w:val="0"/>
              <w:rPr>
                <w:rFonts w:hint="default"/>
                <w:lang w:val="en-US" w:eastAsia="zh-CN"/>
              </w:rPr>
            </w:pPr>
            <w:r>
              <w:rPr>
                <w:rFonts w:hint="default"/>
                <w:lang w:val="en-US" w:eastAsia="zh-CN"/>
              </w:rPr>
              <w:t>description</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1E2A23">
            <w:pPr>
              <w:bidi w:val="0"/>
              <w:rPr>
                <w:rFonts w:hint="default"/>
                <w:lang w:val="en-US" w:eastAsia="zh-CN"/>
              </w:rPr>
            </w:pPr>
            <w:r>
              <w:rPr>
                <w:rFonts w:hint="default"/>
                <w:lang w:val="en-US" w:eastAsia="zh-CN"/>
              </w:rPr>
              <w:t>TEXT</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E4A0D5E">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831313F">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77CE26">
            <w:pPr>
              <w:bidi w:val="0"/>
              <w:rPr>
                <w:rFonts w:hint="default"/>
                <w:lang w:val="en-US" w:eastAsia="zh-CN"/>
              </w:rPr>
            </w:pPr>
            <w:r>
              <w:rPr>
                <w:rFonts w:hint="default"/>
                <w:lang w:val="en-US" w:eastAsia="zh-CN"/>
              </w:rPr>
              <w:t>项目描述</w:t>
            </w:r>
          </w:p>
        </w:tc>
      </w:tr>
      <w:tr w14:paraId="28EBF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16F3D2F">
            <w:pPr>
              <w:bidi w:val="0"/>
              <w:rPr>
                <w:rFonts w:hint="default"/>
                <w:lang w:val="en-US" w:eastAsia="zh-CN"/>
              </w:rPr>
            </w:pPr>
            <w:r>
              <w:rPr>
                <w:rFonts w:hint="default"/>
                <w:lang w:val="en-US" w:eastAsia="zh-CN"/>
              </w:rPr>
              <w:t>cover_url</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596B3C7">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2EA1EF0">
            <w:pPr>
              <w:bidi w:val="0"/>
              <w:rPr>
                <w:rFonts w:hint="default"/>
                <w:lang w:val="en-US" w:eastAsia="zh-CN"/>
              </w:rPr>
            </w:pPr>
            <w:r>
              <w:rPr>
                <w:rFonts w:hint="default"/>
                <w:lang w:val="en-US" w:eastAsia="zh-CN"/>
              </w:rPr>
              <w:t>255</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34FE039">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230A549">
            <w:pPr>
              <w:bidi w:val="0"/>
              <w:rPr>
                <w:rFonts w:hint="default"/>
                <w:lang w:val="en-US" w:eastAsia="zh-CN"/>
              </w:rPr>
            </w:pPr>
            <w:r>
              <w:rPr>
                <w:rFonts w:hint="default"/>
                <w:lang w:val="en-US" w:eastAsia="zh-CN"/>
              </w:rPr>
              <w:t>封面图 URL</w:t>
            </w:r>
          </w:p>
        </w:tc>
      </w:tr>
      <w:tr w14:paraId="5AD2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1026681">
            <w:pPr>
              <w:bidi w:val="0"/>
              <w:rPr>
                <w:rFonts w:hint="default"/>
                <w:lang w:val="en-US" w:eastAsia="zh-CN"/>
              </w:rPr>
            </w:pPr>
            <w:r>
              <w:rPr>
                <w:rFonts w:hint="default"/>
                <w:lang w:val="en-US" w:eastAsia="zh-CN"/>
              </w:rPr>
              <w:t>detail_urls</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3AB3ABA">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F059B03">
            <w:pPr>
              <w:bidi w:val="0"/>
              <w:rPr>
                <w:rFonts w:hint="default"/>
                <w:lang w:val="en-US" w:eastAsia="zh-CN"/>
              </w:rPr>
            </w:pPr>
            <w:r>
              <w:rPr>
                <w:rFonts w:hint="default"/>
                <w:lang w:val="en-US" w:eastAsia="zh-CN"/>
              </w:rPr>
              <w:t>1000</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A66F96">
            <w:pPr>
              <w:bidi w:val="0"/>
              <w:rPr>
                <w:rFonts w:hint="default"/>
                <w:lang w:val="en-US" w:eastAsia="zh-CN"/>
              </w:rPr>
            </w:pPr>
            <w:r>
              <w:rPr>
                <w:rFonts w:hint="default"/>
                <w:lang w:val="en-US" w:eastAsia="zh-CN"/>
              </w:rPr>
              <w:t>否</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AFEB8CC">
            <w:pPr>
              <w:bidi w:val="0"/>
              <w:rPr>
                <w:rFonts w:hint="default"/>
                <w:lang w:val="en-US" w:eastAsia="zh-CN"/>
              </w:rPr>
            </w:pPr>
            <w:r>
              <w:rPr>
                <w:rFonts w:hint="default"/>
                <w:lang w:val="en-US" w:eastAsia="zh-CN"/>
              </w:rPr>
              <w:t>详情图 URL（逗号分隔）</w:t>
            </w:r>
          </w:p>
        </w:tc>
      </w:tr>
      <w:tr w14:paraId="5F53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C0DFDB7">
            <w:pPr>
              <w:bidi w:val="0"/>
              <w:rPr>
                <w:rFonts w:hint="default"/>
                <w:lang w:val="en-US" w:eastAsia="zh-CN"/>
              </w:rPr>
            </w:pPr>
            <w:r>
              <w:rPr>
                <w:rFonts w:hint="default"/>
                <w:lang w:val="en-US" w:eastAsia="zh-CN"/>
              </w:rPr>
              <w:t>video_url</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FBB4A7F">
            <w:pPr>
              <w:bidi w:val="0"/>
              <w:rPr>
                <w:rFonts w:hint="default"/>
                <w:lang w:val="en-US" w:eastAsia="zh-CN"/>
              </w:rPr>
            </w:pPr>
            <w:r>
              <w:rPr>
                <w:rFonts w:hint="default"/>
                <w:lang w:val="en-US" w:eastAsia="zh-CN"/>
              </w:rPr>
              <w:t>VARCHAR</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7FB7C4">
            <w:pPr>
              <w:bidi w:val="0"/>
              <w:rPr>
                <w:rFonts w:hint="default"/>
                <w:lang w:val="en-US" w:eastAsia="zh-CN"/>
              </w:rPr>
            </w:pPr>
            <w:r>
              <w:rPr>
                <w:rFonts w:hint="default"/>
                <w:lang w:val="en-US" w:eastAsia="zh-CN"/>
              </w:rPr>
              <w:t>255</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019074">
            <w:pPr>
              <w:bidi w:val="0"/>
              <w:rPr>
                <w:rFonts w:hint="default"/>
                <w:lang w:val="en-US" w:eastAsia="zh-CN"/>
              </w:rPr>
            </w:pPr>
            <w:r>
              <w:rPr>
                <w:rFonts w:hint="default"/>
                <w:lang w:val="en-US" w:eastAsia="zh-CN"/>
              </w:rPr>
              <w:t>否</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DFE526">
            <w:pPr>
              <w:bidi w:val="0"/>
              <w:rPr>
                <w:rFonts w:hint="default"/>
                <w:lang w:val="en-US" w:eastAsia="zh-CN"/>
              </w:rPr>
            </w:pPr>
            <w:r>
              <w:rPr>
                <w:rFonts w:hint="default"/>
                <w:lang w:val="en-US" w:eastAsia="zh-CN"/>
              </w:rPr>
              <w:t>视频 URL</w:t>
            </w:r>
          </w:p>
        </w:tc>
      </w:tr>
      <w:tr w14:paraId="32C9D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505A13">
            <w:pPr>
              <w:bidi w:val="0"/>
              <w:rPr>
                <w:rFonts w:hint="default"/>
                <w:lang w:val="en-US" w:eastAsia="zh-CN"/>
              </w:rPr>
            </w:pPr>
            <w:r>
              <w:rPr>
                <w:rFonts w:hint="default"/>
                <w:lang w:val="en-US" w:eastAsia="zh-CN"/>
              </w:rPr>
              <w:t>create_time</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7E949B">
            <w:pPr>
              <w:bidi w:val="0"/>
              <w:rPr>
                <w:rFonts w:hint="default"/>
                <w:lang w:val="en-US" w:eastAsia="zh-CN"/>
              </w:rPr>
            </w:pPr>
            <w:r>
              <w:rPr>
                <w:rFonts w:hint="default"/>
                <w:lang w:val="en-US" w:eastAsia="zh-CN"/>
              </w:rPr>
              <w:t>DATETIME</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420500">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C4ABFB4">
            <w:pPr>
              <w:bidi w:val="0"/>
              <w:rPr>
                <w:rFonts w:hint="default"/>
                <w:lang w:val="en-US" w:eastAsia="zh-CN"/>
              </w:rPr>
            </w:pPr>
            <w:r>
              <w:rPr>
                <w:rFonts w:hint="default"/>
                <w:lang w:val="en-US" w:eastAsia="zh-CN"/>
              </w:rPr>
              <w:t>是</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3D0A1C">
            <w:pPr>
              <w:bidi w:val="0"/>
              <w:rPr>
                <w:rFonts w:hint="default"/>
                <w:lang w:val="en-US" w:eastAsia="zh-CN"/>
              </w:rPr>
            </w:pPr>
            <w:r>
              <w:rPr>
                <w:rFonts w:hint="default"/>
                <w:lang w:val="en-US" w:eastAsia="zh-CN"/>
              </w:rPr>
              <w:t>创建时间</w:t>
            </w:r>
          </w:p>
        </w:tc>
      </w:tr>
      <w:tr w14:paraId="4399F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C6976F">
            <w:pPr>
              <w:bidi w:val="0"/>
              <w:rPr>
                <w:rFonts w:hint="default"/>
                <w:lang w:val="en-US" w:eastAsia="zh-CN"/>
              </w:rPr>
            </w:pPr>
            <w:r>
              <w:rPr>
                <w:rFonts w:hint="default"/>
                <w:lang w:val="en-US" w:eastAsia="zh-CN"/>
              </w:rPr>
              <w:t>audit_time</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A107B65">
            <w:pPr>
              <w:bidi w:val="0"/>
              <w:rPr>
                <w:rFonts w:hint="default"/>
                <w:lang w:val="en-US" w:eastAsia="zh-CN"/>
              </w:rPr>
            </w:pPr>
            <w:r>
              <w:rPr>
                <w:rFonts w:hint="default"/>
                <w:lang w:val="en-US" w:eastAsia="zh-CN"/>
              </w:rPr>
              <w:t>DATETIME</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5F4066">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150F29B">
            <w:pPr>
              <w:bidi w:val="0"/>
              <w:rPr>
                <w:rFonts w:hint="default"/>
                <w:lang w:val="en-US" w:eastAsia="zh-CN"/>
              </w:rPr>
            </w:pPr>
            <w:r>
              <w:rPr>
                <w:rFonts w:hint="default"/>
                <w:lang w:val="en-US" w:eastAsia="zh-CN"/>
              </w:rPr>
              <w:t>否</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27B26E">
            <w:pPr>
              <w:bidi w:val="0"/>
              <w:rPr>
                <w:rFonts w:hint="default"/>
                <w:lang w:val="en-US" w:eastAsia="zh-CN"/>
              </w:rPr>
            </w:pPr>
            <w:r>
              <w:rPr>
                <w:rFonts w:hint="default"/>
                <w:lang w:val="en-US" w:eastAsia="zh-CN"/>
              </w:rPr>
              <w:t>审核时间</w:t>
            </w:r>
          </w:p>
        </w:tc>
      </w:tr>
      <w:tr w14:paraId="132F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50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BD7C76D">
            <w:pPr>
              <w:bidi w:val="0"/>
              <w:rPr>
                <w:rFonts w:hint="default"/>
                <w:lang w:val="en-US" w:eastAsia="zh-CN"/>
              </w:rPr>
            </w:pPr>
            <w:r>
              <w:rPr>
                <w:rFonts w:hint="default"/>
                <w:lang w:val="en-US" w:eastAsia="zh-CN"/>
              </w:rPr>
              <w:t>online_time</w:t>
            </w:r>
          </w:p>
        </w:tc>
        <w:tc>
          <w:tcPr>
            <w:tcW w:w="124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6C835D">
            <w:pPr>
              <w:bidi w:val="0"/>
              <w:rPr>
                <w:rFonts w:hint="default"/>
                <w:lang w:val="en-US" w:eastAsia="zh-CN"/>
              </w:rPr>
            </w:pPr>
            <w:r>
              <w:rPr>
                <w:rFonts w:hint="default"/>
                <w:lang w:val="en-US" w:eastAsia="zh-CN"/>
              </w:rPr>
              <w:t>DATETIME</w:t>
            </w:r>
          </w:p>
        </w:tc>
        <w:tc>
          <w:tcPr>
            <w:tcW w:w="106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51688E6">
            <w:pPr>
              <w:bidi w:val="0"/>
              <w:rPr>
                <w:rFonts w:hint="default"/>
                <w:lang w:val="en-US" w:eastAsia="zh-CN"/>
              </w:rPr>
            </w:pPr>
            <w:r>
              <w:rPr>
                <w:rFonts w:hint="default"/>
                <w:lang w:val="en-US" w:eastAsia="zh-CN"/>
              </w:rPr>
              <w:t>-</w:t>
            </w:r>
          </w:p>
        </w:tc>
        <w:tc>
          <w:tcPr>
            <w:tcW w:w="151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04CE88E">
            <w:pPr>
              <w:bidi w:val="0"/>
              <w:rPr>
                <w:rFonts w:hint="default"/>
                <w:lang w:val="en-US" w:eastAsia="zh-CN"/>
              </w:rPr>
            </w:pPr>
            <w:r>
              <w:rPr>
                <w:rFonts w:hint="default"/>
                <w:lang w:val="en-US" w:eastAsia="zh-CN"/>
              </w:rPr>
              <w:t>否</w:t>
            </w:r>
          </w:p>
        </w:tc>
        <w:tc>
          <w:tcPr>
            <w:tcW w:w="298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D05053">
            <w:pPr>
              <w:bidi w:val="0"/>
              <w:rPr>
                <w:rFonts w:hint="default"/>
                <w:lang w:val="en-US" w:eastAsia="zh-CN"/>
              </w:rPr>
            </w:pPr>
            <w:r>
              <w:rPr>
                <w:rFonts w:hint="default"/>
                <w:lang w:val="en-US" w:eastAsia="zh-CN"/>
              </w:rPr>
              <w:t>上线时间</w:t>
            </w:r>
          </w:p>
        </w:tc>
      </w:tr>
    </w:tbl>
    <w:p w14:paraId="694F0BBF">
      <w:pPr>
        <w:bidi w:val="0"/>
        <w:jc w:val="center"/>
        <w:rPr>
          <w:rFonts w:hint="default"/>
          <w:lang w:val="en-US" w:eastAsia="zh-CN"/>
        </w:rPr>
      </w:pPr>
      <w:r>
        <w:rPr>
          <w:rFonts w:hint="default"/>
          <w:lang w:val="en-US" w:eastAsia="zh-CN"/>
        </w:rPr>
        <w:t>表3.1 项目信息表</w:t>
      </w:r>
    </w:p>
    <w:p w14:paraId="00236340">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2.、投资记录结构：包含投资 ID、项目 ID、投资方地址、投资金额、投资时间等字段；</w:t>
      </w:r>
    </w:p>
    <w:p w14:paraId="6D20BA20">
      <w:pPr>
        <w:bidi w:val="0"/>
        <w:jc w:val="center"/>
        <w:rPr>
          <w:rFonts w:hint="default"/>
          <w:lang w:val="en-US" w:eastAsia="zh-CN"/>
        </w:rPr>
      </w:pPr>
      <w:r>
        <w:rPr>
          <w:rFonts w:hint="default"/>
          <w:lang w:val="en-US" w:eastAsia="zh-CN"/>
        </w:rPr>
        <w:t>表3.3 投资记录表</w:t>
      </w:r>
    </w:p>
    <w:tbl>
      <w:tblPr>
        <w:tblStyle w:val="35"/>
        <w:tblW w:w="0" w:type="auto"/>
        <w:tblInd w:w="1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825"/>
        <w:gridCol w:w="1335"/>
        <w:gridCol w:w="979"/>
        <w:gridCol w:w="801"/>
        <w:gridCol w:w="3347"/>
      </w:tblGrid>
      <w:tr w14:paraId="22367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73DC9A8">
            <w:pPr>
              <w:bidi w:val="0"/>
              <w:rPr>
                <w:rFonts w:hint="default"/>
                <w:lang w:val="en-US" w:eastAsia="zh-CN"/>
              </w:rPr>
            </w:pPr>
            <w:r>
              <w:rPr>
                <w:rFonts w:hint="default"/>
                <w:lang w:val="en-US" w:eastAsia="zh-CN"/>
              </w:rPr>
              <w:t>字段名</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4AE2307">
            <w:pPr>
              <w:bidi w:val="0"/>
              <w:rPr>
                <w:rFonts w:hint="default"/>
                <w:lang w:val="en-US" w:eastAsia="zh-CN"/>
              </w:rPr>
            </w:pPr>
            <w:r>
              <w:rPr>
                <w:rFonts w:hint="default"/>
                <w:lang w:val="en-US" w:eastAsia="zh-CN"/>
              </w:rPr>
              <w:t>数据类型</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387CEE">
            <w:pPr>
              <w:bidi w:val="0"/>
              <w:rPr>
                <w:rFonts w:hint="default"/>
                <w:lang w:val="en-US" w:eastAsia="zh-CN"/>
              </w:rPr>
            </w:pPr>
            <w:r>
              <w:rPr>
                <w:rFonts w:hint="default"/>
                <w:lang w:val="en-US" w:eastAsia="zh-CN"/>
              </w:rPr>
              <w:t>长度</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4960021">
            <w:pPr>
              <w:bidi w:val="0"/>
              <w:rPr>
                <w:rFonts w:hint="default"/>
                <w:lang w:val="en-US" w:eastAsia="zh-CN"/>
              </w:rPr>
            </w:pPr>
            <w:r>
              <w:rPr>
                <w:rFonts w:hint="default"/>
                <w:lang w:val="en-US" w:eastAsia="zh-CN"/>
              </w:rPr>
              <w:t>非空</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A075605">
            <w:pPr>
              <w:bidi w:val="0"/>
              <w:rPr>
                <w:rFonts w:hint="default"/>
                <w:lang w:val="en-US" w:eastAsia="zh-CN"/>
              </w:rPr>
            </w:pPr>
            <w:r>
              <w:rPr>
                <w:rFonts w:hint="default"/>
                <w:lang w:val="en-US" w:eastAsia="zh-CN"/>
              </w:rPr>
              <w:t>描述</w:t>
            </w:r>
          </w:p>
        </w:tc>
      </w:tr>
      <w:tr w14:paraId="58D36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8F0AAD0">
            <w:pPr>
              <w:bidi w:val="0"/>
              <w:rPr>
                <w:rFonts w:hint="default"/>
                <w:lang w:val="en-US" w:eastAsia="zh-CN"/>
              </w:rPr>
            </w:pPr>
            <w:r>
              <w:rPr>
                <w:rFonts w:hint="default"/>
                <w:lang w:val="en-US" w:eastAsia="zh-CN"/>
              </w:rPr>
              <w:t>id</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8B42D8">
            <w:pPr>
              <w:bidi w:val="0"/>
              <w:rPr>
                <w:rFonts w:hint="default"/>
                <w:lang w:val="en-US" w:eastAsia="zh-CN"/>
              </w:rPr>
            </w:pPr>
            <w:r>
              <w:rPr>
                <w:rFonts w:hint="default"/>
                <w:lang w:val="en-US" w:eastAsia="zh-CN"/>
              </w:rPr>
              <w:t>VARCHAR</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A6F942">
            <w:pPr>
              <w:bidi w:val="0"/>
              <w:rPr>
                <w:rFonts w:hint="default"/>
                <w:lang w:val="en-US" w:eastAsia="zh-CN"/>
              </w:rPr>
            </w:pPr>
            <w:r>
              <w:rPr>
                <w:rFonts w:hint="default"/>
                <w:lang w:val="en-US" w:eastAsia="zh-CN"/>
              </w:rPr>
              <w:t>32</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37C4E25">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DDCF10">
            <w:pPr>
              <w:bidi w:val="0"/>
              <w:rPr>
                <w:rFonts w:hint="default"/>
                <w:lang w:val="en-US" w:eastAsia="zh-CN"/>
              </w:rPr>
            </w:pPr>
            <w:r>
              <w:rPr>
                <w:rFonts w:hint="default"/>
                <w:lang w:val="en-US" w:eastAsia="zh-CN"/>
              </w:rPr>
              <w:t>订单唯一 ID（UUID）</w:t>
            </w:r>
          </w:p>
        </w:tc>
      </w:tr>
      <w:tr w14:paraId="3E99A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13AA8B">
            <w:pPr>
              <w:bidi w:val="0"/>
              <w:rPr>
                <w:rFonts w:hint="default"/>
                <w:lang w:val="en-US" w:eastAsia="zh-CN"/>
              </w:rPr>
            </w:pPr>
            <w:r>
              <w:rPr>
                <w:rFonts w:hint="default"/>
                <w:lang w:val="en-US" w:eastAsia="zh-CN"/>
              </w:rPr>
              <w:t>user_id</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877820D">
            <w:pPr>
              <w:bidi w:val="0"/>
              <w:rPr>
                <w:rFonts w:hint="default"/>
                <w:lang w:val="en-US" w:eastAsia="zh-CN"/>
              </w:rPr>
            </w:pPr>
            <w:r>
              <w:rPr>
                <w:rFonts w:hint="default"/>
                <w:lang w:val="en-US" w:eastAsia="zh-CN"/>
              </w:rPr>
              <w:t>BIGINT</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21BC337">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5D8F07">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FF061C">
            <w:pPr>
              <w:bidi w:val="0"/>
              <w:rPr>
                <w:rFonts w:hint="default"/>
                <w:lang w:val="en-US" w:eastAsia="zh-CN"/>
              </w:rPr>
            </w:pPr>
            <w:r>
              <w:rPr>
                <w:rFonts w:hint="default"/>
                <w:lang w:val="en-US" w:eastAsia="zh-CN"/>
              </w:rPr>
              <w:t>支持者 ID</w:t>
            </w:r>
          </w:p>
        </w:tc>
      </w:tr>
      <w:tr w14:paraId="6DE8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F5B7454">
            <w:pPr>
              <w:bidi w:val="0"/>
              <w:rPr>
                <w:rFonts w:hint="default"/>
                <w:lang w:val="en-US" w:eastAsia="zh-CN"/>
              </w:rPr>
            </w:pPr>
            <w:r>
              <w:rPr>
                <w:rFonts w:hint="default"/>
                <w:lang w:val="en-US" w:eastAsia="zh-CN"/>
              </w:rPr>
              <w:t>project_id</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692FB8">
            <w:pPr>
              <w:bidi w:val="0"/>
              <w:rPr>
                <w:rFonts w:hint="default"/>
                <w:lang w:val="en-US" w:eastAsia="zh-CN"/>
              </w:rPr>
            </w:pPr>
            <w:r>
              <w:rPr>
                <w:rFonts w:hint="default"/>
                <w:lang w:val="en-US" w:eastAsia="zh-CN"/>
              </w:rPr>
              <w:t>VARCHAR</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7C5CD9A">
            <w:pPr>
              <w:bidi w:val="0"/>
              <w:rPr>
                <w:rFonts w:hint="default"/>
                <w:lang w:val="en-US" w:eastAsia="zh-CN"/>
              </w:rPr>
            </w:pPr>
            <w:r>
              <w:rPr>
                <w:rFonts w:hint="default"/>
                <w:lang w:val="en-US" w:eastAsia="zh-CN"/>
              </w:rPr>
              <w:t>32</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7A362E">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BE3B67">
            <w:pPr>
              <w:bidi w:val="0"/>
              <w:rPr>
                <w:rFonts w:hint="default"/>
                <w:lang w:val="en-US" w:eastAsia="zh-CN"/>
              </w:rPr>
            </w:pPr>
            <w:r>
              <w:rPr>
                <w:rFonts w:hint="default"/>
                <w:lang w:val="en-US" w:eastAsia="zh-CN"/>
              </w:rPr>
              <w:t>项目 ID</w:t>
            </w:r>
          </w:p>
        </w:tc>
      </w:tr>
      <w:tr w14:paraId="3DC7D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A2694F">
            <w:pPr>
              <w:bidi w:val="0"/>
              <w:rPr>
                <w:rFonts w:hint="default"/>
                <w:lang w:val="en-US" w:eastAsia="zh-CN"/>
              </w:rPr>
            </w:pPr>
            <w:r>
              <w:rPr>
                <w:rFonts w:hint="default"/>
                <w:lang w:val="en-US" w:eastAsia="zh-CN"/>
              </w:rPr>
              <w:t>amount</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243003">
            <w:pPr>
              <w:bidi w:val="0"/>
              <w:rPr>
                <w:rFonts w:hint="default"/>
                <w:lang w:val="en-US" w:eastAsia="zh-CN"/>
              </w:rPr>
            </w:pPr>
            <w:r>
              <w:rPr>
                <w:rFonts w:hint="default"/>
                <w:lang w:val="en-US" w:eastAsia="zh-CN"/>
              </w:rPr>
              <w:t>DECIMAL</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11C84E">
            <w:pPr>
              <w:bidi w:val="0"/>
              <w:rPr>
                <w:rFonts w:hint="default"/>
                <w:lang w:val="en-US" w:eastAsia="zh-CN"/>
              </w:rPr>
            </w:pPr>
            <w:r>
              <w:rPr>
                <w:rFonts w:hint="default"/>
                <w:lang w:val="en-US" w:eastAsia="zh-CN"/>
              </w:rPr>
              <w:t>18,6</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652162B">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AE740D9">
            <w:pPr>
              <w:bidi w:val="0"/>
              <w:rPr>
                <w:rFonts w:hint="default"/>
                <w:lang w:val="en-US" w:eastAsia="zh-CN"/>
              </w:rPr>
            </w:pPr>
            <w:r>
              <w:rPr>
                <w:rFonts w:hint="default"/>
                <w:lang w:val="en-US" w:eastAsia="zh-CN"/>
              </w:rPr>
              <w:t>投资金额（ETH）</w:t>
            </w:r>
          </w:p>
        </w:tc>
      </w:tr>
      <w:tr w14:paraId="246D7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99E46E8">
            <w:pPr>
              <w:bidi w:val="0"/>
              <w:rPr>
                <w:rFonts w:hint="default"/>
                <w:lang w:val="en-US" w:eastAsia="zh-CN"/>
              </w:rPr>
            </w:pPr>
            <w:r>
              <w:rPr>
                <w:rFonts w:hint="default"/>
                <w:lang w:val="en-US" w:eastAsia="zh-CN"/>
              </w:rPr>
              <w:t>pay_type</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8C99BC1">
            <w:pPr>
              <w:bidi w:val="0"/>
              <w:rPr>
                <w:rFonts w:hint="default"/>
                <w:lang w:val="en-US" w:eastAsia="zh-CN"/>
              </w:rPr>
            </w:pPr>
            <w:r>
              <w:rPr>
                <w:rFonts w:hint="default"/>
                <w:lang w:val="en-US" w:eastAsia="zh-CN"/>
              </w:rPr>
              <w:t>TINYINT</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40A603">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3FA2DC">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81B6A2">
            <w:pPr>
              <w:bidi w:val="0"/>
              <w:rPr>
                <w:rFonts w:hint="default"/>
                <w:lang w:val="en-US" w:eastAsia="zh-CN"/>
              </w:rPr>
            </w:pPr>
            <w:r>
              <w:rPr>
                <w:rFonts w:hint="default"/>
                <w:lang w:val="en-US" w:eastAsia="zh-CN"/>
              </w:rPr>
              <w:t>支付方式（1 - 支付宝，2 - 微信，3 - 银行卡）</w:t>
            </w:r>
          </w:p>
        </w:tc>
      </w:tr>
      <w:tr w14:paraId="133D4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D4D9D91">
            <w:pPr>
              <w:bidi w:val="0"/>
              <w:rPr>
                <w:rFonts w:hint="default"/>
                <w:lang w:val="en-US" w:eastAsia="zh-CN"/>
              </w:rPr>
            </w:pPr>
            <w:r>
              <w:rPr>
                <w:rFonts w:hint="default"/>
                <w:lang w:val="en-US" w:eastAsia="zh-CN"/>
              </w:rPr>
              <w:t>status</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044C7E2">
            <w:pPr>
              <w:bidi w:val="0"/>
              <w:rPr>
                <w:rFonts w:hint="default"/>
                <w:lang w:val="en-US" w:eastAsia="zh-CN"/>
              </w:rPr>
            </w:pPr>
            <w:r>
              <w:rPr>
                <w:rFonts w:hint="default"/>
                <w:lang w:val="en-US" w:eastAsia="zh-CN"/>
              </w:rPr>
              <w:t>TINYINT</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C92DA5">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6F21CD">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098899">
            <w:pPr>
              <w:bidi w:val="0"/>
              <w:rPr>
                <w:rFonts w:hint="default"/>
                <w:lang w:val="en-US" w:eastAsia="zh-CN"/>
              </w:rPr>
            </w:pPr>
            <w:r>
              <w:rPr>
                <w:rFonts w:hint="default"/>
                <w:lang w:val="en-US" w:eastAsia="zh-CN"/>
              </w:rPr>
              <w:t>状态（0 - 待支付，1 - 已支付，2 - 已撤资，3 - 已退款）</w:t>
            </w:r>
          </w:p>
        </w:tc>
      </w:tr>
      <w:tr w14:paraId="6CEA6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E4CE9F">
            <w:pPr>
              <w:bidi w:val="0"/>
              <w:rPr>
                <w:rFonts w:hint="default"/>
                <w:lang w:val="en-US" w:eastAsia="zh-CN"/>
              </w:rPr>
            </w:pPr>
            <w:r>
              <w:rPr>
                <w:rFonts w:hint="default"/>
                <w:lang w:val="en-US" w:eastAsia="zh-CN"/>
              </w:rPr>
              <w:t>pay_time</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9C10FDB">
            <w:pPr>
              <w:bidi w:val="0"/>
              <w:rPr>
                <w:rFonts w:hint="default"/>
                <w:lang w:val="en-US" w:eastAsia="zh-CN"/>
              </w:rPr>
            </w:pPr>
            <w:r>
              <w:rPr>
                <w:rFonts w:hint="default"/>
                <w:lang w:val="en-US" w:eastAsia="zh-CN"/>
              </w:rPr>
              <w:t>DATETIME</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8E27D5">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2B731F">
            <w:pPr>
              <w:bidi w:val="0"/>
              <w:rPr>
                <w:rFonts w:hint="default"/>
                <w:lang w:val="en-US" w:eastAsia="zh-CN"/>
              </w:rPr>
            </w:pPr>
            <w:r>
              <w:rPr>
                <w:rFonts w:hint="default"/>
                <w:lang w:val="en-US" w:eastAsia="zh-CN"/>
              </w:rPr>
              <w:t>否</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099759">
            <w:pPr>
              <w:bidi w:val="0"/>
              <w:rPr>
                <w:rFonts w:hint="default"/>
                <w:lang w:val="en-US" w:eastAsia="zh-CN"/>
              </w:rPr>
            </w:pPr>
            <w:r>
              <w:rPr>
                <w:rFonts w:hint="default"/>
                <w:lang w:val="en-US" w:eastAsia="zh-CN"/>
              </w:rPr>
              <w:t>支付时间</w:t>
            </w:r>
          </w:p>
        </w:tc>
      </w:tr>
      <w:tr w14:paraId="5AE57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A84947">
            <w:pPr>
              <w:bidi w:val="0"/>
              <w:rPr>
                <w:rFonts w:hint="default"/>
                <w:lang w:val="en-US" w:eastAsia="zh-CN"/>
              </w:rPr>
            </w:pPr>
            <w:r>
              <w:rPr>
                <w:rFonts w:hint="default"/>
                <w:lang w:val="en-US" w:eastAsia="zh-CN"/>
              </w:rPr>
              <w:t>withdraw_time</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309A87">
            <w:pPr>
              <w:bidi w:val="0"/>
              <w:rPr>
                <w:rFonts w:hint="default"/>
                <w:lang w:val="en-US" w:eastAsia="zh-CN"/>
              </w:rPr>
            </w:pPr>
            <w:r>
              <w:rPr>
                <w:rFonts w:hint="default"/>
                <w:lang w:val="en-US" w:eastAsia="zh-CN"/>
              </w:rPr>
              <w:t>DATETIME</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F50CCC5">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568010D">
            <w:pPr>
              <w:bidi w:val="0"/>
              <w:rPr>
                <w:rFonts w:hint="default"/>
                <w:lang w:val="en-US" w:eastAsia="zh-CN"/>
              </w:rPr>
            </w:pPr>
            <w:r>
              <w:rPr>
                <w:rFonts w:hint="default"/>
                <w:lang w:val="en-US" w:eastAsia="zh-CN"/>
              </w:rPr>
              <w:t>否</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EA32008">
            <w:pPr>
              <w:bidi w:val="0"/>
              <w:rPr>
                <w:rFonts w:hint="default"/>
                <w:lang w:val="en-US" w:eastAsia="zh-CN"/>
              </w:rPr>
            </w:pPr>
            <w:r>
              <w:rPr>
                <w:rFonts w:hint="default"/>
                <w:lang w:val="en-US" w:eastAsia="zh-CN"/>
              </w:rPr>
              <w:t>撤资时间</w:t>
            </w:r>
          </w:p>
        </w:tc>
      </w:tr>
      <w:tr w14:paraId="48DEC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A351758">
            <w:pPr>
              <w:bidi w:val="0"/>
              <w:rPr>
                <w:rFonts w:hint="default"/>
                <w:lang w:val="en-US" w:eastAsia="zh-CN"/>
              </w:rPr>
            </w:pPr>
            <w:r>
              <w:rPr>
                <w:rFonts w:hint="default"/>
                <w:lang w:val="en-US" w:eastAsia="zh-CN"/>
              </w:rPr>
              <w:t>refund_time</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EEAF32">
            <w:pPr>
              <w:bidi w:val="0"/>
              <w:rPr>
                <w:rFonts w:hint="default"/>
                <w:lang w:val="en-US" w:eastAsia="zh-CN"/>
              </w:rPr>
            </w:pPr>
            <w:r>
              <w:rPr>
                <w:rFonts w:hint="default"/>
                <w:lang w:val="en-US" w:eastAsia="zh-CN"/>
              </w:rPr>
              <w:t>DATETIME</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33975A1">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C939AD2">
            <w:pPr>
              <w:bidi w:val="0"/>
              <w:rPr>
                <w:rFonts w:hint="default"/>
                <w:lang w:val="en-US" w:eastAsia="zh-CN"/>
              </w:rPr>
            </w:pPr>
            <w:r>
              <w:rPr>
                <w:rFonts w:hint="default"/>
                <w:lang w:val="en-US" w:eastAsia="zh-CN"/>
              </w:rPr>
              <w:t>否</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36CDC5B">
            <w:pPr>
              <w:bidi w:val="0"/>
              <w:rPr>
                <w:rFonts w:hint="default"/>
                <w:lang w:val="en-US" w:eastAsia="zh-CN"/>
              </w:rPr>
            </w:pPr>
            <w:r>
              <w:rPr>
                <w:rFonts w:hint="default"/>
                <w:lang w:val="en-US" w:eastAsia="zh-CN"/>
              </w:rPr>
              <w:t>退款时间</w:t>
            </w:r>
          </w:p>
        </w:tc>
      </w:tr>
      <w:tr w14:paraId="6D2A6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A182837">
            <w:pPr>
              <w:bidi w:val="0"/>
              <w:rPr>
                <w:rFonts w:hint="default"/>
                <w:lang w:val="en-US" w:eastAsia="zh-CN"/>
              </w:rPr>
            </w:pPr>
            <w:r>
              <w:rPr>
                <w:rFonts w:hint="default"/>
                <w:lang w:val="en-US" w:eastAsia="zh-CN"/>
              </w:rPr>
              <w:t>certificate_url</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4680F6">
            <w:pPr>
              <w:bidi w:val="0"/>
              <w:rPr>
                <w:rFonts w:hint="default"/>
                <w:lang w:val="en-US" w:eastAsia="zh-CN"/>
              </w:rPr>
            </w:pPr>
            <w:r>
              <w:rPr>
                <w:rFonts w:hint="default"/>
                <w:lang w:val="en-US" w:eastAsia="zh-CN"/>
              </w:rPr>
              <w:t>VARCHAR</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0303A97">
            <w:pPr>
              <w:bidi w:val="0"/>
              <w:rPr>
                <w:rFonts w:hint="default"/>
                <w:lang w:val="en-US" w:eastAsia="zh-CN"/>
              </w:rPr>
            </w:pPr>
            <w:r>
              <w:rPr>
                <w:rFonts w:hint="default"/>
                <w:lang w:val="en-US" w:eastAsia="zh-CN"/>
              </w:rPr>
              <w:t>255</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85D797">
            <w:pPr>
              <w:bidi w:val="0"/>
              <w:rPr>
                <w:rFonts w:hint="default"/>
                <w:lang w:val="en-US" w:eastAsia="zh-CN"/>
              </w:rPr>
            </w:pPr>
            <w:r>
              <w:rPr>
                <w:rFonts w:hint="default"/>
                <w:lang w:val="en-US" w:eastAsia="zh-CN"/>
              </w:rPr>
              <w:t>否</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B04625">
            <w:pPr>
              <w:bidi w:val="0"/>
              <w:rPr>
                <w:rFonts w:hint="default"/>
                <w:lang w:val="en-US" w:eastAsia="zh-CN"/>
              </w:rPr>
            </w:pPr>
            <w:r>
              <w:rPr>
                <w:rFonts w:hint="default"/>
                <w:lang w:val="en-US" w:eastAsia="zh-CN"/>
              </w:rPr>
              <w:t>电子凭证 URL</w:t>
            </w:r>
          </w:p>
        </w:tc>
      </w:tr>
      <w:tr w14:paraId="44FE5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82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FAD8BD">
            <w:pPr>
              <w:bidi w:val="0"/>
              <w:rPr>
                <w:rFonts w:hint="default"/>
                <w:lang w:val="en-US" w:eastAsia="zh-CN"/>
              </w:rPr>
            </w:pPr>
            <w:r>
              <w:rPr>
                <w:rFonts w:hint="default"/>
                <w:lang w:val="en-US" w:eastAsia="zh-CN"/>
              </w:rPr>
              <w:t>create_time</w:t>
            </w:r>
          </w:p>
        </w:tc>
        <w:tc>
          <w:tcPr>
            <w:tcW w:w="133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DBB36D4">
            <w:pPr>
              <w:bidi w:val="0"/>
              <w:rPr>
                <w:rFonts w:hint="default"/>
                <w:lang w:val="en-US" w:eastAsia="zh-CN"/>
              </w:rPr>
            </w:pPr>
            <w:r>
              <w:rPr>
                <w:rFonts w:hint="default"/>
                <w:lang w:val="en-US" w:eastAsia="zh-CN"/>
              </w:rPr>
              <w:t>DATETIME</w:t>
            </w:r>
          </w:p>
        </w:tc>
        <w:tc>
          <w:tcPr>
            <w:tcW w:w="97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195F50C">
            <w:pPr>
              <w:bidi w:val="0"/>
              <w:rPr>
                <w:rFonts w:hint="default"/>
                <w:lang w:val="en-US" w:eastAsia="zh-CN"/>
              </w:rPr>
            </w:pPr>
            <w:r>
              <w:rPr>
                <w:rFonts w:hint="default"/>
                <w:lang w:val="en-US" w:eastAsia="zh-CN"/>
              </w:rPr>
              <w:t>-</w:t>
            </w:r>
          </w:p>
        </w:tc>
        <w:tc>
          <w:tcPr>
            <w:tcW w:w="8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98FC7E7">
            <w:pPr>
              <w:bidi w:val="0"/>
              <w:rPr>
                <w:rFonts w:hint="default"/>
                <w:lang w:val="en-US" w:eastAsia="zh-CN"/>
              </w:rPr>
            </w:pPr>
            <w:r>
              <w:rPr>
                <w:rFonts w:hint="default"/>
                <w:lang w:val="en-US" w:eastAsia="zh-CN"/>
              </w:rPr>
              <w:t>是</w:t>
            </w:r>
          </w:p>
        </w:tc>
        <w:tc>
          <w:tcPr>
            <w:tcW w:w="33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B02C639">
            <w:pPr>
              <w:bidi w:val="0"/>
              <w:rPr>
                <w:rFonts w:hint="default"/>
                <w:lang w:val="en-US" w:eastAsia="zh-CN"/>
              </w:rPr>
            </w:pPr>
            <w:r>
              <w:rPr>
                <w:rFonts w:hint="default"/>
                <w:lang w:val="en-US" w:eastAsia="zh-CN"/>
              </w:rPr>
              <w:t>创建时间</w:t>
            </w:r>
          </w:p>
        </w:tc>
      </w:tr>
    </w:tbl>
    <w:p w14:paraId="0E51E7AC">
      <w:pPr>
        <w:bidi w:val="0"/>
        <w:jc w:val="center"/>
        <w:rPr>
          <w:rFonts w:hint="default"/>
          <w:lang w:val="en-US" w:eastAsia="zh-CN"/>
        </w:rPr>
      </w:pPr>
      <w:r>
        <w:rPr>
          <w:rFonts w:hint="default"/>
          <w:lang w:val="en-US" w:eastAsia="zh-CN"/>
        </w:rPr>
        <w:t>表3.2 投资记录表</w:t>
      </w:r>
    </w:p>
    <w:p w14:paraId="7919B264">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3.、资金流转记录结构：包含流转 ID、项目 ID、资金流向（投资/划拨/退款）、金额、相关账户地址、流转时间等字段。所有数据均通过区块链节点分布式存储，确保不可篡改与公开可查。</w:t>
      </w:r>
    </w:p>
    <w:p w14:paraId="7E86C65B">
      <w:pPr>
        <w:bidi w:val="0"/>
        <w:jc w:val="center"/>
        <w:rPr>
          <w:rFonts w:hint="default"/>
          <w:lang w:val="en-US" w:eastAsia="zh-CN"/>
        </w:rPr>
      </w:pPr>
      <w:r>
        <w:rPr>
          <w:rFonts w:hint="default"/>
          <w:lang w:val="en-US" w:eastAsia="zh-CN"/>
        </w:rPr>
        <w:t>表3.4 资金流转记表</w:t>
      </w:r>
    </w:p>
    <w:tbl>
      <w:tblPr>
        <w:tblStyle w:val="35"/>
        <w:tblW w:w="0" w:type="auto"/>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660"/>
        <w:gridCol w:w="1366"/>
        <w:gridCol w:w="1018"/>
        <w:gridCol w:w="844"/>
        <w:gridCol w:w="3414"/>
      </w:tblGrid>
      <w:tr w14:paraId="6DC6D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8A83C4">
            <w:pPr>
              <w:bidi w:val="0"/>
              <w:rPr>
                <w:rFonts w:hint="default"/>
                <w:lang w:val="en-US" w:eastAsia="zh-CN"/>
              </w:rPr>
            </w:pPr>
            <w:r>
              <w:rPr>
                <w:rFonts w:hint="default"/>
                <w:lang w:val="en-US" w:eastAsia="zh-CN"/>
              </w:rPr>
              <w:t>字段名</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53457C5">
            <w:pPr>
              <w:bidi w:val="0"/>
              <w:rPr>
                <w:rFonts w:hint="default"/>
                <w:lang w:val="en-US" w:eastAsia="zh-CN"/>
              </w:rPr>
            </w:pPr>
            <w:r>
              <w:rPr>
                <w:rFonts w:hint="default"/>
                <w:lang w:val="en-US" w:eastAsia="zh-CN"/>
              </w:rPr>
              <w:t>数据类型</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2B45E1">
            <w:pPr>
              <w:bidi w:val="0"/>
              <w:rPr>
                <w:rFonts w:hint="default"/>
                <w:lang w:val="en-US" w:eastAsia="zh-CN"/>
              </w:rPr>
            </w:pPr>
            <w:r>
              <w:rPr>
                <w:rFonts w:hint="default"/>
                <w:lang w:val="en-US" w:eastAsia="zh-CN"/>
              </w:rPr>
              <w:t>长度</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C9A4565">
            <w:pPr>
              <w:bidi w:val="0"/>
              <w:rPr>
                <w:rFonts w:hint="default"/>
                <w:lang w:val="en-US" w:eastAsia="zh-CN"/>
              </w:rPr>
            </w:pPr>
            <w:r>
              <w:rPr>
                <w:rFonts w:hint="default"/>
                <w:lang w:val="en-US" w:eastAsia="zh-CN"/>
              </w:rPr>
              <w:t>非空</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F89AA1">
            <w:pPr>
              <w:bidi w:val="0"/>
              <w:rPr>
                <w:rFonts w:hint="default"/>
                <w:lang w:val="en-US" w:eastAsia="zh-CN"/>
              </w:rPr>
            </w:pPr>
            <w:r>
              <w:rPr>
                <w:rFonts w:hint="default"/>
                <w:lang w:val="en-US" w:eastAsia="zh-CN"/>
              </w:rPr>
              <w:t>描述</w:t>
            </w:r>
          </w:p>
        </w:tc>
      </w:tr>
      <w:tr w14:paraId="59566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5746D7">
            <w:pPr>
              <w:bidi w:val="0"/>
              <w:rPr>
                <w:rFonts w:hint="default"/>
                <w:lang w:val="en-US" w:eastAsia="zh-CN"/>
              </w:rPr>
            </w:pPr>
            <w:r>
              <w:rPr>
                <w:rFonts w:hint="default"/>
                <w:lang w:val="en-US" w:eastAsia="zh-CN"/>
              </w:rPr>
              <w:t>id</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09F616">
            <w:pPr>
              <w:bidi w:val="0"/>
              <w:rPr>
                <w:rFonts w:hint="default"/>
                <w:lang w:val="en-US" w:eastAsia="zh-CN"/>
              </w:rPr>
            </w:pPr>
            <w:r>
              <w:rPr>
                <w:rFonts w:hint="default"/>
                <w:lang w:val="en-US" w:eastAsia="zh-CN"/>
              </w:rPr>
              <w:t>VARCHAR</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52EA737">
            <w:pPr>
              <w:bidi w:val="0"/>
              <w:rPr>
                <w:rFonts w:hint="default"/>
                <w:lang w:val="en-US" w:eastAsia="zh-CN"/>
              </w:rPr>
            </w:pPr>
            <w:r>
              <w:rPr>
                <w:rFonts w:hint="default"/>
                <w:lang w:val="en-US" w:eastAsia="zh-CN"/>
              </w:rPr>
              <w:t>32</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4DB1E1">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D54E0DE">
            <w:pPr>
              <w:bidi w:val="0"/>
              <w:rPr>
                <w:rFonts w:hint="default"/>
                <w:lang w:val="en-US" w:eastAsia="zh-CN"/>
              </w:rPr>
            </w:pPr>
            <w:r>
              <w:rPr>
                <w:rFonts w:hint="default"/>
                <w:lang w:val="en-US" w:eastAsia="zh-CN"/>
              </w:rPr>
              <w:t>申请唯一 ID（UUID）</w:t>
            </w:r>
          </w:p>
        </w:tc>
      </w:tr>
      <w:tr w14:paraId="4485E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00F7EE2">
            <w:pPr>
              <w:bidi w:val="0"/>
              <w:rPr>
                <w:rFonts w:hint="default"/>
                <w:lang w:val="en-US" w:eastAsia="zh-CN"/>
              </w:rPr>
            </w:pPr>
            <w:r>
              <w:rPr>
                <w:rFonts w:hint="default"/>
                <w:lang w:val="en-US" w:eastAsia="zh-CN"/>
              </w:rPr>
              <w:t>project_id</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6EBFDB">
            <w:pPr>
              <w:bidi w:val="0"/>
              <w:rPr>
                <w:rFonts w:hint="default"/>
                <w:lang w:val="en-US" w:eastAsia="zh-CN"/>
              </w:rPr>
            </w:pPr>
            <w:r>
              <w:rPr>
                <w:rFonts w:hint="default"/>
                <w:lang w:val="en-US" w:eastAsia="zh-CN"/>
              </w:rPr>
              <w:t>VARCHAR</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C508421">
            <w:pPr>
              <w:bidi w:val="0"/>
              <w:rPr>
                <w:rFonts w:hint="default"/>
                <w:lang w:val="en-US" w:eastAsia="zh-CN"/>
              </w:rPr>
            </w:pPr>
            <w:r>
              <w:rPr>
                <w:rFonts w:hint="default"/>
                <w:lang w:val="en-US" w:eastAsia="zh-CN"/>
              </w:rPr>
              <w:t>32</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A104A83">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5862C58">
            <w:pPr>
              <w:bidi w:val="0"/>
              <w:rPr>
                <w:rFonts w:hint="default"/>
                <w:lang w:val="en-US" w:eastAsia="zh-CN"/>
              </w:rPr>
            </w:pPr>
            <w:r>
              <w:rPr>
                <w:rFonts w:hint="default"/>
                <w:lang w:val="en-US" w:eastAsia="zh-CN"/>
              </w:rPr>
              <w:t>项目 ID</w:t>
            </w:r>
          </w:p>
        </w:tc>
      </w:tr>
      <w:tr w14:paraId="47379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4928F9">
            <w:pPr>
              <w:bidi w:val="0"/>
              <w:rPr>
                <w:rFonts w:hint="default"/>
                <w:lang w:val="en-US" w:eastAsia="zh-CN"/>
              </w:rPr>
            </w:pPr>
            <w:r>
              <w:rPr>
                <w:rFonts w:hint="default"/>
                <w:lang w:val="en-US" w:eastAsia="zh-CN"/>
              </w:rPr>
              <w:t>user_id</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4E304BD">
            <w:pPr>
              <w:bidi w:val="0"/>
              <w:rPr>
                <w:rFonts w:hint="default"/>
                <w:lang w:val="en-US" w:eastAsia="zh-CN"/>
              </w:rPr>
            </w:pPr>
            <w:r>
              <w:rPr>
                <w:rFonts w:hint="default"/>
                <w:lang w:val="en-US" w:eastAsia="zh-CN"/>
              </w:rPr>
              <w:t>BIGINT</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28BCBD7">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B0DE2F7">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55B8C5">
            <w:pPr>
              <w:bidi w:val="0"/>
              <w:rPr>
                <w:rFonts w:hint="default"/>
                <w:lang w:val="en-US" w:eastAsia="zh-CN"/>
              </w:rPr>
            </w:pPr>
            <w:r>
              <w:rPr>
                <w:rFonts w:hint="default"/>
                <w:lang w:val="en-US" w:eastAsia="zh-CN"/>
              </w:rPr>
              <w:t>发起人 ID</w:t>
            </w:r>
          </w:p>
        </w:tc>
      </w:tr>
      <w:tr w14:paraId="53C33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8151AAE">
            <w:pPr>
              <w:bidi w:val="0"/>
              <w:rPr>
                <w:rFonts w:hint="default"/>
                <w:lang w:val="en-US" w:eastAsia="zh-CN"/>
              </w:rPr>
            </w:pPr>
            <w:r>
              <w:rPr>
                <w:rFonts w:hint="default"/>
                <w:lang w:val="en-US" w:eastAsia="zh-CN"/>
              </w:rPr>
              <w:t>amount</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012B281">
            <w:pPr>
              <w:bidi w:val="0"/>
              <w:rPr>
                <w:rFonts w:hint="default"/>
                <w:lang w:val="en-US" w:eastAsia="zh-CN"/>
              </w:rPr>
            </w:pPr>
            <w:r>
              <w:rPr>
                <w:rFonts w:hint="default"/>
                <w:lang w:val="en-US" w:eastAsia="zh-CN"/>
              </w:rPr>
              <w:t>DECIMAL</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F06E1E6">
            <w:pPr>
              <w:bidi w:val="0"/>
              <w:rPr>
                <w:rFonts w:hint="default"/>
                <w:lang w:val="en-US" w:eastAsia="zh-CN"/>
              </w:rPr>
            </w:pPr>
            <w:r>
              <w:rPr>
                <w:rFonts w:hint="default"/>
                <w:lang w:val="en-US" w:eastAsia="zh-CN"/>
              </w:rPr>
              <w:t>18,6</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0878567">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D68F0B9">
            <w:pPr>
              <w:bidi w:val="0"/>
              <w:rPr>
                <w:rFonts w:hint="default"/>
                <w:lang w:val="en-US" w:eastAsia="zh-CN"/>
              </w:rPr>
            </w:pPr>
            <w:r>
              <w:rPr>
                <w:rFonts w:hint="default"/>
                <w:lang w:val="en-US" w:eastAsia="zh-CN"/>
              </w:rPr>
              <w:t>申请金额（ETH）</w:t>
            </w:r>
          </w:p>
        </w:tc>
      </w:tr>
      <w:tr w14:paraId="3CAB6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E182B7">
            <w:pPr>
              <w:bidi w:val="0"/>
              <w:rPr>
                <w:rFonts w:hint="default"/>
                <w:lang w:val="en-US" w:eastAsia="zh-CN"/>
              </w:rPr>
            </w:pPr>
            <w:r>
              <w:rPr>
                <w:rFonts w:hint="default"/>
                <w:lang w:val="en-US" w:eastAsia="zh-CN"/>
              </w:rPr>
              <w:t>purpose</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4ACB1D">
            <w:pPr>
              <w:bidi w:val="0"/>
              <w:rPr>
                <w:rFonts w:hint="default"/>
                <w:lang w:val="en-US" w:eastAsia="zh-CN"/>
              </w:rPr>
            </w:pPr>
            <w:r>
              <w:rPr>
                <w:rFonts w:hint="default"/>
                <w:lang w:val="en-US" w:eastAsia="zh-CN"/>
              </w:rPr>
              <w:t>VARCHAR</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005F57D">
            <w:pPr>
              <w:bidi w:val="0"/>
              <w:rPr>
                <w:rFonts w:hint="default"/>
                <w:lang w:val="en-US" w:eastAsia="zh-CN"/>
              </w:rPr>
            </w:pPr>
            <w:r>
              <w:rPr>
                <w:rFonts w:hint="default"/>
                <w:lang w:val="en-US" w:eastAsia="zh-CN"/>
              </w:rPr>
              <w:t>200</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02AF2AE">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2501668">
            <w:pPr>
              <w:bidi w:val="0"/>
              <w:rPr>
                <w:rFonts w:hint="default"/>
                <w:lang w:val="en-US" w:eastAsia="zh-CN"/>
              </w:rPr>
            </w:pPr>
            <w:r>
              <w:rPr>
                <w:rFonts w:hint="default"/>
                <w:lang w:val="en-US" w:eastAsia="zh-CN"/>
              </w:rPr>
              <w:t>资金用途</w:t>
            </w:r>
          </w:p>
        </w:tc>
      </w:tr>
      <w:tr w14:paraId="3E9C7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163B441">
            <w:pPr>
              <w:bidi w:val="0"/>
              <w:rPr>
                <w:rFonts w:hint="default"/>
                <w:lang w:val="en-US" w:eastAsia="zh-CN"/>
              </w:rPr>
            </w:pPr>
            <w:r>
              <w:rPr>
                <w:rFonts w:hint="default"/>
                <w:lang w:val="en-US" w:eastAsia="zh-CN"/>
              </w:rPr>
              <w:t>proof_urls</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5DFD17D">
            <w:pPr>
              <w:bidi w:val="0"/>
              <w:rPr>
                <w:rFonts w:hint="default"/>
                <w:lang w:val="en-US" w:eastAsia="zh-CN"/>
              </w:rPr>
            </w:pPr>
            <w:r>
              <w:rPr>
                <w:rFonts w:hint="default"/>
                <w:lang w:val="en-US" w:eastAsia="zh-CN"/>
              </w:rPr>
              <w:t>VARCHAR</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1B5288">
            <w:pPr>
              <w:bidi w:val="0"/>
              <w:rPr>
                <w:rFonts w:hint="default"/>
                <w:lang w:val="en-US" w:eastAsia="zh-CN"/>
              </w:rPr>
            </w:pPr>
            <w:r>
              <w:rPr>
                <w:rFonts w:hint="default"/>
                <w:lang w:val="en-US" w:eastAsia="zh-CN"/>
              </w:rPr>
              <w:t>1000</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4470DE">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B877D6">
            <w:pPr>
              <w:bidi w:val="0"/>
              <w:rPr>
                <w:rFonts w:hint="default"/>
                <w:lang w:val="en-US" w:eastAsia="zh-CN"/>
              </w:rPr>
            </w:pPr>
            <w:r>
              <w:rPr>
                <w:rFonts w:hint="default"/>
                <w:lang w:val="en-US" w:eastAsia="zh-CN"/>
              </w:rPr>
              <w:t>证明文件 URL（逗号分隔）</w:t>
            </w:r>
          </w:p>
        </w:tc>
      </w:tr>
      <w:tr w14:paraId="05BCB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354CFC">
            <w:pPr>
              <w:bidi w:val="0"/>
              <w:rPr>
                <w:rFonts w:hint="default"/>
                <w:lang w:val="en-US" w:eastAsia="zh-CN"/>
              </w:rPr>
            </w:pPr>
            <w:r>
              <w:rPr>
                <w:rFonts w:hint="default"/>
                <w:lang w:val="en-US" w:eastAsia="zh-CN"/>
              </w:rPr>
              <w:t>status</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433339">
            <w:pPr>
              <w:bidi w:val="0"/>
              <w:rPr>
                <w:rFonts w:hint="default"/>
                <w:lang w:val="en-US" w:eastAsia="zh-CN"/>
              </w:rPr>
            </w:pPr>
            <w:r>
              <w:rPr>
                <w:rFonts w:hint="default"/>
                <w:lang w:val="en-US" w:eastAsia="zh-CN"/>
              </w:rPr>
              <w:t>TINYINT</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2B0CE4D">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BA50B0">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FFA0BE">
            <w:pPr>
              <w:bidi w:val="0"/>
              <w:rPr>
                <w:rFonts w:hint="default"/>
                <w:lang w:val="en-US" w:eastAsia="zh-CN"/>
              </w:rPr>
            </w:pPr>
            <w:r>
              <w:rPr>
                <w:rFonts w:hint="default"/>
                <w:lang w:val="en-US" w:eastAsia="zh-CN"/>
              </w:rPr>
              <w:t>状态（0 - 待审核，1 - 已通过，2 - 已驳回）</w:t>
            </w:r>
          </w:p>
        </w:tc>
      </w:tr>
      <w:tr w14:paraId="11003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D748C3">
            <w:pPr>
              <w:bidi w:val="0"/>
              <w:rPr>
                <w:rFonts w:hint="default"/>
                <w:lang w:val="en-US" w:eastAsia="zh-CN"/>
              </w:rPr>
            </w:pPr>
            <w:r>
              <w:rPr>
                <w:rFonts w:hint="default"/>
                <w:lang w:val="en-US" w:eastAsia="zh-CN"/>
              </w:rPr>
              <w:t>audit_user_id</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B75DCFD">
            <w:pPr>
              <w:bidi w:val="0"/>
              <w:rPr>
                <w:rFonts w:hint="default"/>
                <w:lang w:val="en-US" w:eastAsia="zh-CN"/>
              </w:rPr>
            </w:pPr>
            <w:r>
              <w:rPr>
                <w:rFonts w:hint="default"/>
                <w:lang w:val="en-US" w:eastAsia="zh-CN"/>
              </w:rPr>
              <w:t>BIGINT</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A2A621F">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F6EEC0">
            <w:pPr>
              <w:bidi w:val="0"/>
              <w:rPr>
                <w:rFonts w:hint="default"/>
                <w:lang w:val="en-US" w:eastAsia="zh-CN"/>
              </w:rPr>
            </w:pPr>
            <w:r>
              <w:rPr>
                <w:rFonts w:hint="default"/>
                <w:lang w:val="en-US" w:eastAsia="zh-CN"/>
              </w:rPr>
              <w:t>否</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4FFCE6">
            <w:pPr>
              <w:bidi w:val="0"/>
              <w:rPr>
                <w:rFonts w:hint="default"/>
                <w:lang w:val="en-US" w:eastAsia="zh-CN"/>
              </w:rPr>
            </w:pPr>
            <w:r>
              <w:rPr>
                <w:rFonts w:hint="default"/>
                <w:lang w:val="en-US" w:eastAsia="zh-CN"/>
              </w:rPr>
              <w:t>审核人员 ID</w:t>
            </w:r>
          </w:p>
        </w:tc>
      </w:tr>
      <w:tr w14:paraId="008D8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8D03E0">
            <w:pPr>
              <w:bidi w:val="0"/>
              <w:rPr>
                <w:rFonts w:hint="default"/>
                <w:lang w:val="en-US" w:eastAsia="zh-CN"/>
              </w:rPr>
            </w:pPr>
            <w:r>
              <w:rPr>
                <w:rFonts w:hint="default"/>
                <w:lang w:val="en-US" w:eastAsia="zh-CN"/>
              </w:rPr>
              <w:t>audit_time</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549B507">
            <w:pPr>
              <w:bidi w:val="0"/>
              <w:rPr>
                <w:rFonts w:hint="default"/>
                <w:lang w:val="en-US" w:eastAsia="zh-CN"/>
              </w:rPr>
            </w:pPr>
            <w:r>
              <w:rPr>
                <w:rFonts w:hint="default"/>
                <w:lang w:val="en-US" w:eastAsia="zh-CN"/>
              </w:rPr>
              <w:t>DATETIME</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586A14E">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BB825A">
            <w:pPr>
              <w:bidi w:val="0"/>
              <w:rPr>
                <w:rFonts w:hint="default"/>
                <w:lang w:val="en-US" w:eastAsia="zh-CN"/>
              </w:rPr>
            </w:pPr>
            <w:r>
              <w:rPr>
                <w:rFonts w:hint="default"/>
                <w:lang w:val="en-US" w:eastAsia="zh-CN"/>
              </w:rPr>
              <w:t>否</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BDAA7C">
            <w:pPr>
              <w:bidi w:val="0"/>
              <w:rPr>
                <w:rFonts w:hint="default"/>
                <w:lang w:val="en-US" w:eastAsia="zh-CN"/>
              </w:rPr>
            </w:pPr>
            <w:r>
              <w:rPr>
                <w:rFonts w:hint="default"/>
                <w:lang w:val="en-US" w:eastAsia="zh-CN"/>
              </w:rPr>
              <w:t>审核时间</w:t>
            </w:r>
          </w:p>
        </w:tc>
      </w:tr>
      <w:tr w14:paraId="69927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0FB937">
            <w:pPr>
              <w:bidi w:val="0"/>
              <w:rPr>
                <w:rFonts w:hint="default"/>
                <w:lang w:val="en-US" w:eastAsia="zh-CN"/>
              </w:rPr>
            </w:pPr>
            <w:r>
              <w:rPr>
                <w:rFonts w:hint="default"/>
                <w:lang w:val="en-US" w:eastAsia="zh-CN"/>
              </w:rPr>
              <w:t>拨款_time</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14860C">
            <w:pPr>
              <w:bidi w:val="0"/>
              <w:rPr>
                <w:rFonts w:hint="default"/>
                <w:lang w:val="en-US" w:eastAsia="zh-CN"/>
              </w:rPr>
            </w:pPr>
            <w:r>
              <w:rPr>
                <w:rFonts w:hint="default"/>
                <w:lang w:val="en-US" w:eastAsia="zh-CN"/>
              </w:rPr>
              <w:t>DATETIME</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5DE640">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66F140">
            <w:pPr>
              <w:bidi w:val="0"/>
              <w:rPr>
                <w:rFonts w:hint="default"/>
                <w:lang w:val="en-US" w:eastAsia="zh-CN"/>
              </w:rPr>
            </w:pPr>
            <w:r>
              <w:rPr>
                <w:rFonts w:hint="default"/>
                <w:lang w:val="en-US" w:eastAsia="zh-CN"/>
              </w:rPr>
              <w:t>否</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5C584EB">
            <w:pPr>
              <w:bidi w:val="0"/>
              <w:rPr>
                <w:rFonts w:hint="default"/>
                <w:lang w:val="en-US" w:eastAsia="zh-CN"/>
              </w:rPr>
            </w:pPr>
            <w:r>
              <w:rPr>
                <w:rFonts w:hint="default"/>
                <w:lang w:val="en-US" w:eastAsia="zh-CN"/>
              </w:rPr>
              <w:t>拨款时间</w:t>
            </w:r>
          </w:p>
        </w:tc>
      </w:tr>
      <w:tr w14:paraId="0FD9F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B96A93">
            <w:pPr>
              <w:bidi w:val="0"/>
              <w:rPr>
                <w:rFonts w:hint="default"/>
                <w:lang w:val="en-US" w:eastAsia="zh-CN"/>
              </w:rPr>
            </w:pPr>
            <w:r>
              <w:rPr>
                <w:rFonts w:hint="default"/>
                <w:lang w:val="en-US" w:eastAsia="zh-CN"/>
              </w:rPr>
              <w:t>reject_reason</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D07D4DF">
            <w:pPr>
              <w:bidi w:val="0"/>
              <w:rPr>
                <w:rFonts w:hint="default"/>
                <w:lang w:val="en-US" w:eastAsia="zh-CN"/>
              </w:rPr>
            </w:pPr>
            <w:r>
              <w:rPr>
                <w:rFonts w:hint="default"/>
                <w:lang w:val="en-US" w:eastAsia="zh-CN"/>
              </w:rPr>
              <w:t>VARCHAR</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6A8DC14">
            <w:pPr>
              <w:bidi w:val="0"/>
              <w:rPr>
                <w:rFonts w:hint="default"/>
                <w:lang w:val="en-US" w:eastAsia="zh-CN"/>
              </w:rPr>
            </w:pPr>
            <w:r>
              <w:rPr>
                <w:rFonts w:hint="default"/>
                <w:lang w:val="en-US" w:eastAsia="zh-CN"/>
              </w:rPr>
              <w:t>500</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E55378">
            <w:pPr>
              <w:bidi w:val="0"/>
              <w:rPr>
                <w:rFonts w:hint="default"/>
                <w:lang w:val="en-US" w:eastAsia="zh-CN"/>
              </w:rPr>
            </w:pPr>
            <w:r>
              <w:rPr>
                <w:rFonts w:hint="default"/>
                <w:lang w:val="en-US" w:eastAsia="zh-CN"/>
              </w:rPr>
              <w:t>否</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F6BC427">
            <w:pPr>
              <w:bidi w:val="0"/>
              <w:rPr>
                <w:rFonts w:hint="default"/>
                <w:lang w:val="en-US" w:eastAsia="zh-CN"/>
              </w:rPr>
            </w:pPr>
            <w:r>
              <w:rPr>
                <w:rFonts w:hint="default"/>
                <w:lang w:val="en-US" w:eastAsia="zh-CN"/>
              </w:rPr>
              <w:t>驳回原因</w:t>
            </w:r>
          </w:p>
        </w:tc>
      </w:tr>
      <w:tr w14:paraId="2011C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660"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C154C4">
            <w:pPr>
              <w:bidi w:val="0"/>
              <w:rPr>
                <w:rFonts w:hint="default"/>
                <w:lang w:val="en-US" w:eastAsia="zh-CN"/>
              </w:rPr>
            </w:pPr>
            <w:r>
              <w:rPr>
                <w:rFonts w:hint="default"/>
                <w:lang w:val="en-US" w:eastAsia="zh-CN"/>
              </w:rPr>
              <w:t>create_time</w:t>
            </w:r>
          </w:p>
        </w:tc>
        <w:tc>
          <w:tcPr>
            <w:tcW w:w="136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55051D6">
            <w:pPr>
              <w:bidi w:val="0"/>
              <w:rPr>
                <w:rFonts w:hint="default"/>
                <w:lang w:val="en-US" w:eastAsia="zh-CN"/>
              </w:rPr>
            </w:pPr>
            <w:r>
              <w:rPr>
                <w:rFonts w:hint="default"/>
                <w:lang w:val="en-US" w:eastAsia="zh-CN"/>
              </w:rPr>
              <w:t>DATETIME</w:t>
            </w:r>
          </w:p>
        </w:tc>
        <w:tc>
          <w:tcPr>
            <w:tcW w:w="1018"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27534CE">
            <w:pPr>
              <w:bidi w:val="0"/>
              <w:rPr>
                <w:rFonts w:hint="default"/>
                <w:lang w:val="en-US" w:eastAsia="zh-CN"/>
              </w:rPr>
            </w:pPr>
            <w:r>
              <w:rPr>
                <w:rFonts w:hint="default"/>
                <w:lang w:val="en-US" w:eastAsia="zh-CN"/>
              </w:rPr>
              <w:t>-</w:t>
            </w:r>
          </w:p>
        </w:tc>
        <w:tc>
          <w:tcPr>
            <w:tcW w:w="84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9D58A99">
            <w:pPr>
              <w:bidi w:val="0"/>
              <w:rPr>
                <w:rFonts w:hint="default"/>
                <w:lang w:val="en-US" w:eastAsia="zh-CN"/>
              </w:rPr>
            </w:pPr>
            <w:r>
              <w:rPr>
                <w:rFonts w:hint="default"/>
                <w:lang w:val="en-US" w:eastAsia="zh-CN"/>
              </w:rPr>
              <w:t>是</w:t>
            </w:r>
          </w:p>
        </w:tc>
        <w:tc>
          <w:tcPr>
            <w:tcW w:w="3414"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37DDDE6">
            <w:pPr>
              <w:bidi w:val="0"/>
              <w:rPr>
                <w:rFonts w:hint="default"/>
                <w:lang w:val="en-US" w:eastAsia="zh-CN"/>
              </w:rPr>
            </w:pPr>
            <w:r>
              <w:rPr>
                <w:rFonts w:hint="default"/>
                <w:lang w:val="en-US" w:eastAsia="zh-CN"/>
              </w:rPr>
              <w:t>创建时间</w:t>
            </w:r>
          </w:p>
        </w:tc>
      </w:tr>
    </w:tbl>
    <w:p w14:paraId="407DEB23">
      <w:pPr>
        <w:bidi w:val="0"/>
        <w:jc w:val="center"/>
        <w:rPr>
          <w:rFonts w:hint="default"/>
          <w:lang w:val="en-US" w:eastAsia="zh-CN"/>
        </w:rPr>
      </w:pPr>
      <w:r>
        <w:rPr>
          <w:rFonts w:hint="default"/>
          <w:lang w:val="en-US" w:eastAsia="zh-CN"/>
        </w:rPr>
        <w:t>表3.3 资金记录表</w:t>
      </w:r>
    </w:p>
    <w:p w14:paraId="060A242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4 系统功能及使用说明</w:t>
      </w:r>
    </w:p>
    <w:p w14:paraId="1599905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系统前置准备：用户需提前安装 MetaMask 钱包，并完成钱包账户创建与数字货币充值（用于投资支付）；钱包连接流程：打开系统前端页面，点击“连接钱包”按钮，选择 MetaMask 钱包完成授权，系统自动完成用户身份认证，进入系统主界面；项目创建流程：项目发起方连接钱包后，点击“创建项目”，填写项目名称、介绍、融资目标、融资期限等信息，提交后触发智能合约部署，完成项目创建，项目信息上链并在前端展示；投资流程：投资方浏览前端展示的项目列表，点击进入项目详情页，确认投资金额后，点击“投资”按钮，通过 MetaMask 钱包确认支付，资金转入智能合约锁定，投资记录上链，项目融资进度同步更新；资金流转说明：项目融资期限结束后，系统自动执行智能合约逻辑：若融资金额达到目标，资</w:t>
      </w:r>
    </w:p>
    <w:p w14:paraId="48213A41">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金自动划拨至发起方钱包，项目状态更新为“已完成”；若未达标，资金按投资比例自动退还至各投资方钱包，项目状态更新为“已失败”；信息查询操作：用户在系统前端点击“信息查询”，可输入项目 ID、钱包地址等关键词，查询对应的项目信息、投资记录、资金流向等数据，所有查询结果均来自链上数据，确保真实可信。</w:t>
      </w:r>
    </w:p>
    <w:p w14:paraId="58FC33F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1、用户登录</w:t>
      </w:r>
    </w:p>
    <w:p w14:paraId="0505A1A9">
      <w:pPr>
        <w:spacing w:line="440" w:lineRule="exact"/>
        <w:ind w:firstLine="480" w:firstLineChars="200"/>
        <w:rPr>
          <w:rFonts w:hint="default"/>
          <w:lang w:val="en-US" w:eastAsia="zh-CN"/>
        </w:rPr>
      </w:pPr>
      <w:r>
        <w:rPr>
          <w:rFonts w:hint="default" w:ascii="宋体" w:hAnsi="宋体" w:cs="宋体"/>
          <w:sz w:val="24"/>
          <w:lang w:val="en-US" w:eastAsia="zh-CN"/>
        </w:rPr>
        <w:t>用户首先需在浏览器中输入平台网址，访问众筹平台主页。在页面右上角找到并点击“登录”按钮，在弹出的登录对话框中，准确输入已注册的用户名/手机号及密码。点击“登录”后，系统将进行验证，成功则自动跳转至个人中心页面。在此页面，您可以总览您发起或支持的项目动态、账户余额及系统通知。</w:t>
      </w:r>
    </w:p>
    <w:p w14:paraId="012E4E24">
      <w:pPr>
        <w:bidi w:val="0"/>
        <w:rPr>
          <w:rFonts w:hint="default"/>
          <w:lang w:val="en-US" w:eastAsia="zh-CN"/>
        </w:rPr>
      </w:pPr>
    </w:p>
    <w:p w14:paraId="37C54C18">
      <w:pPr>
        <w:bidi w:val="0"/>
        <w:rPr>
          <w:rFonts w:hint="default"/>
          <w:lang w:val="en-US" w:eastAsia="zh-CN"/>
        </w:rPr>
      </w:pPr>
      <w:r>
        <w:rPr>
          <w:rFonts w:hint="default"/>
          <w:lang w:val="en-US" w:eastAsia="zh-CN"/>
        </w:rPr>
        <w:drawing>
          <wp:inline distT="0" distB="0" distL="114300" distR="114300">
            <wp:extent cx="5271135" cy="1945005"/>
            <wp:effectExtent l="0" t="0" r="5715" b="17145"/>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256"/>
                    <a:stretch>
                      <a:fillRect/>
                    </a:stretch>
                  </pic:blipFill>
                  <pic:spPr>
                    <a:xfrm>
                      <a:off x="0" y="0"/>
                      <a:ext cx="5271135" cy="1945005"/>
                    </a:xfrm>
                    <a:prstGeom prst="rect">
                      <a:avLst/>
                    </a:prstGeom>
                    <a:noFill/>
                    <a:ln>
                      <a:noFill/>
                    </a:ln>
                  </pic:spPr>
                </pic:pic>
              </a:graphicData>
            </a:graphic>
          </wp:inline>
        </w:drawing>
      </w:r>
    </w:p>
    <w:p w14:paraId="4E5CB33B">
      <w:pPr>
        <w:bidi w:val="0"/>
        <w:jc w:val="center"/>
        <w:rPr>
          <w:rFonts w:hint="default"/>
          <w:lang w:val="en-US" w:eastAsia="zh-CN"/>
        </w:rPr>
      </w:pPr>
      <w:r>
        <w:rPr>
          <w:rFonts w:hint="default"/>
          <w:lang w:val="en-US" w:eastAsia="zh-CN"/>
        </w:rPr>
        <w:t>图4.1 用户登录</w:t>
      </w:r>
    </w:p>
    <w:p w14:paraId="0530A0F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2、主页操作</w:t>
      </w:r>
    </w:p>
    <w:p w14:paraId="60EC07C7">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在用户完成系统登录并进入个人中心界面后，首先需要在页面功能导航区域中准确识别并点击“发起项目”或“创建众筹”的操作入口。该操作将触发平台的项目创建流程，引导用户进入结构化的项目信息录入表单。表单要求用户按照系统设定的逻辑顺序，依次完成项目基本信息的完整填报：需构思一个具有市场吸引力且能准确概括项目核心价值的标题，从平台提供的分类目录中选择最符合项目属性的归类标签，设定基于实际预算评估的精确筹款目标数额，并根据项目执行规划确定合理的筹款截止时间节点。项目描述部分构成整个创建流程的核心环节，该部分要求用户采用系统化的叙述逻辑，详细阐述项目产生的背景渊源与创意理念，完整说明从筹备到落地的具体执行方案及阶段性规划，同时必须清晰列明资金使用的详细分配计划与监管机制。这些内容不仅关系到项目的社会认同度，更是影响潜在支持者决策的关键要素。在多媒体材料准备方面，用户需遵循平台技术规范，上传具备专业水准的封面视觉素材，该素材应兼具艺术表现力与主题传达力；同时在项目详情板块需补充能多维度展示项目细节的配套图片或短视频资料，这些材料应与文字描述形成内容互补，共同构建项目的立体化展示体系。信息填写阶段完成后，用户需进入最终审核确认环节，对全部已提交内容进行真实性、完整性与合规性审查。特别需要注意避免出现夸大宣传、信息矛盾或违反平台政策的情形。经用户确认无误后，项目资料将正式提交至平台审核系统。平台方将在规定工作周期内，依据既定的审核标准对项目进行内容审查与资质评估。通过审核的项目将获得上线许可，自动进入平台项目库并开启公开筹款通道，而未通过审核的项目将根据反馈意见进入修改完善流程。整个流程体现了众筹平台对项目质量控制的系统性要求，也确保了筹款生态的规范运作。</w:t>
      </w:r>
    </w:p>
    <w:p w14:paraId="0697892E">
      <w:pPr>
        <w:bidi w:val="0"/>
        <w:rPr>
          <w:rFonts w:hint="default"/>
          <w:lang w:val="en-US" w:eastAsia="zh-CN"/>
        </w:rPr>
      </w:pPr>
      <w:r>
        <w:rPr>
          <w:rFonts w:hint="default"/>
          <w:lang w:val="en-US" w:eastAsia="zh-CN"/>
        </w:rPr>
        <w:drawing>
          <wp:inline distT="0" distB="0" distL="114300" distR="114300">
            <wp:extent cx="5264150" cy="2145665"/>
            <wp:effectExtent l="0" t="0" r="12700" b="6985"/>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
                    <pic:cNvPicPr>
                      <a:picLocks noChangeAspect="1"/>
                    </pic:cNvPicPr>
                  </pic:nvPicPr>
                  <pic:blipFill>
                    <a:blip r:embed="rId257"/>
                    <a:stretch>
                      <a:fillRect/>
                    </a:stretch>
                  </pic:blipFill>
                  <pic:spPr>
                    <a:xfrm>
                      <a:off x="0" y="0"/>
                      <a:ext cx="5264150" cy="2145665"/>
                    </a:xfrm>
                    <a:prstGeom prst="rect">
                      <a:avLst/>
                    </a:prstGeom>
                    <a:noFill/>
                    <a:ln>
                      <a:noFill/>
                    </a:ln>
                  </pic:spPr>
                </pic:pic>
              </a:graphicData>
            </a:graphic>
          </wp:inline>
        </w:drawing>
      </w:r>
    </w:p>
    <w:p w14:paraId="6D2B92BD">
      <w:pPr>
        <w:bidi w:val="0"/>
        <w:jc w:val="center"/>
        <w:rPr>
          <w:rFonts w:hint="default"/>
          <w:lang w:val="en-US" w:eastAsia="zh-CN"/>
        </w:rPr>
      </w:pPr>
      <w:r>
        <w:rPr>
          <w:rFonts w:hint="default"/>
          <w:lang w:val="en-US" w:eastAsia="zh-CN"/>
        </w:rPr>
        <w:t>图4.2 主页内容</w:t>
      </w:r>
    </w:p>
    <w:p w14:paraId="7D07A81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3、查看众筹项目</w:t>
      </w:r>
    </w:p>
    <w:p w14:paraId="6DB8146A">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项目上线后，您可以在“我的项目”或“项目管理”栏目中查看所有您发起的项目。列表会清晰展示每个项目的关键状态，如：当前已筹集金额、达成进度百分比、支持者总人数、剩余筹款时间等。点击任一项目可进入其管理后台，查看更详尽的数据分析、支持者列表及互动留言，随时掌握众筹项目信息。</w:t>
      </w:r>
    </w:p>
    <w:p w14:paraId="5B355A3A">
      <w:pPr>
        <w:bidi w:val="0"/>
        <w:rPr>
          <w:rFonts w:hint="default"/>
          <w:lang w:val="en-US" w:eastAsia="zh-CN"/>
        </w:rPr>
      </w:pPr>
      <w:r>
        <w:rPr>
          <w:rFonts w:hint="default"/>
          <w:lang w:val="en-US" w:eastAsia="zh-CN"/>
        </w:rPr>
        <w:drawing>
          <wp:inline distT="0" distB="0" distL="114300" distR="114300">
            <wp:extent cx="5270500" cy="2327910"/>
            <wp:effectExtent l="0" t="0" r="6350" b="15240"/>
            <wp:docPr id="1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
                    <pic:cNvPicPr>
                      <a:picLocks noChangeAspect="1"/>
                    </pic:cNvPicPr>
                  </pic:nvPicPr>
                  <pic:blipFill>
                    <a:blip r:embed="rId258"/>
                    <a:stretch>
                      <a:fillRect/>
                    </a:stretch>
                  </pic:blipFill>
                  <pic:spPr>
                    <a:xfrm>
                      <a:off x="0" y="0"/>
                      <a:ext cx="5270500" cy="2327910"/>
                    </a:xfrm>
                    <a:prstGeom prst="rect">
                      <a:avLst/>
                    </a:prstGeom>
                    <a:noFill/>
                    <a:ln>
                      <a:noFill/>
                    </a:ln>
                  </pic:spPr>
                </pic:pic>
              </a:graphicData>
            </a:graphic>
          </wp:inline>
        </w:drawing>
      </w:r>
    </w:p>
    <w:p w14:paraId="20070D43">
      <w:pPr>
        <w:bidi w:val="0"/>
        <w:jc w:val="center"/>
        <w:rPr>
          <w:rFonts w:hint="default"/>
          <w:lang w:val="en-US" w:eastAsia="zh-CN"/>
        </w:rPr>
      </w:pPr>
      <w:r>
        <w:rPr>
          <w:rFonts w:hint="default"/>
          <w:lang w:val="en-US" w:eastAsia="zh-CN"/>
        </w:rPr>
        <w:t>图4.3 众筹项目</w:t>
      </w:r>
    </w:p>
    <w:p w14:paraId="20EA6128">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4、投资操作</w:t>
      </w:r>
    </w:p>
    <w:p w14:paraId="0984B192">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作为支持者，您可以在平台首页浏览或通过分类、搜索找到感兴趣的众筹项目。点击进入项目详情页，仔细阅读项目介绍与回报设置后，点击“支持此项目”或“立即投资”按钮。在弹出的页面中，选择您想要支持的资金档次及对应的回报（如有），然后选择支付方式（如支付宝、微信支付或银行卡）。确认支付信息无误后，完成付款操作，系统将生成电子凭证。</w:t>
      </w:r>
    </w:p>
    <w:p w14:paraId="4C5D6564">
      <w:pPr>
        <w:bidi w:val="0"/>
        <w:rPr>
          <w:rFonts w:hint="default"/>
          <w:lang w:val="en-US" w:eastAsia="zh-CN"/>
        </w:rPr>
      </w:pPr>
      <w:r>
        <w:rPr>
          <w:rFonts w:hint="default"/>
          <w:lang w:val="en-US" w:eastAsia="zh-CN"/>
        </w:rPr>
        <w:drawing>
          <wp:inline distT="0" distB="0" distL="114300" distR="114300">
            <wp:extent cx="5251450" cy="2174875"/>
            <wp:effectExtent l="0" t="0" r="6350" b="15875"/>
            <wp:docPr id="1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
                    <pic:cNvPicPr>
                      <a:picLocks noChangeAspect="1"/>
                    </pic:cNvPicPr>
                  </pic:nvPicPr>
                  <pic:blipFill>
                    <a:blip r:embed="rId259"/>
                    <a:stretch>
                      <a:fillRect/>
                    </a:stretch>
                  </pic:blipFill>
                  <pic:spPr>
                    <a:xfrm>
                      <a:off x="0" y="0"/>
                      <a:ext cx="5251450" cy="2174875"/>
                    </a:xfrm>
                    <a:prstGeom prst="rect">
                      <a:avLst/>
                    </a:prstGeom>
                    <a:noFill/>
                    <a:ln>
                      <a:noFill/>
                    </a:ln>
                  </pic:spPr>
                </pic:pic>
              </a:graphicData>
            </a:graphic>
          </wp:inline>
        </w:drawing>
      </w:r>
    </w:p>
    <w:p w14:paraId="00B42C1B">
      <w:pPr>
        <w:bidi w:val="0"/>
        <w:jc w:val="center"/>
        <w:rPr>
          <w:rFonts w:hint="default"/>
          <w:lang w:val="en-US" w:eastAsia="zh-CN"/>
        </w:rPr>
      </w:pPr>
      <w:r>
        <w:rPr>
          <w:rFonts w:hint="default"/>
          <w:lang w:val="en-US" w:eastAsia="zh-CN"/>
        </w:rPr>
        <w:t>图4.4 投资</w:t>
      </w:r>
    </w:p>
    <w:p w14:paraId="2D9E99E2">
      <w:pPr>
        <w:bidi w:val="0"/>
        <w:rPr>
          <w:rFonts w:hint="default"/>
          <w:lang w:val="en-US" w:eastAsia="zh-CN"/>
        </w:rPr>
      </w:pPr>
    </w:p>
    <w:p w14:paraId="6C1935F2">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5、撤资操作</w:t>
      </w:r>
    </w:p>
    <w:p w14:paraId="2BF27F96">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在项目筹款周期内，若您需要撤销投资，请登录账户进入“我的支持”或“订单中心”。找到您要撤资的对应项目记录，点击“查看详情”或“撤资”按钮。系统会引导您确认撤资操作，并提示相关规则（如是否收取手续费）。请注意，一旦项目筹款成功或已过筹款期，通常将无法撤资。操作成功后，款项将按支付账户退回。</w:t>
      </w:r>
    </w:p>
    <w:p w14:paraId="55B5D47A">
      <w:pPr>
        <w:bidi w:val="0"/>
        <w:rPr>
          <w:rFonts w:hint="default"/>
          <w:lang w:val="en-US" w:eastAsia="zh-CN"/>
        </w:rPr>
      </w:pPr>
      <w:r>
        <w:rPr>
          <w:rFonts w:hint="default"/>
          <w:lang w:val="en-US" w:eastAsia="zh-CN"/>
        </w:rPr>
        <w:drawing>
          <wp:inline distT="0" distB="0" distL="114300" distR="114300">
            <wp:extent cx="5253355" cy="2225675"/>
            <wp:effectExtent l="0" t="0" r="4445" b="3175"/>
            <wp:docPr id="1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
                    <pic:cNvPicPr>
                      <a:picLocks noChangeAspect="1"/>
                    </pic:cNvPicPr>
                  </pic:nvPicPr>
                  <pic:blipFill>
                    <a:blip r:embed="rId260"/>
                    <a:stretch>
                      <a:fillRect/>
                    </a:stretch>
                  </pic:blipFill>
                  <pic:spPr>
                    <a:xfrm>
                      <a:off x="0" y="0"/>
                      <a:ext cx="5253355" cy="2225675"/>
                    </a:xfrm>
                    <a:prstGeom prst="rect">
                      <a:avLst/>
                    </a:prstGeom>
                    <a:noFill/>
                    <a:ln>
                      <a:noFill/>
                    </a:ln>
                  </pic:spPr>
                </pic:pic>
              </a:graphicData>
            </a:graphic>
          </wp:inline>
        </w:drawing>
      </w:r>
    </w:p>
    <w:p w14:paraId="42889ABE">
      <w:pPr>
        <w:bidi w:val="0"/>
        <w:jc w:val="center"/>
        <w:rPr>
          <w:rFonts w:hint="default"/>
          <w:lang w:val="en-US" w:eastAsia="zh-CN"/>
        </w:rPr>
      </w:pPr>
      <w:r>
        <w:rPr>
          <w:rFonts w:hint="default"/>
          <w:lang w:val="en-US" w:eastAsia="zh-CN"/>
        </w:rPr>
        <w:t>图4.4 撤资</w:t>
      </w:r>
    </w:p>
    <w:p w14:paraId="55D13D5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6、众筹完成</w:t>
      </w:r>
    </w:p>
    <w:p w14:paraId="77390FA0">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当项目在预设的筹款期限内达到或超过了设定的目标金额，即标志着众筹成功。系统会自动将项目状态更新为“众筹成功”，并向项目发起人和所有支持该项目的用户发送通知（站内信、短信或邮件）。发起人随后应开始准备履行项目承诺，而支持者则需关注发起人后续的项目进展更新。</w:t>
      </w:r>
    </w:p>
    <w:p w14:paraId="4A252983">
      <w:pPr>
        <w:bidi w:val="0"/>
        <w:rPr>
          <w:rFonts w:hint="default"/>
          <w:lang w:val="en-US" w:eastAsia="zh-CN"/>
        </w:rPr>
      </w:pPr>
      <w:r>
        <w:rPr>
          <w:rFonts w:hint="default"/>
          <w:lang w:val="en-US" w:eastAsia="zh-CN"/>
        </w:rPr>
        <w:drawing>
          <wp:inline distT="0" distB="0" distL="114300" distR="114300">
            <wp:extent cx="5267325" cy="2194560"/>
            <wp:effectExtent l="0" t="0" r="9525" b="15240"/>
            <wp:docPr id="1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
                    <pic:cNvPicPr>
                      <a:picLocks noChangeAspect="1"/>
                    </pic:cNvPicPr>
                  </pic:nvPicPr>
                  <pic:blipFill>
                    <a:blip r:embed="rId261"/>
                    <a:stretch>
                      <a:fillRect/>
                    </a:stretch>
                  </pic:blipFill>
                  <pic:spPr>
                    <a:xfrm>
                      <a:off x="0" y="0"/>
                      <a:ext cx="5267325" cy="2194560"/>
                    </a:xfrm>
                    <a:prstGeom prst="rect">
                      <a:avLst/>
                    </a:prstGeom>
                    <a:noFill/>
                    <a:ln>
                      <a:noFill/>
                    </a:ln>
                  </pic:spPr>
                </pic:pic>
              </a:graphicData>
            </a:graphic>
          </wp:inline>
        </w:drawing>
      </w:r>
    </w:p>
    <w:p w14:paraId="3C701275">
      <w:pPr>
        <w:bidi w:val="0"/>
        <w:jc w:val="center"/>
        <w:rPr>
          <w:rFonts w:hint="default"/>
          <w:lang w:val="en-US" w:eastAsia="zh-CN"/>
        </w:rPr>
      </w:pPr>
      <w:r>
        <w:rPr>
          <w:rFonts w:hint="default"/>
          <w:lang w:val="en-US" w:eastAsia="zh-CN"/>
        </w:rPr>
        <w:t>图4.5 众筹完成</w:t>
      </w:r>
    </w:p>
    <w:p w14:paraId="56E33D5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7、众筹失败</w:t>
      </w:r>
    </w:p>
    <w:p w14:paraId="0D36EE2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当项目进入既定的筹款周期截止阶段，若经系统核算实际募集资金总额仍低于预设的目标金额阈值，则依据平台既定规则判定本次众筹行为未能达成成功条件。平台将自动触发项目状态更新机制，将项目标识由"进行中"变更为"未成功"，并在项目页面显著位置进行公示说明。</w:t>
      </w:r>
    </w:p>
    <w:p w14:paraId="1E8D0815">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与此同时，系统将同步启动预设的标准化退款处理流程：所有在该项目筹款期间通过合规支付渠道完成的出资款项（包括但不仅限于在线支付、银行卡转账等各类形式），均将按照"原路径全额返回"的原则，在无需支持者进行任何主动操作或提交申请的情况下，由平台财务系统自动发起无息退款指令。</w:t>
      </w:r>
    </w:p>
    <w:p w14:paraId="5956F35C">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该笔款项将根据银行及第三方支付机构的标准处理时效，于一定工作日内依序返还至支持者原支付账户中。整个退款过程严格遵循金融监管要求与用户隐私保护规范，确保资金流向可追溯、操作记录可审计。</w:t>
      </w:r>
    </w:p>
    <w:p w14:paraId="3BFE81B6">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平台亦会通过站内消息与电子邮件双重通知渠道，向所有相关支持者发送包含项目状态变更说明、退款执行时间及预计到账周期等关键信息的正式通知，以保障支持者的知情权与资金安全。</w:t>
      </w:r>
    </w:p>
    <w:p w14:paraId="64513498">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此种全自动化的闭环处理机制，既体现了众筹行业对支持者权益的基础保障原则，也展现了平台在资金监管与流程合规方面的系统性建设成果。</w:t>
      </w:r>
    </w:p>
    <w:p w14:paraId="11FFE88C">
      <w:pPr>
        <w:bidi w:val="0"/>
        <w:rPr>
          <w:rFonts w:hint="default"/>
          <w:lang w:val="en-US" w:eastAsia="zh-CN"/>
        </w:rPr>
      </w:pPr>
      <w:r>
        <w:rPr>
          <w:rFonts w:hint="default"/>
          <w:lang w:val="en-US" w:eastAsia="zh-CN"/>
        </w:rPr>
        <w:drawing>
          <wp:inline distT="0" distB="0" distL="114300" distR="114300">
            <wp:extent cx="5271770" cy="1786890"/>
            <wp:effectExtent l="0" t="0" r="5080" b="3810"/>
            <wp:docPr id="1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
                    <pic:cNvPicPr>
                      <a:picLocks noChangeAspect="1"/>
                    </pic:cNvPicPr>
                  </pic:nvPicPr>
                  <pic:blipFill>
                    <a:blip r:embed="rId262"/>
                    <a:stretch>
                      <a:fillRect/>
                    </a:stretch>
                  </pic:blipFill>
                  <pic:spPr>
                    <a:xfrm>
                      <a:off x="0" y="0"/>
                      <a:ext cx="5271770" cy="1786890"/>
                    </a:xfrm>
                    <a:prstGeom prst="rect">
                      <a:avLst/>
                    </a:prstGeom>
                    <a:noFill/>
                    <a:ln>
                      <a:noFill/>
                    </a:ln>
                  </pic:spPr>
                </pic:pic>
              </a:graphicData>
            </a:graphic>
          </wp:inline>
        </w:drawing>
      </w:r>
    </w:p>
    <w:p w14:paraId="07373452">
      <w:pPr>
        <w:bidi w:val="0"/>
        <w:jc w:val="center"/>
        <w:rPr>
          <w:rFonts w:hint="default"/>
          <w:lang w:val="en-US" w:eastAsia="zh-CN"/>
        </w:rPr>
      </w:pPr>
      <w:r>
        <w:rPr>
          <w:rFonts w:hint="default"/>
          <w:lang w:val="en-US" w:eastAsia="zh-CN"/>
        </w:rPr>
        <w:t>图4.6 众筹失败</w:t>
      </w:r>
    </w:p>
    <w:p w14:paraId="75D9CC1B">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8、众筹申请资金使用</w:t>
      </w:r>
    </w:p>
    <w:p w14:paraId="35F931F5">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项目众筹成功后，发起人如需从筹得款项中支取资金用于项目执行，需在平台提交“资金使用申请”。申请中必须明确说明本次申请资金的数额、具体用途规划（如物料采购、生产制作、物流费用等），并按要求上传相关的证明文件，如合同、报价单或预算表，以确保资金使用的透明与合理。</w:t>
      </w:r>
    </w:p>
    <w:p w14:paraId="66A679E1">
      <w:pPr>
        <w:bidi w:val="0"/>
        <w:rPr>
          <w:rFonts w:hint="default"/>
          <w:lang w:val="en-US" w:eastAsia="zh-CN"/>
        </w:rPr>
      </w:pPr>
      <w:r>
        <w:rPr>
          <w:rFonts w:hint="default"/>
          <w:lang w:val="en-US" w:eastAsia="zh-CN"/>
        </w:rPr>
        <w:drawing>
          <wp:inline distT="0" distB="0" distL="114300" distR="114300">
            <wp:extent cx="5273040" cy="2082165"/>
            <wp:effectExtent l="0" t="0" r="3810" b="13335"/>
            <wp:docPr id="1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
                    <pic:cNvPicPr>
                      <a:picLocks noChangeAspect="1"/>
                    </pic:cNvPicPr>
                  </pic:nvPicPr>
                  <pic:blipFill>
                    <a:blip r:embed="rId263"/>
                    <a:stretch>
                      <a:fillRect/>
                    </a:stretch>
                  </pic:blipFill>
                  <pic:spPr>
                    <a:xfrm>
                      <a:off x="0" y="0"/>
                      <a:ext cx="5273040" cy="2082165"/>
                    </a:xfrm>
                    <a:prstGeom prst="rect">
                      <a:avLst/>
                    </a:prstGeom>
                    <a:noFill/>
                    <a:ln>
                      <a:noFill/>
                    </a:ln>
                  </pic:spPr>
                </pic:pic>
              </a:graphicData>
            </a:graphic>
          </wp:inline>
        </w:drawing>
      </w:r>
    </w:p>
    <w:p w14:paraId="0788CEAB">
      <w:pPr>
        <w:bidi w:val="0"/>
        <w:jc w:val="center"/>
        <w:rPr>
          <w:rFonts w:hint="default"/>
          <w:lang w:val="en-US" w:eastAsia="zh-CN"/>
        </w:rPr>
      </w:pPr>
      <w:r>
        <w:rPr>
          <w:rFonts w:hint="default"/>
          <w:lang w:val="en-US" w:eastAsia="zh-CN"/>
        </w:rPr>
        <w:t>图4.7 申请使用资金</w:t>
      </w:r>
    </w:p>
    <w:p w14:paraId="4D2665F1">
      <w:pPr>
        <w:bidi w:val="0"/>
        <w:rPr>
          <w:rFonts w:hint="default"/>
          <w:lang w:val="en-US" w:eastAsia="zh-CN"/>
        </w:rPr>
      </w:pPr>
    </w:p>
    <w:p w14:paraId="09E0BA5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9、众筹申请资金同意</w:t>
      </w:r>
    </w:p>
    <w:p w14:paraId="3D536ECD">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平台在收到发起人提交的资金使用申请后，会进行合规性审核。审核人员将核对申请内容与项目承诺的一致性及凭证的真实性。审核通过后，平台会将申请款项划拨至发起人预先绑定的银行账户中。同时，该资金使用情况可能会对项目支持者进行公示，发起人负有按申请用途使用资金并接受监督的责任。</w:t>
      </w:r>
    </w:p>
    <w:p w14:paraId="77F31A9A">
      <w:pPr>
        <w:bidi w:val="0"/>
        <w:rPr>
          <w:rFonts w:hint="default"/>
          <w:lang w:val="en-US" w:eastAsia="zh-CN"/>
        </w:rPr>
      </w:pPr>
      <w:r>
        <w:rPr>
          <w:rFonts w:hint="default"/>
          <w:lang w:val="en-US" w:eastAsia="zh-CN"/>
        </w:rPr>
        <w:drawing>
          <wp:inline distT="0" distB="0" distL="114300" distR="114300">
            <wp:extent cx="5264150" cy="1669415"/>
            <wp:effectExtent l="0" t="0" r="12700" b="6985"/>
            <wp:docPr id="1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0"/>
                    <pic:cNvPicPr>
                      <a:picLocks noChangeAspect="1"/>
                    </pic:cNvPicPr>
                  </pic:nvPicPr>
                  <pic:blipFill>
                    <a:blip r:embed="rId264"/>
                    <a:stretch>
                      <a:fillRect/>
                    </a:stretch>
                  </pic:blipFill>
                  <pic:spPr>
                    <a:xfrm>
                      <a:off x="0" y="0"/>
                      <a:ext cx="5264150" cy="1669415"/>
                    </a:xfrm>
                    <a:prstGeom prst="rect">
                      <a:avLst/>
                    </a:prstGeom>
                    <a:noFill/>
                    <a:ln>
                      <a:noFill/>
                    </a:ln>
                  </pic:spPr>
                </pic:pic>
              </a:graphicData>
            </a:graphic>
          </wp:inline>
        </w:drawing>
      </w:r>
    </w:p>
    <w:p w14:paraId="47287211">
      <w:pPr>
        <w:bidi w:val="0"/>
        <w:jc w:val="center"/>
        <w:rPr>
          <w:rFonts w:hint="default"/>
          <w:lang w:val="en-US" w:eastAsia="zh-CN"/>
        </w:rPr>
      </w:pPr>
      <w:r>
        <w:rPr>
          <w:rFonts w:hint="default"/>
          <w:lang w:val="en-US" w:eastAsia="zh-CN"/>
        </w:rPr>
        <w:t>图4.8同意使用资金</w:t>
      </w:r>
    </w:p>
    <w:p w14:paraId="3BBA3AF3">
      <w:pPr>
        <w:bidi w:val="0"/>
        <w:rPr>
          <w:rFonts w:hint="default"/>
          <w:lang w:val="en-US" w:eastAsia="zh-CN"/>
        </w:rPr>
      </w:pPr>
    </w:p>
    <w:p w14:paraId="507C48DD">
      <w:pPr>
        <w:bidi w:val="0"/>
        <w:rPr>
          <w:rFonts w:hint="default"/>
          <w:lang w:val="en-US" w:eastAsia="zh-CN"/>
        </w:rPr>
      </w:pPr>
      <w:r>
        <w:rPr>
          <w:rFonts w:hint="default"/>
          <w:lang w:val="en-US" w:eastAsia="zh-CN"/>
        </w:rPr>
        <w:drawing>
          <wp:inline distT="0" distB="0" distL="114300" distR="114300">
            <wp:extent cx="5260975" cy="2478405"/>
            <wp:effectExtent l="0" t="0" r="15875" b="17145"/>
            <wp:docPr id="1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
                    <pic:cNvPicPr>
                      <a:picLocks noChangeAspect="1"/>
                    </pic:cNvPicPr>
                  </pic:nvPicPr>
                  <pic:blipFill>
                    <a:blip r:embed="rId265"/>
                    <a:stretch>
                      <a:fillRect/>
                    </a:stretch>
                  </pic:blipFill>
                  <pic:spPr>
                    <a:xfrm>
                      <a:off x="0" y="0"/>
                      <a:ext cx="5260975" cy="2478405"/>
                    </a:xfrm>
                    <a:prstGeom prst="rect">
                      <a:avLst/>
                    </a:prstGeom>
                    <a:noFill/>
                    <a:ln>
                      <a:noFill/>
                    </a:ln>
                  </pic:spPr>
                </pic:pic>
              </a:graphicData>
            </a:graphic>
          </wp:inline>
        </w:drawing>
      </w:r>
    </w:p>
    <w:p w14:paraId="6558E78F">
      <w:pPr>
        <w:bidi w:val="0"/>
        <w:jc w:val="center"/>
        <w:rPr>
          <w:rFonts w:hint="default"/>
          <w:lang w:val="en-US" w:eastAsia="zh-CN"/>
        </w:rPr>
      </w:pPr>
      <w:r>
        <w:rPr>
          <w:rFonts w:hint="default"/>
          <w:lang w:val="en-US" w:eastAsia="zh-CN"/>
        </w:rPr>
        <w:t>图4.9操作成功金</w:t>
      </w:r>
    </w:p>
    <w:p w14:paraId="52DDE005">
      <w:pPr>
        <w:bidi w:val="0"/>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5 系统测试</w:t>
      </w:r>
    </w:p>
    <w:p w14:paraId="2280CFC2">
      <w:pPr>
        <w:spacing w:line="440" w:lineRule="exact"/>
        <w:ind w:firstLine="480" w:firstLineChars="200"/>
        <w:outlineLvl w:val="9"/>
        <w:rPr>
          <w:rFonts w:hint="default" w:ascii="宋体" w:hAnsi="宋体" w:cs="宋体"/>
          <w:sz w:val="24"/>
          <w:lang w:val="en-US" w:eastAsia="zh-CN"/>
        </w:rPr>
      </w:pPr>
      <w:r>
        <w:rPr>
          <w:rFonts w:hint="default" w:ascii="宋体" w:hAnsi="宋体" w:cs="宋体"/>
          <w:sz w:val="24"/>
          <w:lang w:val="en-US" w:eastAsia="zh-CN"/>
        </w:rPr>
        <w:t>测试目标：验证系统功能完整性、智能合约安全性、交互流畅性与数据一致性，确保系统满足需求分析中定义的核心需求；测试环境：搭建区块链测试网络（如 Goerli 测试网），部署智能合约，配置 Vue3 前端测试环境，使用 MetaMask 测试钱包进行测试；功能测试：针对各功能模块进行测试，包括钱包连接成功率、项目创建流程完整性、投资支付与资金锁定有效性、融资达标/未达标时资金流转准确性、信息查询一致性等，确保各模块功能正常运行；4. 安全测试：对智能合约进行漏洞检测（如重入攻击、溢出攻击等常见漏洞），通过模拟恶意攻击场景验证合约安全性；测试用户资金操作权限，确保仅用户本人可控制自身资金；5. 性能测试：测试系统在多用户同时操作（如同时投资同一项目）场景下的响应速度与稳定性，验证区块链网络交易确认效率是否满足用户使用需求；6. 测试结果：记录各测试项的测试情况，针对测试中发现的问题（如合约漏洞、交互卡顿、数据不一致等）进行修复，修复后重新测试，直至系统各项指标达标。</w:t>
      </w:r>
    </w:p>
    <w:p w14:paraId="6E0D062F">
      <w:pPr>
        <w:bidi w:val="0"/>
        <w:outlineLvl w:val="9"/>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6 总结</w:t>
      </w:r>
    </w:p>
    <w:p w14:paraId="55A542EE">
      <w:pPr>
        <w:spacing w:line="440" w:lineRule="exact"/>
        <w:ind w:firstLine="480" w:firstLineChars="200"/>
        <w:rPr>
          <w:rFonts w:hint="default" w:ascii="宋体" w:hAnsi="宋体" w:cs="宋体"/>
          <w:sz w:val="24"/>
          <w:lang w:val="en-US" w:eastAsia="zh-CN"/>
        </w:rPr>
      </w:pPr>
      <w:r>
        <w:rPr>
          <w:rFonts w:hint="default" w:ascii="宋体" w:hAnsi="宋体" w:cs="宋体"/>
          <w:sz w:val="24"/>
          <w:lang w:val="en-US" w:eastAsia="zh-CN"/>
        </w:rPr>
        <w:t>本项目基于区块链技术构建去中心化众筹平台，通过 Vue3 前端、Solidity 智能合约与 MetaMask 钱包的协同，有效解决了传统众筹平台监管滞后、资金混乱、信息不透明等核心痛点。系统实现了项目创建、投资、资金分配全流程的自动化与上链化，保障了用户资金自主控制与信息公开可信，达成了构建零信任第三方众筹环境的核心目标。项目开发过程中，我们完成了从需求分析、系统设计到功能开发与测试的全流程工作，验证了技术方案的可行性与系统功能的完整性。但项目仍存在一定可优化空间，未来可进一步拓展支持更多主流区块链钱包、优化前端交互体验、提升系统在高并发场景下的响应效率，同时可探索引入项目审核机制（基于链上信用体系），进一步降低投资风险，推动平台的规模化应用。</w:t>
      </w:r>
    </w:p>
    <w:p w14:paraId="3CE456AF">
      <w:pPr>
        <w:bidi w:val="0"/>
        <w:rPr>
          <w:rFonts w:hint="default"/>
          <w:lang w:val="en-US" w:eastAsia="zh-CN"/>
        </w:rPr>
      </w:pPr>
    </w:p>
    <w:p w14:paraId="5D915389">
      <w:pPr>
        <w:bidi w:val="0"/>
        <w:rPr>
          <w:rFonts w:hint="default"/>
          <w:lang w:val="en-US" w:eastAsia="zh-CN"/>
        </w:rPr>
        <w:sectPr>
          <w:headerReference r:id="rId17" w:type="default"/>
          <w:footerReference r:id="rId18"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5B4746D">
      <w:pPr>
        <w:pStyle w:val="3"/>
        <w:bidi w:val="0"/>
        <w:rPr>
          <w:rFonts w:hint="eastAsia"/>
        </w:rPr>
      </w:pPr>
      <w:bookmarkStart w:id="767" w:name="_Toc29900"/>
      <w:bookmarkStart w:id="768" w:name="_Toc25090"/>
      <w:r>
        <w:rPr>
          <w:rFonts w:hint="eastAsia"/>
          <w:lang w:val="en-US" w:eastAsia="zh-CN"/>
        </w:rPr>
        <w:t>2.</w:t>
      </w:r>
      <w:r>
        <w:rPr>
          <w:rFonts w:hint="eastAsia"/>
        </w:rPr>
        <w:t>基于区块链+MetaMask的霓裳阁穿搭成长记录DApp设计与实现</w:t>
      </w:r>
      <w:bookmarkEnd w:id="767"/>
      <w:bookmarkEnd w:id="768"/>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A0219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3504D70">
            <w:pPr>
              <w:jc w:val="left"/>
              <w:outlineLvl w:val="0"/>
              <w:rPr>
                <w:rFonts w:ascii="Calibri" w:hAnsi="Calibri" w:eastAsia="黑体" w:cs="Times New Roman"/>
                <w:szCs w:val="21"/>
              </w:rPr>
            </w:pPr>
            <w:bookmarkStart w:id="769" w:name="_Toc27820"/>
            <w:bookmarkStart w:id="770" w:name="_Toc13879"/>
            <w:r>
              <w:rPr>
                <w:rFonts w:hint="eastAsia" w:ascii="Calibri" w:hAnsi="Calibri" w:eastAsia="黑体" w:cs="Times New Roman"/>
                <w:sz w:val="24"/>
              </w:rPr>
              <w:t>项目主题：基于区块链+MetaMask的霓裳阁穿搭成长记录DApp设计与实现</w:t>
            </w:r>
            <w:bookmarkEnd w:id="769"/>
            <w:bookmarkEnd w:id="770"/>
          </w:p>
        </w:tc>
      </w:tr>
      <w:tr w14:paraId="74C06B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5143C18">
            <w:pPr>
              <w:jc w:val="left"/>
              <w:rPr>
                <w:rFonts w:ascii="Calibri" w:hAnsi="Calibri" w:eastAsia="黑体" w:cs="Times New Roman"/>
                <w:sz w:val="24"/>
              </w:rPr>
            </w:pPr>
            <w:r>
              <w:rPr>
                <w:rFonts w:hint="eastAsia" w:ascii="Calibri" w:hAnsi="Calibri" w:eastAsia="黑体" w:cs="Times New Roman"/>
                <w:sz w:val="24"/>
              </w:rPr>
              <w:t>班    级：23区块链工程本科1班</w:t>
            </w:r>
          </w:p>
        </w:tc>
      </w:tr>
      <w:tr w14:paraId="6D0D8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FBC5E6B">
            <w:pPr>
              <w:jc w:val="left"/>
              <w:rPr>
                <w:rFonts w:ascii="Calibri" w:hAnsi="Calibri" w:eastAsia="黑体" w:cs="Times New Roman"/>
                <w:szCs w:val="21"/>
              </w:rPr>
            </w:pPr>
            <w:r>
              <w:rPr>
                <w:rFonts w:hint="eastAsia" w:ascii="Calibri" w:hAnsi="Calibri" w:eastAsia="黑体" w:cs="Times New Roman"/>
                <w:sz w:val="24"/>
              </w:rPr>
              <w:t>学生姓名：兰婷 赵欣怡 彭梦琴 陈乐 罗世利    指导教师： 翟剑锟</w:t>
            </w:r>
          </w:p>
        </w:tc>
      </w:tr>
    </w:tbl>
    <w:p w14:paraId="36B801BF">
      <w:pPr>
        <w:spacing w:line="440" w:lineRule="exact"/>
        <w:rPr>
          <w:rFonts w:hint="eastAsia" w:ascii="宋体" w:hAnsi="宋体" w:eastAsia="宋体" w:cs="宋体"/>
          <w:b/>
          <w:bCs/>
          <w:sz w:val="28"/>
          <w:szCs w:val="28"/>
          <w:lang w:val="en-US"/>
        </w:rPr>
      </w:pPr>
      <w:r>
        <w:rPr>
          <w:rFonts w:hint="eastAsia" w:ascii="宋体" w:hAnsi="宋体" w:eastAsia="宋体" w:cs="宋体"/>
          <w:b/>
          <w:bCs/>
          <w:sz w:val="28"/>
          <w:szCs w:val="28"/>
        </w:rPr>
        <w:t xml:space="preserve">1 </w:t>
      </w:r>
      <w:r>
        <w:rPr>
          <w:rFonts w:hint="eastAsia" w:ascii="宋体" w:hAnsi="宋体" w:eastAsia="宋体" w:cs="宋体"/>
          <w:b/>
          <w:bCs/>
          <w:sz w:val="28"/>
          <w:szCs w:val="28"/>
          <w:lang w:val="en-US" w:eastAsia="zh-CN"/>
        </w:rPr>
        <w:t>项目概述</w:t>
      </w:r>
    </w:p>
    <w:p w14:paraId="77FC3D8B">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7F16C31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lang w:val="en-US" w:eastAsia="zh-CN"/>
        </w:rPr>
        <w:t>本项目</w:t>
      </w:r>
      <w:r>
        <w:rPr>
          <w:rFonts w:hint="eastAsia" w:ascii="Calibri" w:hAnsi="Calibri" w:eastAsia="宋体" w:cs="Times New Roman"/>
          <w:sz w:val="24"/>
          <w:szCs w:val="24"/>
        </w:rPr>
        <w:t>是一款基于区块链技术的去中心化穿搭记录应用（DApp），核心目标是帮助用户记录、分享并追踪个人穿搭风格的成长、尝试与变化。用户通过连接MetaMask钱包即可登录，以“霓裳志”的形式发布包含标题、计划、心得和照片的穿搭记录，并使用风格尝试、日常穿搭等标签进行分类。平台区分普通用户账户与主账户（管理员），普通用户可发布和浏览内容，管理员则负责内容审核与账户权限管理。项目利用区块链技术确保记录的真实性、安全性与不可篡改性，致力于为用户提供一个专属的、可信的穿搭成长轨迹记录平台，助力审美进阶与个性化表达。</w:t>
      </w:r>
    </w:p>
    <w:p w14:paraId="4BD5A49A">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eastAsia" w:ascii="宋体" w:hAnsi="宋体" w:eastAsia="宋体" w:cs="宋体"/>
          <w:sz w:val="21"/>
          <w:szCs w:val="21"/>
          <w:lang w:val="en-US"/>
        </w:rPr>
      </w:pPr>
      <w:r>
        <w:rPr>
          <w:rFonts w:ascii="Calibri" w:hAnsi="Calibri" w:eastAsia="宋体" w:cs="Times New Roman"/>
        </w:rPr>
        <w:drawing>
          <wp:anchor distT="0" distB="0" distL="114300" distR="114300" simplePos="0" relativeHeight="251738112" behindDoc="0" locked="0" layoutInCell="1" allowOverlap="1">
            <wp:simplePos x="0" y="0"/>
            <wp:positionH relativeFrom="column">
              <wp:posOffset>1763395</wp:posOffset>
            </wp:positionH>
            <wp:positionV relativeFrom="paragraph">
              <wp:posOffset>117475</wp:posOffset>
            </wp:positionV>
            <wp:extent cx="1862455" cy="3384550"/>
            <wp:effectExtent l="0" t="0" r="4445" b="6350"/>
            <wp:wrapTopAndBottom/>
            <wp:docPr id="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
                    <pic:cNvPicPr>
                      <a:picLocks noChangeAspect="1"/>
                    </pic:cNvPicPr>
                  </pic:nvPicPr>
                  <pic:blipFill>
                    <a:blip r:embed="rId266"/>
                    <a:stretch>
                      <a:fillRect/>
                    </a:stretch>
                  </pic:blipFill>
                  <pic:spPr>
                    <a:xfrm>
                      <a:off x="0" y="0"/>
                      <a:ext cx="1862455" cy="3384550"/>
                    </a:xfrm>
                    <a:prstGeom prst="rect">
                      <a:avLst/>
                    </a:prstGeom>
                    <a:noFill/>
                    <a:ln>
                      <a:noFill/>
                    </a:ln>
                  </pic:spPr>
                </pic:pic>
              </a:graphicData>
            </a:graphic>
          </wp:anchor>
        </w:drawing>
      </w:r>
      <w:r>
        <w:rPr>
          <w:rFonts w:hint="eastAsia" w:ascii="宋体" w:hAnsi="宋体" w:eastAsia="宋体" w:cs="宋体"/>
          <w:sz w:val="21"/>
          <w:szCs w:val="21"/>
          <w:lang w:val="en-US" w:eastAsia="zh-CN"/>
        </w:rPr>
        <w:t>图1.穿搭应用</w:t>
      </w:r>
    </w:p>
    <w:p w14:paraId="2649B44B">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218589F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前端技术栈的核心在于构建用户与Web应用之间的交互界面。HTML负责页面的结构，CSS负责页面的样式，而JavaScript则负责页面的交互逻辑。这三者相互协作，</w:t>
      </w:r>
      <w:r>
        <w:rPr>
          <w:rFonts w:hint="eastAsia" w:ascii="Calibri" w:hAnsi="Calibri" w:eastAsia="宋体" w:cs="Times New Roman"/>
          <w:sz w:val="24"/>
          <w:szCs w:val="24"/>
          <w:lang w:val="en-US" w:eastAsia="zh-CN"/>
        </w:rPr>
        <w:t>可以开发</w:t>
      </w:r>
      <w:r>
        <w:rPr>
          <w:rFonts w:hint="eastAsia" w:ascii="Calibri" w:hAnsi="Calibri" w:eastAsia="宋体" w:cs="Times New Roman"/>
          <w:sz w:val="24"/>
          <w:szCs w:val="24"/>
        </w:rPr>
        <w:t>Web</w:t>
      </w:r>
      <w:r>
        <w:rPr>
          <w:rFonts w:hint="eastAsia" w:ascii="Calibri" w:hAnsi="Calibri" w:eastAsia="宋体" w:cs="Times New Roman"/>
          <w:sz w:val="24"/>
          <w:szCs w:val="24"/>
          <w:lang w:val="en-US" w:eastAsia="zh-CN"/>
        </w:rPr>
        <w:t>2.0互联网交互</w:t>
      </w:r>
      <w:r>
        <w:rPr>
          <w:rFonts w:hint="eastAsia" w:ascii="Calibri" w:hAnsi="Calibri" w:eastAsia="宋体" w:cs="Times New Roman"/>
          <w:sz w:val="24"/>
          <w:szCs w:val="24"/>
        </w:rPr>
        <w:t>应用。</w:t>
      </w:r>
    </w:p>
    <w:p w14:paraId="140AD4A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HTML（HyperText Markup Language，超文本标记语言）是用于描述网页结构的标记语言（并非编程语言），核心作用是通过预定义的“标记（标签）”告诉浏览器如何组织和展示网页内容（如标题、段落、图片、链接等）。</w:t>
      </w:r>
    </w:p>
    <w:p w14:paraId="7E513C3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关键特征：</w:t>
      </w:r>
    </w:p>
    <w:p w14:paraId="18287A4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超文本：支持文本关联（如超链接），可跳转到其他页面、文件或资源，突破纯文本的线性限制；</w:t>
      </w:r>
    </w:p>
    <w:p w14:paraId="6B7DE9E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标记性：通过 &lt;标签&gt; 包裹内容，定义内容的“语义”（如&lt;h1&gt;表示一级标题），而非“样式”（样式由 CSS 负责）；</w:t>
      </w:r>
    </w:p>
    <w:p w14:paraId="008DA5B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平台无关性：编写的 HTML 页面可在所有主流浏览器（Chrome、Firefox 等）、所有设备（PC、手机）上运行；</w:t>
      </w:r>
    </w:p>
    <w:p w14:paraId="0F72401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版本迭代：目前主流为 HTML5，新增语义化标签、原生多媒体、Canvas 等特性，替代传统 HTML4。</w:t>
      </w:r>
    </w:p>
    <w:p w14:paraId="0E24BC3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eastAsia="zh-CN"/>
        </w:rPr>
      </w:pPr>
      <w:r>
        <w:rPr>
          <w:rFonts w:hint="eastAsia" w:ascii="Calibri" w:hAnsi="Calibri" w:eastAsia="宋体" w:cs="Times New Roman"/>
          <w:sz w:val="24"/>
          <w:szCs w:val="24"/>
        </w:rPr>
        <w:t>HTML 核心元素</w:t>
      </w:r>
      <w:r>
        <w:rPr>
          <w:rFonts w:hint="eastAsia" w:ascii="Calibri" w:hAnsi="Calibri" w:eastAsia="宋体" w:cs="Times New Roman"/>
          <w:sz w:val="24"/>
          <w:szCs w:val="24"/>
          <w:lang w:val="en-US" w:eastAsia="zh-CN"/>
        </w:rPr>
        <w:t>是</w:t>
      </w:r>
      <w:r>
        <w:rPr>
          <w:rFonts w:hint="eastAsia" w:ascii="Calibri" w:hAnsi="Calibri" w:eastAsia="宋体" w:cs="Times New Roman"/>
          <w:sz w:val="24"/>
          <w:szCs w:val="24"/>
        </w:rPr>
        <w:t>最小功能单元，本质是标签 + 标签属性 + 标签包裹的内容</w:t>
      </w:r>
      <w:r>
        <w:rPr>
          <w:rFonts w:hint="eastAsia" w:ascii="Calibri" w:hAnsi="Calibri" w:eastAsia="宋体" w:cs="Times New Roman"/>
          <w:sz w:val="24"/>
          <w:szCs w:val="24"/>
          <w:lang w:eastAsia="zh-CN"/>
        </w:rPr>
        <w:t>。</w:t>
      </w:r>
    </w:p>
    <w:p w14:paraId="0EAC93F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元素的分类（按结构）</w:t>
      </w:r>
    </w:p>
    <w:p w14:paraId="4453227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表1.1元素类型</w:t>
      </w:r>
    </w:p>
    <w:tbl>
      <w:tblPr>
        <w:tblStyle w:val="35"/>
        <w:tblW w:w="0" w:type="auto"/>
        <w:tblInd w:w="157"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13"/>
        <w:gridCol w:w="2070"/>
        <w:gridCol w:w="2070"/>
        <w:gridCol w:w="2070"/>
      </w:tblGrid>
      <w:tr w14:paraId="7F248D9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13" w:type="dxa"/>
            <w:tcMar>
              <w:top w:w="60" w:type="dxa"/>
              <w:left w:w="120" w:type="dxa"/>
              <w:bottom w:w="30" w:type="dxa"/>
              <w:right w:w="120" w:type="dxa"/>
            </w:tcMar>
          </w:tcPr>
          <w:p w14:paraId="3C43EA6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类型</w:t>
            </w:r>
          </w:p>
        </w:tc>
        <w:tc>
          <w:tcPr>
            <w:tcW w:w="2070" w:type="dxa"/>
            <w:tcMar>
              <w:top w:w="60" w:type="dxa"/>
              <w:left w:w="120" w:type="dxa"/>
              <w:bottom w:w="30" w:type="dxa"/>
              <w:right w:w="120" w:type="dxa"/>
            </w:tcMar>
          </w:tcPr>
          <w:p w14:paraId="3B90A51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定义</w:t>
            </w:r>
          </w:p>
        </w:tc>
        <w:tc>
          <w:tcPr>
            <w:tcW w:w="2070" w:type="dxa"/>
            <w:tcMar>
              <w:top w:w="60" w:type="dxa"/>
              <w:left w:w="120" w:type="dxa"/>
              <w:bottom w:w="30" w:type="dxa"/>
              <w:right w:w="120" w:type="dxa"/>
            </w:tcMar>
          </w:tcPr>
          <w:p w14:paraId="435CFC0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c>
          <w:tcPr>
            <w:tcW w:w="2070" w:type="dxa"/>
            <w:tcMar>
              <w:top w:w="60" w:type="dxa"/>
              <w:left w:w="120" w:type="dxa"/>
              <w:bottom w:w="30" w:type="dxa"/>
              <w:right w:w="120" w:type="dxa"/>
            </w:tcMar>
          </w:tcPr>
          <w:p w14:paraId="416E09D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特点</w:t>
            </w:r>
          </w:p>
        </w:tc>
      </w:tr>
      <w:tr w14:paraId="2CAF44D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13" w:type="dxa"/>
            <w:tcMar>
              <w:top w:w="60" w:type="dxa"/>
              <w:left w:w="120" w:type="dxa"/>
              <w:bottom w:w="30" w:type="dxa"/>
              <w:right w:w="120" w:type="dxa"/>
            </w:tcMar>
          </w:tcPr>
          <w:p w14:paraId="5CB217A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双标签元素</w:t>
            </w:r>
          </w:p>
        </w:tc>
        <w:tc>
          <w:tcPr>
            <w:tcW w:w="2070" w:type="dxa"/>
            <w:tcMar>
              <w:top w:w="60" w:type="dxa"/>
              <w:left w:w="120" w:type="dxa"/>
              <w:bottom w:w="30" w:type="dxa"/>
              <w:right w:w="120" w:type="dxa"/>
            </w:tcMar>
          </w:tcPr>
          <w:p w14:paraId="517D0EC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有开始标签和结束标签，包裹内容</w:t>
            </w:r>
          </w:p>
        </w:tc>
        <w:tc>
          <w:tcPr>
            <w:tcW w:w="2070" w:type="dxa"/>
            <w:tcMar>
              <w:top w:w="60" w:type="dxa"/>
              <w:left w:w="120" w:type="dxa"/>
              <w:bottom w:w="30" w:type="dxa"/>
              <w:right w:w="120" w:type="dxa"/>
            </w:tcMar>
          </w:tcPr>
          <w:p w14:paraId="79776C4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&lt;p&gt;段落内容&lt;/p&gt;</w:t>
            </w:r>
          </w:p>
        </w:tc>
        <w:tc>
          <w:tcPr>
            <w:tcW w:w="2070" w:type="dxa"/>
            <w:tcMar>
              <w:top w:w="60" w:type="dxa"/>
              <w:left w:w="120" w:type="dxa"/>
              <w:bottom w:w="30" w:type="dxa"/>
              <w:right w:w="120" w:type="dxa"/>
            </w:tcMar>
          </w:tcPr>
          <w:p w14:paraId="45691BD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可包含文本、其他元素</w:t>
            </w:r>
          </w:p>
        </w:tc>
      </w:tr>
      <w:tr w14:paraId="55A8BFA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13" w:type="dxa"/>
            <w:tcMar>
              <w:top w:w="60" w:type="dxa"/>
              <w:left w:w="120" w:type="dxa"/>
              <w:bottom w:w="30" w:type="dxa"/>
              <w:right w:w="120" w:type="dxa"/>
            </w:tcMar>
          </w:tcPr>
          <w:p w14:paraId="122C7BC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单标签元素</w:t>
            </w:r>
          </w:p>
        </w:tc>
        <w:tc>
          <w:tcPr>
            <w:tcW w:w="2070" w:type="dxa"/>
            <w:tcMar>
              <w:top w:w="60" w:type="dxa"/>
              <w:left w:w="120" w:type="dxa"/>
              <w:bottom w:w="30" w:type="dxa"/>
              <w:right w:w="120" w:type="dxa"/>
            </w:tcMar>
          </w:tcPr>
          <w:p w14:paraId="13AEC2D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自闭合标签，无内容（空元素）</w:t>
            </w:r>
          </w:p>
        </w:tc>
        <w:tc>
          <w:tcPr>
            <w:tcW w:w="2070" w:type="dxa"/>
            <w:tcMar>
              <w:top w:w="60" w:type="dxa"/>
              <w:left w:w="120" w:type="dxa"/>
              <w:bottom w:w="30" w:type="dxa"/>
              <w:right w:w="120" w:type="dxa"/>
            </w:tcMar>
          </w:tcPr>
          <w:p w14:paraId="7571665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&lt;img src="pic.jpg"&gt;</w:t>
            </w:r>
          </w:p>
        </w:tc>
        <w:tc>
          <w:tcPr>
            <w:tcW w:w="2070" w:type="dxa"/>
            <w:tcMar>
              <w:top w:w="60" w:type="dxa"/>
              <w:left w:w="120" w:type="dxa"/>
              <w:bottom w:w="30" w:type="dxa"/>
              <w:right w:w="120" w:type="dxa"/>
            </w:tcMar>
          </w:tcPr>
          <w:p w14:paraId="670B80D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仅通过属性实现功能</w:t>
            </w:r>
          </w:p>
        </w:tc>
      </w:tr>
    </w:tbl>
    <w:p w14:paraId="7412E54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元素的组成部分（以双标签为例）</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05F322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280" w:type="dxa"/>
            <w:shd w:val="clear" w:color="auto" w:fill="F5F6F7"/>
            <w:tcMar>
              <w:top w:w="60" w:type="dxa"/>
              <w:left w:w="120" w:type="dxa"/>
              <w:bottom w:w="30" w:type="dxa"/>
              <w:right w:w="120" w:type="dxa"/>
            </w:tcMar>
          </w:tcPr>
          <w:p w14:paraId="31836671">
            <w:pPr>
              <w:spacing w:before="120" w:after="120" w:line="288" w:lineRule="auto"/>
              <w:jc w:val="left"/>
              <w:rPr>
                <w:rFonts w:hint="eastAsia" w:ascii="宋体" w:hAnsi="宋体" w:eastAsia="宋体" w:cs="宋体"/>
              </w:rPr>
            </w:pPr>
            <w:r>
              <w:rPr>
                <w:rFonts w:hint="eastAsia" w:ascii="宋体" w:hAnsi="宋体" w:eastAsia="宋体" w:cs="宋体"/>
                <w:color w:val="646A73"/>
                <w:sz w:val="22"/>
              </w:rPr>
              <w:t>html</w:t>
            </w:r>
            <w:r>
              <w:rPr>
                <w:rFonts w:hint="eastAsia" w:ascii="宋体" w:hAnsi="宋体" w:eastAsia="宋体" w:cs="宋体"/>
                <w:color w:val="646A73"/>
                <w:sz w:val="22"/>
              </w:rPr>
              <w:br w:type="textWrapping"/>
            </w:r>
            <w:r>
              <w:rPr>
                <w:rFonts w:hint="eastAsia" w:ascii="宋体" w:hAnsi="宋体" w:eastAsia="宋体" w:cs="宋体"/>
                <w:sz w:val="22"/>
              </w:rPr>
              <w:t>&lt;!-- 完整结构：&lt;标签 属性名1="属性值1" 属性名2="属性值2"&gt;内容&lt;/标签&gt; --&gt;</w:t>
            </w:r>
            <w:r>
              <w:rPr>
                <w:rFonts w:hint="eastAsia" w:ascii="宋体" w:hAnsi="宋体" w:eastAsia="宋体" w:cs="宋体"/>
                <w:sz w:val="22"/>
              </w:rPr>
              <w:br w:type="textWrapping"/>
            </w:r>
            <w:r>
              <w:rPr>
                <w:rFonts w:hint="eastAsia" w:ascii="宋体" w:hAnsi="宋体" w:eastAsia="宋体" w:cs="宋体"/>
                <w:sz w:val="22"/>
              </w:rPr>
              <w:t>&lt;a href="https://www.baidu.com" target="_blank"&gt;百度链接&lt;/a&gt;</w:t>
            </w:r>
          </w:p>
        </w:tc>
      </w:tr>
    </w:tbl>
    <w:p w14:paraId="5411019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标签（Tag）：&lt;a&gt;（开始标签）、&lt;/a&gt;（结束标签），定义元素类型（此处为超链接）；</w:t>
      </w:r>
    </w:p>
    <w:p w14:paraId="54EDBD8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属性（Attribute）：href="https://www.baidu.com"（核心属性，指定跳转地址）、target="_blank"（辅助属性，指定新窗口打开），格式为属性名="属性值"，多个属性用空格分隔；</w:t>
      </w:r>
    </w:p>
    <w:p w14:paraId="4BF5BC0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内容（Content）：“百度链接”，即元素要展示的内容（单标签无此部分）。</w:t>
      </w:r>
    </w:p>
    <w:p w14:paraId="50E9490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常见核心元素</w:t>
      </w:r>
    </w:p>
    <w:p w14:paraId="5729FCB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表1.2元素类型</w:t>
      </w:r>
    </w:p>
    <w:tbl>
      <w:tblPr>
        <w:tblStyle w:val="35"/>
        <w:tblW w:w="0" w:type="auto"/>
        <w:tblInd w:w="145"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615"/>
        <w:gridCol w:w="2760"/>
        <w:gridCol w:w="2869"/>
      </w:tblGrid>
      <w:tr w14:paraId="17A55C7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15" w:type="dxa"/>
            <w:tcMar>
              <w:top w:w="60" w:type="dxa"/>
              <w:left w:w="120" w:type="dxa"/>
              <w:bottom w:w="30" w:type="dxa"/>
              <w:right w:w="120" w:type="dxa"/>
            </w:tcMar>
          </w:tcPr>
          <w:p w14:paraId="04A5E45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元素类型</w:t>
            </w:r>
          </w:p>
        </w:tc>
        <w:tc>
          <w:tcPr>
            <w:tcW w:w="2760" w:type="dxa"/>
            <w:tcMar>
              <w:top w:w="60" w:type="dxa"/>
              <w:left w:w="120" w:type="dxa"/>
              <w:bottom w:w="30" w:type="dxa"/>
              <w:right w:w="120" w:type="dxa"/>
            </w:tcMar>
          </w:tcPr>
          <w:p w14:paraId="170F687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示例元素</w:t>
            </w:r>
          </w:p>
        </w:tc>
        <w:tc>
          <w:tcPr>
            <w:tcW w:w="2869" w:type="dxa"/>
            <w:tcMar>
              <w:top w:w="60" w:type="dxa"/>
              <w:left w:w="120" w:type="dxa"/>
              <w:bottom w:w="30" w:type="dxa"/>
              <w:right w:w="120" w:type="dxa"/>
            </w:tcMar>
          </w:tcPr>
          <w:p w14:paraId="1ACD527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用途</w:t>
            </w:r>
          </w:p>
        </w:tc>
      </w:tr>
      <w:tr w14:paraId="1599CD0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15" w:type="dxa"/>
            <w:tcMar>
              <w:top w:w="60" w:type="dxa"/>
              <w:left w:w="120" w:type="dxa"/>
              <w:bottom w:w="30" w:type="dxa"/>
              <w:right w:w="120" w:type="dxa"/>
            </w:tcMar>
          </w:tcPr>
          <w:p w14:paraId="7E67D85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结构元素</w:t>
            </w:r>
          </w:p>
        </w:tc>
        <w:tc>
          <w:tcPr>
            <w:tcW w:w="2760" w:type="dxa"/>
            <w:tcMar>
              <w:top w:w="60" w:type="dxa"/>
              <w:left w:w="120" w:type="dxa"/>
              <w:bottom w:w="30" w:type="dxa"/>
              <w:right w:w="120" w:type="dxa"/>
            </w:tcMar>
          </w:tcPr>
          <w:p w14:paraId="1A0AD06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&lt;html&gt;/&lt;head&gt;/&lt;body&gt;</w:t>
            </w:r>
          </w:p>
        </w:tc>
        <w:tc>
          <w:tcPr>
            <w:tcW w:w="2869" w:type="dxa"/>
            <w:tcMar>
              <w:top w:w="60" w:type="dxa"/>
              <w:left w:w="120" w:type="dxa"/>
              <w:bottom w:w="30" w:type="dxa"/>
              <w:right w:w="120" w:type="dxa"/>
            </w:tcMar>
          </w:tcPr>
          <w:p w14:paraId="6EC81B4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页面核心骨架</w:t>
            </w:r>
          </w:p>
        </w:tc>
      </w:tr>
      <w:tr w14:paraId="2673610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15" w:type="dxa"/>
            <w:tcMar>
              <w:top w:w="60" w:type="dxa"/>
              <w:left w:w="120" w:type="dxa"/>
              <w:bottom w:w="30" w:type="dxa"/>
              <w:right w:w="120" w:type="dxa"/>
            </w:tcMar>
          </w:tcPr>
          <w:p w14:paraId="397A84B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文本元素</w:t>
            </w:r>
          </w:p>
        </w:tc>
        <w:tc>
          <w:tcPr>
            <w:tcW w:w="2760" w:type="dxa"/>
            <w:tcMar>
              <w:top w:w="60" w:type="dxa"/>
              <w:left w:w="120" w:type="dxa"/>
              <w:bottom w:w="30" w:type="dxa"/>
              <w:right w:w="120" w:type="dxa"/>
            </w:tcMar>
          </w:tcPr>
          <w:p w14:paraId="5CF055C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&lt;h1&gt;/&lt;p&gt;/&lt;span&gt;</w:t>
            </w:r>
          </w:p>
        </w:tc>
        <w:tc>
          <w:tcPr>
            <w:tcW w:w="2869" w:type="dxa"/>
            <w:tcMar>
              <w:top w:w="60" w:type="dxa"/>
              <w:left w:w="120" w:type="dxa"/>
              <w:bottom w:w="30" w:type="dxa"/>
              <w:right w:w="120" w:type="dxa"/>
            </w:tcMar>
          </w:tcPr>
          <w:p w14:paraId="1D2B341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标题、段落、行内文本</w:t>
            </w:r>
          </w:p>
        </w:tc>
      </w:tr>
      <w:tr w14:paraId="381C067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15" w:type="dxa"/>
            <w:tcMar>
              <w:top w:w="60" w:type="dxa"/>
              <w:left w:w="120" w:type="dxa"/>
              <w:bottom w:w="30" w:type="dxa"/>
              <w:right w:w="120" w:type="dxa"/>
            </w:tcMar>
          </w:tcPr>
          <w:p w14:paraId="2029363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功能元素</w:t>
            </w:r>
          </w:p>
        </w:tc>
        <w:tc>
          <w:tcPr>
            <w:tcW w:w="2760" w:type="dxa"/>
            <w:tcMar>
              <w:top w:w="60" w:type="dxa"/>
              <w:left w:w="120" w:type="dxa"/>
              <w:bottom w:w="30" w:type="dxa"/>
              <w:right w:w="120" w:type="dxa"/>
            </w:tcMar>
          </w:tcPr>
          <w:p w14:paraId="7EB5ED5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&lt;a&gt;/&lt;img&gt;/&lt;form&gt;</w:t>
            </w:r>
          </w:p>
        </w:tc>
        <w:tc>
          <w:tcPr>
            <w:tcW w:w="2869" w:type="dxa"/>
            <w:tcMar>
              <w:top w:w="60" w:type="dxa"/>
              <w:left w:w="120" w:type="dxa"/>
              <w:bottom w:w="30" w:type="dxa"/>
              <w:right w:w="120" w:type="dxa"/>
            </w:tcMar>
          </w:tcPr>
          <w:p w14:paraId="4B35112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链接、图片、表单</w:t>
            </w:r>
          </w:p>
        </w:tc>
      </w:tr>
      <w:tr w14:paraId="4125992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15" w:type="dxa"/>
            <w:tcMar>
              <w:top w:w="60" w:type="dxa"/>
              <w:left w:w="120" w:type="dxa"/>
              <w:bottom w:w="30" w:type="dxa"/>
              <w:right w:w="120" w:type="dxa"/>
            </w:tcMar>
          </w:tcPr>
          <w:p w14:paraId="7D0445D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布局元素</w:t>
            </w:r>
          </w:p>
        </w:tc>
        <w:tc>
          <w:tcPr>
            <w:tcW w:w="2760" w:type="dxa"/>
            <w:tcMar>
              <w:top w:w="60" w:type="dxa"/>
              <w:left w:w="120" w:type="dxa"/>
              <w:bottom w:w="30" w:type="dxa"/>
              <w:right w:w="120" w:type="dxa"/>
            </w:tcMar>
          </w:tcPr>
          <w:p w14:paraId="67C1F6F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&lt;div&gt;/&lt;header&gt;/&lt;nav&gt;</w:t>
            </w:r>
          </w:p>
        </w:tc>
        <w:tc>
          <w:tcPr>
            <w:tcW w:w="2869" w:type="dxa"/>
            <w:tcMar>
              <w:top w:w="60" w:type="dxa"/>
              <w:left w:w="120" w:type="dxa"/>
              <w:bottom w:w="30" w:type="dxa"/>
              <w:right w:w="120" w:type="dxa"/>
            </w:tcMar>
          </w:tcPr>
          <w:p w14:paraId="03E6F71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页面布局容器</w:t>
            </w:r>
          </w:p>
        </w:tc>
      </w:tr>
    </w:tbl>
    <w:p w14:paraId="422D3B3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HTML 核心语法规则</w:t>
      </w:r>
      <w:r>
        <w:rPr>
          <w:rFonts w:hint="eastAsia" w:ascii="宋体" w:hAnsi="宋体" w:eastAsia="宋体" w:cs="宋体"/>
          <w:sz w:val="24"/>
          <w:szCs w:val="24"/>
          <w:lang w:eastAsia="zh-CN"/>
        </w:rPr>
        <w:t>，</w:t>
      </w:r>
      <w:r>
        <w:rPr>
          <w:rFonts w:hint="eastAsia" w:ascii="宋体" w:hAnsi="宋体" w:eastAsia="宋体" w:cs="宋体"/>
          <w:sz w:val="24"/>
          <w:szCs w:val="24"/>
        </w:rPr>
        <w:t>HTML 语法是编写有效 HTML 代码的基础，遵循以下规则可保证页面兼容性和可读性</w:t>
      </w:r>
      <w:r>
        <w:rPr>
          <w:rFonts w:hint="eastAsia" w:ascii="宋体" w:hAnsi="宋体" w:eastAsia="宋体" w:cs="宋体"/>
          <w:sz w:val="24"/>
          <w:szCs w:val="24"/>
          <w:lang w:eastAsia="zh-CN"/>
        </w:rPr>
        <w:t>。</w:t>
      </w:r>
    </w:p>
    <w:p w14:paraId="373EFB6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表1.2基本语法规则表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070"/>
        <w:gridCol w:w="2070"/>
        <w:gridCol w:w="2070"/>
        <w:gridCol w:w="2070"/>
      </w:tblGrid>
      <w:tr w14:paraId="589AEB0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351F758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规则</w:t>
            </w:r>
          </w:p>
        </w:tc>
        <w:tc>
          <w:tcPr>
            <w:tcW w:w="2070" w:type="dxa"/>
            <w:tcMar>
              <w:top w:w="60" w:type="dxa"/>
              <w:left w:w="120" w:type="dxa"/>
              <w:bottom w:w="30" w:type="dxa"/>
              <w:right w:w="120" w:type="dxa"/>
            </w:tcMar>
          </w:tcPr>
          <w:p w14:paraId="4C2AFE1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说明</w:t>
            </w:r>
          </w:p>
        </w:tc>
        <w:tc>
          <w:tcPr>
            <w:tcW w:w="2070" w:type="dxa"/>
            <w:tcMar>
              <w:top w:w="60" w:type="dxa"/>
              <w:left w:w="120" w:type="dxa"/>
              <w:bottom w:w="30" w:type="dxa"/>
              <w:right w:w="120" w:type="dxa"/>
            </w:tcMar>
          </w:tcPr>
          <w:p w14:paraId="57695E2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正确示例</w:t>
            </w:r>
          </w:p>
        </w:tc>
        <w:tc>
          <w:tcPr>
            <w:tcW w:w="2070" w:type="dxa"/>
            <w:tcMar>
              <w:top w:w="60" w:type="dxa"/>
              <w:left w:w="120" w:type="dxa"/>
              <w:bottom w:w="30" w:type="dxa"/>
              <w:right w:w="120" w:type="dxa"/>
            </w:tcMar>
          </w:tcPr>
          <w:p w14:paraId="01B6761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错误示例</w:t>
            </w:r>
          </w:p>
        </w:tc>
      </w:tr>
      <w:tr w14:paraId="7EDC043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7FD4E47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标签大小写不敏感</w:t>
            </w:r>
          </w:p>
        </w:tc>
        <w:tc>
          <w:tcPr>
            <w:tcW w:w="2070" w:type="dxa"/>
            <w:tcMar>
              <w:top w:w="60" w:type="dxa"/>
              <w:left w:w="120" w:type="dxa"/>
              <w:bottom w:w="30" w:type="dxa"/>
              <w:right w:w="120" w:type="dxa"/>
            </w:tcMar>
          </w:tcPr>
          <w:p w14:paraId="39C71FB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推荐用小写（行业规范）</w:t>
            </w:r>
          </w:p>
        </w:tc>
        <w:tc>
          <w:tcPr>
            <w:tcW w:w="2070" w:type="dxa"/>
            <w:tcMar>
              <w:top w:w="60" w:type="dxa"/>
              <w:left w:w="120" w:type="dxa"/>
              <w:bottom w:w="30" w:type="dxa"/>
              <w:right w:w="120" w:type="dxa"/>
            </w:tcMar>
          </w:tcPr>
          <w:p w14:paraId="4B41904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&lt;p&gt;内容&lt;/p&gt;</w:t>
            </w:r>
          </w:p>
        </w:tc>
        <w:tc>
          <w:tcPr>
            <w:tcW w:w="2070" w:type="dxa"/>
            <w:tcMar>
              <w:top w:w="60" w:type="dxa"/>
              <w:left w:w="120" w:type="dxa"/>
              <w:bottom w:w="30" w:type="dxa"/>
              <w:right w:w="120" w:type="dxa"/>
            </w:tcMar>
          </w:tcPr>
          <w:p w14:paraId="1EF6A0C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&lt;P&gt;内容&lt;/P&gt;（不报错但不规范）</w:t>
            </w:r>
          </w:p>
        </w:tc>
      </w:tr>
      <w:tr w14:paraId="6268D67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46129A1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属性值必须加引号</w:t>
            </w:r>
          </w:p>
        </w:tc>
        <w:tc>
          <w:tcPr>
            <w:tcW w:w="2070" w:type="dxa"/>
            <w:tcMar>
              <w:top w:w="60" w:type="dxa"/>
              <w:left w:w="120" w:type="dxa"/>
              <w:bottom w:w="30" w:type="dxa"/>
              <w:right w:w="120" w:type="dxa"/>
            </w:tcMar>
          </w:tcPr>
          <w:p w14:paraId="5E0912B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单引号/双引号均可，推荐双引号</w:t>
            </w:r>
          </w:p>
        </w:tc>
        <w:tc>
          <w:tcPr>
            <w:tcW w:w="2070" w:type="dxa"/>
            <w:tcMar>
              <w:top w:w="60" w:type="dxa"/>
              <w:left w:w="120" w:type="dxa"/>
              <w:bottom w:w="30" w:type="dxa"/>
              <w:right w:w="120" w:type="dxa"/>
            </w:tcMar>
          </w:tcPr>
          <w:p w14:paraId="47F5CC7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&lt;img src="pic.jpg"&gt;</w:t>
            </w:r>
          </w:p>
        </w:tc>
        <w:tc>
          <w:tcPr>
            <w:tcW w:w="2070" w:type="dxa"/>
            <w:tcMar>
              <w:top w:w="60" w:type="dxa"/>
              <w:left w:w="120" w:type="dxa"/>
              <w:bottom w:w="30" w:type="dxa"/>
              <w:right w:w="120" w:type="dxa"/>
            </w:tcMar>
          </w:tcPr>
          <w:p w14:paraId="5FAD407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&lt;img src=pic.jpg&gt;</w:t>
            </w:r>
          </w:p>
        </w:tc>
      </w:tr>
      <w:tr w14:paraId="77E36F1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08CA9FF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标签必须正确嵌套</w:t>
            </w:r>
          </w:p>
        </w:tc>
        <w:tc>
          <w:tcPr>
            <w:tcW w:w="2070" w:type="dxa"/>
            <w:tcMar>
              <w:top w:w="60" w:type="dxa"/>
              <w:left w:w="120" w:type="dxa"/>
              <w:bottom w:w="30" w:type="dxa"/>
              <w:right w:w="120" w:type="dxa"/>
            </w:tcMar>
          </w:tcPr>
          <w:p w14:paraId="7F82086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双标签需成对闭合，嵌套要层次清晰</w:t>
            </w:r>
          </w:p>
        </w:tc>
        <w:tc>
          <w:tcPr>
            <w:tcW w:w="2070" w:type="dxa"/>
            <w:tcMar>
              <w:top w:w="60" w:type="dxa"/>
              <w:left w:w="120" w:type="dxa"/>
              <w:bottom w:w="30" w:type="dxa"/>
              <w:right w:w="120" w:type="dxa"/>
            </w:tcMar>
          </w:tcPr>
          <w:p w14:paraId="7AAEE4C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&lt;div&gt;&lt;p&gt;内容&lt;/p&gt;&lt;/div&gt;</w:t>
            </w:r>
          </w:p>
        </w:tc>
        <w:tc>
          <w:tcPr>
            <w:tcW w:w="2070" w:type="dxa"/>
            <w:tcMar>
              <w:top w:w="60" w:type="dxa"/>
              <w:left w:w="120" w:type="dxa"/>
              <w:bottom w:w="30" w:type="dxa"/>
              <w:right w:w="120" w:type="dxa"/>
            </w:tcMar>
          </w:tcPr>
          <w:p w14:paraId="1FE2981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&lt;div&gt;&lt;p&gt;内容&lt;/div&gt;&lt;/p&gt;</w:t>
            </w:r>
          </w:p>
        </w:tc>
      </w:tr>
      <w:tr w14:paraId="141C2FD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4508821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单标签需自闭合</w:t>
            </w:r>
          </w:p>
        </w:tc>
        <w:tc>
          <w:tcPr>
            <w:tcW w:w="2070" w:type="dxa"/>
            <w:tcMar>
              <w:top w:w="60" w:type="dxa"/>
              <w:left w:w="120" w:type="dxa"/>
              <w:bottom w:w="30" w:type="dxa"/>
              <w:right w:w="120" w:type="dxa"/>
            </w:tcMar>
          </w:tcPr>
          <w:p w14:paraId="020E99E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HTML5 可省略 /，但推荐保留（可读性）</w:t>
            </w:r>
          </w:p>
        </w:tc>
        <w:tc>
          <w:tcPr>
            <w:tcW w:w="2070" w:type="dxa"/>
            <w:tcMar>
              <w:top w:w="60" w:type="dxa"/>
              <w:left w:w="120" w:type="dxa"/>
              <w:bottom w:w="30" w:type="dxa"/>
              <w:right w:w="120" w:type="dxa"/>
            </w:tcMar>
          </w:tcPr>
          <w:p w14:paraId="7E461C8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&lt;img src="pic.jpg" /&gt;</w:t>
            </w:r>
          </w:p>
        </w:tc>
        <w:tc>
          <w:tcPr>
            <w:tcW w:w="2070" w:type="dxa"/>
            <w:tcMar>
              <w:top w:w="60" w:type="dxa"/>
              <w:left w:w="120" w:type="dxa"/>
              <w:bottom w:w="30" w:type="dxa"/>
              <w:right w:w="120" w:type="dxa"/>
            </w:tcMar>
          </w:tcPr>
          <w:p w14:paraId="186DE62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&lt;img src="pic.jpg"&gt;（HTML5 允许）</w:t>
            </w:r>
          </w:p>
        </w:tc>
      </w:tr>
      <w:tr w14:paraId="27BE46A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2522694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特殊字符需转义</w:t>
            </w:r>
          </w:p>
        </w:tc>
        <w:tc>
          <w:tcPr>
            <w:tcW w:w="2070" w:type="dxa"/>
            <w:tcMar>
              <w:top w:w="60" w:type="dxa"/>
              <w:left w:w="120" w:type="dxa"/>
              <w:bottom w:w="30" w:type="dxa"/>
              <w:right w:w="120" w:type="dxa"/>
            </w:tcMar>
          </w:tcPr>
          <w:p w14:paraId="556677E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如 &lt;/&gt;/空格等，需用实体字符替代</w:t>
            </w:r>
          </w:p>
        </w:tc>
        <w:tc>
          <w:tcPr>
            <w:tcW w:w="2070" w:type="dxa"/>
            <w:tcMar>
              <w:top w:w="60" w:type="dxa"/>
              <w:left w:w="120" w:type="dxa"/>
              <w:bottom w:w="30" w:type="dxa"/>
              <w:right w:w="120" w:type="dxa"/>
            </w:tcMar>
          </w:tcPr>
          <w:p w14:paraId="7C3BF7D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&amp;lt;（表示&lt;）</w:t>
            </w:r>
          </w:p>
        </w:tc>
        <w:tc>
          <w:tcPr>
            <w:tcW w:w="2070" w:type="dxa"/>
            <w:tcMar>
              <w:top w:w="60" w:type="dxa"/>
              <w:left w:w="120" w:type="dxa"/>
              <w:bottom w:w="30" w:type="dxa"/>
              <w:right w:w="120" w:type="dxa"/>
            </w:tcMar>
          </w:tcPr>
          <w:p w14:paraId="4F4CB25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直接写 &lt;（浏览器会识别为标签）</w:t>
            </w:r>
          </w:p>
        </w:tc>
      </w:tr>
    </w:tbl>
    <w:p w14:paraId="59752ED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eastAsia="zh-CN"/>
        </w:rPr>
      </w:pPr>
      <w:r>
        <w:rPr>
          <w:rFonts w:hint="eastAsia" w:ascii="Calibri" w:hAnsi="Calibri" w:eastAsia="宋体" w:cs="Times New Roman"/>
          <w:sz w:val="24"/>
          <w:szCs w:val="24"/>
        </w:rPr>
        <w:t>页面整体语法结构</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HTML 页面必须按固定层级编写，核心结构不可缺失</w:t>
      </w:r>
      <w:r>
        <w:rPr>
          <w:rFonts w:hint="eastAsia" w:ascii="Calibri" w:hAnsi="Calibri" w:eastAsia="宋体" w:cs="Times New Roman"/>
          <w:sz w:val="24"/>
          <w:szCs w:val="24"/>
          <w:lang w:eastAsia="zh-CN"/>
        </w:rPr>
        <w:t>。</w:t>
      </w:r>
    </w:p>
    <w:tbl>
      <w:tblPr>
        <w:tblStyle w:val="35"/>
        <w:tblW w:w="0" w:type="auto"/>
        <w:tblInd w:w="159"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21"/>
      </w:tblGrid>
      <w:tr w14:paraId="74CB42B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21" w:type="dxa"/>
            <w:shd w:val="clear" w:color="auto" w:fill="F5F6F7"/>
            <w:tcMar>
              <w:top w:w="60" w:type="dxa"/>
              <w:left w:w="120" w:type="dxa"/>
              <w:bottom w:w="30" w:type="dxa"/>
              <w:right w:w="120" w:type="dxa"/>
            </w:tcMar>
          </w:tcPr>
          <w:p w14:paraId="7B8CB37E">
            <w:pPr>
              <w:spacing w:before="120" w:after="120" w:line="288" w:lineRule="auto"/>
              <w:jc w:val="left"/>
              <w:rPr>
                <w:rFonts w:ascii="Calibri" w:hAnsi="Calibri" w:eastAsia="宋体" w:cs="Times New Roman"/>
              </w:rPr>
            </w:pPr>
            <w:r>
              <w:rPr>
                <w:rFonts w:ascii="Consolas" w:hAnsi="Consolas" w:eastAsia="Consolas" w:cs="Consolas"/>
                <w:color w:val="646A73"/>
                <w:sz w:val="22"/>
              </w:rPr>
              <w:t>html</w:t>
            </w:r>
            <w:r>
              <w:rPr>
                <w:rFonts w:ascii="Consolas" w:hAnsi="Consolas" w:eastAsia="Consolas" w:cs="Consolas"/>
                <w:color w:val="646A73"/>
                <w:sz w:val="22"/>
              </w:rPr>
              <w:br w:type="textWrapping"/>
            </w:r>
            <w:r>
              <w:rPr>
                <w:rFonts w:ascii="Consolas" w:hAnsi="Consolas" w:eastAsia="Consolas" w:cs="Consolas"/>
                <w:sz w:val="22"/>
              </w:rPr>
              <w:t>&lt;!DOCTYPE html&gt;  &lt;!-- 1. 文档声明：HTML5 唯一声明，必须放在第一行 --&gt;</w:t>
            </w:r>
            <w:r>
              <w:rPr>
                <w:rFonts w:ascii="Consolas" w:hAnsi="Consolas" w:eastAsia="Consolas" w:cs="Consolas"/>
                <w:sz w:val="22"/>
              </w:rPr>
              <w:br w:type="textWrapping"/>
            </w:r>
            <w:r>
              <w:rPr>
                <w:rFonts w:ascii="Consolas" w:hAnsi="Consolas" w:eastAsia="Consolas" w:cs="Consolas"/>
                <w:sz w:val="22"/>
              </w:rPr>
              <w:t>&lt;html lang="zh-CN"&gt;  &lt;!-- 2. 根元素：包裹所有内容，lang指定语言 --&gt;</w:t>
            </w:r>
            <w:r>
              <w:rPr>
                <w:rFonts w:ascii="Consolas" w:hAnsi="Consolas" w:eastAsia="Consolas" w:cs="Consolas"/>
                <w:sz w:val="22"/>
              </w:rPr>
              <w:br w:type="textWrapping"/>
            </w:r>
            <w:r>
              <w:rPr>
                <w:rFonts w:ascii="Consolas" w:hAnsi="Consolas" w:eastAsia="Consolas" w:cs="Consolas"/>
                <w:sz w:val="22"/>
              </w:rPr>
              <w:t xml:space="preserve">  &lt;head&gt;  &lt;!-- 3. 头部：元信息区域，不可见 --&gt;</w:t>
            </w:r>
            <w:r>
              <w:rPr>
                <w:rFonts w:ascii="Consolas" w:hAnsi="Consolas" w:eastAsia="Consolas" w:cs="Consolas"/>
                <w:sz w:val="22"/>
              </w:rPr>
              <w:br w:type="textWrapping"/>
            </w:r>
            <w:r>
              <w:rPr>
                <w:rFonts w:ascii="Consolas" w:hAnsi="Consolas" w:eastAsia="Consolas" w:cs="Consolas"/>
                <w:sz w:val="22"/>
              </w:rPr>
              <w:t xml:space="preserve">    &lt;meta charset="UTF-8"&gt;  &lt;!-- 字符编码，避免乱码 --&gt;</w:t>
            </w:r>
            <w:r>
              <w:rPr>
                <w:rFonts w:ascii="Consolas" w:hAnsi="Consolas" w:eastAsia="Consolas" w:cs="Consolas"/>
                <w:sz w:val="22"/>
              </w:rPr>
              <w:br w:type="textWrapping"/>
            </w:r>
            <w:r>
              <w:rPr>
                <w:rFonts w:ascii="Consolas" w:hAnsi="Consolas" w:eastAsia="Consolas" w:cs="Consolas"/>
                <w:sz w:val="22"/>
              </w:rPr>
              <w:t xml:space="preserve">    &lt;title&gt;页面标题&lt;/title&gt;  &lt;!-- 浏览器标签标题 --&gt;</w:t>
            </w:r>
            <w:r>
              <w:rPr>
                <w:rFonts w:ascii="Consolas" w:hAnsi="Consolas" w:eastAsia="Consolas" w:cs="Consolas"/>
                <w:sz w:val="22"/>
              </w:rPr>
              <w:br w:type="textWrapping"/>
            </w:r>
            <w:r>
              <w:rPr>
                <w:rFonts w:ascii="Consolas" w:hAnsi="Consolas" w:eastAsia="Consolas" w:cs="Consolas"/>
                <w:sz w:val="22"/>
              </w:rPr>
              <w:t xml:space="preserve">  &lt;/head&gt;</w:t>
            </w:r>
            <w:r>
              <w:rPr>
                <w:rFonts w:ascii="Consolas" w:hAnsi="Consolas" w:eastAsia="Consolas" w:cs="Consolas"/>
                <w:sz w:val="22"/>
              </w:rPr>
              <w:br w:type="textWrapping"/>
            </w:r>
            <w:r>
              <w:rPr>
                <w:rFonts w:ascii="Consolas" w:hAnsi="Consolas" w:eastAsia="Consolas" w:cs="Consolas"/>
                <w:sz w:val="22"/>
              </w:rPr>
              <w:t xml:space="preserve">  &lt;body&gt;  &lt;!-- 4. 主体：可见内容区域 --&gt;</w:t>
            </w:r>
            <w:r>
              <w:rPr>
                <w:rFonts w:ascii="Consolas" w:hAnsi="Consolas" w:eastAsia="Consolas" w:cs="Consolas"/>
                <w:sz w:val="22"/>
              </w:rPr>
              <w:br w:type="textWrapping"/>
            </w:r>
            <w:r>
              <w:rPr>
                <w:rFonts w:ascii="Consolas" w:hAnsi="Consolas" w:eastAsia="Consolas" w:cs="Consolas"/>
                <w:sz w:val="22"/>
              </w:rPr>
              <w:t xml:space="preserve">    &lt;!-- 所有展示内容写在这里 --&gt;</w:t>
            </w:r>
            <w:r>
              <w:rPr>
                <w:rFonts w:ascii="Consolas" w:hAnsi="Consolas" w:eastAsia="Consolas" w:cs="Consolas"/>
                <w:sz w:val="22"/>
              </w:rPr>
              <w:br w:type="textWrapping"/>
            </w:r>
            <w:r>
              <w:rPr>
                <w:rFonts w:ascii="Consolas" w:hAnsi="Consolas" w:eastAsia="Consolas" w:cs="Consolas"/>
                <w:sz w:val="22"/>
              </w:rPr>
              <w:t xml:space="preserve">    &lt;h1&gt;这是一级标题&lt;/h1&gt;</w:t>
            </w:r>
            <w:r>
              <w:rPr>
                <w:rFonts w:ascii="Consolas" w:hAnsi="Consolas" w:eastAsia="Consolas" w:cs="Consolas"/>
                <w:sz w:val="22"/>
              </w:rPr>
              <w:br w:type="textWrapping"/>
            </w:r>
            <w:r>
              <w:rPr>
                <w:rFonts w:ascii="Consolas" w:hAnsi="Consolas" w:eastAsia="Consolas" w:cs="Consolas"/>
                <w:sz w:val="22"/>
              </w:rPr>
              <w:t xml:space="preserve">  &lt;/body&gt;</w:t>
            </w:r>
            <w:r>
              <w:rPr>
                <w:rFonts w:ascii="Consolas" w:hAnsi="Consolas" w:eastAsia="Consolas" w:cs="Consolas"/>
                <w:sz w:val="22"/>
              </w:rPr>
              <w:br w:type="textWrapping"/>
            </w:r>
            <w:r>
              <w:rPr>
                <w:rFonts w:ascii="Consolas" w:hAnsi="Consolas" w:eastAsia="Consolas" w:cs="Consolas"/>
                <w:sz w:val="22"/>
              </w:rPr>
              <w:t>&lt;/html&gt;</w:t>
            </w:r>
          </w:p>
        </w:tc>
      </w:tr>
    </w:tbl>
    <w:p w14:paraId="221AC66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CSS（Cascading Style Sheets）用于描述网页的样式，包括颜色、字体、布局等。通过CSS，我们可以对HTML元素进行美化，提升页面的视觉效果和用户体验。层叠性：多个样式规则可作用于同一元素，优先级高的规则会覆盖优先级低的规则，冲突时按特定优先级顺序生效；继承性：部分样式属性（如字体、颜色）会从父元素自动继承到子元素，减少重复代码；分离性：将样式代码与 HTML 结构代码分离，便于代码维护和样式复用，同时让 HTML 专注于语义化结构；版本迭代：目前主流为 CSS3，新增圆角、阴影、渐变、动画、弹性布局等特性，大幅提升网页视觉表现力。</w:t>
      </w:r>
    </w:p>
    <w:p w14:paraId="395A9F5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CSS核心组成包括选择器与声明，CSS 规则的核心是“找到元素并设置样式”，每个完整的 CSS 规则由“选择器”和“声明块”两部分组成。</w:t>
      </w:r>
    </w:p>
    <w:p w14:paraId="0CF3E74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选择器（Selector），作用：精准定位需要设置样式的 HTML 元素，是 CSS 与 HTML 建立关联的桥梁。属性（Property）：CSS 预定义的样式名称，用于描述元素的某个外观/布局特征（如 color、width、margin 等）；属性值（Value）：对应属性的具体设置，需符合属性的取值规范（如颜色值可写英文、十六进制、RGB，尺寸值可写 px、rem 等）；分隔规则：每个“属性-值”对以分号;结尾，属性与值之间以冒号连接。常见核心选择器如下表。</w:t>
      </w:r>
    </w:p>
    <w:p w14:paraId="506EEBA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表1.3选择器表</w:t>
      </w:r>
    </w:p>
    <w:tbl>
      <w:tblPr>
        <w:tblStyle w:val="35"/>
        <w:tblW w:w="0" w:type="auto"/>
        <w:tblInd w:w="16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04"/>
        <w:gridCol w:w="2070"/>
        <w:gridCol w:w="2070"/>
        <w:gridCol w:w="2070"/>
      </w:tblGrid>
      <w:tr w14:paraId="591A7FC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9B273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选择器类型</w:t>
            </w:r>
          </w:p>
        </w:tc>
        <w:tc>
          <w:tcPr>
            <w:tcW w:w="2070" w:type="dxa"/>
            <w:tcMar>
              <w:top w:w="60" w:type="dxa"/>
              <w:left w:w="120" w:type="dxa"/>
              <w:bottom w:w="30" w:type="dxa"/>
              <w:right w:w="120" w:type="dxa"/>
            </w:tcMar>
          </w:tcPr>
          <w:p w14:paraId="0395F39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语法格式</w:t>
            </w:r>
          </w:p>
        </w:tc>
        <w:tc>
          <w:tcPr>
            <w:tcW w:w="2070" w:type="dxa"/>
            <w:tcMar>
              <w:top w:w="60" w:type="dxa"/>
              <w:left w:w="120" w:type="dxa"/>
              <w:bottom w:w="30" w:type="dxa"/>
              <w:right w:w="120" w:type="dxa"/>
            </w:tcMar>
          </w:tcPr>
          <w:p w14:paraId="26FE37A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作用说明</w:t>
            </w:r>
          </w:p>
        </w:tc>
        <w:tc>
          <w:tcPr>
            <w:tcW w:w="2070" w:type="dxa"/>
            <w:tcMar>
              <w:top w:w="60" w:type="dxa"/>
              <w:left w:w="120" w:type="dxa"/>
              <w:bottom w:w="30" w:type="dxa"/>
              <w:right w:w="120" w:type="dxa"/>
            </w:tcMar>
          </w:tcPr>
          <w:p w14:paraId="3A4E049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r>
      <w:tr w14:paraId="4337C1E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9B76B1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元素选择器</w:t>
            </w:r>
          </w:p>
        </w:tc>
        <w:tc>
          <w:tcPr>
            <w:tcW w:w="2070" w:type="dxa"/>
            <w:tcMar>
              <w:top w:w="60" w:type="dxa"/>
              <w:left w:w="120" w:type="dxa"/>
              <w:bottom w:w="30" w:type="dxa"/>
              <w:right w:w="120" w:type="dxa"/>
            </w:tcMar>
          </w:tcPr>
          <w:p w14:paraId="25788F7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元素名</w:t>
            </w:r>
          </w:p>
        </w:tc>
        <w:tc>
          <w:tcPr>
            <w:tcW w:w="2070" w:type="dxa"/>
            <w:tcMar>
              <w:top w:w="60" w:type="dxa"/>
              <w:left w:w="120" w:type="dxa"/>
              <w:bottom w:w="30" w:type="dxa"/>
              <w:right w:w="120" w:type="dxa"/>
            </w:tcMar>
          </w:tcPr>
          <w:p w14:paraId="1AB39B7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选中页面中所有该类型的元素</w:t>
            </w:r>
          </w:p>
        </w:tc>
        <w:tc>
          <w:tcPr>
            <w:tcW w:w="2070" w:type="dxa"/>
            <w:tcMar>
              <w:top w:w="60" w:type="dxa"/>
              <w:left w:w="120" w:type="dxa"/>
              <w:bottom w:w="30" w:type="dxa"/>
              <w:right w:w="120" w:type="dxa"/>
            </w:tcMar>
          </w:tcPr>
          <w:p w14:paraId="7275CFD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p { color: red; }（选中所有段落）</w:t>
            </w:r>
          </w:p>
        </w:tc>
      </w:tr>
      <w:tr w14:paraId="4A6AC5D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0114266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类选择器</w:t>
            </w:r>
          </w:p>
        </w:tc>
        <w:tc>
          <w:tcPr>
            <w:tcW w:w="2070" w:type="dxa"/>
            <w:tcMar>
              <w:top w:w="60" w:type="dxa"/>
              <w:left w:w="120" w:type="dxa"/>
              <w:bottom w:w="30" w:type="dxa"/>
              <w:right w:w="120" w:type="dxa"/>
            </w:tcMar>
          </w:tcPr>
          <w:p w14:paraId="4D22A70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.类名</w:t>
            </w:r>
          </w:p>
        </w:tc>
        <w:tc>
          <w:tcPr>
            <w:tcW w:w="2070" w:type="dxa"/>
            <w:tcMar>
              <w:top w:w="60" w:type="dxa"/>
              <w:left w:w="120" w:type="dxa"/>
              <w:bottom w:w="30" w:type="dxa"/>
              <w:right w:w="120" w:type="dxa"/>
            </w:tcMar>
          </w:tcPr>
          <w:p w14:paraId="4E4AEF0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选中所有带有指定 class 属性的元素（可复用）</w:t>
            </w:r>
          </w:p>
        </w:tc>
        <w:tc>
          <w:tcPr>
            <w:tcW w:w="2070" w:type="dxa"/>
            <w:tcMar>
              <w:top w:w="60" w:type="dxa"/>
              <w:left w:w="120" w:type="dxa"/>
              <w:bottom w:w="30" w:type="dxa"/>
              <w:right w:w="120" w:type="dxa"/>
            </w:tcMar>
          </w:tcPr>
          <w:p w14:paraId="4134AEA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.box { width: 200px; }（选中 class="box" 的元素）</w:t>
            </w:r>
          </w:p>
        </w:tc>
      </w:tr>
      <w:tr w14:paraId="18A756E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6E681E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ID 选择器</w:t>
            </w:r>
          </w:p>
        </w:tc>
        <w:tc>
          <w:tcPr>
            <w:tcW w:w="2070" w:type="dxa"/>
            <w:tcMar>
              <w:top w:w="60" w:type="dxa"/>
              <w:left w:w="120" w:type="dxa"/>
              <w:bottom w:w="30" w:type="dxa"/>
              <w:right w:w="120" w:type="dxa"/>
            </w:tcMar>
          </w:tcPr>
          <w:p w14:paraId="31C5045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#ID名</w:t>
            </w:r>
          </w:p>
        </w:tc>
        <w:tc>
          <w:tcPr>
            <w:tcW w:w="2070" w:type="dxa"/>
            <w:tcMar>
              <w:top w:w="60" w:type="dxa"/>
              <w:left w:w="120" w:type="dxa"/>
              <w:bottom w:w="30" w:type="dxa"/>
              <w:right w:w="120" w:type="dxa"/>
            </w:tcMar>
          </w:tcPr>
          <w:p w14:paraId="4AA9877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选中页面中唯一带有指定 id 属性的元素（不可重复）</w:t>
            </w:r>
          </w:p>
        </w:tc>
        <w:tc>
          <w:tcPr>
            <w:tcW w:w="2070" w:type="dxa"/>
            <w:tcMar>
              <w:top w:w="60" w:type="dxa"/>
              <w:left w:w="120" w:type="dxa"/>
              <w:bottom w:w="30" w:type="dxa"/>
              <w:right w:w="120" w:type="dxa"/>
            </w:tcMar>
          </w:tcPr>
          <w:p w14:paraId="70E4821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#header { height: 80px; }（选中 id="header" 的元素）</w:t>
            </w:r>
          </w:p>
        </w:tc>
      </w:tr>
      <w:tr w14:paraId="0C60A46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D93B89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后代选择器</w:t>
            </w:r>
          </w:p>
        </w:tc>
        <w:tc>
          <w:tcPr>
            <w:tcW w:w="2070" w:type="dxa"/>
            <w:tcMar>
              <w:top w:w="60" w:type="dxa"/>
              <w:left w:w="120" w:type="dxa"/>
              <w:bottom w:w="30" w:type="dxa"/>
              <w:right w:w="120" w:type="dxa"/>
            </w:tcMar>
          </w:tcPr>
          <w:p w14:paraId="1AC6ECE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选择器1 选择器2</w:t>
            </w:r>
          </w:p>
        </w:tc>
        <w:tc>
          <w:tcPr>
            <w:tcW w:w="2070" w:type="dxa"/>
            <w:tcMar>
              <w:top w:w="60" w:type="dxa"/>
              <w:left w:w="120" w:type="dxa"/>
              <w:bottom w:w="30" w:type="dxa"/>
              <w:right w:w="120" w:type="dxa"/>
            </w:tcMar>
          </w:tcPr>
          <w:p w14:paraId="54DD695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选中选择器1 内部的所有选择器2 元素</w:t>
            </w:r>
          </w:p>
        </w:tc>
        <w:tc>
          <w:tcPr>
            <w:tcW w:w="2070" w:type="dxa"/>
            <w:tcMar>
              <w:top w:w="60" w:type="dxa"/>
              <w:left w:w="120" w:type="dxa"/>
              <w:bottom w:w="30" w:type="dxa"/>
              <w:right w:w="120" w:type="dxa"/>
            </w:tcMar>
          </w:tcPr>
          <w:p w14:paraId="54E8061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nav a { text-decoration: none; }（选中 nav 内的所有链接）</w:t>
            </w:r>
          </w:p>
        </w:tc>
      </w:tr>
      <w:tr w14:paraId="26FD3BC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51B72C2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通配符选择器</w:t>
            </w:r>
          </w:p>
        </w:tc>
        <w:tc>
          <w:tcPr>
            <w:tcW w:w="2070" w:type="dxa"/>
            <w:tcMar>
              <w:top w:w="60" w:type="dxa"/>
              <w:left w:w="120" w:type="dxa"/>
              <w:bottom w:w="30" w:type="dxa"/>
              <w:right w:w="120" w:type="dxa"/>
            </w:tcMar>
          </w:tcPr>
          <w:p w14:paraId="59017D2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t>
            </w:r>
          </w:p>
        </w:tc>
        <w:tc>
          <w:tcPr>
            <w:tcW w:w="2070" w:type="dxa"/>
            <w:tcMar>
              <w:top w:w="60" w:type="dxa"/>
              <w:left w:w="120" w:type="dxa"/>
              <w:bottom w:w="30" w:type="dxa"/>
              <w:right w:w="120" w:type="dxa"/>
            </w:tcMar>
          </w:tcPr>
          <w:p w14:paraId="0D33644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选中页面中所有元素（常用作初始化样式）</w:t>
            </w:r>
          </w:p>
        </w:tc>
        <w:tc>
          <w:tcPr>
            <w:tcW w:w="2070" w:type="dxa"/>
            <w:tcMar>
              <w:top w:w="60" w:type="dxa"/>
              <w:left w:w="120" w:type="dxa"/>
              <w:bottom w:w="30" w:type="dxa"/>
              <w:right w:w="120" w:type="dxa"/>
            </w:tcMar>
          </w:tcPr>
          <w:p w14:paraId="2FE147D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 { margin: 0; padding: 0; }（清除所有元素默认边距）</w:t>
            </w:r>
          </w:p>
        </w:tc>
      </w:tr>
    </w:tbl>
    <w:p w14:paraId="3BBAD988">
      <w:pPr>
        <w:spacing w:before="320" w:after="120" w:line="288" w:lineRule="auto"/>
        <w:ind w:left="0" w:firstLine="480" w:firstLineChars="200"/>
        <w:jc w:val="left"/>
        <w:outlineLvl w:val="9"/>
        <w:rPr>
          <w:rFonts w:hint="eastAsia" w:ascii="宋体" w:hAnsi="宋体" w:eastAsia="宋体" w:cs="宋体"/>
          <w:sz w:val="24"/>
          <w:szCs w:val="24"/>
        </w:rPr>
      </w:pPr>
      <w:bookmarkStart w:id="771" w:name="_Toc8715"/>
      <w:r>
        <w:rPr>
          <w:rFonts w:hint="eastAsia" w:ascii="宋体" w:hAnsi="宋体" w:eastAsia="宋体" w:cs="宋体"/>
          <w:sz w:val="24"/>
          <w:szCs w:val="24"/>
        </w:rPr>
        <w:t>声明块（Declaration Block）</w:t>
      </w:r>
      <w:r>
        <w:rPr>
          <w:rFonts w:hint="eastAsia" w:ascii="宋体" w:hAnsi="宋体" w:eastAsia="宋体" w:cs="宋体"/>
          <w:sz w:val="24"/>
          <w:szCs w:val="24"/>
          <w:lang w:eastAsia="zh-CN"/>
        </w:rPr>
        <w:t>，</w:t>
      </w:r>
      <w:r>
        <w:rPr>
          <w:rFonts w:hint="eastAsia" w:ascii="宋体" w:hAnsi="宋体" w:eastAsia="宋体" w:cs="宋体"/>
          <w:sz w:val="24"/>
          <w:szCs w:val="24"/>
        </w:rPr>
        <w:t>为选择器选中的元素定义具体样式，由一对大括号 {} 包裹，内部包含一个或多个“属性-值”对。</w:t>
      </w:r>
      <w:bookmarkEnd w:id="771"/>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4002E88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shd w:val="clear" w:color="auto" w:fill="F5F6F7"/>
            <w:tcMar>
              <w:top w:w="60" w:type="dxa"/>
              <w:left w:w="120" w:type="dxa"/>
              <w:bottom w:w="30" w:type="dxa"/>
              <w:right w:w="120" w:type="dxa"/>
            </w:tcMar>
          </w:tcPr>
          <w:p w14:paraId="7F51BDE3">
            <w:pPr>
              <w:spacing w:before="120" w:after="120" w:line="288" w:lineRule="auto"/>
              <w:jc w:val="left"/>
              <w:rPr>
                <w:rFonts w:hint="eastAsia" w:ascii="宋体" w:hAnsi="宋体" w:eastAsia="宋体" w:cs="宋体"/>
              </w:rPr>
            </w:pPr>
            <w:r>
              <w:rPr>
                <w:rFonts w:hint="eastAsia" w:ascii="宋体" w:hAnsi="宋体" w:eastAsia="宋体" w:cs="宋体"/>
                <w:color w:val="646A73"/>
                <w:sz w:val="22"/>
              </w:rPr>
              <w:t>css</w:t>
            </w:r>
            <w:r>
              <w:rPr>
                <w:rFonts w:hint="eastAsia" w:ascii="宋体" w:hAnsi="宋体" w:eastAsia="宋体" w:cs="宋体"/>
                <w:color w:val="646A73"/>
                <w:sz w:val="22"/>
              </w:rPr>
              <w:br w:type="textWrapping"/>
            </w:r>
            <w:r>
              <w:rPr>
                <w:rFonts w:hint="eastAsia" w:ascii="宋体" w:hAnsi="宋体" w:eastAsia="宋体" w:cs="宋体"/>
                <w:sz w:val="22"/>
              </w:rPr>
              <w:t>/* 完整 CSS 规则：选择器 + 声明块 */</w:t>
            </w:r>
            <w:r>
              <w:rPr>
                <w:rFonts w:hint="eastAsia" w:ascii="宋体" w:hAnsi="宋体" w:eastAsia="宋体" w:cs="宋体"/>
                <w:sz w:val="22"/>
              </w:rPr>
              <w:br w:type="textWrapping"/>
            </w:r>
            <w:r>
              <w:rPr>
                <w:rFonts w:hint="eastAsia" w:ascii="宋体" w:hAnsi="宋体" w:eastAsia="宋体" w:cs="宋体"/>
                <w:sz w:val="22"/>
              </w:rPr>
              <w:t>h1 {</w:t>
            </w:r>
            <w:r>
              <w:rPr>
                <w:rFonts w:hint="eastAsia" w:ascii="宋体" w:hAnsi="宋体" w:eastAsia="宋体" w:cs="宋体"/>
                <w:sz w:val="22"/>
              </w:rPr>
              <w:br w:type="textWrapping"/>
            </w:r>
            <w:r>
              <w:rPr>
                <w:rFonts w:hint="eastAsia" w:ascii="宋体" w:hAnsi="宋体" w:eastAsia="宋体" w:cs="宋体"/>
                <w:sz w:val="22"/>
              </w:rPr>
              <w:t xml:space="preserve">  color: #333; /* 属性：color（颜色），值：#333（深灰色） */</w:t>
            </w:r>
            <w:r>
              <w:rPr>
                <w:rFonts w:hint="eastAsia" w:ascii="宋体" w:hAnsi="宋体" w:eastAsia="宋体" w:cs="宋体"/>
                <w:sz w:val="22"/>
              </w:rPr>
              <w:br w:type="textWrapping"/>
            </w:r>
            <w:r>
              <w:rPr>
                <w:rFonts w:hint="eastAsia" w:ascii="宋体" w:hAnsi="宋体" w:eastAsia="宋体" w:cs="宋体"/>
                <w:sz w:val="22"/>
              </w:rPr>
              <w:t xml:space="preserve">  font-size: 24px; /* 属性：font-size（字体大小），值：24px（像素） */</w:t>
            </w:r>
            <w:r>
              <w:rPr>
                <w:rFonts w:hint="eastAsia" w:ascii="宋体" w:hAnsi="宋体" w:eastAsia="宋体" w:cs="宋体"/>
                <w:sz w:val="22"/>
              </w:rPr>
              <w:br w:type="textWrapping"/>
            </w:r>
            <w:r>
              <w:rPr>
                <w:rFonts w:hint="eastAsia" w:ascii="宋体" w:hAnsi="宋体" w:eastAsia="宋体" w:cs="宋体"/>
                <w:sz w:val="22"/>
              </w:rPr>
              <w:t xml:space="preserve">  text-align: center; /* 属性：text-align（文本对齐），值：center（居中） */</w:t>
            </w:r>
            <w:r>
              <w:rPr>
                <w:rFonts w:hint="eastAsia" w:ascii="宋体" w:hAnsi="宋体" w:eastAsia="宋体" w:cs="宋体"/>
                <w:sz w:val="22"/>
              </w:rPr>
              <w:br w:type="textWrapping"/>
            </w:r>
            <w:r>
              <w:rPr>
                <w:rFonts w:hint="eastAsia" w:ascii="宋体" w:hAnsi="宋体" w:eastAsia="宋体" w:cs="宋体"/>
                <w:sz w:val="22"/>
              </w:rPr>
              <w:t>}</w:t>
            </w:r>
          </w:p>
        </w:tc>
      </w:tr>
    </w:tbl>
    <w:p w14:paraId="3D92FCD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CSS核心语法规则，遵循规范的 CSS 语法是保证样式正常生效和代码可维护的基础，核心规则如下表。</w:t>
      </w:r>
    </w:p>
    <w:p w14:paraId="77FC6CF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p>
    <w:p w14:paraId="3277957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表1.4核心规则表</w:t>
      </w:r>
    </w:p>
    <w:tbl>
      <w:tblPr>
        <w:tblStyle w:val="35"/>
        <w:tblW w:w="0" w:type="auto"/>
        <w:tblInd w:w="145"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25"/>
        <w:gridCol w:w="2070"/>
        <w:gridCol w:w="2070"/>
        <w:gridCol w:w="2070"/>
      </w:tblGrid>
      <w:tr w14:paraId="041D5D2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04FE343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规则</w:t>
            </w:r>
          </w:p>
        </w:tc>
        <w:tc>
          <w:tcPr>
            <w:tcW w:w="2070" w:type="dxa"/>
            <w:tcMar>
              <w:top w:w="60" w:type="dxa"/>
              <w:left w:w="120" w:type="dxa"/>
              <w:bottom w:w="30" w:type="dxa"/>
              <w:right w:w="120" w:type="dxa"/>
            </w:tcMar>
          </w:tcPr>
          <w:p w14:paraId="01E1A32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说明</w:t>
            </w:r>
          </w:p>
        </w:tc>
        <w:tc>
          <w:tcPr>
            <w:tcW w:w="2070" w:type="dxa"/>
            <w:tcMar>
              <w:top w:w="60" w:type="dxa"/>
              <w:left w:w="120" w:type="dxa"/>
              <w:bottom w:w="30" w:type="dxa"/>
              <w:right w:w="120" w:type="dxa"/>
            </w:tcMar>
          </w:tcPr>
          <w:p w14:paraId="476CB36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正确示例</w:t>
            </w:r>
          </w:p>
        </w:tc>
        <w:tc>
          <w:tcPr>
            <w:tcW w:w="2070" w:type="dxa"/>
            <w:tcMar>
              <w:top w:w="60" w:type="dxa"/>
              <w:left w:w="120" w:type="dxa"/>
              <w:bottom w:w="30" w:type="dxa"/>
              <w:right w:w="120" w:type="dxa"/>
            </w:tcMar>
          </w:tcPr>
          <w:p w14:paraId="21F878C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错误示例</w:t>
            </w:r>
          </w:p>
        </w:tc>
      </w:tr>
      <w:tr w14:paraId="2B46357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24C3B24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属性名大小写敏感</w:t>
            </w:r>
          </w:p>
        </w:tc>
        <w:tc>
          <w:tcPr>
            <w:tcW w:w="2070" w:type="dxa"/>
            <w:tcMar>
              <w:top w:w="60" w:type="dxa"/>
              <w:left w:w="120" w:type="dxa"/>
              <w:bottom w:w="30" w:type="dxa"/>
              <w:right w:w="120" w:type="dxa"/>
            </w:tcMar>
          </w:tcPr>
          <w:p w14:paraId="4702A25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必须使用小写（行业规范，大写会失效）</w:t>
            </w:r>
          </w:p>
        </w:tc>
        <w:tc>
          <w:tcPr>
            <w:tcW w:w="2070" w:type="dxa"/>
            <w:tcMar>
              <w:top w:w="60" w:type="dxa"/>
              <w:left w:w="120" w:type="dxa"/>
              <w:bottom w:w="30" w:type="dxa"/>
              <w:right w:w="120" w:type="dxa"/>
            </w:tcMar>
          </w:tcPr>
          <w:p w14:paraId="6B6B22E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font-size: 16px;</w:t>
            </w:r>
          </w:p>
        </w:tc>
        <w:tc>
          <w:tcPr>
            <w:tcW w:w="2070" w:type="dxa"/>
            <w:tcMar>
              <w:top w:w="60" w:type="dxa"/>
              <w:left w:w="120" w:type="dxa"/>
              <w:bottom w:w="30" w:type="dxa"/>
              <w:right w:w="120" w:type="dxa"/>
            </w:tcMar>
          </w:tcPr>
          <w:p w14:paraId="34EE733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Font-Size: 16px;（失效）</w:t>
            </w:r>
          </w:p>
        </w:tc>
      </w:tr>
      <w:tr w14:paraId="3075CFF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6479192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属性值带单位不可省略</w:t>
            </w:r>
          </w:p>
        </w:tc>
        <w:tc>
          <w:tcPr>
            <w:tcW w:w="2070" w:type="dxa"/>
            <w:tcMar>
              <w:top w:w="60" w:type="dxa"/>
              <w:left w:w="120" w:type="dxa"/>
              <w:bottom w:w="30" w:type="dxa"/>
              <w:right w:w="120" w:type="dxa"/>
            </w:tcMar>
          </w:tcPr>
          <w:p w14:paraId="350BF79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除 0 外，尺寸类属性值必须带单位（如 px、rem）</w:t>
            </w:r>
          </w:p>
        </w:tc>
        <w:tc>
          <w:tcPr>
            <w:tcW w:w="2070" w:type="dxa"/>
            <w:tcMar>
              <w:top w:w="60" w:type="dxa"/>
              <w:left w:w="120" w:type="dxa"/>
              <w:bottom w:w="30" w:type="dxa"/>
              <w:right w:w="120" w:type="dxa"/>
            </w:tcMar>
          </w:tcPr>
          <w:p w14:paraId="4E0CE04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width: 100px;</w:t>
            </w:r>
          </w:p>
        </w:tc>
        <w:tc>
          <w:tcPr>
            <w:tcW w:w="2070" w:type="dxa"/>
            <w:tcMar>
              <w:top w:w="60" w:type="dxa"/>
              <w:left w:w="120" w:type="dxa"/>
              <w:bottom w:w="30" w:type="dxa"/>
              <w:right w:w="120" w:type="dxa"/>
            </w:tcMar>
          </w:tcPr>
          <w:p w14:paraId="4502184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width: 100;（失效）</w:t>
            </w:r>
          </w:p>
        </w:tc>
      </w:tr>
      <w:tr w14:paraId="12B577D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5FB0984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声明块必须闭合</w:t>
            </w:r>
          </w:p>
        </w:tc>
        <w:tc>
          <w:tcPr>
            <w:tcW w:w="2070" w:type="dxa"/>
            <w:tcMar>
              <w:top w:w="60" w:type="dxa"/>
              <w:left w:w="120" w:type="dxa"/>
              <w:bottom w:w="30" w:type="dxa"/>
              <w:right w:w="120" w:type="dxa"/>
            </w:tcMar>
          </w:tcPr>
          <w:p w14:paraId="75EE75B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样式规则必须用 {} 包裹，不可遗漏</w:t>
            </w:r>
          </w:p>
        </w:tc>
        <w:tc>
          <w:tcPr>
            <w:tcW w:w="2070" w:type="dxa"/>
            <w:tcMar>
              <w:top w:w="60" w:type="dxa"/>
              <w:left w:w="120" w:type="dxa"/>
              <w:bottom w:w="30" w:type="dxa"/>
              <w:right w:w="120" w:type="dxa"/>
            </w:tcMar>
          </w:tcPr>
          <w:p w14:paraId="6738D17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p { color: blue; }</w:t>
            </w:r>
          </w:p>
        </w:tc>
        <w:tc>
          <w:tcPr>
            <w:tcW w:w="2070" w:type="dxa"/>
            <w:tcMar>
              <w:top w:w="60" w:type="dxa"/>
              <w:left w:w="120" w:type="dxa"/>
              <w:bottom w:w="30" w:type="dxa"/>
              <w:right w:w="120" w:type="dxa"/>
            </w:tcMar>
          </w:tcPr>
          <w:p w14:paraId="7A3AA67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p color: blue;（失效）</w:t>
            </w:r>
          </w:p>
        </w:tc>
      </w:tr>
      <w:tr w14:paraId="5BBFCBA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581348F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注释语法固定</w:t>
            </w:r>
          </w:p>
        </w:tc>
        <w:tc>
          <w:tcPr>
            <w:tcW w:w="2070" w:type="dxa"/>
            <w:tcMar>
              <w:top w:w="60" w:type="dxa"/>
              <w:left w:w="120" w:type="dxa"/>
              <w:bottom w:w="30" w:type="dxa"/>
              <w:right w:w="120" w:type="dxa"/>
            </w:tcMar>
          </w:tcPr>
          <w:p w14:paraId="7A99F1B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仅支持 /* 注释内容 */ 格式，单行/多行均可</w:t>
            </w:r>
          </w:p>
        </w:tc>
        <w:tc>
          <w:tcPr>
            <w:tcW w:w="2070" w:type="dxa"/>
            <w:tcMar>
              <w:top w:w="60" w:type="dxa"/>
              <w:left w:w="120" w:type="dxa"/>
              <w:bottom w:w="30" w:type="dxa"/>
              <w:right w:w="120" w:type="dxa"/>
            </w:tcMar>
          </w:tcPr>
          <w:p w14:paraId="1D5CFC2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 这是 CSS 注释 */</w:t>
            </w:r>
          </w:p>
        </w:tc>
        <w:tc>
          <w:tcPr>
            <w:tcW w:w="2070" w:type="dxa"/>
            <w:tcMar>
              <w:top w:w="60" w:type="dxa"/>
              <w:left w:w="120" w:type="dxa"/>
              <w:bottom w:w="30" w:type="dxa"/>
              <w:right w:w="120" w:type="dxa"/>
            </w:tcMar>
          </w:tcPr>
          <w:p w14:paraId="21EB045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 这是 HTML 注释，CSS 中无效 --&gt;</w:t>
            </w:r>
          </w:p>
        </w:tc>
      </w:tr>
      <w:tr w14:paraId="304EC5F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25" w:type="dxa"/>
            <w:tcMar>
              <w:top w:w="60" w:type="dxa"/>
              <w:left w:w="120" w:type="dxa"/>
              <w:bottom w:w="30" w:type="dxa"/>
              <w:right w:w="120" w:type="dxa"/>
            </w:tcMar>
          </w:tcPr>
          <w:p w14:paraId="3CE5C58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多选择器共享样式</w:t>
            </w:r>
          </w:p>
        </w:tc>
        <w:tc>
          <w:tcPr>
            <w:tcW w:w="2070" w:type="dxa"/>
            <w:tcMar>
              <w:top w:w="60" w:type="dxa"/>
              <w:left w:w="120" w:type="dxa"/>
              <w:bottom w:w="30" w:type="dxa"/>
              <w:right w:w="120" w:type="dxa"/>
            </w:tcMar>
          </w:tcPr>
          <w:p w14:paraId="42B9C68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多个选择器需相同样式时，用逗号 , 分隔</w:t>
            </w:r>
          </w:p>
        </w:tc>
        <w:tc>
          <w:tcPr>
            <w:tcW w:w="2070" w:type="dxa"/>
            <w:tcMar>
              <w:top w:w="60" w:type="dxa"/>
              <w:left w:w="120" w:type="dxa"/>
              <w:bottom w:w="30" w:type="dxa"/>
              <w:right w:w="120" w:type="dxa"/>
            </w:tcMar>
          </w:tcPr>
          <w:p w14:paraId="3C89E16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h1, h2, h3 { font-weight: bold; }</w:t>
            </w:r>
          </w:p>
        </w:tc>
        <w:tc>
          <w:tcPr>
            <w:tcW w:w="2070" w:type="dxa"/>
            <w:tcMar>
              <w:top w:w="60" w:type="dxa"/>
              <w:left w:w="120" w:type="dxa"/>
              <w:bottom w:w="30" w:type="dxa"/>
              <w:right w:w="120" w:type="dxa"/>
            </w:tcMar>
          </w:tcPr>
          <w:p w14:paraId="1D3316D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h1 h2 h3 { font-weight: bold; }（错误嵌套）</w:t>
            </w:r>
          </w:p>
        </w:tc>
      </w:tr>
    </w:tbl>
    <w:p w14:paraId="082B0D7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CSS 引入方式（与 HTML 结合方式），CSS 需与 HTML 结合才能生效，常见有 3 种引入方式，适用场景不同如下表。</w:t>
      </w:r>
    </w:p>
    <w:p w14:paraId="1786146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表1.5引入方式表</w:t>
      </w: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54"/>
        <w:gridCol w:w="2070"/>
        <w:gridCol w:w="2070"/>
        <w:gridCol w:w="2187"/>
      </w:tblGrid>
      <w:tr w14:paraId="167C3A7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954" w:type="dxa"/>
            <w:tcMar>
              <w:top w:w="60" w:type="dxa"/>
              <w:left w:w="120" w:type="dxa"/>
              <w:bottom w:w="30" w:type="dxa"/>
              <w:right w:w="120" w:type="dxa"/>
            </w:tcMar>
          </w:tcPr>
          <w:p w14:paraId="116BDD9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引入方式</w:t>
            </w:r>
          </w:p>
        </w:tc>
        <w:tc>
          <w:tcPr>
            <w:tcW w:w="2070" w:type="dxa"/>
            <w:tcMar>
              <w:top w:w="60" w:type="dxa"/>
              <w:left w:w="120" w:type="dxa"/>
              <w:bottom w:w="30" w:type="dxa"/>
              <w:right w:w="120" w:type="dxa"/>
            </w:tcMar>
          </w:tcPr>
          <w:p w14:paraId="5CD463B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语法格式</w:t>
            </w:r>
          </w:p>
        </w:tc>
        <w:tc>
          <w:tcPr>
            <w:tcW w:w="2070" w:type="dxa"/>
            <w:tcMar>
              <w:top w:w="60" w:type="dxa"/>
              <w:left w:w="120" w:type="dxa"/>
              <w:bottom w:w="30" w:type="dxa"/>
              <w:right w:w="120" w:type="dxa"/>
            </w:tcMar>
          </w:tcPr>
          <w:p w14:paraId="17F1FD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核心优势</w:t>
            </w:r>
          </w:p>
        </w:tc>
        <w:tc>
          <w:tcPr>
            <w:tcW w:w="2187" w:type="dxa"/>
            <w:tcMar>
              <w:top w:w="60" w:type="dxa"/>
              <w:left w:w="120" w:type="dxa"/>
              <w:bottom w:w="30" w:type="dxa"/>
              <w:right w:w="120" w:type="dxa"/>
            </w:tcMar>
          </w:tcPr>
          <w:p w14:paraId="3B2A7C2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适用场景</w:t>
            </w:r>
          </w:p>
        </w:tc>
      </w:tr>
      <w:tr w14:paraId="3AF2DF9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54" w:type="dxa"/>
            <w:tcMar>
              <w:top w:w="60" w:type="dxa"/>
              <w:left w:w="120" w:type="dxa"/>
              <w:bottom w:w="30" w:type="dxa"/>
              <w:right w:w="120" w:type="dxa"/>
            </w:tcMar>
          </w:tcPr>
          <w:p w14:paraId="5EA3A51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内联样式（行内样式）</w:t>
            </w:r>
          </w:p>
        </w:tc>
        <w:tc>
          <w:tcPr>
            <w:tcW w:w="2070" w:type="dxa"/>
            <w:tcMar>
              <w:top w:w="60" w:type="dxa"/>
              <w:left w:w="120" w:type="dxa"/>
              <w:bottom w:w="30" w:type="dxa"/>
              <w:right w:w="120" w:type="dxa"/>
            </w:tcMar>
          </w:tcPr>
          <w:p w14:paraId="2135134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&lt;元素 style="属性1:值1;属性2:值2;"&gt;</w:t>
            </w:r>
          </w:p>
        </w:tc>
        <w:tc>
          <w:tcPr>
            <w:tcW w:w="2070" w:type="dxa"/>
            <w:tcMar>
              <w:top w:w="60" w:type="dxa"/>
              <w:left w:w="120" w:type="dxa"/>
              <w:bottom w:w="30" w:type="dxa"/>
              <w:right w:w="120" w:type="dxa"/>
            </w:tcMar>
          </w:tcPr>
          <w:p w14:paraId="47BDB47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优先级最高，直接作用于单个元素，修改便捷</w:t>
            </w:r>
          </w:p>
        </w:tc>
        <w:tc>
          <w:tcPr>
            <w:tcW w:w="2187" w:type="dxa"/>
            <w:tcMar>
              <w:top w:w="60" w:type="dxa"/>
              <w:left w:w="120" w:type="dxa"/>
              <w:bottom w:w="30" w:type="dxa"/>
              <w:right w:w="120" w:type="dxa"/>
            </w:tcMar>
          </w:tcPr>
          <w:p w14:paraId="4CB4551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单个元素临时样式调整</w:t>
            </w:r>
          </w:p>
        </w:tc>
      </w:tr>
      <w:tr w14:paraId="541722E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54" w:type="dxa"/>
            <w:tcMar>
              <w:top w:w="60" w:type="dxa"/>
              <w:left w:w="120" w:type="dxa"/>
              <w:bottom w:w="30" w:type="dxa"/>
              <w:right w:w="120" w:type="dxa"/>
            </w:tcMar>
          </w:tcPr>
          <w:p w14:paraId="5D96F52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内部样式表</w:t>
            </w:r>
          </w:p>
        </w:tc>
        <w:tc>
          <w:tcPr>
            <w:tcW w:w="2070" w:type="dxa"/>
            <w:tcMar>
              <w:top w:w="60" w:type="dxa"/>
              <w:left w:w="120" w:type="dxa"/>
              <w:bottom w:w="30" w:type="dxa"/>
              <w:right w:w="120" w:type="dxa"/>
            </w:tcMar>
          </w:tcPr>
          <w:p w14:paraId="75F709A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&lt;head&gt;&lt;style&gt;CSS 规则&lt;/style&gt;&lt;/head&gt;</w:t>
            </w:r>
          </w:p>
        </w:tc>
        <w:tc>
          <w:tcPr>
            <w:tcW w:w="2070" w:type="dxa"/>
            <w:tcMar>
              <w:top w:w="60" w:type="dxa"/>
              <w:left w:w="120" w:type="dxa"/>
              <w:bottom w:w="30" w:type="dxa"/>
              <w:right w:w="120" w:type="dxa"/>
            </w:tcMar>
          </w:tcPr>
          <w:p w14:paraId="104951E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样式与 HTML 同文件，无需额外请求，便于单页面维护</w:t>
            </w:r>
          </w:p>
        </w:tc>
        <w:tc>
          <w:tcPr>
            <w:tcW w:w="2187" w:type="dxa"/>
            <w:tcMar>
              <w:top w:w="60" w:type="dxa"/>
              <w:left w:w="120" w:type="dxa"/>
              <w:bottom w:w="30" w:type="dxa"/>
              <w:right w:w="120" w:type="dxa"/>
            </w:tcMar>
          </w:tcPr>
          <w:p w14:paraId="63F227A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简单单页面网站</w:t>
            </w:r>
          </w:p>
        </w:tc>
      </w:tr>
      <w:tr w14:paraId="1947C4F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54" w:type="dxa"/>
            <w:tcMar>
              <w:top w:w="60" w:type="dxa"/>
              <w:left w:w="120" w:type="dxa"/>
              <w:bottom w:w="30" w:type="dxa"/>
              <w:right w:w="120" w:type="dxa"/>
            </w:tcMar>
          </w:tcPr>
          <w:p w14:paraId="4141BE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外部样式表（推荐）</w:t>
            </w:r>
          </w:p>
        </w:tc>
        <w:tc>
          <w:tcPr>
            <w:tcW w:w="2070" w:type="dxa"/>
            <w:tcMar>
              <w:top w:w="60" w:type="dxa"/>
              <w:left w:w="120" w:type="dxa"/>
              <w:bottom w:w="30" w:type="dxa"/>
              <w:right w:w="120" w:type="dxa"/>
            </w:tcMar>
          </w:tcPr>
          <w:p w14:paraId="27BF5B5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&lt;head&gt;&lt;link rel="stylesheet" href="样式文件路径.css"&gt;&lt;/head&gt;</w:t>
            </w:r>
          </w:p>
        </w:tc>
        <w:tc>
          <w:tcPr>
            <w:tcW w:w="2070" w:type="dxa"/>
            <w:tcMar>
              <w:top w:w="60" w:type="dxa"/>
              <w:left w:w="120" w:type="dxa"/>
              <w:bottom w:w="30" w:type="dxa"/>
              <w:right w:w="120" w:type="dxa"/>
            </w:tcMar>
          </w:tcPr>
          <w:p w14:paraId="31F9573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样式独立成文件，可多页面复用，便于大规模项目维护和缓存</w:t>
            </w:r>
          </w:p>
        </w:tc>
        <w:tc>
          <w:tcPr>
            <w:tcW w:w="2187" w:type="dxa"/>
            <w:tcMar>
              <w:top w:w="60" w:type="dxa"/>
              <w:left w:w="120" w:type="dxa"/>
              <w:bottom w:w="30" w:type="dxa"/>
              <w:right w:w="120" w:type="dxa"/>
            </w:tcMar>
          </w:tcPr>
          <w:p w14:paraId="3E6F5CA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多页面网站、大型项目（主流方案）</w:t>
            </w:r>
          </w:p>
        </w:tc>
      </w:tr>
    </w:tbl>
    <w:p w14:paraId="249DB43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CSS 核心功能模块，CSS 提供丰富的样式控制能力，核心功能模块覆盖外观、布局、交互等场景：</w:t>
      </w:r>
    </w:p>
    <w:p w14:paraId="54BF9AC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基础样式模块，控制元素基础外观，最常用的样式模块，文本样式：font-family（字体）、font-size（字号）、font-weight（粗细）、color（文本颜色）、text-align（对齐方式）、text-decoration（下划线/删除线）等；背景样式：background-color（背景色）、background-image（背景图）、background-size（背景大小）、background-position（背景位置）等；边框样式：border（边框宽度+样式+颜色）、border-radius（圆角）、box-shadow（阴影）等。布局样式模块，控制元素在页面中的位置和排列方式，是 CSS 核心难点：传统布局：margin（外间距）、padding（内间距）、float（浮动，早期布局核心）、position（定位：static/relative/absolute/fixed）；现代布局：flex 弹性布局（一维布局，适用于行/列排列）、grid 网格布局（二维布局，适用于复杂网格排列）——CSS3 新增，是目前主流布局方案。</w:t>
      </w:r>
    </w:p>
    <w:p w14:paraId="10DC4C6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lang w:val="en-US" w:eastAsia="zh-CN"/>
        </w:rPr>
        <w:t>高级功能模块，CSS3 新增的增强功能，提升网页视觉和交互体验：渐变：linear-gradient（线性渐变）、radial-gradient（径向渐变），实现丰富的色彩过渡效果；动画：transition（过渡动画，适用于状态切换）、animation（关键帧动画，适用于复杂自定义动画）；响应式：media query（媒体查询），根据设备屏幕尺寸（如手机、PC）动态切换样式，实现多端适配。</w:t>
      </w:r>
    </w:p>
    <w:p w14:paraId="2A273B3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JavaScript（简称 JS）是一种具有面向对象能力的脚本语言，主要用于增强网页的交互性与动态性。通过 JavaScript，我们可以对用户操作做出响应、修改 HTML/CSS 内容、处理数据、与服务器进行通信等，与 HTML（结构）、CSS（样式）共同构成现代网页开发的三大核心技术，大幅提升页面的交互体验和功能完整性。</w:t>
      </w:r>
    </w:p>
    <w:p w14:paraId="6ADF6F9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JavaScript的核心特征：</w:t>
      </w:r>
    </w:p>
    <w:p w14:paraId="0B4A76B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解释性：无需编译，由浏览器逐行解释执行，开发效率高，无需关注底层编译细节；</w:t>
      </w:r>
    </w:p>
    <w:p w14:paraId="3609382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弱类型：变量类型无需预先声明，可动态转换（如数字与字符串相互转换），使用灵活但需注意类型校验；</w:t>
      </w:r>
    </w:p>
    <w:p w14:paraId="4F9F3A8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多范式：支持面向过程、面向对象（基于原型）、函数式编程等多种编程范式，适配不同开发场景；</w:t>
      </w:r>
    </w:p>
    <w:p w14:paraId="40DD00D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跨平台性：不仅可在浏览器端运行，还可通过 Node.js 运行环境在服务器端、桌面端等多种平台运行；</w:t>
      </w:r>
    </w:p>
    <w:p w14:paraId="20B8F874">
      <w:pPr>
        <w:numPr>
          <w:ilvl w:val="0"/>
          <w:numId w:val="0"/>
        </w:numPr>
        <w:spacing w:before="120" w:after="120" w:line="288" w:lineRule="auto"/>
        <w:ind w:firstLine="480" w:firstLineChars="200"/>
        <w:jc w:val="left"/>
        <w:rPr>
          <w:rFonts w:ascii="Calibri" w:hAnsi="Calibri" w:eastAsia="宋体" w:cs="Times New Roman"/>
        </w:rPr>
      </w:pPr>
      <w:r>
        <w:rPr>
          <w:rFonts w:hint="eastAsia" w:ascii="Calibri" w:hAnsi="Calibri" w:eastAsia="宋体" w:cs="Times New Roman"/>
          <w:sz w:val="24"/>
          <w:szCs w:val="24"/>
          <w:lang w:val="en-US" w:eastAsia="zh-CN"/>
        </w:rPr>
        <w:t>版本迭代：目前主流为 ES6+（ECMAScript 2015 及后续版本），新增箭头函数、类、模块、Promise 等特性，大幅提升开发效率和代码可读性</w:t>
      </w:r>
      <w:r>
        <w:rPr>
          <w:rFonts w:ascii="Arial" w:hAnsi="Arial" w:eastAsia="等线" w:cs="Arial"/>
          <w:sz w:val="22"/>
        </w:rPr>
        <w:t>。</w:t>
      </w:r>
    </w:p>
    <w:p w14:paraId="5E5CD59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 核心组成包括变量与数据类型、运算符与表达式、语句与流程控制、函数、对象等，JavaScript 程序的核心是“定义数据并通过逻辑处理实现功能”，每个完整的 JavaScript 功能单元由“数据定义”和“逻辑处理”两部分组成。</w:t>
      </w:r>
    </w:p>
    <w:p w14:paraId="7482131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变量与数据类型，变量：用于存储程序运行过程中需要操作的数据，是 JavaScript 中最基础的存储单元；数据类型：定义变量存储数据的类别，决定了数据的可操作方式。常见核心数据类型如下表</w:t>
      </w:r>
    </w:p>
    <w:p w14:paraId="7E57CCA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表1.6数据类型表</w:t>
      </w: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644"/>
        <w:gridCol w:w="2760"/>
        <w:gridCol w:w="2760"/>
      </w:tblGrid>
      <w:tr w14:paraId="2470B0F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6F989D0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数据类型</w:t>
            </w:r>
          </w:p>
        </w:tc>
        <w:tc>
          <w:tcPr>
            <w:tcW w:w="2760" w:type="dxa"/>
            <w:tcMar>
              <w:top w:w="60" w:type="dxa"/>
              <w:left w:w="120" w:type="dxa"/>
              <w:bottom w:w="30" w:type="dxa"/>
              <w:right w:w="120" w:type="dxa"/>
            </w:tcMar>
          </w:tcPr>
          <w:p w14:paraId="1D0DE8D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说明</w:t>
            </w:r>
          </w:p>
        </w:tc>
        <w:tc>
          <w:tcPr>
            <w:tcW w:w="2760" w:type="dxa"/>
            <w:tcMar>
              <w:top w:w="60" w:type="dxa"/>
              <w:left w:w="120" w:type="dxa"/>
              <w:bottom w:w="30" w:type="dxa"/>
              <w:right w:w="120" w:type="dxa"/>
            </w:tcMar>
          </w:tcPr>
          <w:p w14:paraId="01540B0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r>
      <w:tr w14:paraId="47F1334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0B6A29E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字符串（String）</w:t>
            </w:r>
          </w:p>
        </w:tc>
        <w:tc>
          <w:tcPr>
            <w:tcW w:w="2760" w:type="dxa"/>
            <w:tcMar>
              <w:top w:w="60" w:type="dxa"/>
              <w:left w:w="120" w:type="dxa"/>
              <w:bottom w:w="30" w:type="dxa"/>
              <w:right w:w="120" w:type="dxa"/>
            </w:tcMar>
          </w:tcPr>
          <w:p w14:paraId="52ECDEB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文本数据，用单引号、双引号或反引号包裹</w:t>
            </w:r>
          </w:p>
        </w:tc>
        <w:tc>
          <w:tcPr>
            <w:tcW w:w="2760" w:type="dxa"/>
            <w:tcMar>
              <w:top w:w="60" w:type="dxa"/>
              <w:left w:w="120" w:type="dxa"/>
              <w:bottom w:w="30" w:type="dxa"/>
              <w:right w:w="120" w:type="dxa"/>
            </w:tcMar>
          </w:tcPr>
          <w:p w14:paraId="6CA772E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name = "张三"; let msg = `Hello ${name}`;</w:t>
            </w:r>
          </w:p>
        </w:tc>
      </w:tr>
      <w:tr w14:paraId="23B1956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3214A52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数字（Number）</w:t>
            </w:r>
          </w:p>
        </w:tc>
        <w:tc>
          <w:tcPr>
            <w:tcW w:w="2760" w:type="dxa"/>
            <w:tcMar>
              <w:top w:w="60" w:type="dxa"/>
              <w:left w:w="120" w:type="dxa"/>
              <w:bottom w:w="30" w:type="dxa"/>
              <w:right w:w="120" w:type="dxa"/>
            </w:tcMar>
          </w:tcPr>
          <w:p w14:paraId="6AE3F66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整数或浮点数，支持常规算术运算</w:t>
            </w:r>
          </w:p>
        </w:tc>
        <w:tc>
          <w:tcPr>
            <w:tcW w:w="2760" w:type="dxa"/>
            <w:tcMar>
              <w:top w:w="60" w:type="dxa"/>
              <w:left w:w="120" w:type="dxa"/>
              <w:bottom w:w="30" w:type="dxa"/>
              <w:right w:w="120" w:type="dxa"/>
            </w:tcMar>
          </w:tcPr>
          <w:p w14:paraId="7BA7C7D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age = 20; let score = 95.5;</w:t>
            </w:r>
          </w:p>
        </w:tc>
      </w:tr>
      <w:tr w14:paraId="0F15B47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7C66D68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布尔值（Boolean）</w:t>
            </w:r>
          </w:p>
        </w:tc>
        <w:tc>
          <w:tcPr>
            <w:tcW w:w="2760" w:type="dxa"/>
            <w:tcMar>
              <w:top w:w="60" w:type="dxa"/>
              <w:left w:w="120" w:type="dxa"/>
              <w:bottom w:w="30" w:type="dxa"/>
              <w:right w:w="120" w:type="dxa"/>
            </w:tcMar>
          </w:tcPr>
          <w:p w14:paraId="610E8B6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表示“真”或“假”，用于逻辑判断</w:t>
            </w:r>
          </w:p>
        </w:tc>
        <w:tc>
          <w:tcPr>
            <w:tcW w:w="2760" w:type="dxa"/>
            <w:tcMar>
              <w:top w:w="60" w:type="dxa"/>
              <w:left w:w="120" w:type="dxa"/>
              <w:bottom w:w="30" w:type="dxa"/>
              <w:right w:w="120" w:type="dxa"/>
            </w:tcMar>
          </w:tcPr>
          <w:p w14:paraId="7E81FEA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isPass = true; let isEmpty = false;</w:t>
            </w:r>
          </w:p>
        </w:tc>
      </w:tr>
      <w:tr w14:paraId="22B5CE4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6440D87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未定义（Undefined）</w:t>
            </w:r>
          </w:p>
        </w:tc>
        <w:tc>
          <w:tcPr>
            <w:tcW w:w="2760" w:type="dxa"/>
            <w:tcMar>
              <w:top w:w="60" w:type="dxa"/>
              <w:left w:w="120" w:type="dxa"/>
              <w:bottom w:w="30" w:type="dxa"/>
              <w:right w:w="120" w:type="dxa"/>
            </w:tcMar>
          </w:tcPr>
          <w:p w14:paraId="074F34E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变量声明后未赋值的默认状态</w:t>
            </w:r>
          </w:p>
        </w:tc>
        <w:tc>
          <w:tcPr>
            <w:tcW w:w="2760" w:type="dxa"/>
            <w:tcMar>
              <w:top w:w="60" w:type="dxa"/>
              <w:left w:w="120" w:type="dxa"/>
              <w:bottom w:w="30" w:type="dxa"/>
              <w:right w:w="120" w:type="dxa"/>
            </w:tcMar>
          </w:tcPr>
          <w:p w14:paraId="0C2A557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num; console.log(num); // 输出 undefined</w:t>
            </w:r>
          </w:p>
        </w:tc>
      </w:tr>
      <w:tr w14:paraId="51F5D02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03DC793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空值（Null）</w:t>
            </w:r>
          </w:p>
        </w:tc>
        <w:tc>
          <w:tcPr>
            <w:tcW w:w="2760" w:type="dxa"/>
            <w:tcMar>
              <w:top w:w="60" w:type="dxa"/>
              <w:left w:w="120" w:type="dxa"/>
              <w:bottom w:w="30" w:type="dxa"/>
              <w:right w:w="120" w:type="dxa"/>
            </w:tcMar>
          </w:tcPr>
          <w:p w14:paraId="73A1629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表示“空对象”，主动定义变量为空</w:t>
            </w:r>
          </w:p>
        </w:tc>
        <w:tc>
          <w:tcPr>
            <w:tcW w:w="2760" w:type="dxa"/>
            <w:tcMar>
              <w:top w:w="60" w:type="dxa"/>
              <w:left w:w="120" w:type="dxa"/>
              <w:bottom w:w="30" w:type="dxa"/>
              <w:right w:w="120" w:type="dxa"/>
            </w:tcMar>
          </w:tcPr>
          <w:p w14:paraId="223C77D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obj = null;</w:t>
            </w:r>
          </w:p>
        </w:tc>
      </w:tr>
      <w:tr w14:paraId="3AF3A07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4FC8FC4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对象（Object）</w:t>
            </w:r>
          </w:p>
        </w:tc>
        <w:tc>
          <w:tcPr>
            <w:tcW w:w="2760" w:type="dxa"/>
            <w:tcMar>
              <w:top w:w="60" w:type="dxa"/>
              <w:left w:w="120" w:type="dxa"/>
              <w:bottom w:w="30" w:type="dxa"/>
              <w:right w:w="120" w:type="dxa"/>
            </w:tcMar>
          </w:tcPr>
          <w:p w14:paraId="00588B2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复杂数据类型，用于存储多个相关数据和方法</w:t>
            </w:r>
          </w:p>
        </w:tc>
        <w:tc>
          <w:tcPr>
            <w:tcW w:w="2760" w:type="dxa"/>
            <w:tcMar>
              <w:top w:w="60" w:type="dxa"/>
              <w:left w:w="120" w:type="dxa"/>
              <w:bottom w:w="30" w:type="dxa"/>
              <w:right w:w="120" w:type="dxa"/>
            </w:tcMar>
          </w:tcPr>
          <w:p w14:paraId="26415D3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user = { name: "李四", age: 22 };</w:t>
            </w:r>
          </w:p>
        </w:tc>
      </w:tr>
      <w:tr w14:paraId="4488A17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44" w:type="dxa"/>
            <w:tcMar>
              <w:top w:w="60" w:type="dxa"/>
              <w:left w:w="120" w:type="dxa"/>
              <w:bottom w:w="30" w:type="dxa"/>
              <w:right w:w="120" w:type="dxa"/>
            </w:tcMar>
          </w:tcPr>
          <w:p w14:paraId="5D8D5BB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数组（Array）</w:t>
            </w:r>
          </w:p>
        </w:tc>
        <w:tc>
          <w:tcPr>
            <w:tcW w:w="2760" w:type="dxa"/>
            <w:tcMar>
              <w:top w:w="60" w:type="dxa"/>
              <w:left w:w="120" w:type="dxa"/>
              <w:bottom w:w="30" w:type="dxa"/>
              <w:right w:w="120" w:type="dxa"/>
            </w:tcMar>
          </w:tcPr>
          <w:p w14:paraId="2F9B23D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特殊的对象，用于有序存储多个数据</w:t>
            </w:r>
          </w:p>
        </w:tc>
        <w:tc>
          <w:tcPr>
            <w:tcW w:w="2760" w:type="dxa"/>
            <w:tcMar>
              <w:top w:w="60" w:type="dxa"/>
              <w:left w:w="120" w:type="dxa"/>
              <w:bottom w:w="30" w:type="dxa"/>
              <w:right w:w="120" w:type="dxa"/>
            </w:tcMar>
          </w:tcPr>
          <w:p w14:paraId="0976709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fruits = ["苹果", "香蕉", "橙子"];</w:t>
            </w:r>
          </w:p>
        </w:tc>
      </w:tr>
    </w:tbl>
    <w:p w14:paraId="298DB45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变量声明方式如下表。</w:t>
      </w:r>
    </w:p>
    <w:p w14:paraId="41AF73F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表1.7声明表</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622"/>
        <w:gridCol w:w="2760"/>
        <w:gridCol w:w="2760"/>
      </w:tblGrid>
      <w:tr w14:paraId="6E1EBD3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2622" w:type="dxa"/>
            <w:tcMar>
              <w:top w:w="60" w:type="dxa"/>
              <w:left w:w="120" w:type="dxa"/>
              <w:bottom w:w="30" w:type="dxa"/>
              <w:right w:w="120" w:type="dxa"/>
            </w:tcMar>
          </w:tcPr>
          <w:p w14:paraId="777EA7F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声明方式</w:t>
            </w:r>
          </w:p>
        </w:tc>
        <w:tc>
          <w:tcPr>
            <w:tcW w:w="2760" w:type="dxa"/>
            <w:tcMar>
              <w:top w:w="60" w:type="dxa"/>
              <w:left w:w="120" w:type="dxa"/>
              <w:bottom w:w="30" w:type="dxa"/>
              <w:right w:w="120" w:type="dxa"/>
            </w:tcMar>
          </w:tcPr>
          <w:p w14:paraId="53ACD5F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说明</w:t>
            </w:r>
          </w:p>
        </w:tc>
        <w:tc>
          <w:tcPr>
            <w:tcW w:w="2760" w:type="dxa"/>
            <w:tcMar>
              <w:top w:w="60" w:type="dxa"/>
              <w:left w:w="120" w:type="dxa"/>
              <w:bottom w:w="30" w:type="dxa"/>
              <w:right w:w="120" w:type="dxa"/>
            </w:tcMar>
          </w:tcPr>
          <w:p w14:paraId="1A62192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r>
      <w:tr w14:paraId="7DB266E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22" w:type="dxa"/>
            <w:tcMar>
              <w:top w:w="60" w:type="dxa"/>
              <w:left w:w="120" w:type="dxa"/>
              <w:bottom w:w="30" w:type="dxa"/>
              <w:right w:w="120" w:type="dxa"/>
            </w:tcMar>
          </w:tcPr>
          <w:p w14:paraId="36A2C3B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w:t>
            </w:r>
          </w:p>
        </w:tc>
        <w:tc>
          <w:tcPr>
            <w:tcW w:w="2760" w:type="dxa"/>
            <w:tcMar>
              <w:top w:w="60" w:type="dxa"/>
              <w:left w:w="120" w:type="dxa"/>
              <w:bottom w:w="30" w:type="dxa"/>
              <w:right w:w="120" w:type="dxa"/>
            </w:tcMar>
          </w:tcPr>
          <w:p w14:paraId="7A8617C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ES6+ 新增，块级作用域，不可重复声明</w:t>
            </w:r>
          </w:p>
        </w:tc>
        <w:tc>
          <w:tcPr>
            <w:tcW w:w="2760" w:type="dxa"/>
            <w:tcMar>
              <w:top w:w="60" w:type="dxa"/>
              <w:left w:w="120" w:type="dxa"/>
              <w:bottom w:w="30" w:type="dxa"/>
              <w:right w:w="120" w:type="dxa"/>
            </w:tcMar>
          </w:tcPr>
          <w:p w14:paraId="19EE2AE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x = 10;</w:t>
            </w:r>
          </w:p>
        </w:tc>
      </w:tr>
      <w:tr w14:paraId="6BE289E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22" w:type="dxa"/>
            <w:tcMar>
              <w:top w:w="60" w:type="dxa"/>
              <w:left w:w="120" w:type="dxa"/>
              <w:bottom w:w="30" w:type="dxa"/>
              <w:right w:w="120" w:type="dxa"/>
            </w:tcMar>
          </w:tcPr>
          <w:p w14:paraId="7492184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const</w:t>
            </w:r>
          </w:p>
        </w:tc>
        <w:tc>
          <w:tcPr>
            <w:tcW w:w="2760" w:type="dxa"/>
            <w:tcMar>
              <w:top w:w="60" w:type="dxa"/>
              <w:left w:w="120" w:type="dxa"/>
              <w:bottom w:w="30" w:type="dxa"/>
              <w:right w:w="120" w:type="dxa"/>
            </w:tcMar>
          </w:tcPr>
          <w:p w14:paraId="0B8009D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ES6+ 新增，块级作用域，声明常量（值不可修改）</w:t>
            </w:r>
          </w:p>
        </w:tc>
        <w:tc>
          <w:tcPr>
            <w:tcW w:w="2760" w:type="dxa"/>
            <w:tcMar>
              <w:top w:w="60" w:type="dxa"/>
              <w:left w:w="120" w:type="dxa"/>
              <w:bottom w:w="30" w:type="dxa"/>
              <w:right w:w="120" w:type="dxa"/>
            </w:tcMar>
          </w:tcPr>
          <w:p w14:paraId="349B9CF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const PI = 3.1415;</w:t>
            </w:r>
          </w:p>
        </w:tc>
      </w:tr>
      <w:tr w14:paraId="436F1EC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622" w:type="dxa"/>
            <w:tcMar>
              <w:top w:w="60" w:type="dxa"/>
              <w:left w:w="120" w:type="dxa"/>
              <w:bottom w:w="30" w:type="dxa"/>
              <w:right w:w="120" w:type="dxa"/>
            </w:tcMar>
          </w:tcPr>
          <w:p w14:paraId="3BC7F6F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var</w:t>
            </w:r>
          </w:p>
        </w:tc>
        <w:tc>
          <w:tcPr>
            <w:tcW w:w="2760" w:type="dxa"/>
            <w:tcMar>
              <w:top w:w="60" w:type="dxa"/>
              <w:left w:w="120" w:type="dxa"/>
              <w:bottom w:w="30" w:type="dxa"/>
              <w:right w:w="120" w:type="dxa"/>
            </w:tcMar>
          </w:tcPr>
          <w:p w14:paraId="3399247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传统声明方式，函数级作用域，可重复声明（不推荐）</w:t>
            </w:r>
          </w:p>
        </w:tc>
        <w:tc>
          <w:tcPr>
            <w:tcW w:w="2760" w:type="dxa"/>
            <w:tcMar>
              <w:top w:w="60" w:type="dxa"/>
              <w:left w:w="120" w:type="dxa"/>
              <w:bottom w:w="30" w:type="dxa"/>
              <w:right w:w="120" w:type="dxa"/>
            </w:tcMar>
          </w:tcPr>
          <w:p w14:paraId="440B923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var y = 20;</w:t>
            </w:r>
          </w:p>
        </w:tc>
      </w:tr>
    </w:tbl>
    <w:p w14:paraId="4BD5E27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运算符与表达式，运算符：用于对数据进行运算或比较的符号；表达式：由变量、常量和运算符组成的式子，可计算出一个具体结果。常见核心运算符如下表所示。</w:t>
      </w:r>
    </w:p>
    <w:p w14:paraId="50390CC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表1.8运算符表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070"/>
        <w:gridCol w:w="2070"/>
        <w:gridCol w:w="2070"/>
        <w:gridCol w:w="2070"/>
      </w:tblGrid>
      <w:tr w14:paraId="74E60A4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6CD9536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运算符类型</w:t>
            </w:r>
          </w:p>
        </w:tc>
        <w:tc>
          <w:tcPr>
            <w:tcW w:w="2070" w:type="dxa"/>
            <w:tcMar>
              <w:top w:w="60" w:type="dxa"/>
              <w:left w:w="120" w:type="dxa"/>
              <w:bottom w:w="30" w:type="dxa"/>
              <w:right w:w="120" w:type="dxa"/>
            </w:tcMar>
          </w:tcPr>
          <w:p w14:paraId="3B3ADAE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具体运算符</w:t>
            </w:r>
          </w:p>
        </w:tc>
        <w:tc>
          <w:tcPr>
            <w:tcW w:w="2070" w:type="dxa"/>
            <w:tcMar>
              <w:top w:w="60" w:type="dxa"/>
              <w:left w:w="120" w:type="dxa"/>
              <w:bottom w:w="30" w:type="dxa"/>
              <w:right w:w="120" w:type="dxa"/>
            </w:tcMar>
          </w:tcPr>
          <w:p w14:paraId="7C02F7F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c>
          <w:tcPr>
            <w:tcW w:w="2070" w:type="dxa"/>
            <w:tcMar>
              <w:top w:w="60" w:type="dxa"/>
              <w:left w:w="120" w:type="dxa"/>
              <w:bottom w:w="30" w:type="dxa"/>
              <w:right w:w="120" w:type="dxa"/>
            </w:tcMar>
          </w:tcPr>
          <w:p w14:paraId="325F247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结果</w:t>
            </w:r>
          </w:p>
        </w:tc>
      </w:tr>
      <w:tr w14:paraId="4F89552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30FA4CD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算术运算符</w:t>
            </w:r>
          </w:p>
        </w:tc>
        <w:tc>
          <w:tcPr>
            <w:tcW w:w="2070" w:type="dxa"/>
            <w:tcMar>
              <w:top w:w="60" w:type="dxa"/>
              <w:left w:w="120" w:type="dxa"/>
              <w:bottom w:w="30" w:type="dxa"/>
              <w:right w:w="120" w:type="dxa"/>
            </w:tcMar>
          </w:tcPr>
          <w:p w14:paraId="4A80078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+、-、*、/、%（取余）、++（自增）、--（自减）</w:t>
            </w:r>
          </w:p>
        </w:tc>
        <w:tc>
          <w:tcPr>
            <w:tcW w:w="2070" w:type="dxa"/>
            <w:tcMar>
              <w:top w:w="60" w:type="dxa"/>
              <w:left w:w="120" w:type="dxa"/>
              <w:bottom w:w="30" w:type="dxa"/>
              <w:right w:w="120" w:type="dxa"/>
            </w:tcMar>
          </w:tcPr>
          <w:p w14:paraId="48A4BBB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a = 10; a++;</w:t>
            </w:r>
          </w:p>
        </w:tc>
        <w:tc>
          <w:tcPr>
            <w:tcW w:w="2070" w:type="dxa"/>
            <w:tcMar>
              <w:top w:w="60" w:type="dxa"/>
              <w:left w:w="120" w:type="dxa"/>
              <w:bottom w:w="30" w:type="dxa"/>
              <w:right w:w="120" w:type="dxa"/>
            </w:tcMar>
          </w:tcPr>
          <w:p w14:paraId="51152A7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11</w:t>
            </w:r>
          </w:p>
        </w:tc>
      </w:tr>
      <w:tr w14:paraId="2DF2052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41E39B0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赋值运算符</w:t>
            </w:r>
          </w:p>
        </w:tc>
        <w:tc>
          <w:tcPr>
            <w:tcW w:w="2070" w:type="dxa"/>
            <w:tcMar>
              <w:top w:w="60" w:type="dxa"/>
              <w:left w:w="120" w:type="dxa"/>
              <w:bottom w:w="30" w:type="dxa"/>
              <w:right w:w="120" w:type="dxa"/>
            </w:tcMar>
          </w:tcPr>
          <w:p w14:paraId="5A5E251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t>
            </w:r>
          </w:p>
        </w:tc>
        <w:tc>
          <w:tcPr>
            <w:tcW w:w="2070" w:type="dxa"/>
            <w:tcMar>
              <w:top w:w="60" w:type="dxa"/>
              <w:left w:w="120" w:type="dxa"/>
              <w:bottom w:w="30" w:type="dxa"/>
              <w:right w:w="120" w:type="dxa"/>
            </w:tcMar>
          </w:tcPr>
          <w:p w14:paraId="352D201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b = 5; b += 3;</w:t>
            </w:r>
          </w:p>
        </w:tc>
        <w:tc>
          <w:tcPr>
            <w:tcW w:w="2070" w:type="dxa"/>
            <w:tcMar>
              <w:top w:w="60" w:type="dxa"/>
              <w:left w:w="120" w:type="dxa"/>
              <w:bottom w:w="30" w:type="dxa"/>
              <w:right w:w="120" w:type="dxa"/>
            </w:tcMar>
          </w:tcPr>
          <w:p w14:paraId="2EBC164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8</w:t>
            </w:r>
          </w:p>
        </w:tc>
      </w:tr>
      <w:tr w14:paraId="7DBC2BC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067785D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比较运算符</w:t>
            </w:r>
          </w:p>
        </w:tc>
        <w:tc>
          <w:tcPr>
            <w:tcW w:w="2070" w:type="dxa"/>
            <w:tcMar>
              <w:top w:w="60" w:type="dxa"/>
              <w:left w:w="120" w:type="dxa"/>
              <w:bottom w:w="30" w:type="dxa"/>
              <w:right w:w="120" w:type="dxa"/>
            </w:tcMar>
          </w:tcPr>
          <w:p w14:paraId="3D4B7D8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==（相等）、===（严格相等）、!=（不相等）、!==（严格不相等）、&gt;、&lt;、&gt;=、&lt;=</w:t>
            </w:r>
          </w:p>
        </w:tc>
        <w:tc>
          <w:tcPr>
            <w:tcW w:w="2070" w:type="dxa"/>
            <w:tcMar>
              <w:top w:w="60" w:type="dxa"/>
              <w:left w:w="120" w:type="dxa"/>
              <w:bottom w:w="30" w:type="dxa"/>
              <w:right w:w="120" w:type="dxa"/>
            </w:tcMar>
          </w:tcPr>
          <w:p w14:paraId="37698C3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3 == "3"; 3 === "3"</w:t>
            </w:r>
          </w:p>
        </w:tc>
        <w:tc>
          <w:tcPr>
            <w:tcW w:w="2070" w:type="dxa"/>
            <w:tcMar>
              <w:top w:w="60" w:type="dxa"/>
              <w:left w:w="120" w:type="dxa"/>
              <w:bottom w:w="30" w:type="dxa"/>
              <w:right w:w="120" w:type="dxa"/>
            </w:tcMar>
          </w:tcPr>
          <w:p w14:paraId="4C4094E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true；false</w:t>
            </w:r>
          </w:p>
        </w:tc>
      </w:tr>
      <w:tr w14:paraId="128E4C4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7F50E9D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逻辑运算符</w:t>
            </w:r>
          </w:p>
        </w:tc>
        <w:tc>
          <w:tcPr>
            <w:tcW w:w="2070" w:type="dxa"/>
            <w:tcMar>
              <w:top w:w="60" w:type="dxa"/>
              <w:left w:w="120" w:type="dxa"/>
              <w:bottom w:w="30" w:type="dxa"/>
              <w:right w:w="120" w:type="dxa"/>
            </w:tcMar>
          </w:tcPr>
          <w:p w14:paraId="19434BE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&amp;&amp;（与）、||（或）、!（非）</w:t>
            </w:r>
          </w:p>
        </w:tc>
        <w:tc>
          <w:tcPr>
            <w:tcW w:w="2070" w:type="dxa"/>
            <w:tcMar>
              <w:top w:w="60" w:type="dxa"/>
              <w:left w:w="120" w:type="dxa"/>
              <w:bottom w:w="30" w:type="dxa"/>
              <w:right w:w="120" w:type="dxa"/>
            </w:tcMar>
          </w:tcPr>
          <w:p w14:paraId="3BE582D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true &amp;&amp; false; !true</w:t>
            </w:r>
          </w:p>
        </w:tc>
        <w:tc>
          <w:tcPr>
            <w:tcW w:w="2070" w:type="dxa"/>
            <w:tcMar>
              <w:top w:w="60" w:type="dxa"/>
              <w:left w:w="120" w:type="dxa"/>
              <w:bottom w:w="30" w:type="dxa"/>
              <w:right w:w="120" w:type="dxa"/>
            </w:tcMar>
          </w:tcPr>
          <w:p w14:paraId="75F3250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false；false</w:t>
            </w:r>
          </w:p>
        </w:tc>
      </w:tr>
    </w:tbl>
    <w:p w14:paraId="1C26C39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语句与流程控制，语句：JavaScript 的执行单元，用于实现具体逻辑；流程控制：通过特定语句控制代码的执行顺序（顺序、分支、循环）。常见核心流程控制语句如下表。</w:t>
      </w:r>
    </w:p>
    <w:p w14:paraId="17984E7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表1.9控制语句类型表</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32"/>
        <w:gridCol w:w="2070"/>
        <w:gridCol w:w="2070"/>
        <w:gridCol w:w="2070"/>
      </w:tblGrid>
      <w:tr w14:paraId="69275D4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932" w:type="dxa"/>
            <w:tcMar>
              <w:top w:w="60" w:type="dxa"/>
              <w:left w:w="120" w:type="dxa"/>
              <w:bottom w:w="30" w:type="dxa"/>
              <w:right w:w="120" w:type="dxa"/>
            </w:tcMar>
          </w:tcPr>
          <w:p w14:paraId="6874700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语句类型</w:t>
            </w:r>
          </w:p>
        </w:tc>
        <w:tc>
          <w:tcPr>
            <w:tcW w:w="2070" w:type="dxa"/>
            <w:tcMar>
              <w:top w:w="60" w:type="dxa"/>
              <w:left w:w="120" w:type="dxa"/>
              <w:bottom w:w="30" w:type="dxa"/>
              <w:right w:w="120" w:type="dxa"/>
            </w:tcMar>
          </w:tcPr>
          <w:p w14:paraId="719FC98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语法格式</w:t>
            </w:r>
          </w:p>
        </w:tc>
        <w:tc>
          <w:tcPr>
            <w:tcW w:w="2070" w:type="dxa"/>
            <w:tcMar>
              <w:top w:w="60" w:type="dxa"/>
              <w:left w:w="120" w:type="dxa"/>
              <w:bottom w:w="30" w:type="dxa"/>
              <w:right w:w="120" w:type="dxa"/>
            </w:tcMar>
          </w:tcPr>
          <w:p w14:paraId="3E74B70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作用说明</w:t>
            </w:r>
          </w:p>
        </w:tc>
        <w:tc>
          <w:tcPr>
            <w:tcW w:w="2070" w:type="dxa"/>
            <w:tcMar>
              <w:top w:w="60" w:type="dxa"/>
              <w:left w:w="120" w:type="dxa"/>
              <w:bottom w:w="30" w:type="dxa"/>
              <w:right w:w="120" w:type="dxa"/>
            </w:tcMar>
          </w:tcPr>
          <w:p w14:paraId="559DFA0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示例</w:t>
            </w:r>
          </w:p>
        </w:tc>
      </w:tr>
      <w:tr w14:paraId="01B32DF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32" w:type="dxa"/>
            <w:tcMar>
              <w:top w:w="60" w:type="dxa"/>
              <w:left w:w="120" w:type="dxa"/>
              <w:bottom w:w="30" w:type="dxa"/>
              <w:right w:w="120" w:type="dxa"/>
            </w:tcMar>
          </w:tcPr>
          <w:p w14:paraId="462A031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if-else 分支</w:t>
            </w:r>
          </w:p>
        </w:tc>
        <w:tc>
          <w:tcPr>
            <w:tcW w:w="2070" w:type="dxa"/>
            <w:tcMar>
              <w:top w:w="60" w:type="dxa"/>
              <w:left w:w="120" w:type="dxa"/>
              <w:bottom w:w="30" w:type="dxa"/>
              <w:right w:w="120" w:type="dxa"/>
            </w:tcMar>
          </w:tcPr>
          <w:p w14:paraId="3E56110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if (条件) { 代码块1 } else { 代码块2 }</w:t>
            </w:r>
          </w:p>
        </w:tc>
        <w:tc>
          <w:tcPr>
            <w:tcW w:w="2070" w:type="dxa"/>
            <w:tcMar>
              <w:top w:w="60" w:type="dxa"/>
              <w:left w:w="120" w:type="dxa"/>
              <w:bottom w:w="30" w:type="dxa"/>
              <w:right w:w="120" w:type="dxa"/>
            </w:tcMar>
          </w:tcPr>
          <w:p w14:paraId="6B62CE7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根据条件判断执行不同代码块</w:t>
            </w:r>
          </w:p>
        </w:tc>
        <w:tc>
          <w:tcPr>
            <w:tcW w:w="2070" w:type="dxa"/>
            <w:tcMar>
              <w:top w:w="60" w:type="dxa"/>
              <w:left w:w="120" w:type="dxa"/>
              <w:bottom w:w="30" w:type="dxa"/>
              <w:right w:w="120" w:type="dxa"/>
            </w:tcMar>
          </w:tcPr>
          <w:p w14:paraId="0E38FAE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if (age &gt; 18) { console.log("成年"); } else { console.log("未成年"); }</w:t>
            </w:r>
          </w:p>
        </w:tc>
      </w:tr>
      <w:tr w14:paraId="325A6FF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32" w:type="dxa"/>
            <w:tcMar>
              <w:top w:w="60" w:type="dxa"/>
              <w:left w:w="120" w:type="dxa"/>
              <w:bottom w:w="30" w:type="dxa"/>
              <w:right w:w="120" w:type="dxa"/>
            </w:tcMar>
          </w:tcPr>
          <w:p w14:paraId="45D8912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switch 分支</w:t>
            </w:r>
          </w:p>
        </w:tc>
        <w:tc>
          <w:tcPr>
            <w:tcW w:w="2070" w:type="dxa"/>
            <w:tcMar>
              <w:top w:w="60" w:type="dxa"/>
              <w:left w:w="120" w:type="dxa"/>
              <w:bottom w:w="30" w:type="dxa"/>
              <w:right w:w="120" w:type="dxa"/>
            </w:tcMar>
          </w:tcPr>
          <w:p w14:paraId="339DCB8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switch (表达式) { case 值1: 代码块1; break; default: 代码块n; }</w:t>
            </w:r>
          </w:p>
        </w:tc>
        <w:tc>
          <w:tcPr>
            <w:tcW w:w="2070" w:type="dxa"/>
            <w:tcMar>
              <w:top w:w="60" w:type="dxa"/>
              <w:left w:w="120" w:type="dxa"/>
              <w:bottom w:w="30" w:type="dxa"/>
              <w:right w:w="120" w:type="dxa"/>
            </w:tcMar>
          </w:tcPr>
          <w:p w14:paraId="578AC76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多条件匹配执行对应代码块</w:t>
            </w:r>
          </w:p>
        </w:tc>
        <w:tc>
          <w:tcPr>
            <w:tcW w:w="2070" w:type="dxa"/>
            <w:tcMar>
              <w:top w:w="60" w:type="dxa"/>
              <w:left w:w="120" w:type="dxa"/>
              <w:bottom w:w="30" w:type="dxa"/>
              <w:right w:w="120" w:type="dxa"/>
            </w:tcMar>
          </w:tcPr>
          <w:p w14:paraId="1E19740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switch (grade) { case "A": console.log("优秀"); break; case "B": console.log("良好"); }</w:t>
            </w:r>
          </w:p>
        </w:tc>
      </w:tr>
      <w:tr w14:paraId="7BE820E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32" w:type="dxa"/>
            <w:tcMar>
              <w:top w:w="60" w:type="dxa"/>
              <w:left w:w="120" w:type="dxa"/>
              <w:bottom w:w="30" w:type="dxa"/>
              <w:right w:w="120" w:type="dxa"/>
            </w:tcMar>
          </w:tcPr>
          <w:p w14:paraId="3E262E1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for 循环</w:t>
            </w:r>
          </w:p>
        </w:tc>
        <w:tc>
          <w:tcPr>
            <w:tcW w:w="2070" w:type="dxa"/>
            <w:tcMar>
              <w:top w:w="60" w:type="dxa"/>
              <w:left w:w="120" w:type="dxa"/>
              <w:bottom w:w="30" w:type="dxa"/>
              <w:right w:w="120" w:type="dxa"/>
            </w:tcMar>
          </w:tcPr>
          <w:p w14:paraId="19DD095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for (初始化; 条件; 增量) { 循环代码块 }</w:t>
            </w:r>
          </w:p>
        </w:tc>
        <w:tc>
          <w:tcPr>
            <w:tcW w:w="2070" w:type="dxa"/>
            <w:tcMar>
              <w:top w:w="60" w:type="dxa"/>
              <w:left w:w="120" w:type="dxa"/>
              <w:bottom w:w="30" w:type="dxa"/>
              <w:right w:w="120" w:type="dxa"/>
            </w:tcMar>
          </w:tcPr>
          <w:p w14:paraId="76E3EA9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固定次数的循环执行</w:t>
            </w:r>
          </w:p>
        </w:tc>
        <w:tc>
          <w:tcPr>
            <w:tcW w:w="2070" w:type="dxa"/>
            <w:tcMar>
              <w:top w:w="60" w:type="dxa"/>
              <w:left w:w="120" w:type="dxa"/>
              <w:bottom w:w="30" w:type="dxa"/>
              <w:right w:w="120" w:type="dxa"/>
            </w:tcMar>
          </w:tcPr>
          <w:p w14:paraId="6788E55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for (let i = 0; i &lt; 5; i++) { console.log(i); } // 输出 0-4</w:t>
            </w:r>
          </w:p>
        </w:tc>
      </w:tr>
      <w:tr w14:paraId="25A3D45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32" w:type="dxa"/>
            <w:tcMar>
              <w:top w:w="60" w:type="dxa"/>
              <w:left w:w="120" w:type="dxa"/>
              <w:bottom w:w="30" w:type="dxa"/>
              <w:right w:w="120" w:type="dxa"/>
            </w:tcMar>
          </w:tcPr>
          <w:p w14:paraId="3665E5C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while 循环</w:t>
            </w:r>
          </w:p>
        </w:tc>
        <w:tc>
          <w:tcPr>
            <w:tcW w:w="2070" w:type="dxa"/>
            <w:tcMar>
              <w:top w:w="60" w:type="dxa"/>
              <w:left w:w="120" w:type="dxa"/>
              <w:bottom w:w="30" w:type="dxa"/>
              <w:right w:w="120" w:type="dxa"/>
            </w:tcMar>
          </w:tcPr>
          <w:p w14:paraId="51A44DA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while (条件) { 循环代码块 }</w:t>
            </w:r>
          </w:p>
        </w:tc>
        <w:tc>
          <w:tcPr>
            <w:tcW w:w="2070" w:type="dxa"/>
            <w:tcMar>
              <w:top w:w="60" w:type="dxa"/>
              <w:left w:w="120" w:type="dxa"/>
              <w:bottom w:w="30" w:type="dxa"/>
              <w:right w:w="120" w:type="dxa"/>
            </w:tcMar>
          </w:tcPr>
          <w:p w14:paraId="35ADADD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条件成立时持续循环</w:t>
            </w:r>
          </w:p>
        </w:tc>
        <w:tc>
          <w:tcPr>
            <w:tcW w:w="2070" w:type="dxa"/>
            <w:tcMar>
              <w:top w:w="60" w:type="dxa"/>
              <w:left w:w="120" w:type="dxa"/>
              <w:bottom w:w="30" w:type="dxa"/>
              <w:right w:w="120" w:type="dxa"/>
            </w:tcMar>
          </w:tcPr>
          <w:p w14:paraId="4AAAD9F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j = 0; while (j &lt; 3) { console.log(j); j++; } // 输出 0-2</w:t>
            </w:r>
          </w:p>
        </w:tc>
      </w:tr>
    </w:tbl>
    <w:p w14:paraId="710AA7C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函数封装一段可重复执行的代码块，用于实现特定功能，调用时传入参数并可返回结果，减少代码冗余。</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44D7CBE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shd w:val="clear" w:color="auto" w:fill="F5F6F7"/>
            <w:tcMar>
              <w:top w:w="60" w:type="dxa"/>
              <w:left w:w="120" w:type="dxa"/>
              <w:bottom w:w="30" w:type="dxa"/>
              <w:right w:w="120" w:type="dxa"/>
            </w:tcMar>
          </w:tcPr>
          <w:p w14:paraId="0DCC1822">
            <w:pPr>
              <w:spacing w:before="120" w:after="120" w:line="288" w:lineRule="auto"/>
              <w:jc w:val="left"/>
              <w:rPr>
                <w:rFonts w:ascii="Calibri" w:hAnsi="Calibri" w:eastAsia="宋体" w:cs="Times New Roman"/>
              </w:rPr>
            </w:pPr>
            <w:r>
              <w:rPr>
                <w:rFonts w:ascii="Consolas" w:hAnsi="Consolas" w:eastAsia="Consolas" w:cs="Consolas"/>
                <w:color w:val="646A73"/>
                <w:sz w:val="22"/>
              </w:rPr>
              <w:t>javascript</w:t>
            </w:r>
            <w:r>
              <w:rPr>
                <w:rFonts w:ascii="Consolas" w:hAnsi="Consolas" w:eastAsia="Consolas" w:cs="Consolas"/>
                <w:color w:val="646A73"/>
                <w:sz w:val="22"/>
              </w:rPr>
              <w:br w:type="textWrapping"/>
            </w:r>
            <w:r>
              <w:rPr>
                <w:rFonts w:ascii="Consolas" w:hAnsi="Consolas" w:eastAsia="Consolas" w:cs="Consolas"/>
                <w:sz w:val="22"/>
              </w:rPr>
              <w:t>/* 完整函数定义与调用：函数声明 + 函数调用 */</w:t>
            </w:r>
            <w:r>
              <w:rPr>
                <w:rFonts w:ascii="Consolas" w:hAnsi="Consolas" w:eastAsia="Consolas" w:cs="Consolas"/>
                <w:sz w:val="22"/>
              </w:rPr>
              <w:br w:type="textWrapping"/>
            </w:r>
            <w:r>
              <w:rPr>
                <w:rFonts w:ascii="Consolas" w:hAnsi="Consolas" w:eastAsia="Consolas" w:cs="Consolas"/>
                <w:sz w:val="22"/>
              </w:rPr>
              <w:t>// 函数声明</w:t>
            </w:r>
            <w:r>
              <w:rPr>
                <w:rFonts w:ascii="Consolas" w:hAnsi="Consolas" w:eastAsia="Consolas" w:cs="Consolas"/>
                <w:sz w:val="22"/>
              </w:rPr>
              <w:br w:type="textWrapping"/>
            </w:r>
            <w:r>
              <w:rPr>
                <w:rFonts w:ascii="Consolas" w:hAnsi="Consolas" w:eastAsia="Consolas" w:cs="Consolas"/>
                <w:sz w:val="22"/>
              </w:rPr>
              <w:t>function add(a, b) { // a、b 为参数（形参）</w:t>
            </w:r>
            <w:r>
              <w:rPr>
                <w:rFonts w:ascii="Consolas" w:hAnsi="Consolas" w:eastAsia="Consolas" w:cs="Consolas"/>
                <w:sz w:val="22"/>
              </w:rPr>
              <w:br w:type="textWrapping"/>
            </w:r>
            <w:r>
              <w:rPr>
                <w:rFonts w:ascii="Consolas" w:hAnsi="Consolas" w:eastAsia="Consolas" w:cs="Consolas"/>
                <w:sz w:val="22"/>
              </w:rPr>
              <w:t xml:space="preserve">  return a + b; // 返回计算结果</w:t>
            </w:r>
            <w:r>
              <w:rPr>
                <w:rFonts w:ascii="Consolas" w:hAnsi="Consolas" w:eastAsia="Consolas" w:cs="Consolas"/>
                <w:sz w:val="22"/>
              </w:rPr>
              <w:br w:type="textWrapping"/>
            </w:r>
            <w:r>
              <w:rPr>
                <w:rFonts w:ascii="Consolas" w:hAnsi="Consolas" w:eastAsia="Consolas" w:cs="Consolas"/>
                <w:sz w:val="22"/>
              </w:rPr>
              <w:t>}</w:t>
            </w:r>
            <w:r>
              <w:rPr>
                <w:rFonts w:ascii="Consolas" w:hAnsi="Consolas" w:eastAsia="Consolas" w:cs="Consolas"/>
                <w:sz w:val="22"/>
              </w:rPr>
              <w:br w:type="textWrapping"/>
            </w:r>
            <w:r>
              <w:rPr>
                <w:rFonts w:ascii="Consolas" w:hAnsi="Consolas" w:eastAsia="Consolas" w:cs="Consolas"/>
                <w:sz w:val="22"/>
              </w:rPr>
              <w:br w:type="textWrapping"/>
            </w:r>
            <w:r>
              <w:rPr>
                <w:rFonts w:ascii="Consolas" w:hAnsi="Consolas" w:eastAsia="Consolas" w:cs="Consolas"/>
                <w:sz w:val="22"/>
              </w:rPr>
              <w:t>// 函数调用</w:t>
            </w:r>
            <w:r>
              <w:rPr>
                <w:rFonts w:ascii="Consolas" w:hAnsi="Consolas" w:eastAsia="Consolas" w:cs="Consolas"/>
                <w:sz w:val="22"/>
              </w:rPr>
              <w:br w:type="textWrapping"/>
            </w:r>
            <w:r>
              <w:rPr>
                <w:rFonts w:ascii="Consolas" w:hAnsi="Consolas" w:eastAsia="Consolas" w:cs="Consolas"/>
                <w:sz w:val="22"/>
              </w:rPr>
              <w:t>let result = add(3, 5); // 3、5 为实际参数（实参）</w:t>
            </w:r>
            <w:r>
              <w:rPr>
                <w:rFonts w:ascii="Consolas" w:hAnsi="Consolas" w:eastAsia="Consolas" w:cs="Consolas"/>
                <w:sz w:val="22"/>
              </w:rPr>
              <w:br w:type="textWrapping"/>
            </w:r>
            <w:r>
              <w:rPr>
                <w:rFonts w:ascii="Consolas" w:hAnsi="Consolas" w:eastAsia="Consolas" w:cs="Consolas"/>
                <w:sz w:val="22"/>
              </w:rPr>
              <w:t>console.log(result); // 输出 8</w:t>
            </w:r>
            <w:r>
              <w:rPr>
                <w:rFonts w:ascii="Consolas" w:hAnsi="Consolas" w:eastAsia="Consolas" w:cs="Consolas"/>
                <w:sz w:val="22"/>
              </w:rPr>
              <w:br w:type="textWrapping"/>
            </w:r>
            <w:r>
              <w:rPr>
                <w:rFonts w:ascii="Consolas" w:hAnsi="Consolas" w:eastAsia="Consolas" w:cs="Consolas"/>
                <w:sz w:val="22"/>
              </w:rPr>
              <w:br w:type="textWrapping"/>
            </w:r>
            <w:r>
              <w:rPr>
                <w:rFonts w:ascii="Consolas" w:hAnsi="Consolas" w:eastAsia="Consolas" w:cs="Consolas"/>
                <w:sz w:val="22"/>
              </w:rPr>
              <w:t>// ES6+ 箭头函数（简化写法）</w:t>
            </w:r>
            <w:r>
              <w:rPr>
                <w:rFonts w:ascii="Consolas" w:hAnsi="Consolas" w:eastAsia="Consolas" w:cs="Consolas"/>
                <w:sz w:val="22"/>
              </w:rPr>
              <w:br w:type="textWrapping"/>
            </w:r>
            <w:r>
              <w:rPr>
                <w:rFonts w:ascii="Consolas" w:hAnsi="Consolas" w:eastAsia="Consolas" w:cs="Consolas"/>
                <w:sz w:val="22"/>
              </w:rPr>
              <w:t>const multiply = (x, y) =&gt; x * y;</w:t>
            </w:r>
            <w:r>
              <w:rPr>
                <w:rFonts w:ascii="Consolas" w:hAnsi="Consolas" w:eastAsia="Consolas" w:cs="Consolas"/>
                <w:sz w:val="22"/>
              </w:rPr>
              <w:br w:type="textWrapping"/>
            </w:r>
            <w:r>
              <w:rPr>
                <w:rFonts w:ascii="Consolas" w:hAnsi="Consolas" w:eastAsia="Consolas" w:cs="Consolas"/>
                <w:sz w:val="22"/>
              </w:rPr>
              <w:t>console.log(multiply(4, 6)); // 输出 24</w:t>
            </w:r>
          </w:p>
        </w:tc>
      </w:tr>
    </w:tbl>
    <w:p w14:paraId="65D48BF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对象用于存储多个相关数据和方法的集合，是 JavaScript 面向对象编程的核心，通过“键值对”（key-value）的形式组织数据。</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280"/>
      </w:tblGrid>
      <w:tr w14:paraId="119AFB6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shd w:val="clear" w:color="auto" w:fill="F5F6F7"/>
            <w:tcMar>
              <w:top w:w="60" w:type="dxa"/>
              <w:left w:w="120" w:type="dxa"/>
              <w:bottom w:w="30" w:type="dxa"/>
              <w:right w:w="120" w:type="dxa"/>
            </w:tcMar>
          </w:tcPr>
          <w:p w14:paraId="32EF5B67">
            <w:pPr>
              <w:spacing w:before="120" w:after="120" w:line="288" w:lineRule="auto"/>
              <w:jc w:val="left"/>
              <w:rPr>
                <w:rFonts w:ascii="Calibri" w:hAnsi="Calibri" w:eastAsia="宋体" w:cs="Times New Roman"/>
              </w:rPr>
            </w:pPr>
            <w:r>
              <w:rPr>
                <w:rFonts w:ascii="Consolas" w:hAnsi="Consolas" w:eastAsia="Consolas" w:cs="Consolas"/>
                <w:color w:val="646A73"/>
                <w:sz w:val="22"/>
              </w:rPr>
              <w:t>javascript</w:t>
            </w:r>
            <w:r>
              <w:rPr>
                <w:rFonts w:ascii="Consolas" w:hAnsi="Consolas" w:eastAsia="Consolas" w:cs="Consolas"/>
                <w:color w:val="646A73"/>
                <w:sz w:val="22"/>
              </w:rPr>
              <w:br w:type="textWrapping"/>
            </w:r>
            <w:r>
              <w:rPr>
                <w:rFonts w:ascii="Consolas" w:hAnsi="Consolas" w:eastAsia="Consolas" w:cs="Consolas"/>
                <w:sz w:val="22"/>
              </w:rPr>
              <w:t>/* 完整对象定义与使用 */</w:t>
            </w:r>
            <w:r>
              <w:rPr>
                <w:rFonts w:ascii="Consolas" w:hAnsi="Consolas" w:eastAsia="Consolas" w:cs="Consolas"/>
                <w:sz w:val="22"/>
              </w:rPr>
              <w:br w:type="textWrapping"/>
            </w:r>
            <w:r>
              <w:rPr>
                <w:rFonts w:ascii="Consolas" w:hAnsi="Consolas" w:eastAsia="Consolas" w:cs="Consolas"/>
                <w:sz w:val="22"/>
              </w:rPr>
              <w:t>// 对象声明</w:t>
            </w:r>
            <w:r>
              <w:rPr>
                <w:rFonts w:ascii="Consolas" w:hAnsi="Consolas" w:eastAsia="Consolas" w:cs="Consolas"/>
                <w:sz w:val="22"/>
              </w:rPr>
              <w:br w:type="textWrapping"/>
            </w:r>
            <w:r>
              <w:rPr>
                <w:rFonts w:ascii="Consolas" w:hAnsi="Consolas" w:eastAsia="Consolas" w:cs="Consolas"/>
                <w:sz w:val="22"/>
              </w:rPr>
              <w:t>let person = {</w:t>
            </w:r>
            <w:r>
              <w:rPr>
                <w:rFonts w:ascii="Consolas" w:hAnsi="Consolas" w:eastAsia="Consolas" w:cs="Consolas"/>
                <w:sz w:val="22"/>
              </w:rPr>
              <w:br w:type="textWrapping"/>
            </w:r>
            <w:r>
              <w:rPr>
                <w:rFonts w:ascii="Consolas" w:hAnsi="Consolas" w:eastAsia="Consolas" w:cs="Consolas"/>
                <w:sz w:val="22"/>
              </w:rPr>
              <w:t xml:space="preserve">  name: "王五", // 键（属性名）：name，值（属性值）："王五"</w:t>
            </w:r>
            <w:r>
              <w:rPr>
                <w:rFonts w:ascii="Consolas" w:hAnsi="Consolas" w:eastAsia="Consolas" w:cs="Consolas"/>
                <w:sz w:val="22"/>
              </w:rPr>
              <w:br w:type="textWrapping"/>
            </w:r>
            <w:r>
              <w:rPr>
                <w:rFonts w:ascii="Consolas" w:hAnsi="Consolas" w:eastAsia="Consolas" w:cs="Consolas"/>
                <w:sz w:val="22"/>
              </w:rPr>
              <w:t xml:space="preserve">  age: 25,</w:t>
            </w:r>
            <w:r>
              <w:rPr>
                <w:rFonts w:ascii="Consolas" w:hAnsi="Consolas" w:eastAsia="Consolas" w:cs="Consolas"/>
                <w:sz w:val="22"/>
              </w:rPr>
              <w:br w:type="textWrapping"/>
            </w:r>
            <w:r>
              <w:rPr>
                <w:rFonts w:ascii="Consolas" w:hAnsi="Consolas" w:eastAsia="Consolas" w:cs="Consolas"/>
                <w:sz w:val="22"/>
              </w:rPr>
              <w:t xml:space="preserve">  sayHello: function() { // 方法（值为函数的属性）</w:t>
            </w:r>
            <w:r>
              <w:rPr>
                <w:rFonts w:ascii="Consolas" w:hAnsi="Consolas" w:eastAsia="Consolas" w:cs="Consolas"/>
                <w:sz w:val="22"/>
              </w:rPr>
              <w:br w:type="textWrapping"/>
            </w:r>
            <w:r>
              <w:rPr>
                <w:rFonts w:ascii="Consolas" w:hAnsi="Consolas" w:eastAsia="Consolas" w:cs="Consolas"/>
                <w:sz w:val="22"/>
              </w:rPr>
              <w:t xml:space="preserve">    console.log(`Hello, 我是${this.name}`);</w:t>
            </w:r>
            <w:r>
              <w:rPr>
                <w:rFonts w:ascii="Consolas" w:hAnsi="Consolas" w:eastAsia="Consolas" w:cs="Consolas"/>
                <w:sz w:val="22"/>
              </w:rPr>
              <w:br w:type="textWrapping"/>
            </w:r>
            <w:r>
              <w:rPr>
                <w:rFonts w:ascii="Consolas" w:hAnsi="Consolas" w:eastAsia="Consolas" w:cs="Consolas"/>
                <w:sz w:val="22"/>
              </w:rPr>
              <w:t xml:space="preserve">  }</w:t>
            </w:r>
            <w:r>
              <w:rPr>
                <w:rFonts w:ascii="Consolas" w:hAnsi="Consolas" w:eastAsia="Consolas" w:cs="Consolas"/>
                <w:sz w:val="22"/>
              </w:rPr>
              <w:br w:type="textWrapping"/>
            </w:r>
            <w:r>
              <w:rPr>
                <w:rFonts w:ascii="Consolas" w:hAnsi="Consolas" w:eastAsia="Consolas" w:cs="Consolas"/>
                <w:sz w:val="22"/>
              </w:rPr>
              <w:t>};</w:t>
            </w:r>
            <w:r>
              <w:rPr>
                <w:rFonts w:ascii="Consolas" w:hAnsi="Consolas" w:eastAsia="Consolas" w:cs="Consolas"/>
                <w:sz w:val="22"/>
              </w:rPr>
              <w:br w:type="textWrapping"/>
            </w:r>
            <w:r>
              <w:rPr>
                <w:rFonts w:ascii="Consolas" w:hAnsi="Consolas" w:eastAsia="Consolas" w:cs="Consolas"/>
                <w:sz w:val="22"/>
              </w:rPr>
              <w:br w:type="textWrapping"/>
            </w:r>
            <w:r>
              <w:rPr>
                <w:rFonts w:ascii="Consolas" w:hAnsi="Consolas" w:eastAsia="Consolas" w:cs="Consolas"/>
                <w:sz w:val="22"/>
              </w:rPr>
              <w:t>// 访问对象属性和方法</w:t>
            </w:r>
            <w:r>
              <w:rPr>
                <w:rFonts w:ascii="Consolas" w:hAnsi="Consolas" w:eastAsia="Consolas" w:cs="Consolas"/>
                <w:sz w:val="22"/>
              </w:rPr>
              <w:br w:type="textWrapping"/>
            </w:r>
            <w:r>
              <w:rPr>
                <w:rFonts w:ascii="Consolas" w:hAnsi="Consolas" w:eastAsia="Consolas" w:cs="Consolas"/>
                <w:sz w:val="22"/>
              </w:rPr>
              <w:t>console.log(person.name); // 输出 "王五"</w:t>
            </w:r>
            <w:r>
              <w:rPr>
                <w:rFonts w:ascii="Consolas" w:hAnsi="Consolas" w:eastAsia="Consolas" w:cs="Consolas"/>
                <w:sz w:val="22"/>
              </w:rPr>
              <w:br w:type="textWrapping"/>
            </w:r>
            <w:r>
              <w:rPr>
                <w:rFonts w:ascii="Consolas" w:hAnsi="Consolas" w:eastAsia="Consolas" w:cs="Consolas"/>
                <w:sz w:val="22"/>
              </w:rPr>
              <w:t>person.sayHello(); // 输出 "Hello, 我是王五"</w:t>
            </w:r>
          </w:p>
        </w:tc>
      </w:tr>
    </w:tbl>
    <w:p w14:paraId="27A0030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 核心语法规则，遵循规范的 JavaScript 语法是保证代码正常执行和可维护的基础，核心规则如下表所示。</w:t>
      </w:r>
    </w:p>
    <w:p w14:paraId="6B75B8D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表1.10规则表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070"/>
        <w:gridCol w:w="2070"/>
        <w:gridCol w:w="2070"/>
        <w:gridCol w:w="2070"/>
      </w:tblGrid>
      <w:tr w14:paraId="5A08FF0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2070" w:type="dxa"/>
            <w:tcMar>
              <w:top w:w="60" w:type="dxa"/>
              <w:left w:w="120" w:type="dxa"/>
              <w:bottom w:w="30" w:type="dxa"/>
              <w:right w:w="120" w:type="dxa"/>
            </w:tcMar>
          </w:tcPr>
          <w:p w14:paraId="2D4DC14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规则</w:t>
            </w:r>
          </w:p>
        </w:tc>
        <w:tc>
          <w:tcPr>
            <w:tcW w:w="2070" w:type="dxa"/>
            <w:tcMar>
              <w:top w:w="60" w:type="dxa"/>
              <w:left w:w="120" w:type="dxa"/>
              <w:bottom w:w="30" w:type="dxa"/>
              <w:right w:w="120" w:type="dxa"/>
            </w:tcMar>
          </w:tcPr>
          <w:p w14:paraId="1D424DB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说明</w:t>
            </w:r>
          </w:p>
        </w:tc>
        <w:tc>
          <w:tcPr>
            <w:tcW w:w="2070" w:type="dxa"/>
            <w:tcMar>
              <w:top w:w="60" w:type="dxa"/>
              <w:left w:w="120" w:type="dxa"/>
              <w:bottom w:w="30" w:type="dxa"/>
              <w:right w:w="120" w:type="dxa"/>
            </w:tcMar>
          </w:tcPr>
          <w:p w14:paraId="7C8C554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正确示例</w:t>
            </w:r>
          </w:p>
        </w:tc>
        <w:tc>
          <w:tcPr>
            <w:tcW w:w="2070" w:type="dxa"/>
            <w:tcMar>
              <w:top w:w="60" w:type="dxa"/>
              <w:left w:w="120" w:type="dxa"/>
              <w:bottom w:w="30" w:type="dxa"/>
              <w:right w:w="120" w:type="dxa"/>
            </w:tcMar>
          </w:tcPr>
          <w:p w14:paraId="174B8A9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错误示例</w:t>
            </w:r>
          </w:p>
        </w:tc>
      </w:tr>
      <w:tr w14:paraId="59531A4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174CA4D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语句结束符</w:t>
            </w:r>
          </w:p>
        </w:tc>
        <w:tc>
          <w:tcPr>
            <w:tcW w:w="2070" w:type="dxa"/>
            <w:tcMar>
              <w:top w:w="60" w:type="dxa"/>
              <w:left w:w="120" w:type="dxa"/>
              <w:bottom w:w="30" w:type="dxa"/>
              <w:right w:w="120" w:type="dxa"/>
            </w:tcMar>
          </w:tcPr>
          <w:p w14:paraId="4E796BA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每条语句以分号 ; 结尾（部分场景可省略，但推荐添加）</w:t>
            </w:r>
          </w:p>
        </w:tc>
        <w:tc>
          <w:tcPr>
            <w:tcW w:w="2070" w:type="dxa"/>
            <w:tcMar>
              <w:top w:w="60" w:type="dxa"/>
              <w:left w:w="120" w:type="dxa"/>
              <w:bottom w:w="30" w:type="dxa"/>
              <w:right w:w="120" w:type="dxa"/>
            </w:tcMar>
          </w:tcPr>
          <w:p w14:paraId="4D55058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a = 10;</w:t>
            </w:r>
          </w:p>
        </w:tc>
        <w:tc>
          <w:tcPr>
            <w:tcW w:w="2070" w:type="dxa"/>
            <w:tcMar>
              <w:top w:w="60" w:type="dxa"/>
              <w:left w:w="120" w:type="dxa"/>
              <w:bottom w:w="30" w:type="dxa"/>
              <w:right w:w="120" w:type="dxa"/>
            </w:tcMar>
          </w:tcPr>
          <w:p w14:paraId="4D146BF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a = 10（易导致代码解析错误）</w:t>
            </w:r>
          </w:p>
        </w:tc>
      </w:tr>
      <w:tr w14:paraId="748B679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0CA95D2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变量命名规范</w:t>
            </w:r>
          </w:p>
        </w:tc>
        <w:tc>
          <w:tcPr>
            <w:tcW w:w="2070" w:type="dxa"/>
            <w:tcMar>
              <w:top w:w="60" w:type="dxa"/>
              <w:left w:w="120" w:type="dxa"/>
              <w:bottom w:w="30" w:type="dxa"/>
              <w:right w:w="120" w:type="dxa"/>
            </w:tcMar>
          </w:tcPr>
          <w:p w14:paraId="67E5D1B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可由字母、数字、_、$ 组成，不能以数字开头，区分大小写，推荐驼峰命名法</w:t>
            </w:r>
          </w:p>
        </w:tc>
        <w:tc>
          <w:tcPr>
            <w:tcW w:w="2070" w:type="dxa"/>
            <w:tcMar>
              <w:top w:w="60" w:type="dxa"/>
              <w:left w:w="120" w:type="dxa"/>
              <w:bottom w:w="30" w:type="dxa"/>
              <w:right w:w="120" w:type="dxa"/>
            </w:tcMar>
          </w:tcPr>
          <w:p w14:paraId="6A0C15B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userName = "赵六";</w:t>
            </w:r>
          </w:p>
        </w:tc>
        <w:tc>
          <w:tcPr>
            <w:tcW w:w="2070" w:type="dxa"/>
            <w:tcMar>
              <w:top w:w="60" w:type="dxa"/>
              <w:left w:w="120" w:type="dxa"/>
              <w:bottom w:w="30" w:type="dxa"/>
              <w:right w:w="120" w:type="dxa"/>
            </w:tcMar>
          </w:tcPr>
          <w:p w14:paraId="7D71CD8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let 1user = "赵六"; let user-name = "赵六"（均错误）</w:t>
            </w:r>
          </w:p>
        </w:tc>
      </w:tr>
      <w:tr w14:paraId="4E90988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317176C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代码块分隔</w:t>
            </w:r>
          </w:p>
        </w:tc>
        <w:tc>
          <w:tcPr>
            <w:tcW w:w="2070" w:type="dxa"/>
            <w:tcMar>
              <w:top w:w="60" w:type="dxa"/>
              <w:left w:w="120" w:type="dxa"/>
              <w:bottom w:w="30" w:type="dxa"/>
              <w:right w:w="120" w:type="dxa"/>
            </w:tcMar>
          </w:tcPr>
          <w:p w14:paraId="4004FFD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函数、条件、循环等的代码块用 {} 包裹，即使单行代码也推荐添加</w:t>
            </w:r>
          </w:p>
        </w:tc>
        <w:tc>
          <w:tcPr>
            <w:tcW w:w="2070" w:type="dxa"/>
            <w:tcMar>
              <w:top w:w="60" w:type="dxa"/>
              <w:left w:w="120" w:type="dxa"/>
              <w:bottom w:w="30" w:type="dxa"/>
              <w:right w:w="120" w:type="dxa"/>
            </w:tcMar>
          </w:tcPr>
          <w:p w14:paraId="08FF7F2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if (a &gt; 5) { console.log(a); }</w:t>
            </w:r>
          </w:p>
        </w:tc>
        <w:tc>
          <w:tcPr>
            <w:tcW w:w="2070" w:type="dxa"/>
            <w:tcMar>
              <w:top w:w="60" w:type="dxa"/>
              <w:left w:w="120" w:type="dxa"/>
              <w:bottom w:w="30" w:type="dxa"/>
              <w:right w:w="120" w:type="dxa"/>
            </w:tcMar>
          </w:tcPr>
          <w:p w14:paraId="7A3E416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if (a &gt; 5) console.log(a)（可读性差，易出错）</w:t>
            </w:r>
          </w:p>
        </w:tc>
      </w:tr>
      <w:tr w14:paraId="164C0C5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5B6CE85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注释语法固定</w:t>
            </w:r>
          </w:p>
        </w:tc>
        <w:tc>
          <w:tcPr>
            <w:tcW w:w="2070" w:type="dxa"/>
            <w:tcMar>
              <w:top w:w="60" w:type="dxa"/>
              <w:left w:w="120" w:type="dxa"/>
              <w:bottom w:w="30" w:type="dxa"/>
              <w:right w:w="120" w:type="dxa"/>
            </w:tcMar>
          </w:tcPr>
          <w:p w14:paraId="7CF0C17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单行注释 // 注释内容；多行注释 /* 注释内容 */</w:t>
            </w:r>
          </w:p>
        </w:tc>
        <w:tc>
          <w:tcPr>
            <w:tcW w:w="2070" w:type="dxa"/>
            <w:tcMar>
              <w:top w:w="60" w:type="dxa"/>
              <w:left w:w="120" w:type="dxa"/>
              <w:bottom w:w="30" w:type="dxa"/>
              <w:right w:w="120" w:type="dxa"/>
            </w:tcMar>
          </w:tcPr>
          <w:p w14:paraId="1D294A6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 这是单行注释 /* 这是多行注释 */</w:t>
            </w:r>
          </w:p>
        </w:tc>
        <w:tc>
          <w:tcPr>
            <w:tcW w:w="2070" w:type="dxa"/>
            <w:tcMar>
              <w:top w:w="60" w:type="dxa"/>
              <w:left w:w="120" w:type="dxa"/>
              <w:bottom w:w="30" w:type="dxa"/>
              <w:right w:w="120" w:type="dxa"/>
            </w:tcMar>
          </w:tcPr>
          <w:p w14:paraId="4EF3FBA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 这是 HTML 注释，JS 中无效 --&gt;</w:t>
            </w:r>
          </w:p>
        </w:tc>
      </w:tr>
      <w:tr w14:paraId="3A11A98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1566469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严格相等判断</w:t>
            </w:r>
          </w:p>
        </w:tc>
        <w:tc>
          <w:tcPr>
            <w:tcW w:w="2070" w:type="dxa"/>
            <w:tcMar>
              <w:top w:w="60" w:type="dxa"/>
              <w:left w:w="120" w:type="dxa"/>
              <w:bottom w:w="30" w:type="dxa"/>
              <w:right w:w="120" w:type="dxa"/>
            </w:tcMar>
          </w:tcPr>
          <w:p w14:paraId="1D2AA7F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比较变量时推荐用 ===（严格相等），避免 == 的隐式类型转换</w:t>
            </w:r>
          </w:p>
        </w:tc>
        <w:tc>
          <w:tcPr>
            <w:tcW w:w="2070" w:type="dxa"/>
            <w:tcMar>
              <w:top w:w="60" w:type="dxa"/>
              <w:left w:w="120" w:type="dxa"/>
              <w:bottom w:w="30" w:type="dxa"/>
              <w:right w:w="120" w:type="dxa"/>
            </w:tcMar>
          </w:tcPr>
          <w:p w14:paraId="4A6EBF9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123 === "123" // false</w:t>
            </w:r>
          </w:p>
        </w:tc>
        <w:tc>
          <w:tcPr>
            <w:tcW w:w="2070" w:type="dxa"/>
            <w:tcMar>
              <w:top w:w="60" w:type="dxa"/>
              <w:left w:w="120" w:type="dxa"/>
              <w:bottom w:w="30" w:type="dxa"/>
              <w:right w:w="120" w:type="dxa"/>
            </w:tcMar>
          </w:tcPr>
          <w:p w14:paraId="71BF011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123 == "123" // true（隐式转换导致，易出错）</w:t>
            </w:r>
          </w:p>
        </w:tc>
      </w:tr>
    </w:tbl>
    <w:p w14:paraId="417C4EC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JavaScript 引入方式（与 HTML 结合方式），JavaScript 需与 HTML 结合才能实现网页交互功能，常见有 3 种引入方式，如下表所示，适用场景不同。</w:t>
      </w:r>
    </w:p>
    <w:p w14:paraId="7F2232C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表1.11 引入方式表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070"/>
        <w:gridCol w:w="2070"/>
        <w:gridCol w:w="2070"/>
        <w:gridCol w:w="2070"/>
      </w:tblGrid>
      <w:tr w14:paraId="2C879D2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2070" w:type="dxa"/>
            <w:tcMar>
              <w:top w:w="60" w:type="dxa"/>
              <w:left w:w="120" w:type="dxa"/>
              <w:bottom w:w="30" w:type="dxa"/>
              <w:right w:w="120" w:type="dxa"/>
            </w:tcMar>
          </w:tcPr>
          <w:p w14:paraId="4BBCEB9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引入方式</w:t>
            </w:r>
          </w:p>
        </w:tc>
        <w:tc>
          <w:tcPr>
            <w:tcW w:w="2070" w:type="dxa"/>
            <w:tcMar>
              <w:top w:w="60" w:type="dxa"/>
              <w:left w:w="120" w:type="dxa"/>
              <w:bottom w:w="30" w:type="dxa"/>
              <w:right w:w="120" w:type="dxa"/>
            </w:tcMar>
          </w:tcPr>
          <w:p w14:paraId="45951C4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语法格式</w:t>
            </w:r>
          </w:p>
        </w:tc>
        <w:tc>
          <w:tcPr>
            <w:tcW w:w="2070" w:type="dxa"/>
            <w:tcMar>
              <w:top w:w="60" w:type="dxa"/>
              <w:left w:w="120" w:type="dxa"/>
              <w:bottom w:w="30" w:type="dxa"/>
              <w:right w:w="120" w:type="dxa"/>
            </w:tcMar>
          </w:tcPr>
          <w:p w14:paraId="604D11A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核心优势</w:t>
            </w:r>
          </w:p>
        </w:tc>
        <w:tc>
          <w:tcPr>
            <w:tcW w:w="2070" w:type="dxa"/>
            <w:tcMar>
              <w:top w:w="60" w:type="dxa"/>
              <w:left w:w="120" w:type="dxa"/>
              <w:bottom w:w="30" w:type="dxa"/>
              <w:right w:w="120" w:type="dxa"/>
            </w:tcMar>
          </w:tcPr>
          <w:p w14:paraId="536905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适用场景</w:t>
            </w:r>
          </w:p>
        </w:tc>
      </w:tr>
      <w:tr w14:paraId="737DE96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207F9E1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内联脚本（行内脚本）</w:t>
            </w:r>
          </w:p>
        </w:tc>
        <w:tc>
          <w:tcPr>
            <w:tcW w:w="2070" w:type="dxa"/>
            <w:tcMar>
              <w:top w:w="60" w:type="dxa"/>
              <w:left w:w="120" w:type="dxa"/>
              <w:bottom w:w="30" w:type="dxa"/>
              <w:right w:w="120" w:type="dxa"/>
            </w:tcMar>
          </w:tcPr>
          <w:p w14:paraId="0C9673A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&lt;元素 onclick="JS代码"&gt; 或 &lt;a href="javascript:JS代码"&gt;</w:t>
            </w:r>
          </w:p>
        </w:tc>
        <w:tc>
          <w:tcPr>
            <w:tcW w:w="2070" w:type="dxa"/>
            <w:tcMar>
              <w:top w:w="60" w:type="dxa"/>
              <w:left w:w="120" w:type="dxa"/>
              <w:bottom w:w="30" w:type="dxa"/>
              <w:right w:w="120" w:type="dxa"/>
            </w:tcMar>
          </w:tcPr>
          <w:p w14:paraId="2A033AF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直接绑定到元素事件，编写简单</w:t>
            </w:r>
          </w:p>
        </w:tc>
        <w:tc>
          <w:tcPr>
            <w:tcW w:w="2070" w:type="dxa"/>
            <w:tcMar>
              <w:top w:w="60" w:type="dxa"/>
              <w:left w:w="120" w:type="dxa"/>
              <w:bottom w:w="30" w:type="dxa"/>
              <w:right w:w="120" w:type="dxa"/>
            </w:tcMar>
          </w:tcPr>
          <w:p w14:paraId="3F6E7D4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单个元素简单事件响应（不推荐大量使用）</w:t>
            </w:r>
          </w:p>
        </w:tc>
      </w:tr>
      <w:tr w14:paraId="3DECF2C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4C6F3C1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内部脚本</w:t>
            </w:r>
          </w:p>
        </w:tc>
        <w:tc>
          <w:tcPr>
            <w:tcW w:w="2070" w:type="dxa"/>
            <w:tcMar>
              <w:top w:w="60" w:type="dxa"/>
              <w:left w:w="120" w:type="dxa"/>
              <w:bottom w:w="30" w:type="dxa"/>
              <w:right w:w="120" w:type="dxa"/>
            </w:tcMar>
          </w:tcPr>
          <w:p w14:paraId="157F48F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&lt;script&gt;JS 代码&lt;/script&gt;（通常放在 &lt;body&gt; 末尾）</w:t>
            </w:r>
          </w:p>
        </w:tc>
        <w:tc>
          <w:tcPr>
            <w:tcW w:w="2070" w:type="dxa"/>
            <w:tcMar>
              <w:top w:w="60" w:type="dxa"/>
              <w:left w:w="120" w:type="dxa"/>
              <w:bottom w:w="30" w:type="dxa"/>
              <w:right w:w="120" w:type="dxa"/>
            </w:tcMar>
          </w:tcPr>
          <w:p w14:paraId="7476B1E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脚本与 HTML 同文件，无需额外请求，便于单页面维护</w:t>
            </w:r>
          </w:p>
        </w:tc>
        <w:tc>
          <w:tcPr>
            <w:tcW w:w="2070" w:type="dxa"/>
            <w:tcMar>
              <w:top w:w="60" w:type="dxa"/>
              <w:left w:w="120" w:type="dxa"/>
              <w:bottom w:w="30" w:type="dxa"/>
              <w:right w:w="120" w:type="dxa"/>
            </w:tcMar>
          </w:tcPr>
          <w:p w14:paraId="5114BF9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简单单页面网站的交互功能</w:t>
            </w:r>
          </w:p>
        </w:tc>
      </w:tr>
      <w:tr w14:paraId="23C5E2F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427C678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外部脚本（推荐）</w:t>
            </w:r>
          </w:p>
        </w:tc>
        <w:tc>
          <w:tcPr>
            <w:tcW w:w="2070" w:type="dxa"/>
            <w:tcMar>
              <w:top w:w="60" w:type="dxa"/>
              <w:left w:w="120" w:type="dxa"/>
              <w:bottom w:w="30" w:type="dxa"/>
              <w:right w:w="120" w:type="dxa"/>
            </w:tcMar>
          </w:tcPr>
          <w:p w14:paraId="3DBA9D8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&lt;script src="脚本文件路径.js"&gt;&lt;/script&gt;（通常放在 &lt;body&gt; 末尾）</w:t>
            </w:r>
          </w:p>
        </w:tc>
        <w:tc>
          <w:tcPr>
            <w:tcW w:w="2070" w:type="dxa"/>
            <w:tcMar>
              <w:top w:w="60" w:type="dxa"/>
              <w:left w:w="120" w:type="dxa"/>
              <w:bottom w:w="30" w:type="dxa"/>
              <w:right w:w="120" w:type="dxa"/>
            </w:tcMar>
          </w:tcPr>
          <w:p w14:paraId="1F0607F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脚本独立成文件，可多页面复用，便于大规模项目维护和缓存，避免阻塞页面加载</w:t>
            </w:r>
          </w:p>
        </w:tc>
        <w:tc>
          <w:tcPr>
            <w:tcW w:w="2070" w:type="dxa"/>
            <w:tcMar>
              <w:top w:w="60" w:type="dxa"/>
              <w:left w:w="120" w:type="dxa"/>
              <w:bottom w:w="30" w:type="dxa"/>
              <w:right w:w="120" w:type="dxa"/>
            </w:tcMar>
          </w:tcPr>
          <w:p w14:paraId="1B86486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多页面网站、大型项目（主流方案）</w:t>
            </w:r>
          </w:p>
        </w:tc>
      </w:tr>
    </w:tbl>
    <w:p w14:paraId="0573819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宋体" w:hAnsi="宋体" w:eastAsia="宋体" w:cs="宋体"/>
          <w:sz w:val="24"/>
          <w:szCs w:val="24"/>
          <w:lang w:val="en-US" w:eastAsia="zh-CN"/>
        </w:rPr>
        <w:t>JavaScript 核心功能模块，JavaScript 提供丰富的功能接</w:t>
      </w:r>
      <w:r>
        <w:rPr>
          <w:rFonts w:hint="eastAsia" w:ascii="Calibri" w:hAnsi="Calibri" w:eastAsia="宋体" w:cs="Times New Roman"/>
          <w:sz w:val="24"/>
          <w:szCs w:val="24"/>
          <w:lang w:val="en-US" w:eastAsia="zh-CN"/>
        </w:rPr>
        <w:t>口，核心功能模块覆盖 DOM 操作、事件处理、数据处理、网络请求等场景：</w:t>
      </w:r>
    </w:p>
    <w:p w14:paraId="0336917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DOM 操作模块：将 HTML 文档解析为树形结构，JavaScript 通过 DOM 接口操作 HTML 元素，实现页面动态修改。</w:t>
      </w:r>
    </w:p>
    <w:p w14:paraId="5B4CD14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元素选择：document.getElementById("id名")（通过 ID 选元素）、document.getElementsByClassName("类名")（通过类选元素）、document.querySelector("选择器")（通过 CSS 选择器选单个元素）；</w:t>
      </w:r>
    </w:p>
    <w:p w14:paraId="4FD0A42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内容修改：element.innerHTML（修改元素内部 HTML 内容）、element.textContent（修改元素纯文本内容）；</w:t>
      </w:r>
    </w:p>
    <w:p w14:paraId="69BC3F8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样式修改：element.style.属性名 = "属性值"（修改元素行内样式）、element.classList.add("类名")（为元素添加 CSS 类）；</w:t>
      </w:r>
    </w:p>
    <w:p w14:paraId="6E5C7FD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元素操作：document.createElement("元素名")（创建元素）、parent.appendChild(child)（添加子元素）、element.remove()（删除元素）。</w:t>
      </w:r>
    </w:p>
    <w:p w14:paraId="3F0C20F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事件处理模块</w:t>
      </w:r>
    </w:p>
    <w:p w14:paraId="53D81A0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事件：用户与网页的交互行为（如点击、输入、鼠标移动），JavaScript 通过绑定事件监听器，对事件做出响应。</w:t>
      </w:r>
    </w:p>
    <w:p w14:paraId="66C37AC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常见事件：click（点击事件）、input（输入事件）、mouseover（鼠标悬浮事件）、load（页面加载完成事件）；</w:t>
      </w:r>
    </w:p>
    <w:p w14:paraId="1E0CB80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事件绑定方式：element.onclick = 函数（传统方式）、element.addEventListener("事件名", 函数)（推荐方式，支持绑定多个事件）；</w:t>
      </w:r>
    </w:p>
    <w:p w14:paraId="69C2B40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事件对象：事件触发时自动传入事件处理函数，包含事件相关信息（如点击位置、触发元素）。</w:t>
      </w:r>
    </w:p>
    <w:p w14:paraId="0E3CA6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数据处理模块</w:t>
      </w:r>
    </w:p>
    <w:p w14:paraId="511DDA3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对字符串、数组、对象等数据进行格式化、筛选、转换等操作，满足业务逻辑需求。</w:t>
      </w:r>
    </w:p>
    <w:p w14:paraId="752A1F1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字符串处理：str.split("分隔符")（分割字符串）、str.indexOf("子串")（查找子串位置）、str.trim()（去除首尾空格）；</w:t>
      </w:r>
    </w:p>
    <w:p w14:paraId="1602525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数组处理：arr.push(元素)（添加元素到数组末尾）、arr.filter(函数)（筛选数组元素）、arr.map(函数)（数组元素映射转换）、arr.reduce(函数)（数组累加计算）；</w:t>
      </w:r>
    </w:p>
    <w:p w14:paraId="5055543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JSON 处理：JSON.stringify(对象)（将对象转换为 JSON 字符串）、JSON.parse(字符串)（将 JSON 字符串转换为对象）。</w:t>
      </w:r>
    </w:p>
    <w:p w14:paraId="57518FA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网络请求模块</w:t>
      </w:r>
    </w:p>
    <w:p w14:paraId="7241101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与服务器进行数据交互，实现动态数据加载（如获取后台数据、提交表单数据）。</w:t>
      </w:r>
    </w:p>
    <w:p w14:paraId="66FAED8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传统方式：XMLHttpRequest（早期网络请求核心，用法较繁琐）；</w:t>
      </w:r>
    </w:p>
    <w:p w14:paraId="513726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ES6+ 方式：fetch API（简洁的网络请求接口，支持 Promise）；</w:t>
      </w:r>
    </w:p>
    <w:p w14:paraId="2AED91B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第三方方案：axios（基于 Promise 的网络请求库，支持拦截器、取消请求等增强功能，主流推荐）。</w:t>
      </w:r>
    </w:p>
    <w:p w14:paraId="7CD685E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异步编程模块</w:t>
      </w:r>
    </w:p>
    <w:p w14:paraId="06CA2D0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 是单线程语言，通过异步编程避免代码阻塞，提升页面响应速度，核心方案用于处理网络请求、定时器等耗时操作。</w:t>
      </w:r>
    </w:p>
    <w:p w14:paraId="01816C7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定时器：setTimeout(函数, 延迟时间)（延迟指定时间执行函数）、setInterval(函数, 间隔时间)（每隔指定时间重复执行函数）；</w:t>
      </w:r>
    </w:p>
    <w:p w14:paraId="1FC01A8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Promise：解决回调地狱问题，统一异步操作的处理方式，支持 resolve（成功）、reject（失败）两种状态；</w:t>
      </w:r>
    </w:p>
    <w:p w14:paraId="5F37A7A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async/await：ES7+ 新增，基于 Promise 的语法糖，将异步代码同步化编写，大幅提升可读性。</w:t>
      </w:r>
    </w:p>
    <w:p w14:paraId="6523A84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Web3.js 是一套基于 JavaScript/TypeScript 开发的开源库，诞生于 2014 年，由 ChainSafe Systems 主导维护，是连接传统 Web 应用与以太坊及其他兼容 EVM（以太坊虚拟机）区块链网络的核心桥梁。其核心价值在于封装了复杂的区块链底层通信协议，为开发者提供了简洁易用的 API 接口，无需深入理解区块链底层原理，即可快速实现与区块链节点的交互，构建去中心化应用（DApp）。</w:t>
      </w:r>
    </w:p>
    <w:p w14:paraId="1497875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区块链网络的底层通信依赖 JSON-RPC 协议，直接调用该协议需要处理复杂的数据格式转换与网络请求逻辑，门槛较高。Web3.js 的核心定位是对 JSON-RPC 协议进行抽象封装，简化开发者与区块链节点的交互流程。</w:t>
      </w:r>
    </w:p>
    <w:p w14:paraId="0BA04FC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其核心价值主要体现在三个方面：一是降低开发门槛，让熟悉 JavaScript/TypeScript 的开发者能够快速切入区块链开发领域；二是提升开发效率，提供丰富的工具函数与模块化 API，覆盖区块链交互全流程；三是保障兼容性，支持浏览器、Node.js、Electron 等多种运行环境，同时适配所有 EVM 兼容链，实现跨链开发支持。</w:t>
      </w:r>
    </w:p>
    <w:p w14:paraId="2888B26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模块化架构设计：采用分层模块化设计，核心功能与扩展功能分离，开发者可按需安装所需模块，减少项目依赖体积，支持 ESM 和 CommonJS 两种模块规范，适配不同项目构建方案。</w:t>
      </w:r>
    </w:p>
    <w:p w14:paraId="6F12B15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全面的类型支持：基于 TypeScript 重写，提供完整的类型定义，通过严格的类型校验提升代码安全性，减少开发过程中的类型错误。</w:t>
      </w:r>
    </w:p>
    <w:p w14:paraId="4847523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高效的 ABI 编解码：内置行业领先的 ABI（应用二进制接口）编解码工具，支持智能合约交互过程中的数据格式转换，性能优化优异。</w:t>
      </w:r>
    </w:p>
    <w:p w14:paraId="198148D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灵活的输出格式化：支持将区块链返回的数据格式化为字符串、数字、BigInt 等多种类型，适配不同业务场景的数据处理需求。</w:t>
      </w:r>
    </w:p>
    <w:p w14:paraId="4312521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多环境多协议支持：支持通过 HTTP、IPC、WebSocket 三种方式与区块链节点通信，可运行于浏览器、Node.js 后端、桌面应用等多种环境。</w:t>
      </w:r>
    </w:p>
    <w:p w14:paraId="6A85BD6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丰富的生态适配：无缝兼容 MetaMask 等主流钱包插件，支持 Infura 等节点服务提供商，与 Hardhat 等开发工具链深度集成，形成完整的开发闭环。</w:t>
      </w:r>
    </w:p>
    <w:p w14:paraId="7CD777C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Web3.js v4.x 采用模块化设计，核心模块与扩展插件分离，开发者可通过 npm 按需安装，核心模块结构如下：</w:t>
      </w:r>
    </w:p>
    <w:p w14:paraId="65D8D5A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核心包（web3）</w:t>
      </w:r>
    </w:p>
    <w:p w14:paraId="25D9F48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基础入口包，提供核心的初始化能力与工具函数集合，安装命令：npm install web3，通过该包可初始化 Web3 实例，建立与区块链节点的连接。</w:t>
      </w:r>
    </w:p>
    <w:p w14:paraId="370212F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核心子模块</w:t>
      </w:r>
    </w:p>
    <w:p w14:paraId="2F7B192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web3.eth：以太坊主链交互核心模块，提供区块查询、交易发送、账户管理等核心功能。关键方法包括 getBlockNumber()（获取最新区块号）、getBalance()（查询账户余额）、sendTransaction()（发送交易）、subscribe()（订阅链上事件）等。</w:t>
      </w:r>
    </w:p>
    <w:p w14:paraId="5265706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web3.eth.contract：智能合约交互模块，支持通过 ABI 生成合约实例，实现合约方法调用与交易发送。核心流程为：通过 ABI 和合约地址创建实例 → 调用 call() 方法读取合约数据 → 调用 send() 方法发送合约交易。</w:t>
      </w:r>
    </w:p>
    <w:p w14:paraId="072EC4E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web3.utils：工具函数模块，提供区块链开发常用工具，如 ETH 与 Wei 单位转换（toWei()/fromWei()）、哈希计算（keccak256()）、地址有效性校验（isAddress()）、数据格式转换（hexToUtf8()）等。</w:t>
      </w:r>
    </w:p>
    <w:p w14:paraId="0344DE4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web3.eth.accounts：本地账户管理模块，支持离线生成以太坊账户、签名交易与数据，无需依赖区块链节点，保障私钥安全。</w:t>
      </w:r>
    </w:p>
    <w:p w14:paraId="0669DBA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web3.net：网络信息模块，用于查询区块链节点的网络状态，如网络 ID（getId()）、节点连接状态（isListening()）等。</w:t>
      </w:r>
    </w:p>
    <w:p w14:paraId="4F82C92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rPr>
        <w:t>开发服务器：使用</w:t>
      </w:r>
      <w:r>
        <w:rPr>
          <w:rFonts w:hint="eastAsia" w:ascii="Calibri" w:hAnsi="Calibri" w:eastAsia="宋体" w:cs="Times New Roman"/>
          <w:sz w:val="24"/>
          <w:szCs w:val="24"/>
          <w:lang w:val="en-US" w:eastAsia="zh-CN"/>
        </w:rPr>
        <w:t>Gananche</w:t>
      </w:r>
      <w:r>
        <w:rPr>
          <w:rFonts w:hint="eastAsia" w:ascii="Calibri" w:hAnsi="Calibri" w:eastAsia="宋体" w:cs="Times New Roman"/>
          <w:sz w:val="24"/>
          <w:szCs w:val="24"/>
        </w:rPr>
        <w:t>提供</w:t>
      </w:r>
      <w:r>
        <w:rPr>
          <w:rFonts w:hint="eastAsia" w:ascii="Calibri" w:hAnsi="Calibri" w:eastAsia="宋体" w:cs="Times New Roman"/>
          <w:sz w:val="24"/>
          <w:szCs w:val="24"/>
          <w:lang w:val="en-US" w:eastAsia="zh-CN"/>
        </w:rPr>
        <w:t>以太坊</w:t>
      </w:r>
      <w:r>
        <w:rPr>
          <w:rFonts w:hint="eastAsia" w:ascii="Calibri" w:hAnsi="Calibri" w:eastAsia="宋体" w:cs="Times New Roman"/>
          <w:sz w:val="24"/>
          <w:szCs w:val="24"/>
        </w:rPr>
        <w:t>本地</w:t>
      </w:r>
      <w:r>
        <w:rPr>
          <w:rFonts w:hint="eastAsia" w:ascii="Calibri" w:hAnsi="Calibri" w:eastAsia="宋体" w:cs="Times New Roman"/>
          <w:sz w:val="24"/>
          <w:szCs w:val="24"/>
          <w:lang w:val="en-US" w:eastAsia="zh-CN"/>
        </w:rPr>
        <w:t>网络环境</w:t>
      </w:r>
      <w:r>
        <w:rPr>
          <w:rFonts w:hint="eastAsia" w:ascii="Calibri" w:hAnsi="Calibri" w:eastAsia="宋体" w:cs="Times New Roman"/>
          <w:sz w:val="24"/>
          <w:szCs w:val="24"/>
        </w:rPr>
        <w:t>。</w:t>
      </w:r>
      <w:r>
        <w:rPr>
          <w:rFonts w:hint="eastAsia" w:ascii="Calibri" w:hAnsi="Calibri" w:eastAsia="宋体" w:cs="Times New Roman"/>
          <w:sz w:val="24"/>
          <w:szCs w:val="24"/>
          <w:lang w:val="en-US" w:eastAsia="zh-CN"/>
        </w:rPr>
        <w:tab/>
      </w:r>
    </w:p>
    <w:p w14:paraId="3B5A1EE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智能合约：使用Solidity语言编写，部署于选择的区块链网络，用于管理用户身份、内容存储与权限逻辑。</w:t>
      </w:r>
    </w:p>
    <w:p w14:paraId="32D7A0A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开发工具：MetaMask浏览器扩展、Remix IDE（智能合约开发与测试）、版本控制（如Git）。</w:t>
      </w:r>
    </w:p>
    <w:p w14:paraId="0F4788B7">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3B8F198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lang w:val="en-US" w:eastAsia="zh-CN"/>
        </w:rPr>
        <w:t>兰婷、陈乐</w:t>
      </w:r>
      <w:r>
        <w:rPr>
          <w:rFonts w:hint="eastAsia" w:ascii="Calibri" w:hAnsi="Calibri" w:eastAsia="宋体" w:cs="Times New Roman"/>
          <w:sz w:val="24"/>
          <w:szCs w:val="24"/>
        </w:rPr>
        <w:t>：项目经理，负责需求分析、系统架构设计与整体协调。赵欣怡、彭梦琴：智能合约开发工程师，负责Solidity智能合约的编写、测试与部署。罗世利</w:t>
      </w:r>
      <w:r>
        <w:rPr>
          <w:rFonts w:hint="eastAsia" w:ascii="Calibri" w:hAnsi="Calibri" w:eastAsia="宋体" w:cs="Times New Roman"/>
          <w:sz w:val="24"/>
          <w:szCs w:val="24"/>
          <w:lang w:eastAsia="zh-CN"/>
        </w:rPr>
        <w:t>、</w:t>
      </w:r>
      <w:r>
        <w:rPr>
          <w:rFonts w:hint="eastAsia" w:ascii="Calibri" w:hAnsi="Calibri" w:eastAsia="宋体" w:cs="Times New Roman"/>
          <w:sz w:val="24"/>
          <w:szCs w:val="24"/>
          <w:lang w:val="en-US" w:eastAsia="zh-CN"/>
        </w:rPr>
        <w:t>陈乐</w:t>
      </w:r>
      <w:r>
        <w:rPr>
          <w:rFonts w:hint="eastAsia" w:ascii="Calibri" w:hAnsi="Calibri" w:eastAsia="宋体" w:cs="Times New Roman"/>
          <w:sz w:val="24"/>
          <w:szCs w:val="24"/>
        </w:rPr>
        <w:t>：前端开发工程师，负责用户界面（UI）设计与前端交互逻辑实现。赵欣怡、彭梦琴：测试与文档工程师，负责系统功能测试、用户体验优化及技术文档撰写。</w:t>
      </w:r>
    </w:p>
    <w:p w14:paraId="12335CBD">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37088" behindDoc="0" locked="0" layoutInCell="1" allowOverlap="1">
            <wp:simplePos x="0" y="0"/>
            <wp:positionH relativeFrom="column">
              <wp:posOffset>10795</wp:posOffset>
            </wp:positionH>
            <wp:positionV relativeFrom="paragraph">
              <wp:posOffset>137795</wp:posOffset>
            </wp:positionV>
            <wp:extent cx="5274310" cy="1792605"/>
            <wp:effectExtent l="0" t="0" r="2540" b="17145"/>
            <wp:wrapTopAndBottom/>
            <wp:docPr id="1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3"/>
                    <pic:cNvPicPr>
                      <a:picLocks noChangeAspect="1"/>
                    </pic:cNvPicPr>
                  </pic:nvPicPr>
                  <pic:blipFill>
                    <a:blip r:embed="rId267"/>
                    <a:stretch>
                      <a:fillRect/>
                    </a:stretch>
                  </pic:blipFill>
                  <pic:spPr>
                    <a:xfrm>
                      <a:off x="0" y="0"/>
                      <a:ext cx="5274310" cy="1792605"/>
                    </a:xfrm>
                    <a:prstGeom prst="rect">
                      <a:avLst/>
                    </a:prstGeom>
                    <a:noFill/>
                    <a:ln>
                      <a:noFill/>
                    </a:ln>
                  </pic:spPr>
                </pic:pic>
              </a:graphicData>
            </a:graphic>
          </wp:anchor>
        </w:drawing>
      </w:r>
      <w:r>
        <w:rPr>
          <w:rFonts w:hint="eastAsia" w:ascii="宋体" w:hAnsi="宋体" w:eastAsia="宋体" w:cs="宋体"/>
          <w:sz w:val="21"/>
          <w:szCs w:val="21"/>
          <w:lang w:val="en-US" w:eastAsia="zh-CN"/>
        </w:rPr>
        <w:t>图1.3人员构成</w:t>
      </w:r>
    </w:p>
    <w:p w14:paraId="28C3F4E4">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3EE336E2">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19E4335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需求涵盖功能与非功能两个方面，功能上要求支持用户通过MetaMask钱包进行去中心化登录与身份认证，普通用户可创建、发布、查看及检索包含文字、图片和标签的穿搭记录，管理员则需具备内容审核、状态管理和用户权限控制的能力，所有核心数据通过智能合约存储于区块链以保证不可篡改；非功能需求强调安全性，需利用区块链特性保障数据真实性与用户隐私，同时要求系统具备良好的可用性与友好的用户界面，并确保前端交互响应及时及区块链交易确认效率在可接受范围内。</w:t>
      </w:r>
    </w:p>
    <w:p w14:paraId="01E4BC2E">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701877A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可行性从技术、经济与操作三个维度进行评估，技术层面，基于成熟的Web3技术栈，包括web3.js、MetaMask和Solidity，工具链完善且社区支持强大，实现路径清晰可行；经济层面，主要成本为前期开发人力与智能合约部署的Gas费用，无持续性的中心化服务器托管成本，长期运营经济负担较轻；操作层面，目标用户定位于具备基本区块链操作知识的穿搭爱好者，通过MetaMask进行交互的学习门槛可控，且界面设计聚焦核心功能，预期用户易于上手接受。</w:t>
      </w:r>
    </w:p>
    <w:p w14:paraId="59C4F01C">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56A7465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主要涉及两类用户角色：普通用户与管理員，普通用户是平台的核心服务对象，作为穿搭记录者，其主要需求是能够便捷、安全、永久地记录个人穿搭点滴，并能够轻松回顾和检索自己的成长轨迹与风格变化；管理员则作为平台维护者，其核心需求是高效管理用户生成内容，通过审核、隐藏或删除等操作维护平台的内容质量与社区秩序，并对用户账户进行必要的权限管控，确保系统稳定运行。</w:t>
      </w:r>
    </w:p>
    <w:p w14:paraId="255AB095">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39136" behindDoc="0" locked="0" layoutInCell="1" allowOverlap="1">
            <wp:simplePos x="0" y="0"/>
            <wp:positionH relativeFrom="column">
              <wp:posOffset>43815</wp:posOffset>
            </wp:positionH>
            <wp:positionV relativeFrom="paragraph">
              <wp:posOffset>58420</wp:posOffset>
            </wp:positionV>
            <wp:extent cx="5117465" cy="4201160"/>
            <wp:effectExtent l="0" t="0" r="6985" b="8890"/>
            <wp:wrapTopAndBottom/>
            <wp:docPr id="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
                    <pic:cNvPicPr>
                      <a:picLocks noChangeAspect="1"/>
                    </pic:cNvPicPr>
                  </pic:nvPicPr>
                  <pic:blipFill>
                    <a:blip r:embed="rId268"/>
                    <a:stretch>
                      <a:fillRect/>
                    </a:stretch>
                  </pic:blipFill>
                  <pic:spPr>
                    <a:xfrm>
                      <a:off x="0" y="0"/>
                      <a:ext cx="5117465" cy="4201160"/>
                    </a:xfrm>
                    <a:prstGeom prst="rect">
                      <a:avLst/>
                    </a:prstGeom>
                    <a:noFill/>
                    <a:ln>
                      <a:noFill/>
                    </a:ln>
                  </pic:spPr>
                </pic:pic>
              </a:graphicData>
            </a:graphic>
          </wp:anchor>
        </w:drawing>
      </w:r>
      <w:r>
        <w:rPr>
          <w:rFonts w:hint="eastAsia" w:ascii="宋体" w:hAnsi="宋体" w:eastAsia="宋体" w:cs="宋体"/>
          <w:sz w:val="21"/>
          <w:szCs w:val="21"/>
          <w:lang w:val="en-US" w:eastAsia="zh-CN"/>
        </w:rPr>
        <w:t>图2.1 系统需求分析图</w:t>
      </w:r>
    </w:p>
    <w:p w14:paraId="64DA103F">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27B0A42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rPr>
        <w:t>3.1 系统</w:t>
      </w:r>
      <w:r>
        <w:rPr>
          <w:rFonts w:hint="eastAsia" w:ascii="Calibri" w:hAnsi="Calibri" w:eastAsia="宋体" w:cs="Times New Roman"/>
          <w:sz w:val="24"/>
          <w:szCs w:val="24"/>
          <w:lang w:val="en-US" w:eastAsia="zh-CN"/>
        </w:rPr>
        <w:t>结构设计</w:t>
      </w:r>
    </w:p>
    <w:p w14:paraId="24E8468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lang w:val="en-US" w:eastAsia="zh-CN"/>
        </w:rPr>
        <w:t>本系统采用业界成熟且适配Web3应用特性的典型三层架构设计，各层职责清晰、协同高效，共同保障系统的去中心化特性与良好的用户体验。其中，前端交互层以HTML、CSS和JavaScript为核心技术栈构建，HTML负责搭建清晰规整的页面结构，涵盖用户登录入口、穿搭记录展示区、发布编辑模块等核心功能区域；CSS则通过响应式布局设计与个性化样式美化，确保在不同设备终端（电脑、手机、平板）上都能呈现流畅的视觉效果，提升用户交互的舒适度；JavaScript作为前端交互的核心驱动力，不仅负责捕获用户的各类操作输入（如点击发布按钮、上传穿搭素材、修改权限设置等），还承担着页面内容的动态渲染与状态更新工作。尤为关键的是，该层通过集成Web3.js开发库与MetaMask等主流去中心化钱包建立直接且安全的交互通道，实现用户身份的快速验证、交易签名的发起等核心操作，无需依赖中心化服务器即可完成用户与区块链网络的初步对接。业务逻辑层采用“前端应用逻辑+链上智能合约”的混合架构模式，形成去中心化的业务处理闭环：前端JavaScript负责承载应用层面的状态管理与UI控制逻辑，例如维护用户当前的登录状态、处理穿搭记录的本地预览与格式校验、根据链上返回的数据动态调整页面展示内容等，确保用户操作的即时反馈；而核心业务规则则通过智能合约进行封装并部署在区块链网络上，包括用户身份的链上验证（基于钱包地址的唯一性确权）、穿搭记录发布的核心逻辑（如将内容哈希、发布者信息等关键数据写入区块链）、权限管理体系（如设置公开查看、指定好友查看等不同权限等级，并将权限映射关系固化在链上）等，这种设计既保障了业务规则的透明可追溯，又避免了中心化服务篡改数据的风险。区块链数据层则依托以太坊主网或兼容EVM的区块链网络（如Polygon、BNB Chain等）构建，充分利用区块链去中心化、不可篡改、永久存储的核心特性，将其作为系统的底层数据存储载体。该层具体存储的核心数据包括三大类：一是用户的账户核心信息，以钱包地址为唯一标识，关联用户的链上身份凭证等基础数据；二是穿搭记录的元数据，并非存储穿搭图片、视频等原始大文件（避免占用过多链上存储空间、降低成本），而是存储经过哈希计算后的内容唯一标识（哈希值），以及对应的所有者地址、发布时间戳、内容分类标签等关键描述信息，通过哈希值可精准追溯原始穿搭内容的真实性；三是完整的权限映射关系数据，清晰记录每一条穿搭记录对应的权限规则与授权对象，确保权限管控的精准执行与不可篡改，为整个系统的去中心化数据存储与安全访问提供坚实保障。Web3.js 作为一套基于 JavaScript/TypeScript 开发的开源库，诞生于 2014 年，由 ChainSafe Systems 主导维护，是连接传统 Web 应用与以太坊及其他兼容 EVM（以太坊虚拟机）区块链网络的核心桥梁。其核心价值在于封装了复杂的区块链底层通信协议，为开发者提供了简洁易用的 API 接口，无需深入理解区块链底层原理，即可快速实现与区块链节点的交互，构建去中心化应用（DApp）。</w:t>
      </w:r>
    </w:p>
    <w:p w14:paraId="35E1D6D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40160" behindDoc="0" locked="0" layoutInCell="1" allowOverlap="1">
            <wp:simplePos x="0" y="0"/>
            <wp:positionH relativeFrom="column">
              <wp:posOffset>1329055</wp:posOffset>
            </wp:positionH>
            <wp:positionV relativeFrom="paragraph">
              <wp:posOffset>120650</wp:posOffset>
            </wp:positionV>
            <wp:extent cx="2565400" cy="1512570"/>
            <wp:effectExtent l="0" t="0" r="6350" b="11430"/>
            <wp:wrapTopAndBottom/>
            <wp:docPr id="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
                    <pic:cNvPicPr>
                      <a:picLocks noChangeAspect="1"/>
                    </pic:cNvPicPr>
                  </pic:nvPicPr>
                  <pic:blipFill>
                    <a:blip r:embed="rId269"/>
                    <a:stretch>
                      <a:fillRect/>
                    </a:stretch>
                  </pic:blipFill>
                  <pic:spPr>
                    <a:xfrm>
                      <a:off x="0" y="0"/>
                      <a:ext cx="2565400" cy="1512570"/>
                    </a:xfrm>
                    <a:prstGeom prst="rect">
                      <a:avLst/>
                    </a:prstGeom>
                    <a:noFill/>
                    <a:ln>
                      <a:noFill/>
                    </a:ln>
                  </pic:spPr>
                </pic:pic>
              </a:graphicData>
            </a:graphic>
          </wp:anchor>
        </w:drawing>
      </w:r>
      <w:r>
        <w:rPr>
          <w:rFonts w:hint="eastAsia" w:ascii="宋体" w:hAnsi="宋体" w:eastAsia="宋体" w:cs="宋体"/>
          <w:sz w:val="21"/>
          <w:szCs w:val="21"/>
          <w:lang w:val="en-US" w:eastAsia="zh-CN"/>
        </w:rPr>
        <w:t>图3.1 系统结构图</w:t>
      </w:r>
    </w:p>
    <w:p w14:paraId="1722124C">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220829C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核心功能划分为四大模块：用户认证模块直接集成MetaMask，处理钱包连接、账户获取与交易签名请求，实现去中心化登录；内容管理模块分为普通用户子模块与管理员子模块，前者支持穿搭记录的创建、发布、查看、标签分类与检索，后者提供内容列表查看、审核状态管理及用户权限设置功能；数据存储模块通过智能合约定义数据结构管理记录元数据，对于图片等大文件，采用IPFS等去中心化存储方案存储原文件，仅将其内容哈希值上链以确保效率与成本可控；权限控制模块在智能合约层面实现，通过修饰符严格区分普通用户与管理员地址，约束关键函数的调用权限。</w:t>
      </w:r>
    </w:p>
    <w:p w14:paraId="5171B2B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前端交互层承接“穿搭”活动全流程用户交互，实现“活动认知-身份接入-内容发布-记录查看-互动参与”的流畅体验，同时保障交互的安全性。</w:t>
      </w:r>
    </w:p>
    <w:p w14:paraId="2B937A6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表3.1前端业务模块表</w:t>
      </w:r>
    </w:p>
    <w:tbl>
      <w:tblPr>
        <w:tblStyle w:val="35"/>
        <w:tblW w:w="0" w:type="auto"/>
        <w:tblInd w:w="137"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513"/>
        <w:gridCol w:w="1650"/>
        <w:gridCol w:w="1650"/>
        <w:gridCol w:w="1650"/>
        <w:gridCol w:w="1794"/>
      </w:tblGrid>
      <w:tr w14:paraId="15374EA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4B6A0E7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业务模块</w:t>
            </w:r>
          </w:p>
        </w:tc>
        <w:tc>
          <w:tcPr>
            <w:tcW w:w="1650" w:type="dxa"/>
            <w:tcMar>
              <w:top w:w="60" w:type="dxa"/>
              <w:left w:w="120" w:type="dxa"/>
              <w:bottom w:w="30" w:type="dxa"/>
              <w:right w:w="120" w:type="dxa"/>
            </w:tcMar>
          </w:tcPr>
          <w:p w14:paraId="590CEA3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核心业务功能点</w:t>
            </w:r>
          </w:p>
        </w:tc>
        <w:tc>
          <w:tcPr>
            <w:tcW w:w="1650" w:type="dxa"/>
            <w:tcMar>
              <w:top w:w="60" w:type="dxa"/>
              <w:left w:w="120" w:type="dxa"/>
              <w:bottom w:w="30" w:type="dxa"/>
              <w:right w:w="120" w:type="dxa"/>
            </w:tcMar>
          </w:tcPr>
          <w:p w14:paraId="184C228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技术选型/实现方式</w:t>
            </w:r>
          </w:p>
        </w:tc>
        <w:tc>
          <w:tcPr>
            <w:tcW w:w="1650" w:type="dxa"/>
            <w:tcMar>
              <w:top w:w="60" w:type="dxa"/>
              <w:left w:w="120" w:type="dxa"/>
              <w:bottom w:w="30" w:type="dxa"/>
              <w:right w:w="120" w:type="dxa"/>
            </w:tcMar>
          </w:tcPr>
          <w:p w14:paraId="7BBA66E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业务关联细节</w:t>
            </w:r>
          </w:p>
        </w:tc>
        <w:tc>
          <w:tcPr>
            <w:tcW w:w="1794" w:type="dxa"/>
            <w:tcMar>
              <w:top w:w="60" w:type="dxa"/>
              <w:left w:w="120" w:type="dxa"/>
              <w:bottom w:w="30" w:type="dxa"/>
              <w:right w:w="120" w:type="dxa"/>
            </w:tcMar>
          </w:tcPr>
          <w:p w14:paraId="00AD3A9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落地注意事项</w:t>
            </w:r>
          </w:p>
        </w:tc>
      </w:tr>
      <w:tr w14:paraId="46EADF1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2D7AAC6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活动入口与概览</w:t>
            </w:r>
          </w:p>
        </w:tc>
        <w:tc>
          <w:tcPr>
            <w:tcW w:w="1650" w:type="dxa"/>
            <w:tcMar>
              <w:top w:w="60" w:type="dxa"/>
              <w:left w:w="120" w:type="dxa"/>
              <w:bottom w:w="30" w:type="dxa"/>
              <w:right w:w="120" w:type="dxa"/>
            </w:tcMar>
          </w:tcPr>
          <w:p w14:paraId="5B8FCEE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穿搭周活动规则展示（周期、主题、参与奖励）；2. 活动进度可视化（当前周次、参与人数、热门穿搭）；3. 快速参与入口引导</w:t>
            </w:r>
          </w:p>
        </w:tc>
        <w:tc>
          <w:tcPr>
            <w:tcW w:w="1650" w:type="dxa"/>
            <w:tcMar>
              <w:top w:w="60" w:type="dxa"/>
              <w:left w:w="120" w:type="dxa"/>
              <w:bottom w:w="30" w:type="dxa"/>
              <w:right w:w="120" w:type="dxa"/>
            </w:tcMar>
          </w:tcPr>
          <w:p w14:paraId="51A36D8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HTML5语义化标签（section/article）+ Tailwind CSS + ECharts（活动数据可视化）；静态资源CDN部署</w:t>
            </w:r>
          </w:p>
        </w:tc>
        <w:tc>
          <w:tcPr>
            <w:tcW w:w="1650" w:type="dxa"/>
            <w:tcMar>
              <w:top w:w="60" w:type="dxa"/>
              <w:left w:w="120" w:type="dxa"/>
              <w:bottom w:w="30" w:type="dxa"/>
              <w:right w:w="120" w:type="dxa"/>
            </w:tcMar>
          </w:tcPr>
          <w:p w14:paraId="01AFCE1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关联“活动运营”业务，规则内容支持后台（链下辅助服务）动态更新，热门穿搭数据从链上同步筛选</w:t>
            </w:r>
          </w:p>
        </w:tc>
        <w:tc>
          <w:tcPr>
            <w:tcW w:w="1794" w:type="dxa"/>
            <w:tcMar>
              <w:top w:w="60" w:type="dxa"/>
              <w:left w:w="120" w:type="dxa"/>
              <w:bottom w:w="30" w:type="dxa"/>
              <w:right w:w="120" w:type="dxa"/>
            </w:tcMar>
          </w:tcPr>
          <w:p w14:paraId="7F2C041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规则文本需简洁易懂，重点标注“发布穿搭即可参与”“链上记录可追溯”等核心优势；可视化图表适配移动端</w:t>
            </w:r>
          </w:p>
        </w:tc>
      </w:tr>
      <w:tr w14:paraId="7896A60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5827CC5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去中心化身份接入</w:t>
            </w:r>
          </w:p>
        </w:tc>
        <w:tc>
          <w:tcPr>
            <w:tcW w:w="1650" w:type="dxa"/>
            <w:tcMar>
              <w:top w:w="60" w:type="dxa"/>
              <w:left w:w="120" w:type="dxa"/>
              <w:bottom w:w="30" w:type="dxa"/>
              <w:right w:w="120" w:type="dxa"/>
            </w:tcMar>
          </w:tcPr>
          <w:p w14:paraId="5D48744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MetaMask等EVM钱包连接/断开；2. 钱包地址确权与身份校验；3. 首次接入引导（钱包授权流程说明）</w:t>
            </w:r>
          </w:p>
        </w:tc>
        <w:tc>
          <w:tcPr>
            <w:tcW w:w="1650" w:type="dxa"/>
            <w:tcMar>
              <w:top w:w="60" w:type="dxa"/>
              <w:left w:w="120" w:type="dxa"/>
              <w:bottom w:w="30" w:type="dxa"/>
              <w:right w:w="120" w:type="dxa"/>
            </w:tcMar>
          </w:tcPr>
          <w:p w14:paraId="4C4DC74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Web3.js v4.x + EIP-1193标准 + 原生JavaScript事件监听；封装wallet-connect通用工具类</w:t>
            </w:r>
          </w:p>
        </w:tc>
        <w:tc>
          <w:tcPr>
            <w:tcW w:w="1650" w:type="dxa"/>
            <w:tcMar>
              <w:top w:w="60" w:type="dxa"/>
              <w:left w:w="120" w:type="dxa"/>
              <w:bottom w:w="30" w:type="dxa"/>
              <w:right w:w="120" w:type="dxa"/>
            </w:tcMar>
          </w:tcPr>
          <w:p w14:paraId="58F3640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关联“用户身份认证”核心业务，作为所有后续操作（发布、查看、互动）的前置条件</w:t>
            </w:r>
          </w:p>
        </w:tc>
        <w:tc>
          <w:tcPr>
            <w:tcW w:w="1794" w:type="dxa"/>
            <w:tcMar>
              <w:top w:w="60" w:type="dxa"/>
              <w:left w:w="120" w:type="dxa"/>
              <w:bottom w:w="30" w:type="dxa"/>
              <w:right w:w="120" w:type="dxa"/>
            </w:tcMar>
          </w:tcPr>
          <w:p w14:paraId="28664B6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兼容主流EVM钱包（MetaMask、Trust Wallet），增加钱包连接失败的重试引导；2. 不存储任何私钥信息，仅缓存钱包地址（localStorage，有效期24h）</w:t>
            </w:r>
          </w:p>
        </w:tc>
      </w:tr>
      <w:tr w14:paraId="4AC1BC8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610E3E6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穿搭内容发布中心</w:t>
            </w:r>
          </w:p>
        </w:tc>
        <w:tc>
          <w:tcPr>
            <w:tcW w:w="1650" w:type="dxa"/>
            <w:tcMar>
              <w:top w:w="60" w:type="dxa"/>
              <w:left w:w="120" w:type="dxa"/>
              <w:bottom w:w="30" w:type="dxa"/>
              <w:right w:w="120" w:type="dxa"/>
            </w:tcMar>
          </w:tcPr>
          <w:p w14:paraId="7CEF4F3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穿搭素材上传（图片/短视频，单文件≤50MB）；2. 素材预览与格式校验；3. 穿搭信息补充（风格标签、搭配说明、关联活动周次）；4. 内容权限配置（公开/仅自己可见/指定好友地址可见）；5. 发布确认与链上签名提交</w:t>
            </w:r>
          </w:p>
        </w:tc>
        <w:tc>
          <w:tcPr>
            <w:tcW w:w="1650" w:type="dxa"/>
            <w:tcMar>
              <w:top w:w="60" w:type="dxa"/>
              <w:left w:w="120" w:type="dxa"/>
              <w:bottom w:w="30" w:type="dxa"/>
              <w:right w:w="120" w:type="dxa"/>
            </w:tcMar>
          </w:tcPr>
          <w:p w14:paraId="188E1AA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JavaScript FileReader API（素材读取）+ crypto-js（SHA256哈希生成）+ Vue3/React（表单状态管理）；Web3.js调用合约发布方法</w:t>
            </w:r>
          </w:p>
        </w:tc>
        <w:tc>
          <w:tcPr>
            <w:tcW w:w="1650" w:type="dxa"/>
            <w:tcMar>
              <w:top w:w="60" w:type="dxa"/>
              <w:left w:w="120" w:type="dxa"/>
              <w:bottom w:w="30" w:type="dxa"/>
              <w:right w:w="120" w:type="dxa"/>
            </w:tcMar>
          </w:tcPr>
          <w:p w14:paraId="5E34997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关联“穿搭发布核心业务”，是用户参与活动的核心操作，素材哈希+标签信息将作为元数据上链</w:t>
            </w:r>
          </w:p>
        </w:tc>
        <w:tc>
          <w:tcPr>
            <w:tcW w:w="1794" w:type="dxa"/>
            <w:tcMar>
              <w:top w:w="60" w:type="dxa"/>
              <w:left w:w="120" w:type="dxa"/>
              <w:bottom w:w="30" w:type="dxa"/>
              <w:right w:w="120" w:type="dxa"/>
            </w:tcMar>
          </w:tcPr>
          <w:p w14:paraId="6024521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素材格式校验（仅支持jpg/png/mp4），限制文件大小避免IPFS存储成本过高；2. 发布前显示Gas费用预估，增加“确认发布”二次弹窗；3. 发布过程中显示加载动画，同步展示交易哈希（可跳转区块链浏览器查看）</w:t>
            </w:r>
          </w:p>
        </w:tc>
      </w:tr>
      <w:tr w14:paraId="00237D1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560D781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穿搭成长记录馆</w:t>
            </w:r>
          </w:p>
        </w:tc>
        <w:tc>
          <w:tcPr>
            <w:tcW w:w="1650" w:type="dxa"/>
            <w:tcMar>
              <w:top w:w="60" w:type="dxa"/>
              <w:left w:w="120" w:type="dxa"/>
              <w:bottom w:w="30" w:type="dxa"/>
              <w:right w:w="120" w:type="dxa"/>
            </w:tcMar>
          </w:tcPr>
          <w:p w14:paraId="7D3A402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个人穿搭记录列表（按发布时间倒序）；2. 单条穿搭详情查看（元数据、原始素材、权限范围）；3. 穿搭记录编辑（仅权限修改，内容哈希不可改）；4. 历史发布数据筛选（按周次、风格标签）</w:t>
            </w:r>
          </w:p>
        </w:tc>
        <w:tc>
          <w:tcPr>
            <w:tcW w:w="1650" w:type="dxa"/>
            <w:tcMar>
              <w:top w:w="60" w:type="dxa"/>
              <w:left w:w="120" w:type="dxa"/>
              <w:bottom w:w="30" w:type="dxa"/>
              <w:right w:w="120" w:type="dxa"/>
            </w:tcMar>
          </w:tcPr>
          <w:p w14:paraId="4C5D8EF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Web3.js调用合约查询方法（获取个人发布记录）+ IPFS网关（加载原始素材）；Vuex/Pinia（状态缓存）</w:t>
            </w:r>
          </w:p>
        </w:tc>
        <w:tc>
          <w:tcPr>
            <w:tcW w:w="1650" w:type="dxa"/>
            <w:tcMar>
              <w:top w:w="60" w:type="dxa"/>
              <w:left w:w="120" w:type="dxa"/>
              <w:bottom w:w="30" w:type="dxa"/>
              <w:right w:w="120" w:type="dxa"/>
            </w:tcMar>
          </w:tcPr>
          <w:p w14:paraId="3AFBBE6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关联“用户成长记录”业务，数据直接从链上同步，保障记录的不可篡改与永久留存</w:t>
            </w:r>
          </w:p>
        </w:tc>
        <w:tc>
          <w:tcPr>
            <w:tcW w:w="1794" w:type="dxa"/>
            <w:tcMar>
              <w:top w:w="60" w:type="dxa"/>
              <w:left w:w="120" w:type="dxa"/>
              <w:bottom w:w="30" w:type="dxa"/>
              <w:right w:w="120" w:type="dxa"/>
            </w:tcMar>
          </w:tcPr>
          <w:p w14:paraId="17CA17C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列表页优先加载元数据（快速渲染），详情页按需加载原始素材；2. 编辑功能仅开放“权限修改”，避免内容篡改破坏链上一致性</w:t>
            </w:r>
          </w:p>
        </w:tc>
      </w:tr>
      <w:tr w14:paraId="5AFC841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510ADEA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互动与激励模块</w:t>
            </w:r>
          </w:p>
        </w:tc>
        <w:tc>
          <w:tcPr>
            <w:tcW w:w="1650" w:type="dxa"/>
            <w:tcMar>
              <w:top w:w="60" w:type="dxa"/>
              <w:left w:w="120" w:type="dxa"/>
              <w:bottom w:w="30" w:type="dxa"/>
              <w:right w:w="120" w:type="dxa"/>
            </w:tcMar>
          </w:tcPr>
          <w:p w14:paraId="15D6165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热门穿搭点赞（链上记录点赞行为）；2. 穿搭评论（评论内容哈希上链，原始内容存IPFS）；3. 每周优秀穿搭榜单查看；4. 参与奖励领取（链上Token激励，需完成本周发布任务）</w:t>
            </w:r>
          </w:p>
        </w:tc>
        <w:tc>
          <w:tcPr>
            <w:tcW w:w="1650" w:type="dxa"/>
            <w:tcMar>
              <w:top w:w="60" w:type="dxa"/>
              <w:left w:w="120" w:type="dxa"/>
              <w:bottom w:w="30" w:type="dxa"/>
              <w:right w:w="120" w:type="dxa"/>
            </w:tcMar>
          </w:tcPr>
          <w:p w14:paraId="155D9CD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Web3.js事件监听（点赞/评论事件）+ 合约调用（点赞/领奖励方法）；WebSocket（实时同步互动数据）</w:t>
            </w:r>
          </w:p>
        </w:tc>
        <w:tc>
          <w:tcPr>
            <w:tcW w:w="1650" w:type="dxa"/>
            <w:tcMar>
              <w:top w:w="60" w:type="dxa"/>
              <w:left w:w="120" w:type="dxa"/>
              <w:bottom w:w="30" w:type="dxa"/>
              <w:right w:w="120" w:type="dxa"/>
            </w:tcMar>
          </w:tcPr>
          <w:p w14:paraId="4F94696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关联“活动激励业务”，提升用户参与度，点赞/评论数据上链保障互动真实性</w:t>
            </w:r>
          </w:p>
        </w:tc>
        <w:tc>
          <w:tcPr>
            <w:tcW w:w="1794" w:type="dxa"/>
            <w:tcMar>
              <w:top w:w="60" w:type="dxa"/>
              <w:left w:w="120" w:type="dxa"/>
              <w:bottom w:w="30" w:type="dxa"/>
              <w:right w:w="120" w:type="dxa"/>
            </w:tcMar>
          </w:tcPr>
          <w:p w14:paraId="29B6C14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点赞/评论需触发链上交易（小额Gas），避免刷数据；2. 奖励领取需校验本周是否发布有效穿搭，领取后记录上链防止重复领取</w:t>
            </w:r>
          </w:p>
        </w:tc>
      </w:tr>
    </w:tbl>
    <w:p w14:paraId="12044BA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业务逻辑层（前端+链上协同）实现“前端交互-链上规则”的协同闭环，将“穿搭周”活动核心业务规则（身份校验、发布权限、激励发放）通过智能合约固化，前端仅承担交互逻辑与状态同步。</w:t>
      </w:r>
    </w:p>
    <w:p w14:paraId="7D709D8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表3.2业务逻辑模块表</w:t>
      </w:r>
    </w:p>
    <w:tbl>
      <w:tblPr>
        <w:tblStyle w:val="35"/>
        <w:tblW w:w="0" w:type="auto"/>
        <w:tblInd w:w="137"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513"/>
        <w:gridCol w:w="1650"/>
        <w:gridCol w:w="1650"/>
        <w:gridCol w:w="1650"/>
        <w:gridCol w:w="1650"/>
      </w:tblGrid>
      <w:tr w14:paraId="311FF0B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3064DE9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业务模块</w:t>
            </w:r>
          </w:p>
        </w:tc>
        <w:tc>
          <w:tcPr>
            <w:tcW w:w="1650" w:type="dxa"/>
            <w:tcMar>
              <w:top w:w="60" w:type="dxa"/>
              <w:left w:w="120" w:type="dxa"/>
              <w:bottom w:w="30" w:type="dxa"/>
              <w:right w:w="120" w:type="dxa"/>
            </w:tcMar>
          </w:tcPr>
          <w:p w14:paraId="2D68C75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核心业务逻辑</w:t>
            </w:r>
          </w:p>
        </w:tc>
        <w:tc>
          <w:tcPr>
            <w:tcW w:w="1650" w:type="dxa"/>
            <w:tcMar>
              <w:top w:w="60" w:type="dxa"/>
              <w:left w:w="120" w:type="dxa"/>
              <w:bottom w:w="30" w:type="dxa"/>
              <w:right w:w="120" w:type="dxa"/>
            </w:tcMar>
          </w:tcPr>
          <w:p w14:paraId="6E9A306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技术选型/实现方式</w:t>
            </w:r>
          </w:p>
        </w:tc>
        <w:tc>
          <w:tcPr>
            <w:tcW w:w="1650" w:type="dxa"/>
            <w:tcMar>
              <w:top w:w="60" w:type="dxa"/>
              <w:left w:w="120" w:type="dxa"/>
              <w:bottom w:w="30" w:type="dxa"/>
              <w:right w:w="120" w:type="dxa"/>
            </w:tcMar>
          </w:tcPr>
          <w:p w14:paraId="137A058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链上-前端协同逻辑</w:t>
            </w:r>
          </w:p>
        </w:tc>
        <w:tc>
          <w:tcPr>
            <w:tcW w:w="1650" w:type="dxa"/>
            <w:tcMar>
              <w:top w:w="60" w:type="dxa"/>
              <w:left w:w="120" w:type="dxa"/>
              <w:bottom w:w="30" w:type="dxa"/>
              <w:right w:w="120" w:type="dxa"/>
            </w:tcMar>
          </w:tcPr>
          <w:p w14:paraId="7B65EA0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安全与业务保障</w:t>
            </w:r>
          </w:p>
        </w:tc>
      </w:tr>
      <w:tr w14:paraId="71266ED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15A7B3B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身份验证与权限前置</w:t>
            </w:r>
          </w:p>
        </w:tc>
        <w:tc>
          <w:tcPr>
            <w:tcW w:w="1650" w:type="dxa"/>
            <w:tcMar>
              <w:top w:w="60" w:type="dxa"/>
              <w:left w:w="120" w:type="dxa"/>
              <w:bottom w:w="30" w:type="dxa"/>
              <w:right w:w="120" w:type="dxa"/>
            </w:tcMar>
          </w:tcPr>
          <w:p w14:paraId="408EDF8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校验钱包地址有效性；2. 确认用户是否完成首次授权；3. 拦截未授权用户的核心操作（发布、点赞、领奖励）</w:t>
            </w:r>
          </w:p>
        </w:tc>
        <w:tc>
          <w:tcPr>
            <w:tcW w:w="1650" w:type="dxa"/>
            <w:tcMar>
              <w:top w:w="60" w:type="dxa"/>
              <w:left w:w="120" w:type="dxa"/>
              <w:bottom w:w="30" w:type="dxa"/>
              <w:right w:w="120" w:type="dxa"/>
            </w:tcMar>
          </w:tcPr>
          <w:p w14:paraId="4247F74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前端：Web3.js isAddress()工具方法 + 权限拦截中间件；链上：Solidity合约modifier（权限修饰器）</w:t>
            </w:r>
          </w:p>
        </w:tc>
        <w:tc>
          <w:tcPr>
            <w:tcW w:w="1650" w:type="dxa"/>
            <w:tcMar>
              <w:top w:w="60" w:type="dxa"/>
              <w:left w:w="120" w:type="dxa"/>
              <w:bottom w:w="30" w:type="dxa"/>
              <w:right w:w="120" w:type="dxa"/>
            </w:tcMar>
          </w:tcPr>
          <w:p w14:paraId="26D0C48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前端先做基础校验（地址格式），核心操作（如发布）触发合约调用时，链上modifier再次校验身份合法性，双重保障</w:t>
            </w:r>
          </w:p>
        </w:tc>
        <w:tc>
          <w:tcPr>
            <w:tcW w:w="1650" w:type="dxa"/>
            <w:tcMar>
              <w:top w:w="60" w:type="dxa"/>
              <w:left w:w="120" w:type="dxa"/>
              <w:bottom w:w="30" w:type="dxa"/>
              <w:right w:w="120" w:type="dxa"/>
            </w:tcMar>
          </w:tcPr>
          <w:p w14:paraId="54120EF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避免未授权用户调用合约消耗Gas；前端拦截减少无效链上请求，提升体验</w:t>
            </w:r>
          </w:p>
        </w:tc>
      </w:tr>
      <w:tr w14:paraId="5BFB3BB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46BEABE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穿搭发布业务核心</w:t>
            </w:r>
          </w:p>
        </w:tc>
        <w:tc>
          <w:tcPr>
            <w:tcW w:w="1650" w:type="dxa"/>
            <w:tcMar>
              <w:top w:w="60" w:type="dxa"/>
              <w:left w:w="120" w:type="dxa"/>
              <w:bottom w:w="30" w:type="dxa"/>
              <w:right w:w="120" w:type="dxa"/>
            </w:tcMar>
          </w:tcPr>
          <w:p w14:paraId="458345E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前端生成穿搭素材哈希+补充标签；2. 链上存储元数据（哈希、发布者地址、时间戳、周次、风格标签）；3. 初始化内容权限（默认公开）</w:t>
            </w:r>
          </w:p>
        </w:tc>
        <w:tc>
          <w:tcPr>
            <w:tcW w:w="1650" w:type="dxa"/>
            <w:tcMar>
              <w:top w:w="60" w:type="dxa"/>
              <w:left w:w="120" w:type="dxa"/>
              <w:bottom w:w="30" w:type="dxa"/>
              <w:right w:w="120" w:type="dxa"/>
            </w:tcMar>
          </w:tcPr>
          <w:p w14:paraId="37E29FC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前端：crypto-js生成SHA256哈希 + 表单数据校验；链上：Solidity合约（Struct存储元数据，Mapping建立地址-记录映射）；开发工具：Hardhat（合约编译部署）</w:t>
            </w:r>
          </w:p>
        </w:tc>
        <w:tc>
          <w:tcPr>
            <w:tcW w:w="1650" w:type="dxa"/>
            <w:tcMar>
              <w:top w:w="60" w:type="dxa"/>
              <w:left w:w="120" w:type="dxa"/>
              <w:bottom w:w="30" w:type="dxa"/>
              <w:right w:w="120" w:type="dxa"/>
            </w:tcMar>
          </w:tcPr>
          <w:p w14:paraId="4678B4B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前端完成素材处理与数据组装后，通过Web3.js调用合约publishWear方法，传入元数据参数；合约执行成功后触发WearPublished事件，前端监听事件同步页面数据</w:t>
            </w:r>
          </w:p>
        </w:tc>
        <w:tc>
          <w:tcPr>
            <w:tcW w:w="1650" w:type="dxa"/>
            <w:tcMar>
              <w:top w:w="60" w:type="dxa"/>
              <w:left w:w="120" w:type="dxa"/>
              <w:bottom w:w="30" w:type="dxa"/>
              <w:right w:w="120" w:type="dxa"/>
            </w:tcMar>
          </w:tcPr>
          <w:p w14:paraId="367C83D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合约内校验发布者签名，防止代发；2. 元数据中强制写入时间戳与周次，不可篡改，保障活动参与有效性；3. 原始素材不存链上，仅存哈希+IPFS链接，降低Gas成本</w:t>
            </w:r>
          </w:p>
        </w:tc>
      </w:tr>
      <w:tr w14:paraId="08641AA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2F9084C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权限管理业务</w:t>
            </w:r>
          </w:p>
        </w:tc>
        <w:tc>
          <w:tcPr>
            <w:tcW w:w="1650" w:type="dxa"/>
            <w:tcMar>
              <w:top w:w="60" w:type="dxa"/>
              <w:left w:w="120" w:type="dxa"/>
              <w:bottom w:w="30" w:type="dxa"/>
              <w:right w:w="120" w:type="dxa"/>
            </w:tcMar>
          </w:tcPr>
          <w:p w14:paraId="29A2734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支持用户修改穿搭内容权限（公开/私有/指定地址）；2. 校验权限修改者是否为内容所有者；3. 链上记录权限变更日志；4. 查看时校验访问者权限</w:t>
            </w:r>
          </w:p>
        </w:tc>
        <w:tc>
          <w:tcPr>
            <w:tcW w:w="1650" w:type="dxa"/>
            <w:tcMar>
              <w:top w:w="60" w:type="dxa"/>
              <w:left w:w="120" w:type="dxa"/>
              <w:bottom w:w="30" w:type="dxa"/>
              <w:right w:w="120" w:type="dxa"/>
            </w:tcMar>
          </w:tcPr>
          <w:p w14:paraId="798F9AF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前端：权限配置表单 + 地址选择组件；链上：Solidity合约（Mapping存储权限规则：内容哈希→权限类型→授权地址列表）</w:t>
            </w:r>
          </w:p>
        </w:tc>
        <w:tc>
          <w:tcPr>
            <w:tcW w:w="1650" w:type="dxa"/>
            <w:tcMar>
              <w:top w:w="60" w:type="dxa"/>
              <w:left w:w="120" w:type="dxa"/>
              <w:bottom w:w="30" w:type="dxa"/>
              <w:right w:w="120" w:type="dxa"/>
            </w:tcMar>
          </w:tcPr>
          <w:p w14:paraId="7B8A562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修改权限时，前端传入内容哈希、新权限类型、指定地址列表，调用合约modifyPermission方法；合约校验所有者身份后更新权限，触发PermissionModified事件；前端查看记录时，先调用合约checkPermission方法校验权限，再决定是否展示内容</w:t>
            </w:r>
          </w:p>
        </w:tc>
        <w:tc>
          <w:tcPr>
            <w:tcW w:w="1650" w:type="dxa"/>
            <w:tcMar>
              <w:top w:w="60" w:type="dxa"/>
              <w:left w:w="120" w:type="dxa"/>
              <w:bottom w:w="30" w:type="dxa"/>
              <w:right w:w="120" w:type="dxa"/>
            </w:tcMar>
          </w:tcPr>
          <w:p w14:paraId="30B69A8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合约内限制仅内容所有者可修改权限，防止越权操作；2. 权限变更日志上链，可追溯；3. 查看前校验权限，保障用户隐私</w:t>
            </w:r>
          </w:p>
        </w:tc>
      </w:tr>
      <w:tr w14:paraId="25573AE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272C88F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互动与激励业务</w:t>
            </w:r>
          </w:p>
        </w:tc>
        <w:tc>
          <w:tcPr>
            <w:tcW w:w="1650" w:type="dxa"/>
            <w:tcMar>
              <w:top w:w="60" w:type="dxa"/>
              <w:left w:w="120" w:type="dxa"/>
              <w:bottom w:w="30" w:type="dxa"/>
              <w:right w:w="120" w:type="dxa"/>
            </w:tcMar>
          </w:tcPr>
          <w:p w14:paraId="442BCDB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点赞：链上记录点赞者-穿搭哈希关联，防止重复点赞；2. 评论：评论内容哈希上链，原始内容存IPFS；3. 激励：每周统计有效发布用户，发放Token奖励</w:t>
            </w:r>
          </w:p>
        </w:tc>
        <w:tc>
          <w:tcPr>
            <w:tcW w:w="1650" w:type="dxa"/>
            <w:tcMar>
              <w:top w:w="60" w:type="dxa"/>
              <w:left w:w="120" w:type="dxa"/>
              <w:bottom w:w="30" w:type="dxa"/>
              <w:right w:w="120" w:type="dxa"/>
            </w:tcMar>
          </w:tcPr>
          <w:p w14:paraId="0A98D52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前端：点赞/评论表单 + IPFS上传工具（Pinata）；链上：Solidity合约（点赞Mapping、评论Struct；ERC20 Token合约用于激励）；工具：Web3.js事件监听（点赞/评论事件）</w:t>
            </w:r>
          </w:p>
        </w:tc>
        <w:tc>
          <w:tcPr>
            <w:tcW w:w="1650" w:type="dxa"/>
            <w:tcMar>
              <w:top w:w="60" w:type="dxa"/>
              <w:left w:w="120" w:type="dxa"/>
              <w:bottom w:w="30" w:type="dxa"/>
              <w:right w:w="120" w:type="dxa"/>
            </w:tcMar>
          </w:tcPr>
          <w:p w14:paraId="43B766B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点赞/评论：前端上传评论内容到IPFS→获取IPFS哈希→调用合约点赞/评论方法；2. 激励：每周结束时，合约执行settleReward方法（可由管理员触发），统计本周发布有效穿搭的用户，批量发放Token；前端监听RewardSettled事件，提醒用户领取</w:t>
            </w:r>
          </w:p>
        </w:tc>
        <w:tc>
          <w:tcPr>
            <w:tcW w:w="1650" w:type="dxa"/>
            <w:tcMar>
              <w:top w:w="60" w:type="dxa"/>
              <w:left w:w="120" w:type="dxa"/>
              <w:bottom w:w="30" w:type="dxa"/>
              <w:right w:w="120" w:type="dxa"/>
            </w:tcMar>
          </w:tcPr>
          <w:p w14:paraId="116B2C3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点赞关联用户地址，防止刷赞；2. 激励发放基于链上发布记录，不可篡改，保障公平；3. Token发放需用户主动领取，避免合约批量转账失败</w:t>
            </w:r>
          </w:p>
        </w:tc>
      </w:tr>
      <w:tr w14:paraId="08EE309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3" w:type="dxa"/>
            <w:tcMar>
              <w:top w:w="60" w:type="dxa"/>
              <w:left w:w="120" w:type="dxa"/>
              <w:bottom w:w="30" w:type="dxa"/>
              <w:right w:w="120" w:type="dxa"/>
            </w:tcMar>
          </w:tcPr>
          <w:p w14:paraId="04B0F92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数据统计与榜单业务</w:t>
            </w:r>
          </w:p>
        </w:tc>
        <w:tc>
          <w:tcPr>
            <w:tcW w:w="1650" w:type="dxa"/>
            <w:tcMar>
              <w:top w:w="60" w:type="dxa"/>
              <w:left w:w="120" w:type="dxa"/>
              <w:bottom w:w="30" w:type="dxa"/>
              <w:right w:w="120" w:type="dxa"/>
            </w:tcMar>
          </w:tcPr>
          <w:p w14:paraId="09B3E80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统计每周参与发布人数、穿搭数量；2. 生成每周热门穿搭榜单（按点赞数排序）；3. 个人发布数据汇总（总数量、各风格占比）</w:t>
            </w:r>
          </w:p>
        </w:tc>
        <w:tc>
          <w:tcPr>
            <w:tcW w:w="1650" w:type="dxa"/>
            <w:tcMar>
              <w:top w:w="60" w:type="dxa"/>
              <w:left w:w="120" w:type="dxa"/>
              <w:bottom w:w="30" w:type="dxa"/>
              <w:right w:w="120" w:type="dxa"/>
            </w:tcMar>
          </w:tcPr>
          <w:p w14:paraId="715BD86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前端：ECharts图表渲染；链上：Solidity合约查询方法（getWeeklyStats、getHotWears、getUserWearStats）；辅助：链下节点服务（Infura/Alchemy）提升查询效率</w:t>
            </w:r>
          </w:p>
        </w:tc>
        <w:tc>
          <w:tcPr>
            <w:tcW w:w="1650" w:type="dxa"/>
            <w:tcMar>
              <w:top w:w="60" w:type="dxa"/>
              <w:left w:w="120" w:type="dxa"/>
              <w:bottom w:w="30" w:type="dxa"/>
              <w:right w:w="120" w:type="dxa"/>
            </w:tcMar>
          </w:tcPr>
          <w:p w14:paraId="25F0BBE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前端通过Web3.js调用合约统计类方法获取原始数据，在前端完成排序、汇总与可视化渲染；热门榜单数据定时（每小时）刷新，减少链上请求频率</w:t>
            </w:r>
          </w:p>
        </w:tc>
        <w:tc>
          <w:tcPr>
            <w:tcW w:w="1650" w:type="dxa"/>
            <w:tcMar>
              <w:top w:w="60" w:type="dxa"/>
              <w:left w:w="120" w:type="dxa"/>
              <w:bottom w:w="30" w:type="dxa"/>
              <w:right w:w="120" w:type="dxa"/>
            </w:tcMar>
          </w:tcPr>
          <w:p w14:paraId="4B40744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统计类方法采用“链上查询+前端处理”，避免合约内复杂计算消耗过多Gas；定时刷新平衡实时性与性能</w:t>
            </w:r>
          </w:p>
        </w:tc>
      </w:tr>
    </w:tbl>
    <w:p w14:paraId="73508FF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区块链数据层（去中心化存储核心）依托EVM兼容链与IPFS实现“元数据链上存、原始素材去中心化存”的存储架构，保障数据不可篡改、永久留存，同时控制存储成本。</w:t>
      </w:r>
    </w:p>
    <w:p w14:paraId="58F91E0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表3.3 区块链数据层数据类型表</w:t>
      </w:r>
    </w:p>
    <w:tbl>
      <w:tblPr>
        <w:tblStyle w:val="35"/>
        <w:tblW w:w="0" w:type="auto"/>
        <w:tblInd w:w="12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522"/>
        <w:gridCol w:w="1650"/>
        <w:gridCol w:w="1650"/>
        <w:gridCol w:w="1650"/>
        <w:gridCol w:w="1650"/>
      </w:tblGrid>
      <w:tr w14:paraId="40F188B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522" w:type="dxa"/>
            <w:tcMar>
              <w:top w:w="60" w:type="dxa"/>
              <w:left w:w="120" w:type="dxa"/>
              <w:bottom w:w="30" w:type="dxa"/>
              <w:right w:w="120" w:type="dxa"/>
            </w:tcMar>
          </w:tcPr>
          <w:p w14:paraId="68A1084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数据类型</w:t>
            </w:r>
          </w:p>
        </w:tc>
        <w:tc>
          <w:tcPr>
            <w:tcW w:w="1650" w:type="dxa"/>
            <w:tcMar>
              <w:top w:w="60" w:type="dxa"/>
              <w:left w:w="120" w:type="dxa"/>
              <w:bottom w:w="30" w:type="dxa"/>
              <w:right w:w="120" w:type="dxa"/>
            </w:tcMar>
          </w:tcPr>
          <w:p w14:paraId="4272885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关联业务</w:t>
            </w:r>
          </w:p>
        </w:tc>
        <w:tc>
          <w:tcPr>
            <w:tcW w:w="1650" w:type="dxa"/>
            <w:tcMar>
              <w:top w:w="60" w:type="dxa"/>
              <w:left w:w="120" w:type="dxa"/>
              <w:bottom w:w="30" w:type="dxa"/>
              <w:right w:w="120" w:type="dxa"/>
            </w:tcMar>
          </w:tcPr>
          <w:p w14:paraId="273481A5">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存储方案/技术选型</w:t>
            </w:r>
          </w:p>
        </w:tc>
        <w:tc>
          <w:tcPr>
            <w:tcW w:w="1650" w:type="dxa"/>
            <w:tcMar>
              <w:top w:w="60" w:type="dxa"/>
              <w:left w:w="120" w:type="dxa"/>
              <w:bottom w:w="30" w:type="dxa"/>
              <w:right w:w="120" w:type="dxa"/>
            </w:tcMar>
          </w:tcPr>
          <w:p w14:paraId="2DCBDD88">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数据结构/存储逻辑</w:t>
            </w:r>
          </w:p>
        </w:tc>
        <w:tc>
          <w:tcPr>
            <w:tcW w:w="1650" w:type="dxa"/>
            <w:tcMar>
              <w:top w:w="60" w:type="dxa"/>
              <w:left w:w="120" w:type="dxa"/>
              <w:bottom w:w="30" w:type="dxa"/>
              <w:right w:w="120" w:type="dxa"/>
            </w:tcMar>
          </w:tcPr>
          <w:p w14:paraId="3BA05C9C">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成本与性能优化</w:t>
            </w:r>
          </w:p>
        </w:tc>
      </w:tr>
      <w:tr w14:paraId="1227F50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22" w:type="dxa"/>
            <w:tcMar>
              <w:top w:w="60" w:type="dxa"/>
              <w:left w:w="120" w:type="dxa"/>
              <w:bottom w:w="30" w:type="dxa"/>
              <w:right w:w="120" w:type="dxa"/>
            </w:tcMar>
          </w:tcPr>
          <w:p w14:paraId="28945D0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用户身份核心数据</w:t>
            </w:r>
          </w:p>
        </w:tc>
        <w:tc>
          <w:tcPr>
            <w:tcW w:w="1650" w:type="dxa"/>
            <w:tcMar>
              <w:top w:w="60" w:type="dxa"/>
              <w:left w:w="120" w:type="dxa"/>
              <w:bottom w:w="30" w:type="dxa"/>
              <w:right w:w="120" w:type="dxa"/>
            </w:tcMar>
          </w:tcPr>
          <w:p w14:paraId="391847F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身份验证、权限校验</w:t>
            </w:r>
          </w:p>
        </w:tc>
        <w:tc>
          <w:tcPr>
            <w:tcW w:w="1650" w:type="dxa"/>
            <w:tcMar>
              <w:top w:w="60" w:type="dxa"/>
              <w:left w:w="120" w:type="dxa"/>
              <w:bottom w:w="30" w:type="dxa"/>
              <w:right w:w="120" w:type="dxa"/>
            </w:tcMar>
          </w:tcPr>
          <w:p w14:paraId="6CA0DBB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以太坊/Polygon/BNB Chain（EVM兼容链）原生账户体系</w:t>
            </w:r>
          </w:p>
        </w:tc>
        <w:tc>
          <w:tcPr>
            <w:tcW w:w="1650" w:type="dxa"/>
            <w:tcMar>
              <w:top w:w="60" w:type="dxa"/>
              <w:left w:w="120" w:type="dxa"/>
              <w:bottom w:w="30" w:type="dxa"/>
              <w:right w:w="120" w:type="dxa"/>
            </w:tcMar>
          </w:tcPr>
          <w:p w14:paraId="765C2B09">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以钱包地址作为唯一索引，关联链上交易记录（发布、点赞、领奖励），无需额外存储用户信息</w:t>
            </w:r>
          </w:p>
        </w:tc>
        <w:tc>
          <w:tcPr>
            <w:tcW w:w="1650" w:type="dxa"/>
            <w:tcMar>
              <w:top w:w="60" w:type="dxa"/>
              <w:left w:w="120" w:type="dxa"/>
              <w:bottom w:w="30" w:type="dxa"/>
              <w:right w:w="120" w:type="dxa"/>
            </w:tcMar>
          </w:tcPr>
          <w:p w14:paraId="6492AB5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复用区块链原生账户体系，无额外存储成本；地址查询效率高，支持全网节点验证</w:t>
            </w:r>
          </w:p>
        </w:tc>
      </w:tr>
      <w:tr w14:paraId="4400DAB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22" w:type="dxa"/>
            <w:tcMar>
              <w:top w:w="60" w:type="dxa"/>
              <w:left w:w="120" w:type="dxa"/>
              <w:bottom w:w="30" w:type="dxa"/>
              <w:right w:w="120" w:type="dxa"/>
            </w:tcMar>
          </w:tcPr>
          <w:p w14:paraId="1C1BC7DE">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穿搭元数据</w:t>
            </w:r>
          </w:p>
        </w:tc>
        <w:tc>
          <w:tcPr>
            <w:tcW w:w="1650" w:type="dxa"/>
            <w:tcMar>
              <w:top w:w="60" w:type="dxa"/>
              <w:left w:w="120" w:type="dxa"/>
              <w:bottom w:w="30" w:type="dxa"/>
              <w:right w:w="120" w:type="dxa"/>
            </w:tcMar>
          </w:tcPr>
          <w:p w14:paraId="2D44A6F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穿搭发布、成长记录、榜单统计</w:t>
            </w:r>
          </w:p>
        </w:tc>
        <w:tc>
          <w:tcPr>
            <w:tcW w:w="1650" w:type="dxa"/>
            <w:tcMar>
              <w:top w:w="60" w:type="dxa"/>
              <w:left w:w="120" w:type="dxa"/>
              <w:bottom w:w="30" w:type="dxa"/>
              <w:right w:w="120" w:type="dxa"/>
            </w:tcMar>
          </w:tcPr>
          <w:p w14:paraId="7A889981">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智能合约状态存储（Solidity Struct+Mapping）+ 区块链区块永久存储</w:t>
            </w:r>
          </w:p>
        </w:tc>
        <w:tc>
          <w:tcPr>
            <w:tcW w:w="1650" w:type="dxa"/>
            <w:tcMar>
              <w:top w:w="60" w:type="dxa"/>
              <w:left w:w="120" w:type="dxa"/>
              <w:bottom w:w="30" w:type="dxa"/>
              <w:right w:w="120" w:type="dxa"/>
            </w:tcMar>
          </w:tcPr>
          <w:p w14:paraId="7248AA8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定义Wear struct：hash（素材哈希）、publisher（发布者地址）、timestamp（时间戳）、week（活动周次）、styleTags（风格标签数组）、permissionType（权限类型）；2. Mapping：address→Wear[]（用户-个人记录）、bytes32→Wear（哈希-单条记录）、uint256→Wear[]（周次-当周记录）</w:t>
            </w:r>
          </w:p>
        </w:tc>
        <w:tc>
          <w:tcPr>
            <w:tcW w:w="1650" w:type="dxa"/>
            <w:tcMar>
              <w:top w:w="60" w:type="dxa"/>
              <w:left w:w="120" w:type="dxa"/>
              <w:bottom w:w="30" w:type="dxa"/>
              <w:right w:w="120" w:type="dxa"/>
            </w:tcMar>
          </w:tcPr>
          <w:p w14:paraId="6B9983C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仅存储核心元数据，不存大文件，降低合约存储成本；2. 多Mapping索引，提升不同场景（个人查看、周次筛选）的查询效率</w:t>
            </w:r>
          </w:p>
        </w:tc>
      </w:tr>
      <w:tr w14:paraId="427B8A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22" w:type="dxa"/>
            <w:tcMar>
              <w:top w:w="60" w:type="dxa"/>
              <w:left w:w="120" w:type="dxa"/>
              <w:bottom w:w="30" w:type="dxa"/>
              <w:right w:w="120" w:type="dxa"/>
            </w:tcMar>
          </w:tcPr>
          <w:p w14:paraId="14EF089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权限映射数据</w:t>
            </w:r>
          </w:p>
        </w:tc>
        <w:tc>
          <w:tcPr>
            <w:tcW w:w="1650" w:type="dxa"/>
            <w:tcMar>
              <w:top w:w="60" w:type="dxa"/>
              <w:left w:w="120" w:type="dxa"/>
              <w:bottom w:w="30" w:type="dxa"/>
              <w:right w:w="120" w:type="dxa"/>
            </w:tcMar>
          </w:tcPr>
          <w:p w14:paraId="19C9B3D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权限管理、访问控制</w:t>
            </w:r>
          </w:p>
        </w:tc>
        <w:tc>
          <w:tcPr>
            <w:tcW w:w="1650" w:type="dxa"/>
            <w:tcMar>
              <w:top w:w="60" w:type="dxa"/>
              <w:left w:w="120" w:type="dxa"/>
              <w:bottom w:w="30" w:type="dxa"/>
              <w:right w:w="120" w:type="dxa"/>
            </w:tcMar>
          </w:tcPr>
          <w:p w14:paraId="628DE9CD">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智能合约Mapping存储</w:t>
            </w:r>
          </w:p>
        </w:tc>
        <w:tc>
          <w:tcPr>
            <w:tcW w:w="1650" w:type="dxa"/>
            <w:tcMar>
              <w:top w:w="60" w:type="dxa"/>
              <w:left w:w="120" w:type="dxa"/>
              <w:bottom w:w="30" w:type="dxa"/>
              <w:right w:w="120" w:type="dxa"/>
            </w:tcMar>
          </w:tcPr>
          <w:p w14:paraId="34CBBD9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一级Mapping：bytes32（内容哈希）→ mapping(uint8（权限类型）→ address[]（授权地址）)；2. 权限类型枚举：PUBLIC(0)、PRIVATE(1)、SPECIFIC(2)</w:t>
            </w:r>
          </w:p>
        </w:tc>
        <w:tc>
          <w:tcPr>
            <w:tcW w:w="1650" w:type="dxa"/>
            <w:tcMar>
              <w:top w:w="60" w:type="dxa"/>
              <w:left w:w="120" w:type="dxa"/>
              <w:bottom w:w="30" w:type="dxa"/>
              <w:right w:w="120" w:type="dxa"/>
            </w:tcMar>
          </w:tcPr>
          <w:p w14:paraId="0C7FCF9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采用嵌套Mapping，精准定位“内容-权限-授权对象”关系，校验权限时查询效率高；仅存储地址列表，占用存储空间小</w:t>
            </w:r>
          </w:p>
        </w:tc>
      </w:tr>
      <w:tr w14:paraId="3AF10AC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22" w:type="dxa"/>
            <w:tcMar>
              <w:top w:w="60" w:type="dxa"/>
              <w:left w:w="120" w:type="dxa"/>
              <w:bottom w:w="30" w:type="dxa"/>
              <w:right w:w="120" w:type="dxa"/>
            </w:tcMar>
          </w:tcPr>
          <w:p w14:paraId="7F3B97E4">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原始穿搭素材/评论内容</w:t>
            </w:r>
          </w:p>
        </w:tc>
        <w:tc>
          <w:tcPr>
            <w:tcW w:w="1650" w:type="dxa"/>
            <w:tcMar>
              <w:top w:w="60" w:type="dxa"/>
              <w:left w:w="120" w:type="dxa"/>
              <w:bottom w:w="30" w:type="dxa"/>
              <w:right w:w="120" w:type="dxa"/>
            </w:tcMar>
          </w:tcPr>
          <w:p w14:paraId="069B85FB">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穿搭发布、互动评论</w:t>
            </w:r>
          </w:p>
        </w:tc>
        <w:tc>
          <w:tcPr>
            <w:tcW w:w="1650" w:type="dxa"/>
            <w:tcMar>
              <w:top w:w="60" w:type="dxa"/>
              <w:left w:w="120" w:type="dxa"/>
              <w:bottom w:w="30" w:type="dxa"/>
              <w:right w:w="120" w:type="dxa"/>
            </w:tcMar>
          </w:tcPr>
          <w:p w14:paraId="1EACBA77">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IPFS去中心化存储（Pinata网关）+ 链上存储IPFS哈希</w:t>
            </w:r>
          </w:p>
        </w:tc>
        <w:tc>
          <w:tcPr>
            <w:tcW w:w="1650" w:type="dxa"/>
            <w:tcMar>
              <w:top w:w="60" w:type="dxa"/>
              <w:left w:w="120" w:type="dxa"/>
              <w:bottom w:w="30" w:type="dxa"/>
              <w:right w:w="120" w:type="dxa"/>
            </w:tcMar>
          </w:tcPr>
          <w:p w14:paraId="2EC86882">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前端将原始素材/评论内容通过Pinata API上传到IPFS，获取IPFS CID（内容标识符）；2. 将IPFS CID作为元数据一部分写入智能合约；3. 查看时，前端通过IPFS网关（https://gateway.pinata.cloud/ipfs/[CID]）加载原始内容</w:t>
            </w:r>
          </w:p>
        </w:tc>
        <w:tc>
          <w:tcPr>
            <w:tcW w:w="1650" w:type="dxa"/>
            <w:tcMar>
              <w:top w:w="60" w:type="dxa"/>
              <w:left w:w="120" w:type="dxa"/>
              <w:bottom w:w="30" w:type="dxa"/>
              <w:right w:w="120" w:type="dxa"/>
            </w:tcMar>
          </w:tcPr>
          <w:p w14:paraId="724F2E2F">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IPFS存储成本远低于链上存储，大幅降低整体成本；2. 结合链上哈希校验，确保原始内容未被篡改；3. 选择Pinata等带Pin服务的IPFS平台，避免内容被回收</w:t>
            </w:r>
          </w:p>
        </w:tc>
      </w:tr>
      <w:tr w14:paraId="1B814E8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22" w:type="dxa"/>
            <w:tcMar>
              <w:top w:w="60" w:type="dxa"/>
              <w:left w:w="120" w:type="dxa"/>
              <w:bottom w:w="30" w:type="dxa"/>
              <w:right w:w="120" w:type="dxa"/>
            </w:tcMar>
          </w:tcPr>
          <w:p w14:paraId="4AE88E26">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活动激励Token数据</w:t>
            </w:r>
          </w:p>
        </w:tc>
        <w:tc>
          <w:tcPr>
            <w:tcW w:w="1650" w:type="dxa"/>
            <w:tcMar>
              <w:top w:w="60" w:type="dxa"/>
              <w:left w:w="120" w:type="dxa"/>
              <w:bottom w:w="30" w:type="dxa"/>
              <w:right w:w="120" w:type="dxa"/>
            </w:tcMar>
          </w:tcPr>
          <w:p w14:paraId="774A0C2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互动激励、参与奖励</w:t>
            </w:r>
          </w:p>
        </w:tc>
        <w:tc>
          <w:tcPr>
            <w:tcW w:w="1650" w:type="dxa"/>
            <w:tcMar>
              <w:top w:w="60" w:type="dxa"/>
              <w:left w:w="120" w:type="dxa"/>
              <w:bottom w:w="30" w:type="dxa"/>
              <w:right w:w="120" w:type="dxa"/>
            </w:tcMar>
          </w:tcPr>
          <w:p w14:paraId="30215B50">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ERC20标准Token合约（Solidity）+ 链上存储Token余额/转账记录</w:t>
            </w:r>
          </w:p>
        </w:tc>
        <w:tc>
          <w:tcPr>
            <w:tcW w:w="1650" w:type="dxa"/>
            <w:tcMar>
              <w:top w:w="60" w:type="dxa"/>
              <w:left w:w="120" w:type="dxa"/>
              <w:bottom w:w="30" w:type="dxa"/>
              <w:right w:w="120" w:type="dxa"/>
            </w:tcMar>
          </w:tcPr>
          <w:p w14:paraId="2835E58A">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1. 部署自定义ERC20 Token合约（如WearToken），预设总发行量；2. 激励发放通过合约transferFrom方法批量转账；3. 用户Token余额存储在ERC20合约的Mapping中</w:t>
            </w:r>
          </w:p>
        </w:tc>
        <w:tc>
          <w:tcPr>
            <w:tcW w:w="1650" w:type="dxa"/>
            <w:tcMar>
              <w:top w:w="60" w:type="dxa"/>
              <w:left w:w="120" w:type="dxa"/>
              <w:bottom w:w="30" w:type="dxa"/>
              <w:right w:w="120" w:type="dxa"/>
            </w:tcMar>
          </w:tcPr>
          <w:p w14:paraId="65DBA763">
            <w:pPr>
              <w:spacing w:before="120" w:after="120" w:line="288" w:lineRule="auto"/>
              <w:ind w:left="0"/>
              <w:jc w:val="left"/>
              <w:rPr>
                <w:rFonts w:hint="eastAsia" w:ascii="宋体" w:hAnsi="宋体" w:eastAsia="宋体" w:cs="宋体"/>
                <w:sz w:val="21"/>
                <w:szCs w:val="21"/>
              </w:rPr>
            </w:pPr>
            <w:r>
              <w:rPr>
                <w:rFonts w:hint="eastAsia" w:ascii="宋体" w:hAnsi="宋体" w:eastAsia="宋体" w:cs="宋体"/>
                <w:sz w:val="21"/>
                <w:szCs w:val="21"/>
              </w:rPr>
              <w:t>复用ERC20标准，兼容性强；批量发放时通过合约批量处理，提升效率；Token转账记录上链，可追溯</w:t>
            </w:r>
          </w:p>
        </w:tc>
      </w:tr>
    </w:tbl>
    <w:p w14:paraId="160560D8">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56C4E46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智能合约设计是系统核心，首先定义核心数据结构，如包含用户地址和角色的`User`结构体，以及包含标题、内容哈希、所有者、标签和状态等字段的`OutfitRecord`结构体；其次实现关键业务函数，包括供用户调用的`publishRecord`（发布记录）、`getRecordsByUser`（查询记录），以及供管理员调用的`adminUpdateRecordStatus`（更新记录状态）等；最后通过Solidity修饰符实现精细的权限控制，例如定义`onlyOwner`或`onlyAdmin`修饰符来确保特定函数只能被合约所有者或管理员地址调用，从而保障系统的安全性与规则执行。</w:t>
      </w:r>
    </w:p>
    <w:p w14:paraId="0D16DD54">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52FE109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系统使用流程清晰：首先，用户访问DApp后点击“连接钱包”按钮，授权MetaMask连接并完成登录；登录后，用户可进入发布页面，填写穿搭记录的标题、计划、心得，上传图片并选择标签，确认后提交交易并支付Gas费即可完成记录上链发布；在主页或个人中心，用户可以滚动浏览或通过标签、关键词检索自己及他人公开的穿搭记录；管理员则需使用特定地址登录，登录后将自动进入或可访问管理后台，在此界面可查看所有用户记录列表，并对单条记录执行审核通过、驳回或隐藏等管理操作，实现平台内容治理。</w:t>
      </w:r>
    </w:p>
    <w:p w14:paraId="01E2D6AE">
      <w:pPr>
        <w:keepNext w:val="0"/>
        <w:keepLines w:val="0"/>
        <w:pageBreakBefore w:val="0"/>
        <w:widowControl w:val="0"/>
        <w:kinsoku/>
        <w:wordWrap w:val="0"/>
        <w:overflowPunct/>
        <w:topLinePunct w:val="0"/>
        <w:autoSpaceDE/>
        <w:autoSpaceDN/>
        <w:bidi w:val="0"/>
        <w:adjustRightInd/>
        <w:snapToGrid/>
        <w:spacing w:line="440" w:lineRule="exact"/>
        <w:ind w:left="0" w:leftChars="0" w:firstLine="560" w:firstLineChars="200"/>
        <w:jc w:val="right"/>
        <w:textAlignment w:val="auto"/>
        <w:rPr>
          <w:rFonts w:hint="default" w:ascii="Calibri" w:hAnsi="Calibri" w:eastAsia="宋体" w:cs="Times New Roman"/>
          <w:sz w:val="24"/>
          <w:szCs w:val="24"/>
          <w:lang w:val="en-US" w:eastAsia="zh-CN"/>
        </w:rPr>
      </w:pPr>
      <w:r>
        <w:rPr>
          <w:rFonts w:hint="default" w:ascii="Calibri" w:hAnsi="Calibri" w:eastAsia="宋体" w:cs="Times New Roman"/>
          <w:sz w:val="28"/>
          <w:szCs w:val="52"/>
          <w:lang w:val="en-US"/>
        </w:rPr>
        <w:drawing>
          <wp:anchor distT="0" distB="0" distL="114300" distR="114300" simplePos="0" relativeHeight="251735040" behindDoc="0" locked="0" layoutInCell="1" allowOverlap="1">
            <wp:simplePos x="0" y="0"/>
            <wp:positionH relativeFrom="column">
              <wp:posOffset>2723515</wp:posOffset>
            </wp:positionH>
            <wp:positionV relativeFrom="paragraph">
              <wp:posOffset>201930</wp:posOffset>
            </wp:positionV>
            <wp:extent cx="2030095" cy="1720850"/>
            <wp:effectExtent l="0" t="0" r="8255" b="12700"/>
            <wp:wrapNone/>
            <wp:docPr id="13730124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12498" name="图片 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2030095" cy="1720850"/>
                    </a:xfrm>
                    <a:prstGeom prst="rect">
                      <a:avLst/>
                    </a:prstGeom>
                    <a:noFill/>
                    <a:ln>
                      <a:noFill/>
                    </a:ln>
                  </pic:spPr>
                </pic:pic>
              </a:graphicData>
            </a:graphic>
          </wp:anchor>
        </w:drawing>
      </w:r>
      <w:r>
        <w:rPr>
          <w:rFonts w:ascii="Calibri" w:hAnsi="Calibri" w:eastAsia="宋体" w:cs="Times New Roman"/>
        </w:rPr>
        <w:drawing>
          <wp:anchor distT="0" distB="0" distL="114300" distR="114300" simplePos="0" relativeHeight="251736064" behindDoc="0" locked="0" layoutInCell="1" allowOverlap="1">
            <wp:simplePos x="0" y="0"/>
            <wp:positionH relativeFrom="column">
              <wp:posOffset>321945</wp:posOffset>
            </wp:positionH>
            <wp:positionV relativeFrom="paragraph">
              <wp:posOffset>188595</wp:posOffset>
            </wp:positionV>
            <wp:extent cx="2244725" cy="1744345"/>
            <wp:effectExtent l="0" t="0" r="3175" b="8255"/>
            <wp:wrapTopAndBottom/>
            <wp:docPr id="19580925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092533" name="图片 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2244725" cy="1744345"/>
                    </a:xfrm>
                    <a:prstGeom prst="rect">
                      <a:avLst/>
                    </a:prstGeom>
                    <a:noFill/>
                    <a:ln>
                      <a:noFill/>
                    </a:ln>
                  </pic:spPr>
                </pic:pic>
              </a:graphicData>
            </a:graphic>
          </wp:anchor>
        </w:drawing>
      </w:r>
      <w:r>
        <w:rPr>
          <w:rFonts w:hint="eastAsia" w:ascii="Calibri" w:hAnsi="Calibri" w:eastAsia="宋体" w:cs="Times New Roman"/>
          <w:lang w:val="en-US" w:eastAsia="zh-CN"/>
        </w:rPr>
        <w:t xml:space="preserve">图4.1 主页内容                         图4.2 基本操作              </w:t>
      </w:r>
    </w:p>
    <w:p w14:paraId="65990C96">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5572FE0A">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系统测试覆盖多个层面以确保质量：智能合约测试使用Truffle或Hardhat框架编写详尽的测试用例，对合约的各个函数进行单元测试和集成测试，重点验证权限控制、状态变更的正确性与安全性；前端功能测试通过模拟用户操作，测试钱包连接、数据表单提交、内容加载渲染、界面交互响应等流程的完整性与稳定性；端到端测试在区块链测试网环境中进行，模拟从用户发布记录到管理员审核管理的完整业务流程；此外还需进行浏览器兼容性测试，确保DApp在Chrome、Firefox等主流浏览器中与MetaMask插件能稳定协同工作。</w:t>
      </w:r>
    </w:p>
    <w:p w14:paraId="7512DC3D">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2278721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lang w:val="en-US" w:eastAsia="zh-CN"/>
        </w:rPr>
        <w:t>本项目成功设计并实现了“霓裳阁”穿搭成长记录DApp，通过将前端交互技术与区块链去中心化特性相结合，构建了一个安全、可信、用户自主掌控数据的个人穿搭历程记录平台，系统采用清晰的三层架构，功能模块划分明确，既充分满足了穿搭爱好者记录风格尝试、追踪成长变化的核心需求，也通过管理员机制实现了有效的内容生态管理，项目实践验证了区块链技术在确保数字记录真实性、安全性与永久性方面的独特价值，为个性化成长记录的数字化保存提供了创新解决方案，并对推动穿搭文化的系统化传承具有积极意义，未来可在社交互动、标签体系深化及NFT集成等方面进行功能拓展。</w:t>
      </w:r>
    </w:p>
    <w:p w14:paraId="4B368C37">
      <w:pPr>
        <w:sectPr>
          <w:headerReference r:id="rId19" w:type="default"/>
          <w:footerReference r:id="rId2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7554BBA">
      <w:pPr>
        <w:pStyle w:val="3"/>
        <w:bidi w:val="0"/>
        <w:rPr>
          <w:rFonts w:hint="eastAsia"/>
          <w:lang w:val="en-US" w:eastAsia="zh-CN"/>
        </w:rPr>
      </w:pPr>
      <w:bookmarkStart w:id="772" w:name="_Toc26503"/>
      <w:bookmarkStart w:id="773" w:name="_Toc10439"/>
      <w:r>
        <w:rPr>
          <w:rFonts w:hint="eastAsia"/>
          <w:lang w:val="en-US" w:eastAsia="zh-CN"/>
        </w:rPr>
        <w:t>3.衣链溯源平台</w:t>
      </w:r>
      <w:bookmarkEnd w:id="772"/>
      <w:bookmarkEnd w:id="773"/>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00FBA8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9129D43">
            <w:pPr>
              <w:jc w:val="left"/>
              <w:outlineLvl w:val="0"/>
              <w:rPr>
                <w:rFonts w:hint="default" w:ascii="Calibri" w:hAnsi="Calibri" w:eastAsia="黑体" w:cs="Times New Roman"/>
                <w:szCs w:val="21"/>
                <w:lang w:val="en-US"/>
              </w:rPr>
            </w:pPr>
            <w:bookmarkStart w:id="774" w:name="_Toc11792"/>
            <w:bookmarkStart w:id="775" w:name="_Toc30012"/>
            <w:r>
              <w:rPr>
                <w:rFonts w:hint="eastAsia" w:ascii="Calibri" w:hAnsi="Calibri" w:eastAsia="黑体" w:cs="Times New Roman"/>
                <w:sz w:val="24"/>
                <w:lang w:val="en-US" w:eastAsia="zh-CN"/>
              </w:rPr>
              <w:t>项目</w:t>
            </w:r>
            <w:r>
              <w:rPr>
                <w:rFonts w:hint="eastAsia" w:ascii="Calibri" w:hAnsi="Calibri" w:eastAsia="黑体" w:cs="Times New Roman"/>
                <w:sz w:val="24"/>
              </w:rPr>
              <w:t>主题：</w:t>
            </w:r>
            <w:r>
              <w:rPr>
                <w:rFonts w:hint="eastAsia" w:ascii="Calibri" w:hAnsi="Calibri" w:eastAsia="黑体" w:cs="Times New Roman"/>
                <w:sz w:val="24"/>
                <w:lang w:val="en-US" w:eastAsia="zh-CN"/>
              </w:rPr>
              <w:t>衣链溯源平台</w:t>
            </w:r>
            <w:bookmarkEnd w:id="774"/>
            <w:bookmarkEnd w:id="775"/>
          </w:p>
        </w:tc>
      </w:tr>
      <w:tr w14:paraId="0C7E93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E60B317">
            <w:pPr>
              <w:jc w:val="left"/>
              <w:rPr>
                <w:rFonts w:ascii="Calibri" w:hAnsi="Calibri" w:eastAsia="黑体" w:cs="Times New Roman"/>
                <w:sz w:val="24"/>
              </w:rPr>
            </w:pPr>
            <w:r>
              <w:rPr>
                <w:rFonts w:hint="eastAsia" w:ascii="Calibri" w:hAnsi="Calibri" w:eastAsia="黑体" w:cs="Times New Roman"/>
                <w:sz w:val="24"/>
              </w:rPr>
              <w:t>班    级：</w:t>
            </w:r>
            <w:r>
              <w:rPr>
                <w:rFonts w:hint="eastAsia" w:ascii="Calibri" w:hAnsi="Calibri" w:eastAsia="黑体" w:cs="Times New Roman"/>
                <w:sz w:val="24"/>
                <w:lang w:val="en-US" w:eastAsia="zh-CN"/>
              </w:rPr>
              <w:t>23级区块链工程</w:t>
            </w:r>
            <w:r>
              <w:rPr>
                <w:rFonts w:hint="eastAsia" w:ascii="Calibri" w:hAnsi="Calibri" w:eastAsia="黑体" w:cs="Times New Roman"/>
                <w:sz w:val="24"/>
              </w:rPr>
              <w:t>本科1班</w:t>
            </w:r>
          </w:p>
        </w:tc>
      </w:tr>
      <w:tr w14:paraId="02390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07178FF">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江铁军</w:t>
            </w:r>
            <w:r>
              <w:rPr>
                <w:rFonts w:hint="eastAsia" w:ascii="Calibri" w:hAnsi="Calibri" w:eastAsia="黑体" w:cs="Times New Roman"/>
                <w:sz w:val="24"/>
              </w:rPr>
              <w:t>贺 余雨芙 叶志鹏 吴冉平李馨妮</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指导教师：</w:t>
            </w:r>
            <w:r>
              <w:rPr>
                <w:rFonts w:hint="eastAsia" w:ascii="Calibri" w:hAnsi="Calibri" w:eastAsia="黑体" w:cs="Times New Roman"/>
                <w:sz w:val="24"/>
                <w:lang w:val="en-US" w:eastAsia="zh-CN"/>
              </w:rPr>
              <w:t>翟剑锟</w:t>
            </w:r>
          </w:p>
        </w:tc>
      </w:tr>
    </w:tbl>
    <w:p w14:paraId="4A3A53C2">
      <w:pPr>
        <w:spacing w:line="440" w:lineRule="exact"/>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71FD1A1E">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2C679BF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“衣链”是一款基于Hyperledger Fabric联盟链技术的企业级服装溯源系统，旨在构建一个透明、可信的服装产业供应链管理体系。系统通过区块链技术实现从原材料采购、设计、生产、仓储、物流、销售到售后乃至环保回收的全生命周期数据上链存证与追溯。平台预设五种核心角色：面料库存管理者、服装加工厂、物流运输商、零售商和消费者，前四类角色负责各环节关键业务数据的上链存证，消费者则可通过系统便捷查询所购服装的完整流转历史。项目采用“传统Web应用+区块链”的融合架构，后端基于Go语言的Gin框架构建高性能业务API，前端使用Vue.js开发用户交互界面，MySQL数据库处理传统业务数据。该系统不仅解决了服装行业供应链信息不透明、商品追溯困难、消费者信任缺失等痛点，还通过引入设计版权保护、绿色溯源等创新模块，探索区块链在知识产权保护与可持续时尚领域的应用，为服装产业数字化转型提供可信的解决方案。</w:t>
      </w:r>
    </w:p>
    <w:p w14:paraId="1AB4B6C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eastAsia" w:ascii="宋体" w:hAnsi="宋体" w:eastAsia="宋体" w:cs="宋体"/>
          <w:sz w:val="21"/>
          <w:szCs w:val="21"/>
        </w:rPr>
        <w:drawing>
          <wp:anchor distT="0" distB="0" distL="114300" distR="114300" simplePos="0" relativeHeight="251742208" behindDoc="0" locked="0" layoutInCell="1" allowOverlap="1">
            <wp:simplePos x="0" y="0"/>
            <wp:positionH relativeFrom="column">
              <wp:posOffset>-21590</wp:posOffset>
            </wp:positionH>
            <wp:positionV relativeFrom="paragraph">
              <wp:posOffset>44450</wp:posOffset>
            </wp:positionV>
            <wp:extent cx="5259070" cy="3348355"/>
            <wp:effectExtent l="0" t="0" r="17780" b="4445"/>
            <wp:wrapTopAndBottom/>
            <wp:docPr id="1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2"/>
                    <pic:cNvPicPr>
                      <a:picLocks noChangeAspect="1"/>
                    </pic:cNvPicPr>
                  </pic:nvPicPr>
                  <pic:blipFill>
                    <a:blip r:embed="rId272"/>
                    <a:stretch>
                      <a:fillRect/>
                    </a:stretch>
                  </pic:blipFill>
                  <pic:spPr>
                    <a:xfrm>
                      <a:off x="0" y="0"/>
                      <a:ext cx="5259070" cy="3348355"/>
                    </a:xfrm>
                    <a:prstGeom prst="rect">
                      <a:avLst/>
                    </a:prstGeom>
                    <a:noFill/>
                    <a:ln>
                      <a:noFill/>
                    </a:ln>
                  </pic:spPr>
                </pic:pic>
              </a:graphicData>
            </a:graphic>
          </wp:anchor>
        </w:drawing>
      </w:r>
      <w:r>
        <w:rPr>
          <w:rFonts w:hint="eastAsia" w:ascii="宋体" w:hAnsi="宋体" w:eastAsia="宋体" w:cs="宋体"/>
          <w:sz w:val="21"/>
          <w:szCs w:val="21"/>
          <w:lang w:val="en-US" w:eastAsia="zh-CN"/>
        </w:rPr>
        <w:t>图1.1 服装溯源系统</w:t>
      </w:r>
    </w:p>
    <w:p w14:paraId="71BDDA67">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5C4C2D8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项目开发环境采用全栈式技术组合，底层区块链网络基于Hyperledger Fabric V2.5联盟链框架搭建，运行于Docker容器化环境，支持模块化组件配置与权限管理。后端开发采用Go语言1.19+版本，基于Gin框架构建RESTful API，集成fabric-gateway SDK与区块链网络交互。前端开发使用Node.js 16+与Vue.js 3框架，配合Element Plus等UI组件库实现响应式界面。数据库采用MySQL 8.0，用于存储用户账户、权限配置等链下业务数据。开发工具链包括：GoLand/VSCode作为IDE，Postman用于API测试，Git进行版本控制，以及内建的tape工具用于区块链网络性能压测。项目部署支持脚本化一键启动（如`./start.sh`），确保开发、测试与生产环境的一致性。</w:t>
      </w:r>
    </w:p>
    <w:p w14:paraId="2E73B7F9">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ascii="Calibri" w:hAnsi="Calibri" w:eastAsia="宋体" w:cs="Times New Roman"/>
          <w:color w:val="1F2329"/>
          <w:sz w:val="16"/>
          <w:szCs w:val="16"/>
        </w:rPr>
      </w:pPr>
      <w:r>
        <w:rPr>
          <w:rFonts w:ascii="Calibri" w:hAnsi="Calibri" w:eastAsia="宋体" w:cs="Times New Roman"/>
        </w:rPr>
        <w:drawing>
          <wp:anchor distT="0" distB="0" distL="114300" distR="114300" simplePos="0" relativeHeight="251741184" behindDoc="0" locked="0" layoutInCell="1" allowOverlap="1">
            <wp:simplePos x="0" y="0"/>
            <wp:positionH relativeFrom="column">
              <wp:posOffset>1412875</wp:posOffset>
            </wp:positionH>
            <wp:positionV relativeFrom="paragraph">
              <wp:posOffset>66040</wp:posOffset>
            </wp:positionV>
            <wp:extent cx="2741295" cy="1779270"/>
            <wp:effectExtent l="0" t="0" r="1905" b="11430"/>
            <wp:wrapTopAndBottom/>
            <wp:docPr id="15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9"/>
                    <pic:cNvPicPr>
                      <a:picLocks noChangeAspect="1"/>
                    </pic:cNvPicPr>
                  </pic:nvPicPr>
                  <pic:blipFill>
                    <a:blip r:embed="rId273"/>
                    <a:stretch>
                      <a:fillRect/>
                    </a:stretch>
                  </pic:blipFill>
                  <pic:spPr>
                    <a:xfrm>
                      <a:off x="0" y="0"/>
                      <a:ext cx="2741295" cy="1779270"/>
                    </a:xfrm>
                    <a:prstGeom prst="rect">
                      <a:avLst/>
                    </a:prstGeom>
                  </pic:spPr>
                </pic:pic>
              </a:graphicData>
            </a:graphic>
          </wp:anchor>
        </w:drawing>
      </w:r>
      <w:r>
        <w:rPr>
          <w:rFonts w:hint="eastAsia" w:ascii="Calibri" w:hAnsi="Calibri" w:eastAsia="宋体" w:cs="Times New Roman"/>
          <w:lang w:val="en-US" w:eastAsia="zh-CN"/>
        </w:rPr>
        <w:t>图1.2 系统架构图</w:t>
      </w:r>
    </w:p>
    <w:p w14:paraId="6C176FE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lang w:val="en-US" w:eastAsia="zh-CN"/>
        </w:rPr>
        <w:t>前端技术</w:t>
      </w:r>
      <w:r>
        <w:rPr>
          <w:rFonts w:hint="eastAsia" w:ascii="Calibri" w:hAnsi="Calibri" w:eastAsia="宋体" w:cs="Times New Roman"/>
          <w:sz w:val="24"/>
          <w:szCs w:val="24"/>
        </w:rPr>
        <w:t>Vue.js</w:t>
      </w:r>
      <w:r>
        <w:rPr>
          <w:rFonts w:hint="eastAsia" w:ascii="Calibri" w:hAnsi="Calibri" w:eastAsia="宋体" w:cs="Times New Roman"/>
          <w:sz w:val="24"/>
          <w:szCs w:val="24"/>
          <w:lang w:eastAsia="zh-CN"/>
        </w:rPr>
        <w:t>，</w:t>
      </w:r>
      <w:r>
        <w:rPr>
          <w:rFonts w:hint="eastAsia" w:ascii="Calibri" w:hAnsi="Calibri" w:eastAsia="宋体" w:cs="Times New Roman"/>
          <w:sz w:val="24"/>
          <w:szCs w:val="24"/>
          <w:lang w:val="en-US" w:eastAsia="zh-CN"/>
        </w:rPr>
        <w:t>前置依赖安装 Node.js（版本 ≥18.3），建议使用 20.x 稳定版；推荐 IDE 为 Visual Studio Code，搭配「Vue - Official」扩展。项目初始化：通过命令行执行 npm create vue@latest 初始化项目，根据提示选择 TypeScript、Vue Router、Pinia 等可选功能（开发阶段建议开启 ESLint + Prettier 保障代码规范）；进入项目目录后执行 npm install 安装依赖，再通过 npm run dev 启动开发服务器，默认监听 localhost:5173。开发调试：启用 Vue DevTools 扩展（浏览器插件），可实时查看组件层级、响应式数据变化；生产环境构建执行 npm run build，输出文件位于 dist 目录，可部署至静态资源服务器（如 Nginx、Netlify）。</w:t>
      </w:r>
    </w:p>
    <w:p w14:paraId="5DF399C8">
      <w:pPr>
        <w:spacing w:line="440" w:lineRule="exact"/>
        <w:ind w:firstLine="480" w:firstLineChars="200"/>
        <w:rPr>
          <w:rFonts w:hint="eastAsia" w:ascii="Calibri" w:hAnsi="Calibri" w:eastAsia="宋体" w:cs="Times New Roman"/>
          <w:sz w:val="24"/>
          <w:szCs w:val="24"/>
          <w:lang w:eastAsia="zh-CN"/>
        </w:rPr>
      </w:pPr>
      <w:r>
        <w:rPr>
          <w:rFonts w:hint="eastAsia" w:ascii="Calibri" w:hAnsi="Calibri" w:eastAsia="宋体" w:cs="Times New Roman"/>
          <w:sz w:val="24"/>
          <w:szCs w:val="24"/>
        </w:rPr>
        <w:t>Gin Web Framework</w:t>
      </w:r>
      <w:r>
        <w:rPr>
          <w:rFonts w:hint="eastAsia" w:ascii="Calibri" w:hAnsi="Calibri" w:eastAsia="宋体" w:cs="Times New Roman"/>
          <w:sz w:val="24"/>
          <w:szCs w:val="24"/>
          <w:lang w:val="en-US" w:eastAsia="zh-CN"/>
        </w:rPr>
        <w:t>是</w:t>
      </w:r>
      <w:r>
        <w:rPr>
          <w:rFonts w:hint="eastAsia" w:ascii="Calibri" w:hAnsi="Calibri" w:eastAsia="宋体" w:cs="Times New Roman"/>
          <w:sz w:val="24"/>
          <w:szCs w:val="24"/>
        </w:rPr>
        <w:t>Go语言最快的全功能Web框架</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是一个使用Go语言开发的Web框架。 它提供类似Martini的API，但性能更佳，速度提升高达40倍。</w:t>
      </w:r>
      <w:r>
        <w:rPr>
          <w:rFonts w:hint="eastAsia" w:ascii="Calibri" w:hAnsi="Calibri" w:eastAsia="宋体" w:cs="Times New Roman"/>
          <w:sz w:val="24"/>
          <w:szCs w:val="24"/>
          <w:lang w:val="en-US" w:eastAsia="zh-CN"/>
        </w:rPr>
        <w:t>Gin框架的特点，</w:t>
      </w:r>
      <w:r>
        <w:rPr>
          <w:rFonts w:hint="eastAsia" w:ascii="Calibri" w:hAnsi="Calibri" w:eastAsia="宋体" w:cs="Times New Roman"/>
          <w:sz w:val="24"/>
          <w:szCs w:val="24"/>
        </w:rPr>
        <w:t>快速</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基于 Radix 树的路由，小内存占用。没有反射。可预测的 API 性能。支持中间件</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传入的 HTTP 请求可以由一系列中间件和最终操作来处理。例如：Logger，Authorization，GZIP，最终操作 DB。Crash 处理</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Gin 可以 catch 一个发生在 HTTP 请求中的 panic 并 recover 它。这样，你的服务器将始终可用。JSON 验证</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Gin 可以解析并验证请求的 JSON，例如检查所需值的存在。路由组</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Gin帮助您更好地组织您的路由，例如，按照需要授权和不需要授权和不同API版本进行分组。此外，路由分组可以无限嵌套而不降低性能。错误管理</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Gin 提供了一种方便的方法来收集 HTTP 请求期间发生的所有错误。最终，中间件可以将它们写入日志文件，数据库并通过网络发送。内置渲染</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Gin 为 JSON，XML 和 HTML 渲染提供了易于使用的 API。可扩展性</w:t>
      </w:r>
      <w:r>
        <w:rPr>
          <w:rFonts w:hint="eastAsia" w:ascii="Calibri" w:hAnsi="Calibri" w:eastAsia="宋体" w:cs="Times New Roman"/>
          <w:sz w:val="24"/>
          <w:szCs w:val="24"/>
          <w:lang w:eastAsia="zh-CN"/>
        </w:rPr>
        <w:t>。</w:t>
      </w:r>
    </w:p>
    <w:p w14:paraId="35C63332">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rPr>
        <w:drawing>
          <wp:anchor distT="0" distB="0" distL="114300" distR="114300" simplePos="0" relativeHeight="251745280" behindDoc="0" locked="0" layoutInCell="1" allowOverlap="1">
            <wp:simplePos x="0" y="0"/>
            <wp:positionH relativeFrom="column">
              <wp:posOffset>35560</wp:posOffset>
            </wp:positionH>
            <wp:positionV relativeFrom="paragraph">
              <wp:posOffset>78740</wp:posOffset>
            </wp:positionV>
            <wp:extent cx="5269865" cy="3404870"/>
            <wp:effectExtent l="0" t="0" r="6985" b="5080"/>
            <wp:wrapTopAndBottom/>
            <wp:docPr id="1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
                    <pic:cNvPicPr>
                      <a:picLocks noChangeAspect="1"/>
                    </pic:cNvPicPr>
                  </pic:nvPicPr>
                  <pic:blipFill>
                    <a:blip r:embed="rId274"/>
                    <a:stretch>
                      <a:fillRect/>
                    </a:stretch>
                  </pic:blipFill>
                  <pic:spPr>
                    <a:xfrm>
                      <a:off x="0" y="0"/>
                      <a:ext cx="5269865" cy="3404870"/>
                    </a:xfrm>
                    <a:prstGeom prst="rect">
                      <a:avLst/>
                    </a:prstGeom>
                    <a:noFill/>
                    <a:ln>
                      <a:noFill/>
                    </a:ln>
                  </pic:spPr>
                </pic:pic>
              </a:graphicData>
            </a:graphic>
          </wp:anchor>
        </w:drawing>
      </w:r>
      <w:r>
        <w:rPr>
          <w:rFonts w:hint="eastAsia" w:ascii="宋体" w:hAnsi="宋体" w:eastAsia="宋体" w:cs="宋体"/>
          <w:sz w:val="21"/>
          <w:szCs w:val="21"/>
          <w:lang w:val="en-US" w:eastAsia="zh-CN"/>
        </w:rPr>
        <w:t>图1.3 Gin框架技术原理</w:t>
      </w:r>
    </w:p>
    <w:p w14:paraId="77FD5C5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Gin开发环境配置</w:t>
      </w:r>
      <w:r>
        <w:rPr>
          <w:rFonts w:hint="eastAsia" w:ascii="Calibri" w:hAnsi="Calibri" w:eastAsia="宋体" w:cs="Times New Roman"/>
          <w:sz w:val="24"/>
          <w:szCs w:val="24"/>
          <w:lang w:eastAsia="zh-CN"/>
        </w:rPr>
        <w:t>，</w:t>
      </w:r>
      <w:r>
        <w:rPr>
          <w:rFonts w:hint="eastAsia" w:ascii="Calibri" w:hAnsi="Calibri" w:eastAsia="宋体" w:cs="Times New Roman"/>
          <w:sz w:val="24"/>
          <w:szCs w:val="24"/>
          <w:lang w:val="en-US" w:eastAsia="zh-CN"/>
        </w:rPr>
        <w:t>安装 Go 语言环境（版本 ≥1.23），配置 GOPATH 与 GOROOT 环境变量；推荐 IDE 为 GoLand 或 VS Code（搭配 Go 扩展）。项目初始化：创建项目目录并执行 go mod init [项目名] 初始化模块，通过 go get -u github.com/gin-gonic/gin 安装 Gin 框架；新建 main.go 文件，编写基础路由代码（如 router.GET("/ping", func(c *gin.Context) { c.JSON(200, gin.H{"message": "pong"}) })），执行 go run main.go 启动服务，默认监听 localhost:8080。开发调试：使用 go build 编译生成可执行文件，通过 dlv debug 开启断点调试；依赖管理通过 go mod tidy 自动同步 go.mod 与 go.sum。</w:t>
      </w:r>
    </w:p>
    <w:p w14:paraId="6B1C53F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MySQL</w:t>
      </w:r>
      <w:r>
        <w:rPr>
          <w:rFonts w:hint="eastAsia" w:ascii="Calibri" w:hAnsi="Calibri" w:eastAsia="宋体" w:cs="Times New Roman"/>
          <w:sz w:val="24"/>
          <w:szCs w:val="24"/>
          <w:lang w:val="en-US" w:eastAsia="zh-CN"/>
        </w:rPr>
        <w:t>关系型数据库</w:t>
      </w:r>
      <w:r>
        <w:rPr>
          <w:rFonts w:hint="eastAsia" w:ascii="Calibri" w:hAnsi="Calibri" w:eastAsia="宋体" w:cs="Times New Roman"/>
          <w:sz w:val="24"/>
          <w:szCs w:val="24"/>
        </w:rPr>
        <w:t>配置</w:t>
      </w:r>
      <w:r>
        <w:rPr>
          <w:rFonts w:hint="eastAsia" w:ascii="Calibri" w:hAnsi="Calibri" w:eastAsia="宋体" w:cs="Times New Roman"/>
          <w:sz w:val="24"/>
          <w:szCs w:val="24"/>
          <w:lang w:eastAsia="zh-CN"/>
        </w:rPr>
        <w:t>，</w:t>
      </w:r>
      <w:r>
        <w:rPr>
          <w:rFonts w:hint="eastAsia" w:ascii="Calibri" w:hAnsi="Calibri" w:eastAsia="宋体" w:cs="Times New Roman"/>
          <w:sz w:val="24"/>
          <w:szCs w:val="24"/>
          <w:lang w:val="en-US" w:eastAsia="zh-CN"/>
        </w:rPr>
        <w:t>推荐使用 Docker 快速部署（适合多环境隔离），执行 docker run -d -p 3306:3306 --name mysql-dev -e MYSQL_ROOT_PASSWORD=[密码] mysql:8.0 启动容器；也可直接安装 MySQL Community Server（Windows 用 MSI 安装器、macOS 用 Homebrew、Linux 用 Yum/Apt）。初始化配置：通过 docker exec -it mysql-dev mysql -u root -p 进入容器，执行 ALTER USER 'root'@'%' IDENTIFIED BY '[新密码]'; 开启远程连接，创建开发数据库 CREATE DATABASE [库名] CHARACTER SET utf8mb4;。开发工具：使用 MySQL Workbench 或 DBeaver 进行图形化管理，连接参数为 host=127.0.0.1、port=3306、username=root、password=[密码]；代码中通过 Go 的 database/sql 包 + github.com/go-sql-driver/mysql 驱动连接数据库。</w:t>
      </w:r>
    </w:p>
    <w:p w14:paraId="4F0812D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Hyperledger Fabric</w:t>
      </w:r>
      <w:r>
        <w:rPr>
          <w:rFonts w:hint="eastAsia" w:ascii="Calibri" w:hAnsi="Calibri" w:eastAsia="宋体" w:cs="Times New Roman"/>
          <w:sz w:val="24"/>
          <w:szCs w:val="24"/>
          <w:lang w:val="en-US" w:eastAsia="zh-CN"/>
        </w:rPr>
        <w:t>安装 JDK 21、Docker（含 Docker Compose）、IntelliJ IDEA（社区版），并安装「Minecraft Development」插件（Fabric 开发必备）。环境搭建：克隆 Fabric 示例仓库 git clone https://github.com/hyperledger/fabric-samples.git，进入 test-network 目录执行 ./network.sh up 启动测试网络；通过 ./network.sh createChannel 创建通道，./network.sh deployCC 部署链码。开发调试：在 IDEA 中创建 Fabric 模组项目，编写链码（Go/Java/JavaScript 语言），通过 peer chaincode invoke 调用链码；使用 docker logs [容器名] 查看节点日志，通过 fabric-ca-client 管理身份证书。</w:t>
      </w:r>
    </w:p>
    <w:p w14:paraId="3E5CFD1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系统交互流程技术说明，本系统采用「前端 - 后端 - 数据库 - 区块链」四层架构：应用端（浏览器） 向 Vue.js 开发的 Web 服务器请求页面，Web 服务器通过 HTTP 接口与 Gin 后端交互；后端服务器 接收请求后，从 MySQL 中存 / 取业务数据，同时与 Fabric 交互（调用链码存 / 取链上数据）；数据处理完成后，后端将结果返回 Web 服务器，最终渲染到浏览器界面。实际交互中，Vue.js 通过 Axios 发送异步请求，Gin 后端通过 gin.Context 处理请求并返回 JSON 响应，MySQL 通过 gorm 执行 CRUD 操作，Fabric 通过 fabric-sdk-go 调用链码，各层之间通过标准化接口通信，保障系统的松耦合与可维护性。</w:t>
      </w:r>
    </w:p>
    <w:p w14:paraId="044A1B20">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rPr>
        <w:drawing>
          <wp:anchor distT="0" distB="0" distL="114300" distR="114300" simplePos="0" relativeHeight="251744256" behindDoc="0" locked="0" layoutInCell="1" allowOverlap="1">
            <wp:simplePos x="0" y="0"/>
            <wp:positionH relativeFrom="column">
              <wp:posOffset>1014730</wp:posOffset>
            </wp:positionH>
            <wp:positionV relativeFrom="paragraph">
              <wp:posOffset>67310</wp:posOffset>
            </wp:positionV>
            <wp:extent cx="3329940" cy="3014980"/>
            <wp:effectExtent l="0" t="0" r="3810" b="13970"/>
            <wp:wrapTopAndBottom/>
            <wp:docPr id="1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
                    <pic:cNvPicPr>
                      <a:picLocks noChangeAspect="1"/>
                    </pic:cNvPicPr>
                  </pic:nvPicPr>
                  <pic:blipFill>
                    <a:blip r:embed="rId275"/>
                    <a:stretch>
                      <a:fillRect/>
                    </a:stretch>
                  </pic:blipFill>
                  <pic:spPr>
                    <a:xfrm>
                      <a:off x="0" y="0"/>
                      <a:ext cx="3329940" cy="3014980"/>
                    </a:xfrm>
                    <a:prstGeom prst="rect">
                      <a:avLst/>
                    </a:prstGeom>
                    <a:noFill/>
                    <a:ln>
                      <a:noFill/>
                    </a:ln>
                  </pic:spPr>
                </pic:pic>
              </a:graphicData>
            </a:graphic>
          </wp:anchor>
        </w:drawing>
      </w:r>
      <w:r>
        <w:rPr>
          <w:rFonts w:hint="eastAsia" w:ascii="宋体" w:hAnsi="宋体" w:eastAsia="宋体" w:cs="宋体"/>
          <w:sz w:val="21"/>
          <w:szCs w:val="21"/>
          <w:lang w:val="en-US" w:eastAsia="zh-CN"/>
        </w:rPr>
        <w:t>图1.4 系统架构图</w:t>
      </w:r>
    </w:p>
    <w:p w14:paraId="7D4784C9">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表1.1 技术选型表</w:t>
      </w:r>
    </w:p>
    <w:tbl>
      <w:tblPr>
        <w:tblStyle w:val="35"/>
        <w:tblW w:w="4857" w:type="pct"/>
        <w:tblInd w:w="11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410"/>
        <w:gridCol w:w="2028"/>
        <w:gridCol w:w="4864"/>
      </w:tblGrid>
      <w:tr w14:paraId="2021D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849"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227C326">
            <w:pPr>
              <w:keepNext w:val="0"/>
              <w:keepLines w:val="0"/>
              <w:widowControl/>
              <w:suppressLineNumbers w:val="0"/>
              <w:spacing w:line="16" w:lineRule="atLeast"/>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技术层面</w:t>
            </w:r>
          </w:p>
        </w:tc>
        <w:tc>
          <w:tcPr>
            <w:tcW w:w="1221"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0FA1633B">
            <w:pPr>
              <w:keepNext w:val="0"/>
              <w:keepLines w:val="0"/>
              <w:widowControl/>
              <w:suppressLineNumbers w:val="0"/>
              <w:spacing w:line="16" w:lineRule="atLeast"/>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核心技术</w:t>
            </w:r>
          </w:p>
        </w:tc>
        <w:tc>
          <w:tcPr>
            <w:tcW w:w="2929"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13A0B40">
            <w:pPr>
              <w:keepNext w:val="0"/>
              <w:keepLines w:val="0"/>
              <w:widowControl/>
              <w:suppressLineNumbers w:val="0"/>
              <w:spacing w:line="16" w:lineRule="atLeast"/>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选型理由</w:t>
            </w:r>
          </w:p>
        </w:tc>
      </w:tr>
      <w:tr w14:paraId="79760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19" w:hRule="atLeast"/>
        </w:trPr>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3F9AFAD">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区块链底层</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74FBA55">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Hyperledger Fabric V2.5</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8119BE9">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企业级联盟链框架，支持权限管理、通道隔离，V2.5 版本性能提升 30%+</w:t>
            </w:r>
          </w:p>
        </w:tc>
      </w:tr>
      <w:tr w14:paraId="2824BF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C7AE5F2">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链码开发</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493B256">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Java + Fabric Chaincode Shim</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26CB260">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适配企业级 Java 技术栈，利用 Shim API 实现账本读写逻辑</w:t>
            </w:r>
          </w:p>
        </w:tc>
      </w:tr>
      <w:tr w14:paraId="47F7E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B8E93AF">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后端服务</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C055538">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Spring Boot 3.x + MyBatis</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37DDAC7">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企业级后端框架，提供 RESTful API、事务管理、数据库交互能力</w:t>
            </w:r>
          </w:p>
        </w:tc>
      </w:tr>
      <w:tr w14:paraId="33F1F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2A7205">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前端交互</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AECABF9">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Vue.js 3.x + Element Plus</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9B36ADF">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响应式前端框架，支持组件化开发与多端适配（PC 端/移动端）</w:t>
            </w:r>
          </w:p>
        </w:tc>
      </w:tr>
      <w:tr w14:paraId="27364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35511EB">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数据存储</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E15CA78">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MySQL 8.0 + Fabric 账本</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65CC6E9">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MySQL 存储业务数据（用户、角色、商品基础信息），Fabric 存储链上溯源数据</w:t>
            </w:r>
          </w:p>
        </w:tc>
      </w:tr>
      <w:tr w14:paraId="2651A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9F0ABEC">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部署工具</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89C5701">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Docker + Docker Compose</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D7251A5">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容器化部署区块链节点、后端服务、数据库，保障环境一致性与快速交付</w:t>
            </w:r>
          </w:p>
        </w:tc>
      </w:tr>
      <w:tr w14:paraId="39306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4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5330BBF">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链码调用</w:t>
            </w:r>
          </w:p>
        </w:tc>
        <w:tc>
          <w:tcPr>
            <w:tcW w:w="122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21AE46A">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Fabric Gateway Java SDK</w:t>
            </w:r>
          </w:p>
        </w:tc>
        <w:tc>
          <w:tcPr>
            <w:tcW w:w="292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FBF4DB2">
            <w:pPr>
              <w:keepNext w:val="0"/>
              <w:keepLines w:val="0"/>
              <w:widowControl/>
              <w:suppressLineNumbers w:val="0"/>
              <w:spacing w:line="16" w:lineRule="atLeast"/>
              <w:jc w:val="left"/>
              <w:rPr>
                <w:rFonts w:hint="eastAsia" w:ascii="宋体" w:hAnsi="宋体" w:eastAsia="宋体" w:cs="宋体"/>
                <w:sz w:val="21"/>
                <w:szCs w:val="21"/>
              </w:rPr>
            </w:pPr>
            <w:r>
              <w:rPr>
                <w:rFonts w:hint="eastAsia" w:ascii="宋体" w:hAnsi="宋体" w:eastAsia="宋体" w:cs="宋体"/>
                <w:sz w:val="21"/>
                <w:szCs w:val="21"/>
              </w:rPr>
              <w:t>Fabric V2.5 推荐的链码调用模式，简化客户端与区块链节点的通信流程</w:t>
            </w:r>
          </w:p>
        </w:tc>
      </w:tr>
    </w:tbl>
    <w:p w14:paraId="2FA0D1F0">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631DAC7F">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项目小组由五名成员组成，分工如下：江铁军负责Hyperledger Fabric联盟链开发，包括Fabric网络环境搭建、智能合约（链码）编写、网络配置及链码部署与维护；余雨芙负责系统测试，涵盖功能测试、兼容性测试、测试用例设计、测试执行与缺陷定位；叶志鹏负责后端开发，基于Gin框架实现业务逻辑、数据接口、数据校验及功能迭代；吴冉平负责前端开发，使用Vue.js框架进行组件构建、交互逻辑实现与页面渲染优化；李馨妮负责数据库管理，包括MySQL表结构设计、查询优化、数据备份与维护。团队覆盖区块链底层、后端业务、前端交互、数据存储及质量保障全链路，确保项目高效推进。</w:t>
      </w:r>
    </w:p>
    <w:p w14:paraId="2B1FF43A">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rPr>
        <w:drawing>
          <wp:anchor distT="0" distB="0" distL="114300" distR="114300" simplePos="0" relativeHeight="251743232" behindDoc="0" locked="0" layoutInCell="1" allowOverlap="1">
            <wp:simplePos x="0" y="0"/>
            <wp:positionH relativeFrom="column">
              <wp:posOffset>40005</wp:posOffset>
            </wp:positionH>
            <wp:positionV relativeFrom="paragraph">
              <wp:posOffset>139700</wp:posOffset>
            </wp:positionV>
            <wp:extent cx="5271135" cy="1651635"/>
            <wp:effectExtent l="0" t="0" r="5715" b="5715"/>
            <wp:wrapTopAndBottom/>
            <wp:docPr id="1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
                    <pic:cNvPicPr>
                      <a:picLocks noChangeAspect="1"/>
                    </pic:cNvPicPr>
                  </pic:nvPicPr>
                  <pic:blipFill>
                    <a:blip r:embed="rId276"/>
                    <a:stretch>
                      <a:fillRect/>
                    </a:stretch>
                  </pic:blipFill>
                  <pic:spPr>
                    <a:xfrm>
                      <a:off x="0" y="0"/>
                      <a:ext cx="5271135" cy="1651635"/>
                    </a:xfrm>
                    <a:prstGeom prst="rect">
                      <a:avLst/>
                    </a:prstGeom>
                    <a:noFill/>
                    <a:ln>
                      <a:noFill/>
                    </a:ln>
                  </pic:spPr>
                </pic:pic>
              </a:graphicData>
            </a:graphic>
          </wp:anchor>
        </w:drawing>
      </w:r>
      <w:r>
        <w:rPr>
          <w:rFonts w:hint="eastAsia" w:ascii="宋体" w:hAnsi="宋体" w:eastAsia="宋体" w:cs="宋体"/>
          <w:sz w:val="21"/>
          <w:szCs w:val="21"/>
          <w:lang w:val="en-US" w:eastAsia="zh-CN"/>
        </w:rPr>
        <w:t>图1.3人员结构图</w:t>
      </w:r>
    </w:p>
    <w:p w14:paraId="03D0BD77">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61BD2E90">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73AAED1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需求涵盖功能性需求与非功能性需求。功能性需求主要包括：支持多角色（面料商、工厂、物流商、零售商、消费者）的注册、登录与权限管理；实现各环节业务数据（采购批次、生产记录、物流信息、销售数据等）的标准录入与上链存证；为消费者提供便捷的商品全链路信息查询与可视化展示；为管理员提供区块链数据监控、用户管理与系统配置能力。非功能性需求包括：安全性方面，需利用Fabric的权限机制与通道隔离保障数据隐私，实现防篡改可追溯；性能方面，要求区块链网络具备高并发处理能力，前端响应延迟在可接受范围内；可用性方面，要求界面友好、操作简单，适配多端浏览器；可扩展性方面，系统架构需支持未来新增业务模块与角色类型的灵活接入。</w:t>
      </w:r>
    </w:p>
    <w:p w14:paraId="4E65724A">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4C30D7D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可行性从技术、经济与操作三个维度进行评估，技术层面，基于成熟的Web3技术栈，包括web3.js、MetaMask和Solidity，工具链完善且社区支持强大，实现路径清晰可行；经济层面，主要成本为前期开发人力与智能合约部署的Gas费用，无持续性的中心化服务器托管成本，长期运营经济负担较轻；操作层面，目标用户定位于具备基本区块链操作知识的穿搭爱好者，通过MetaMask进行交互的学习门槛可控，且界面设计聚焦核心功能，预期用户易于上手接受。</w:t>
      </w:r>
    </w:p>
    <w:p w14:paraId="16061E2E">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0D4D4A5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项目可行性从技术、经济与操作三方面评估。技术可行性上，Hyperledger Fabric为成熟的企业级联盟链框架，社区生态完善，与Gin、Vue.js等主流技术栈集成方案成熟，技术实现路径清晰；经济可行性上，项目采用开源技术栈，主要成本为开发人力与服务器资源，但长期可通过提升供应链效率、降低伪劣商品风险、增强品牌价值带来可观回报；操作可行性上，目标用户为服装产业各环节从业人员及消费者，系统通过清晰的角色划分与直观的界面设计降低使用门槛，且区块链操作对用户透明，无需具备专业区块链知识即可使用核心功能，易于推广。</w:t>
      </w:r>
    </w:p>
    <w:p w14:paraId="291730F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用户需求分析基于所提供的用户角色与功能结构图展开，主要涉及三类核心用户：系统管理员、上电脑个人员（可能为操作员或前台工作人员）以及消费者。每一类用户在不同使用场景下具有明确且差异化的功能需求与行为目标，整体系统需围绕这些需求构建安全、高效、易用的操作流程与信息交互机制。</w:t>
      </w:r>
    </w:p>
    <w:p w14:paraId="12D9645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管理员作为系统的最高权限管理者，其需求集中于系统维护、权限分配与参数配置等方面。管理员需通过登录验证后进入管理后台，能够对系统基础参数进行设置与调整，例如设定安全策略、配置网络环境、管理用户账户与角色权限等。此外，管理员还承担用户信息录入与审核的职责，确保系统中人员数据的准确性与完整性。在查询分析模块中，管理员需要具备对系统操作日志、用户行为数据等进行多维度检索与统计分析的能力，以便监控系统运行状态、识别异常行为并生成管理报表，为决策提供数据支持。</w:t>
      </w:r>
    </w:p>
    <w:p w14:paraId="24B6003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lang w:val="en-US" w:eastAsia="zh-CN"/>
        </w:rPr>
        <w:t>上链操作人员</w:t>
      </w:r>
      <w:r>
        <w:rPr>
          <w:rFonts w:hint="eastAsia" w:ascii="Calibri" w:hAnsi="Calibri" w:eastAsia="宋体" w:cs="Times New Roman"/>
          <w:sz w:val="24"/>
          <w:szCs w:val="24"/>
        </w:rPr>
        <w:t>（一线操作员</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业务人员</w:t>
      </w:r>
      <w:r>
        <w:rPr>
          <w:rFonts w:hint="eastAsia" w:ascii="Calibri" w:hAnsi="Calibri" w:eastAsia="宋体" w:cs="Times New Roman"/>
          <w:sz w:val="24"/>
          <w:szCs w:val="24"/>
          <w:lang w:eastAsia="zh-CN"/>
        </w:rPr>
        <w:t>、</w:t>
      </w:r>
      <w:r>
        <w:rPr>
          <w:rFonts w:hint="eastAsia" w:ascii="Calibri" w:hAnsi="Calibri" w:eastAsia="宋体" w:cs="Times New Roman"/>
          <w:sz w:val="24"/>
          <w:szCs w:val="24"/>
          <w:lang w:val="en-US" w:eastAsia="zh-CN"/>
        </w:rPr>
        <w:t>库房管理人员</w:t>
      </w:r>
      <w:r>
        <w:rPr>
          <w:rFonts w:hint="eastAsia" w:ascii="Calibri" w:hAnsi="Calibri" w:eastAsia="宋体" w:cs="Times New Roman"/>
          <w:sz w:val="24"/>
          <w:szCs w:val="24"/>
        </w:rPr>
        <w:t>）是系统的日常高频使用者，其核心需求围绕业务办理与信息查询展开。该类用户同样需经过登录验证，确保操作可追溯性与安全性。其主要功能包括参数配置（可能指业务相关设置）、信息录入（如客户资料、业务数据等）以及查询分析（如业务进度查询、历史记录检索等）。特别值得注意的是，该类用户还具有“登录—查询—鉴定—溯源”这一连贯操作链路的需求，说明系统需支持对特定信息（如产品、订单、用户）进行快速检索后，进一步实现真伪鉴定与来源追溯功能。这要求系统在查询响应速度、数据关联性以及溯源信息的完整性与可信度方面具备较高标准。</w:t>
      </w:r>
    </w:p>
    <w:p w14:paraId="23E897A9">
      <w:pPr>
        <w:spacing w:line="440" w:lineRule="exact"/>
        <w:ind w:firstLine="420" w:firstLineChars="200"/>
        <w:rPr>
          <w:rFonts w:hint="eastAsia" w:ascii="Calibri" w:hAnsi="Calibri" w:eastAsia="宋体" w:cs="Times New Roman"/>
          <w:sz w:val="24"/>
          <w:szCs w:val="24"/>
        </w:rPr>
      </w:pPr>
      <w:r>
        <w:rPr>
          <w:rFonts w:hint="eastAsia" w:ascii="宋体" w:hAnsi="宋体" w:eastAsia="宋体" w:cs="宋体"/>
          <w:sz w:val="21"/>
          <w:szCs w:val="21"/>
        </w:rPr>
        <w:drawing>
          <wp:anchor distT="0" distB="0" distL="114300" distR="114300" simplePos="0" relativeHeight="251746304" behindDoc="0" locked="0" layoutInCell="1" allowOverlap="1">
            <wp:simplePos x="0" y="0"/>
            <wp:positionH relativeFrom="column">
              <wp:posOffset>87630</wp:posOffset>
            </wp:positionH>
            <wp:positionV relativeFrom="paragraph">
              <wp:posOffset>1763395</wp:posOffset>
            </wp:positionV>
            <wp:extent cx="5057775" cy="2832735"/>
            <wp:effectExtent l="0" t="0" r="9525" b="5715"/>
            <wp:wrapTopAndBottom/>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277"/>
                    <a:stretch>
                      <a:fillRect/>
                    </a:stretch>
                  </pic:blipFill>
                  <pic:spPr>
                    <a:xfrm>
                      <a:off x="0" y="0"/>
                      <a:ext cx="5057775" cy="2832735"/>
                    </a:xfrm>
                    <a:prstGeom prst="rect">
                      <a:avLst/>
                    </a:prstGeom>
                    <a:noFill/>
                    <a:ln>
                      <a:noFill/>
                    </a:ln>
                  </pic:spPr>
                </pic:pic>
              </a:graphicData>
            </a:graphic>
          </wp:anchor>
        </w:drawing>
      </w:r>
      <w:r>
        <w:rPr>
          <w:rFonts w:hint="eastAsia" w:ascii="Calibri" w:hAnsi="Calibri" w:eastAsia="宋体" w:cs="Times New Roman"/>
          <w:sz w:val="24"/>
          <w:szCs w:val="24"/>
        </w:rPr>
        <w:t>消费者作为系统的终端用户或服务对象，其需求通常侧重于信息获取、产品验证与服务使用。尽管图中未详细展开消费者具体功能，但可推断其可能通过前端界面（如网页、移动端应用）进行登录后，享受查询、鉴定或溯源等服务。例如，在防伪溯源场景中，消费者可能需要扫描产品二维码以查询真伪、了解产品来源、生产流程及流转轨迹。因此，系统需提供简洁直观的消费者交互界面，支持快速验证与信息反馈，同时保障消费者隐私与数据安全。</w:t>
      </w:r>
    </w:p>
    <w:p w14:paraId="6C9F87C0">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图2.1系统用户需求分析图</w:t>
      </w:r>
    </w:p>
    <w:p w14:paraId="763174B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整体而言，该系统需构建分层权限体系，确保不同角色用户访问相应功能模块；需具备可靠的身份认证与操作日志机制，以满足安全性与可追溯要求；在功能设计上应兼顾管理效率与操作便捷性，尤其针对“查询—鉴定—溯源”这类业务流程，需整合数据检索、验证逻辑与溯源信息展示，形成闭环操作体验。此外，系统还应考虑扩展性与兼容性，以适应未来可能增加的用户角色或功能模块，确保长期可用性与维护效率。</w:t>
      </w:r>
    </w:p>
    <w:p w14:paraId="719E110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综上所述，该系统用户需求覆盖了从后端管理到前端应用的多层次场景，核心在于通过结构化功能设计与流程优化，实现安全管控、操作便捷与信息透明的统一，最终提升系统整体服务效能与用户满意度。</w:t>
      </w:r>
    </w:p>
    <w:p w14:paraId="1F8D560C">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414B0868">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结构设计</w:t>
      </w:r>
    </w:p>
    <w:p w14:paraId="75E5C64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采用分层融合架构，分为用户交互层、业务应用层、区块链服务层与数据存储层。用户交互层由基于Vue.js的前端应用构成，负责渲染操作界面、处理用户输入并向后端发起请求。业务应用层由Gin框架构建的后端服务组成，承担核心业务逻辑处理、数据校验、权限验证及与传统数据库（MySQL）的交互，同时通过fabric-gateway客户端与底层区块链网络通信。区块链服务层基于Hyperledger Fabric V2.5构建，包含Peer节点、Orderer排序服务、CA证书机构及智能合约（链码），负责实现分布式账本存储、共识机制与链上业务逻辑执行。数据存储层采用混合模式，MySQL存储用户账户、会话等高频访问的链下数据，Fabric区块链永久存储不可篡改的溯源核心数据，两者通过业务ID关联，实现高效查询与可信存证的平衡。</w:t>
      </w:r>
    </w:p>
    <w:p w14:paraId="3292CDF7">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0DC394E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功能模块按业务流划分为八大核心模块：采购管理模块支持供应商信息管理、原料属性记录与采购批次追溯；设计版权保护模块实现设计稿上链存证、侵权监测与版权交易；生产操作模块涵盖生产数据录入、设备管理与进度追踪；库存管理模块处理入库信息、库存动态更新与仓储环境记录；服装销售追溯模块管理定制订单、经销商防窜货与售后维权；物流管理模块记录运输信息、运输条件与装卸情况；绿色溯源模块负责环保数据记录、回收追溯与碳足迹核算；大数据分析模块基于链上数据提供运营分析、需求预测与风险预警。各模块均通过标准化接口与智能合约交互，确保业务数据按规则上链。</w:t>
      </w:r>
    </w:p>
    <w:p w14:paraId="7071B9A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default" w:ascii="Calibri" w:hAnsi="Calibri" w:eastAsia="宋体" w:cs="Times New Roman"/>
          <w:sz w:val="24"/>
          <w:szCs w:val="24"/>
        </w:rPr>
        <w:t>以</w:t>
      </w:r>
      <w:r>
        <w:rPr>
          <w:rFonts w:hint="eastAsia" w:ascii="Calibri" w:hAnsi="Calibri" w:eastAsia="宋体" w:cs="Times New Roman"/>
          <w:sz w:val="24"/>
          <w:szCs w:val="24"/>
          <w:lang w:val="en-US" w:eastAsia="zh-CN"/>
        </w:rPr>
        <w:t>服装行业供应链</w:t>
      </w:r>
      <w:r>
        <w:rPr>
          <w:rFonts w:hint="default" w:ascii="Calibri" w:hAnsi="Calibri" w:eastAsia="宋体" w:cs="Times New Roman"/>
          <w:sz w:val="24"/>
          <w:szCs w:val="24"/>
        </w:rPr>
        <w:t>全流程追溯为核心场景，通过区块链的不可篡改、分布式账本特性，实现生产、加工、物流、销售等环节的数据上链与可信追溯。项目采用 Java 技术栈适配企业级开发生态，提供了「前端-后端-区块链-数据库」的全链路解决方案，支持多角色权限管理、数据上链/查询、链上数据可视化等核心功能，可快速适配农产品、医药、供应链等多领域溯源需求。</w:t>
      </w:r>
    </w:p>
    <w:p w14:paraId="4EBFD7D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default" w:ascii="Calibri" w:hAnsi="Calibri" w:eastAsia="宋体" w:cs="Times New Roman"/>
          <w:sz w:val="24"/>
          <w:szCs w:val="24"/>
        </w:rPr>
        <w:t>传统溯源系统存在数据易篡改、信息孤岛、信任成本高等痛点，本项目通过以下特性解决上述问题</w:t>
      </w:r>
      <w:r>
        <w:rPr>
          <w:rFonts w:hint="eastAsia" w:ascii="Calibri" w:hAnsi="Calibri" w:eastAsia="宋体" w:cs="Times New Roman"/>
          <w:sz w:val="24"/>
          <w:szCs w:val="24"/>
          <w:lang w:eastAsia="zh-CN"/>
        </w:rPr>
        <w:t>，</w:t>
      </w:r>
      <w:r>
        <w:rPr>
          <w:rFonts w:hint="default" w:ascii="Calibri" w:hAnsi="Calibri" w:eastAsia="宋体" w:cs="Times New Roman"/>
          <w:sz w:val="24"/>
          <w:szCs w:val="24"/>
        </w:rPr>
        <w:t>不可篡改性：所有溯源数据写入 Fabric 区块链，交易记录永久留存且无法篡改；多角色协同：支持种植户、加工厂、物流商、零售商、消费者等角色的权限隔离与数据上链；可信追溯：消费者可通过商品标识（如二维码）查询全流程链上数据，验证信息真实性；企业级适配：采用 Java 技术栈与 Fabric Java SDK 集成，兼容现有企业系统；高性能部署：基于Fabric V2.5 的 Gateway 模式调用链码，配合 Docker 容器化部署，支持高并发场景。</w:t>
      </w:r>
    </w:p>
    <w:p w14:paraId="0AB9BFA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Fabric 网络拓扑，</w:t>
      </w:r>
      <w:r>
        <w:rPr>
          <w:rFonts w:hint="default" w:ascii="Calibri" w:hAnsi="Calibri" w:eastAsia="宋体" w:cs="Times New Roman"/>
          <w:sz w:val="24"/>
          <w:szCs w:val="24"/>
          <w:lang w:val="en-US" w:eastAsia="zh-CN"/>
        </w:rPr>
        <w:t>本项目采用多组织多节点的联盟链拓扑，适配溯源场景的多参与方需求：组织（Organization）：包含 5 个核心组织：Org_Farmer（种植户）、Org_Processor（加工厂）、Org_Logistics（物流商）、Org_Retailer（零售商）、Org_Consumer（消费者）；节点角色：每个组织部署 2 个 Peer 节点（保障高可用）；1 个 Orderer 节点（采用 Raft 共识算法）；1 个 CA 节点（负责身份证书签发与管理）；通道（Channel）：创建专用通道 trace-channel，仅上述 5 个组织可加入，保障数据隐私。</w:t>
      </w:r>
    </w:p>
    <w:p w14:paraId="0399350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b w:val="0"/>
          <w:bCs w:val="0"/>
          <w:kern w:val="2"/>
          <w:sz w:val="24"/>
          <w:szCs w:val="24"/>
          <w:lang w:val="en-US" w:eastAsia="zh-CN" w:bidi="ar-SA"/>
        </w:rPr>
      </w:pPr>
      <w:r>
        <w:rPr>
          <w:rFonts w:hint="eastAsia" w:ascii="Calibri" w:hAnsi="Calibri" w:eastAsia="宋体" w:cs="Times New Roman"/>
          <w:b w:val="0"/>
          <w:bCs w:val="0"/>
          <w:kern w:val="2"/>
          <w:sz w:val="24"/>
          <w:szCs w:val="24"/>
          <w:lang w:val="en-US" w:eastAsia="zh-CN" w:bidi="ar-SA"/>
        </w:rPr>
        <w:t>Fabric网络配置，</w:t>
      </w:r>
      <w:r>
        <w:rPr>
          <w:rFonts w:hint="default" w:ascii="Calibri" w:hAnsi="Calibri" w:eastAsia="宋体" w:cs="Times New Roman"/>
          <w:b w:val="0"/>
          <w:bCs w:val="0"/>
          <w:kern w:val="2"/>
          <w:sz w:val="24"/>
          <w:szCs w:val="24"/>
          <w:lang w:val="en-US" w:eastAsia="zh-CN" w:bidi="ar-SA"/>
        </w:rPr>
        <w:t>加密配置（crypto-config.yaml）定义组织与节点的证书生成规则：</w:t>
      </w:r>
    </w:p>
    <w:p w14:paraId="0B8B25C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PeerOrgs:</w:t>
      </w:r>
    </w:p>
    <w:p w14:paraId="7E97047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Name: Org_Farmer</w:t>
      </w:r>
    </w:p>
    <w:p w14:paraId="1853001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Domain: farmer.example.com</w:t>
      </w:r>
    </w:p>
    <w:p w14:paraId="19009CF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Template:</w:t>
      </w:r>
    </w:p>
    <w:p w14:paraId="2859551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Count: 2  # 每个组织2个Peer节点</w:t>
      </w:r>
    </w:p>
    <w:p w14:paraId="0284436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Users:</w:t>
      </w:r>
    </w:p>
    <w:p w14:paraId="2665578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Count: 5  # 每个组织5个用户</w:t>
      </w:r>
    </w:p>
    <w:p w14:paraId="74D9062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OrdererOrgs:</w:t>
      </w:r>
    </w:p>
    <w:p w14:paraId="0900672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Name: Orderer</w:t>
      </w:r>
    </w:p>
    <w:p w14:paraId="3D0E32C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Domain: orderer.example.com</w:t>
      </w:r>
    </w:p>
    <w:p w14:paraId="1ED61F2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Specs:</w:t>
      </w:r>
    </w:p>
    <w:p w14:paraId="2D95D50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Hostname: orderer</w:t>
      </w:r>
    </w:p>
    <w:p w14:paraId="2B33359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通过 cryptogen generate --config=crypto-config.yaml 生成各节点的 TLS 证书与身份密钥。</w:t>
      </w:r>
    </w:p>
    <w:p w14:paraId="2747D57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通道配置（configtx.yaml）定义通道的创世区块、组织权限、背书策略</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通过 configtxgen 生成通道创世区块与配置交易文件。</w:t>
      </w:r>
    </w:p>
    <w:p w14:paraId="0BB720B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Profiles:</w:t>
      </w:r>
    </w:p>
    <w:p w14:paraId="4D36073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TraceChannelGenesis:</w:t>
      </w:r>
    </w:p>
    <w:p w14:paraId="7FA33D6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Orderer:</w:t>
      </w:r>
    </w:p>
    <w:p w14:paraId="77FECFD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OrdererType: raft</w:t>
      </w:r>
    </w:p>
    <w:p w14:paraId="017FEB0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Addresses:</w:t>
      </w:r>
    </w:p>
    <w:p w14:paraId="15BDFB2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orderer.orderer.example.com:7050</w:t>
      </w:r>
    </w:p>
    <w:p w14:paraId="6C3D07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Application:</w:t>
      </w:r>
    </w:p>
    <w:p w14:paraId="3B49AAB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Organizations:</w:t>
      </w:r>
    </w:p>
    <w:p w14:paraId="4AA71D4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&amp;Org_Farmer</w:t>
      </w:r>
    </w:p>
    <w:p w14:paraId="66877EC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Name: Org_Farmer</w:t>
      </w:r>
    </w:p>
    <w:p w14:paraId="1BBB035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ID: Org_FarmerMSP</w:t>
      </w:r>
    </w:p>
    <w:p w14:paraId="45D8665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MSPDir: crypto-config/peerOrganizations/farmer.example.com/msp</w:t>
      </w:r>
    </w:p>
    <w:p w14:paraId="177C5C2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其他组织配置...</w:t>
      </w:r>
    </w:p>
    <w:p w14:paraId="32BF7C0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Policies:</w:t>
      </w:r>
    </w:p>
    <w:p w14:paraId="29DD210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Readers:</w:t>
      </w:r>
    </w:p>
    <w:p w14:paraId="4A41C2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Type: ImplicitMeta</w:t>
      </w:r>
    </w:p>
    <w:p w14:paraId="33215FD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Rule: "ANY Readers"</w:t>
      </w:r>
    </w:p>
    <w:p w14:paraId="61D6B9F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Writers:</w:t>
      </w:r>
    </w:p>
    <w:p w14:paraId="64C65B7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Type: ImplicitMeta</w:t>
      </w:r>
    </w:p>
    <w:p w14:paraId="4016DA0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Rule: "ANY Writers"</w:t>
      </w:r>
    </w:p>
    <w:p w14:paraId="25190C5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Admins:</w:t>
      </w:r>
    </w:p>
    <w:p w14:paraId="7315D6D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Type: ImplicitMeta</w:t>
      </w:r>
    </w:p>
    <w:p w14:paraId="0E8E6D5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Rule: "MAJORITY Admins"</w:t>
      </w:r>
    </w:p>
    <w:p w14:paraId="48D383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链码功能定位</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链码是 Fabric 网络的业务逻辑载体，本项目链码采用 Java 开发，通过 fabric-chaincode-shim 库与 Peer 节点交互，实现以下核心功能：商品信息上链（各环节数据写入账本）；商品全流程追溯（查询链上所有环节数据）；数据权限校验（仅对应角色可写入对应环节数据）；交易记录查询（获取某商品的所有上链交易）。</w:t>
      </w:r>
    </w:p>
    <w:p w14:paraId="2C8A001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链码核心代码结构</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链码类需继承 ChaincodeBase，并重写 init（初始化）与 invoke（交易处理）方法</w:t>
      </w:r>
      <w:r>
        <w:rPr>
          <w:rFonts w:hint="eastAsia" w:ascii="Calibri" w:hAnsi="Calibri" w:eastAsia="宋体" w:cs="Times New Roman"/>
          <w:kern w:val="2"/>
          <w:sz w:val="24"/>
          <w:szCs w:val="24"/>
          <w:lang w:val="en-US" w:eastAsia="zh-CN" w:bidi="ar-SA"/>
        </w:rPr>
        <w:t>。</w:t>
      </w:r>
    </w:p>
    <w:p w14:paraId="4223D6B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org.hyperledger.fabric.shim.ChaincodeBase;</w:t>
      </w:r>
    </w:p>
    <w:p w14:paraId="41B979E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org.hyperledger.fabric.shim.ChaincodeStub;</w:t>
      </w:r>
    </w:p>
    <w:p w14:paraId="44AA026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org.hyperledger.fabric.shim.ResponseUtils;</w:t>
      </w:r>
    </w:p>
    <w:p w14:paraId="1865DE3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com.google.gson.Gson;</w:t>
      </w:r>
    </w:p>
    <w:p w14:paraId="294CD64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java.util.List;</w:t>
      </w:r>
    </w:p>
    <w:p w14:paraId="17C58F0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23EA52D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public class TraceChaincode extends ChaincodeBase {</w:t>
      </w:r>
    </w:p>
    <w:p w14:paraId="2091F45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Gson 用于 JSON 序列化/反序列化</w:t>
      </w:r>
    </w:p>
    <w:p w14:paraId="283FF54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final Gson gson = new Gson();</w:t>
      </w:r>
    </w:p>
    <w:p w14:paraId="0E7F845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195154E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初始化链码（仅在部署时执行）</w:t>
      </w:r>
    </w:p>
    <w:p w14:paraId="4B3F286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@Override</w:t>
      </w:r>
    </w:p>
    <w:p w14:paraId="370685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Response init(ChaincodeStub stub) {</w:t>
      </w:r>
    </w:p>
    <w:p w14:paraId="2F6CCB8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ResponseUtils.newSuccessResponse("TraceChaincode 初始化完成");</w:t>
      </w:r>
    </w:p>
    <w:p w14:paraId="3146A77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0B494A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68A92D1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处理交易请求</w:t>
      </w:r>
    </w:p>
    <w:p w14:paraId="3A3E529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@Override</w:t>
      </w:r>
    </w:p>
    <w:p w14:paraId="0C408B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Response invoke(ChaincodeStub stub) {</w:t>
      </w:r>
    </w:p>
    <w:p w14:paraId="77ACBF8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func = stub.getFunction();</w:t>
      </w:r>
    </w:p>
    <w:p w14:paraId="0B2294B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List&lt;String&gt; args = stub.getParameters();</w:t>
      </w:r>
    </w:p>
    <w:p w14:paraId="63F1018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2155D1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根据函数名路由业务逻辑</w:t>
      </w:r>
    </w:p>
    <w:p w14:paraId="7D1B520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switch (func) {</w:t>
      </w:r>
    </w:p>
    <w:p w14:paraId="42C758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case "uploadTraceData":</w:t>
      </w:r>
    </w:p>
    <w:p w14:paraId="176775C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uploadTraceData(stub, args);</w:t>
      </w:r>
    </w:p>
    <w:p w14:paraId="3F91722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case "queryTraceData":</w:t>
      </w:r>
    </w:p>
    <w:p w14:paraId="6957E2B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queryTraceData(stub, args);</w:t>
      </w:r>
    </w:p>
    <w:p w14:paraId="573C49D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case "queryTransactionHistory":</w:t>
      </w:r>
    </w:p>
    <w:p w14:paraId="651C01F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queryTransactionHistory(stub, args);</w:t>
      </w:r>
    </w:p>
    <w:p w14:paraId="0FA1946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default:</w:t>
      </w:r>
    </w:p>
    <w:p w14:paraId="3660930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ResponseUtils.newErrorResponse("不支持的函数：" + func);</w:t>
      </w:r>
    </w:p>
    <w:p w14:paraId="46BE75D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C0E204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24BAD1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546C7D2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1. 溯源数据上链</w:t>
      </w:r>
    </w:p>
    <w:p w14:paraId="5E48ED9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Response uploadTraceData(ChaincodeStub stub, List&lt;String&gt; args) {</w:t>
      </w:r>
    </w:p>
    <w:p w14:paraId="2826E97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参数校验：args = [商品ID, 环节类型, 数据内容, 操作角色]</w:t>
      </w:r>
    </w:p>
    <w:p w14:paraId="6DABC2D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(args.size() != 4) {</w:t>
      </w:r>
    </w:p>
    <w:p w14:paraId="7A5AC29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ResponseUtils.newErrorResponse("参数错误，需传入[商品ID,环节类型,数据内容,操作角色]");</w:t>
      </w:r>
    </w:p>
    <w:p w14:paraId="324915E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3381782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goodsId = args.get(0);</w:t>
      </w:r>
    </w:p>
    <w:p w14:paraId="11033A5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stage = args.get(1);</w:t>
      </w:r>
    </w:p>
    <w:p w14:paraId="193CB48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data = args.get(2);</w:t>
      </w:r>
    </w:p>
    <w:p w14:paraId="7931DFB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role = args.get(3);</w:t>
      </w:r>
    </w:p>
    <w:p w14:paraId="3C20C10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3362F3F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权限校验：仅对应角色可写入对应环节（如种植户仅能写"种植"环节）</w:t>
      </w:r>
    </w:p>
    <w:p w14:paraId="6CF2BE5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(!checkRolePermission(stage, role)) {</w:t>
      </w:r>
    </w:p>
    <w:p w14:paraId="24D6604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ResponseUtils.newErrorResponse("角色" + role + "无权限操作环节" + stage);</w:t>
      </w:r>
    </w:p>
    <w:p w14:paraId="7E68456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7ADE43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30E484E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构造键：goodsId-stage（如 "apple-001-种植"）</w:t>
      </w:r>
    </w:p>
    <w:p w14:paraId="75379F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key = goodsId + "-" + stage;</w:t>
      </w:r>
    </w:p>
    <w:p w14:paraId="6659DFD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写入账本</w:t>
      </w:r>
    </w:p>
    <w:p w14:paraId="31766F8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stub.putStringState(key, data);</w:t>
      </w:r>
    </w:p>
    <w:p w14:paraId="7F9CBDB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F58C75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ResponseUtils.newSuccessResponse("数据上链成功，键：" + key);</w:t>
      </w:r>
    </w:p>
    <w:p w14:paraId="0935AD8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0B2225A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5C90B2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2. 查询商品全流程溯源数据</w:t>
      </w:r>
    </w:p>
    <w:p w14:paraId="3C97620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Response queryTraceData(ChaincodeStub stub, List&lt;String&gt; args) {</w:t>
      </w:r>
    </w:p>
    <w:p w14:paraId="561996D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(args.size() != 1) {</w:t>
      </w:r>
    </w:p>
    <w:p w14:paraId="0299687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ResponseUtils.newErrorResponse("参数错误，需传入商品ID");</w:t>
      </w:r>
    </w:p>
    <w:p w14:paraId="5965A60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74F24A5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goodsId = args.get(0);</w:t>
      </w:r>
    </w:p>
    <w:p w14:paraId="6077BFC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BE8FBF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范围查询：匹配 "goodsId-*" 的所有键</w:t>
      </w:r>
    </w:p>
    <w:p w14:paraId="3757DD1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startKey = goodsId + "-";</w:t>
      </w:r>
    </w:p>
    <w:p w14:paraId="43F5AFC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endKey = goodsId + "-z";</w:t>
      </w:r>
    </w:p>
    <w:p w14:paraId="3160DDF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List&lt;String&gt; keys = stub.getStateByRange(startKey, endKey);</w:t>
      </w:r>
    </w:p>
    <w:p w14:paraId="16516F7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F00F65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组装所有环节数据</w:t>
      </w:r>
    </w:p>
    <w:p w14:paraId="61951A2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StringBuilder result = new StringBuilder();</w:t>
      </w:r>
    </w:p>
    <w:p w14:paraId="62E77F1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for (String key : keys) {</w:t>
      </w:r>
    </w:p>
    <w:p w14:paraId="387BD99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data = stub.getStringState(key);</w:t>
      </w:r>
    </w:p>
    <w:p w14:paraId="434DF37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result.append(key).append(":").append(data).append(";");</w:t>
      </w:r>
    </w:p>
    <w:p w14:paraId="6F8E934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701D694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5BC19D2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ResponseUtils.newSuccessResponse(result.toString());</w:t>
      </w:r>
    </w:p>
    <w:p w14:paraId="7DA8922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3463CB0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170D30C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3. 查询商品交易历史</w:t>
      </w:r>
    </w:p>
    <w:p w14:paraId="5717CBD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Response queryTransactionHistory(ChaincodeStub stub, List&lt;String&gt; args) {</w:t>
      </w:r>
    </w:p>
    <w:p w14:paraId="058C88C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(args.size() != 1) {</w:t>
      </w:r>
    </w:p>
    <w:p w14:paraId="52575C2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ResponseUtils.newErrorResponse("参数错误，需传入商品ID");</w:t>
      </w:r>
    </w:p>
    <w:p w14:paraId="66D9387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0A8B44E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goodsId = args.get(0);</w:t>
      </w:r>
    </w:p>
    <w:p w14:paraId="3B146EB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获取商品所有键的交易历史</w:t>
      </w:r>
    </w:p>
    <w:p w14:paraId="760D98A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startKey = goodsId + "-";</w:t>
      </w:r>
    </w:p>
    <w:p w14:paraId="3AACD93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endKey = goodsId + "-z";</w:t>
      </w:r>
    </w:p>
    <w:p w14:paraId="7942C54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List&lt;String&gt; keys = stub.getStateByRange(startKey, endKey);</w:t>
      </w:r>
    </w:p>
    <w:p w14:paraId="0A881E8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StringBuilder history = new StringBuilder();</w:t>
      </w:r>
    </w:p>
    <w:p w14:paraId="30FCE8B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for (String key : keys) {</w:t>
      </w:r>
    </w:p>
    <w:p w14:paraId="384F552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List&lt;KeyValue&gt; historyList = stub.getHistoryForKey(key);</w:t>
      </w:r>
    </w:p>
    <w:p w14:paraId="44C5671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for (KeyValue kv : historyList) {</w:t>
      </w:r>
    </w:p>
    <w:p w14:paraId="47ACC71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history.append("键：").append(key)</w:t>
      </w:r>
    </w:p>
    <w:p w14:paraId="5C434D4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.append("，交易ID：").append(kv.getTxId())</w:t>
      </w:r>
    </w:p>
    <w:p w14:paraId="5FF2FD2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.append("，数据：").append(kv.getStringValue())</w:t>
      </w:r>
    </w:p>
    <w:p w14:paraId="0A60CA1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.append("；");</w:t>
      </w:r>
    </w:p>
    <w:p w14:paraId="19EFEF6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1AE43EA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7C46228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ResponseUtils.newSuccessResponse(history.toString());</w:t>
      </w:r>
    </w:p>
    <w:p w14:paraId="4860238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A8E95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47EF58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角色-环节权限校验</w:t>
      </w:r>
    </w:p>
    <w:p w14:paraId="11AD94C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boolean checkRolePermission(String stage, String role) {</w:t>
      </w:r>
    </w:p>
    <w:p w14:paraId="359570E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种植环节：仅种植户</w:t>
      </w:r>
    </w:p>
    <w:p w14:paraId="4C7A8B1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("种植".equals(stage) &amp;&amp; "farmer".equals(role)) return true;</w:t>
      </w:r>
    </w:p>
    <w:p w14:paraId="001D49B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加工环节：仅加工厂</w:t>
      </w:r>
    </w:p>
    <w:p w14:paraId="1BDD8A3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("加工".equals(stage) &amp;&amp; "processor".equals(role)) return true;</w:t>
      </w:r>
    </w:p>
    <w:p w14:paraId="61568A8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物流环节：仅物流商</w:t>
      </w:r>
    </w:p>
    <w:p w14:paraId="28E74DF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("物流".equals(stage) &amp;&amp; "logistics".equals(role)) return true;</w:t>
      </w:r>
    </w:p>
    <w:p w14:paraId="676CA9E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销售环节：仅零售商</w:t>
      </w:r>
    </w:p>
    <w:p w14:paraId="29C930F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("销售".equals(stage) &amp;&amp; "retailer".equals(role)) return true;</w:t>
      </w:r>
    </w:p>
    <w:p w14:paraId="1118170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消费者仅能查询，无写入权限</w:t>
      </w:r>
    </w:p>
    <w:p w14:paraId="661E479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false;</w:t>
      </w:r>
    </w:p>
    <w:p w14:paraId="4C706C9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CF76E7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A1083E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启动链码</w:t>
      </w:r>
    </w:p>
    <w:p w14:paraId="25CF700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static void main(String[] args) {</w:t>
      </w:r>
    </w:p>
    <w:p w14:paraId="7E40284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new TraceChaincode().start(args);</w:t>
      </w:r>
    </w:p>
    <w:p w14:paraId="7EE562C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38732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726E341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链码部署流程</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打包链码：将 Java 链码编译为 JAR 包，通过 peer lifecycle chaincode package 打包为链码包：</w:t>
      </w:r>
    </w:p>
    <w:p w14:paraId="53652F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 lifecycle chaincode package tracecc.tar.gz \</w:t>
      </w:r>
    </w:p>
    <w:p w14:paraId="2F4F045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--path ./trace-chaincode/target/trace-chaincode-1.0.jar \</w:t>
      </w:r>
    </w:p>
    <w:p w14:paraId="68C2543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--lang java \</w:t>
      </w:r>
    </w:p>
    <w:p w14:paraId="0435026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--label tracecc_1.0</w:t>
      </w:r>
    </w:p>
    <w:p w14:paraId="4DFBC98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安装链码：在所有 Peer 节点安装链码包：</w:t>
      </w:r>
    </w:p>
    <w:p w14:paraId="64BF5AF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 lifecycle chaincode install tracecc.tar.gz</w:t>
      </w:r>
    </w:p>
    <w:p w14:paraId="1CAEEBC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审批链码：各组织审批链码定义：</w:t>
      </w:r>
    </w:p>
    <w:p w14:paraId="3337216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 lifecycle chaincode approveformyorg \</w:t>
      </w:r>
    </w:p>
    <w:p w14:paraId="5AF564B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--channelID trace-channel \</w:t>
      </w:r>
    </w:p>
    <w:p w14:paraId="62AA232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--name tracecc \</w:t>
      </w:r>
    </w:p>
    <w:p w14:paraId="0F08860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--version 1.0 \</w:t>
      </w:r>
    </w:p>
    <w:p w14:paraId="45D6025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--package-id [包ID] \</w:t>
      </w:r>
    </w:p>
    <w:p w14:paraId="6010FD8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--sequence 1</w:t>
      </w:r>
    </w:p>
    <w:p w14:paraId="5705DFC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提交链码：当多数组织审批通过后，提交链码到通道：</w:t>
      </w:r>
    </w:p>
    <w:p w14:paraId="27DF5A5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 lifecycle chaincode commit \</w:t>
      </w:r>
    </w:p>
    <w:p w14:paraId="2C3397D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--channelID trace-channel \</w:t>
      </w:r>
    </w:p>
    <w:p w14:paraId="245D55C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--name tracecc \</w:t>
      </w:r>
    </w:p>
    <w:p w14:paraId="4661909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--version 1.0 \</w:t>
      </w:r>
    </w:p>
    <w:p w14:paraId="09E52B7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--sequence 1 \</w:t>
      </w:r>
    </w:p>
    <w:p w14:paraId="41F1746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--peerAddresses peer0.farmer.example.com:7051 \</w:t>
      </w:r>
    </w:p>
    <w:p w14:paraId="3F60AF3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--tlsRootCertFiles ./crypto-config/peerOrganizations/farmer.example.com/peers/peer0.farmer.example.com/tls/ca.crt</w:t>
      </w:r>
    </w:p>
    <w:p w14:paraId="71D6480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用户与角色管理模块</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实现用户注册、登录、角色分配，支持 5 种角色（种植户/加工厂/物流商/零售商/消费者）的权限隔离。</w:t>
      </w:r>
    </w:p>
    <w:p w14:paraId="5169CDB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数据库表设计：</w:t>
      </w:r>
    </w:p>
    <w:p w14:paraId="484F1F4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用户表</w:t>
      </w:r>
    </w:p>
    <w:p w14:paraId="2CD952E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CREATE TABLE `user` (</w:t>
      </w:r>
    </w:p>
    <w:p w14:paraId="2675607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`id` bigint NOT NULL AUTO_INCREMENT,</w:t>
      </w:r>
    </w:p>
    <w:p w14:paraId="51DD5A5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`username` varchar(50) NOT NULL COMMENT '用户名',</w:t>
      </w:r>
    </w:p>
    <w:p w14:paraId="677033F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`password` varchar(100) NOT NULL COMMENT '加密密码',</w:t>
      </w:r>
    </w:p>
    <w:p w14:paraId="6E65F61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`role` varchar(20) NOT NULL COMMENT '角色：farmer/processor/logistics/retailer/consumer',</w:t>
      </w:r>
    </w:p>
    <w:p w14:paraId="071D2F6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`org` varchar(50) NOT NULL COMMENT '所属组织',</w:t>
      </w:r>
    </w:p>
    <w:p w14:paraId="177A124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PRIMARY KEY (`id`),</w:t>
      </w:r>
    </w:p>
    <w:p w14:paraId="42D285E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UNIQUE KEY `username` (`username`)</w:t>
      </w:r>
    </w:p>
    <w:p w14:paraId="11D8EEA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ENGINE=InnoDB DEFAULT CHARSET=utf8mb4;</w:t>
      </w:r>
    </w:p>
    <w:p w14:paraId="6E3BA09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核心代码（Service层）：</w:t>
      </w:r>
    </w:p>
    <w:p w14:paraId="5A863EF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@Service</w:t>
      </w:r>
    </w:p>
    <w:p w14:paraId="7BB6682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class UserServiceImpl implements UserService {</w:t>
      </w:r>
    </w:p>
    <w:p w14:paraId="63E4A35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383585E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UserMapper userMapper;</w:t>
      </w:r>
    </w:p>
    <w:p w14:paraId="0594F29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3C5E03B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PasswordEncoder passwordEncoder;</w:t>
      </w:r>
    </w:p>
    <w:p w14:paraId="0D6B733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7A706A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@Override</w:t>
      </w:r>
    </w:p>
    <w:p w14:paraId="7952C5A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User login(String username, String password) {</w:t>
      </w:r>
    </w:p>
    <w:p w14:paraId="52D2C53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 user = userMapper.selectByUsername(username);</w:t>
      </w:r>
    </w:p>
    <w:p w14:paraId="26C2FD8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(user == null || !passwordEncoder.matches(password, user.getPassword())) {</w:t>
      </w:r>
    </w:p>
    <w:p w14:paraId="139521C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throw new BusinessException("用户名或密码错误");</w:t>
      </w:r>
    </w:p>
    <w:p w14:paraId="0C17DBF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768973A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user;</w:t>
      </w:r>
    </w:p>
    <w:p w14:paraId="4FAB19A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AD3F4B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622E02C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@Override</w:t>
      </w:r>
    </w:p>
    <w:p w14:paraId="4D8B1B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void register(User user) {</w:t>
      </w:r>
    </w:p>
    <w:p w14:paraId="1E8C746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(userMapper.selectByUsername(user.getUsername()) != null) {</w:t>
      </w:r>
    </w:p>
    <w:p w14:paraId="49F719E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throw new BusinessException("用户名已存在");</w:t>
      </w:r>
    </w:p>
    <w:p w14:paraId="0998307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5CFBD4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密码加密</w:t>
      </w:r>
    </w:p>
    <w:p w14:paraId="4C0F6A9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user.setPassword(passwordEncoder.encode(user.getPassword()));</w:t>
      </w:r>
    </w:p>
    <w:p w14:paraId="323F0E8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userMapper.insert(user);</w:t>
      </w:r>
    </w:p>
    <w:p w14:paraId="003D6FC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BDE3E9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18B909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Fabric SDK 集成模块</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通过 Fabric Gateway Java SDK 实现与区块链网络的交互，封装链码调用、交易提交等操作。</w:t>
      </w:r>
    </w:p>
    <w:p w14:paraId="302CDFC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Gateway 初始化配置：</w:t>
      </w:r>
    </w:p>
    <w:p w14:paraId="4ED7EFE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@Configuration</w:t>
      </w:r>
    </w:p>
    <w:p w14:paraId="78EF33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class FabricConfig {</w:t>
      </w:r>
    </w:p>
    <w:p w14:paraId="7065916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加载连接配置（从文件或配置中心读取）</w:t>
      </w:r>
    </w:p>
    <w:p w14:paraId="67622CF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@Bean</w:t>
      </w:r>
    </w:p>
    <w:p w14:paraId="54E513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Gateway.Builder gatewayBuilder() throws IOException {</w:t>
      </w:r>
    </w:p>
    <w:p w14:paraId="0B03C53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证书路径配置</w:t>
      </w:r>
    </w:p>
    <w:p w14:paraId="220D9C0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Path walletPath = Paths.get("src/main/resources/wallet");</w:t>
      </w:r>
    </w:p>
    <w:p w14:paraId="0B94074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Path networkConfigPath = Paths.get("src/main/resources/connection-org1.yaml");</w:t>
      </w:r>
    </w:p>
    <w:p w14:paraId="18EFE6A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2AA078F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加载钱包（包含用户身份证书）</w:t>
      </w:r>
    </w:p>
    <w:p w14:paraId="04C0C16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Wallet wallet = Wallets.newFileSystemWallet(walletPath);</w:t>
      </w:r>
    </w:p>
    <w:p w14:paraId="63CB4E4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加载网络配置</w:t>
      </w:r>
    </w:p>
    <w:p w14:paraId="4F75627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Gateway.Builder builder = Gateway.createBuilder()</w:t>
      </w:r>
    </w:p>
    <w:p w14:paraId="66E08B0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.identity(wallet, "appUser")</w:t>
      </w:r>
    </w:p>
    <w:p w14:paraId="589272D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.networkConfig(networkConfigPath)</w:t>
      </w:r>
    </w:p>
    <w:p w14:paraId="1806367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.discovery(true);</w:t>
      </w:r>
    </w:p>
    <w:p w14:paraId="6DCA445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builder;</w:t>
      </w:r>
    </w:p>
    <w:p w14:paraId="4923B35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C762B5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A59B2C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通道与链码客户端</w:t>
      </w:r>
    </w:p>
    <w:p w14:paraId="5C39AB5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@Bean</w:t>
      </w:r>
    </w:p>
    <w:p w14:paraId="11EAF36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Contract contract(Gateway.Builder builder) throws Exception {</w:t>
      </w:r>
    </w:p>
    <w:p w14:paraId="5F76615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(Gateway gateway = builder.connect()) {</w:t>
      </w:r>
    </w:p>
    <w:p w14:paraId="22A5AA9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获取通道</w:t>
      </w:r>
    </w:p>
    <w:p w14:paraId="5BE5D75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 network = gateway.getNetwork("trace-channel");</w:t>
      </w:r>
    </w:p>
    <w:p w14:paraId="0B8AE66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获取链码合约</w:t>
      </w:r>
    </w:p>
    <w:p w14:paraId="0B2BDE4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network.getContract("tracecc");</w:t>
      </w:r>
    </w:p>
    <w:p w14:paraId="115C5ED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A5CC48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0DBBA27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7B79AB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链码调用封装：</w:t>
      </w:r>
    </w:p>
    <w:p w14:paraId="21A5E84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@Service</w:t>
      </w:r>
    </w:p>
    <w:p w14:paraId="43B655A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class FabricService {</w:t>
      </w:r>
    </w:p>
    <w:p w14:paraId="5D517D5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0D10BDD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Contract contract;</w:t>
      </w:r>
    </w:p>
    <w:p w14:paraId="7836122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1C3EE9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调用链码上传溯源数据</w:t>
      </w:r>
    </w:p>
    <w:p w14:paraId="798481F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String uploadTraceData(String goodsId, String stage, String data, String role) throws Exception {</w:t>
      </w:r>
    </w:p>
    <w:p w14:paraId="11A9230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调用链码函数，传入参数</w:t>
      </w:r>
    </w:p>
    <w:p w14:paraId="653FB70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byte[] result = contract.createTransaction("uploadTraceData")</w:t>
      </w:r>
    </w:p>
    <w:p w14:paraId="06FB6A9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.submit(goodsId, stage, data, role);</w:t>
      </w:r>
    </w:p>
    <w:p w14:paraId="36358C7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new String(result, StandardCharsets.UTF_8);</w:t>
      </w:r>
    </w:p>
    <w:p w14:paraId="1046256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1E96350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17D4C65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调用链码查询溯源数据</w:t>
      </w:r>
    </w:p>
    <w:p w14:paraId="6E8A0DD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String queryTraceData(String goodsId) throws Exception {</w:t>
      </w:r>
    </w:p>
    <w:p w14:paraId="7685EBB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byte[] result = contract.evaluateTransaction("queryTraceData", goodsId);</w:t>
      </w:r>
    </w:p>
    <w:p w14:paraId="3F2263E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new String(result, StandardCharsets.UTF_8);</w:t>
      </w:r>
    </w:p>
    <w:p w14:paraId="699C06C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3F2B25D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C8805C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溯源数据接口模块</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提供 RESTful API 供前端调用，实现数据上链、查询等操作。</w:t>
      </w:r>
    </w:p>
    <w:p w14:paraId="0A7994C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核心接口（Controller层）：</w:t>
      </w:r>
    </w:p>
    <w:p w14:paraId="33F5167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@RestController</w:t>
      </w:r>
    </w:p>
    <w:p w14:paraId="56A5902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@RequestMapping("/trace")</w:t>
      </w:r>
    </w:p>
    <w:p w14:paraId="5625213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class TraceController {</w:t>
      </w:r>
    </w:p>
    <w:p w14:paraId="4AD39F0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64E4D0D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FabricService fabricService;</w:t>
      </w:r>
    </w:p>
    <w:p w14:paraId="0D32263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74E7F52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UserService userService;</w:t>
      </w:r>
    </w:p>
    <w:p w14:paraId="7F1E141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@Autowired</w:t>
      </w:r>
    </w:p>
    <w:p w14:paraId="2592C44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private HttpServletRequest request;</w:t>
      </w:r>
    </w:p>
    <w:p w14:paraId="54CB7D0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50F5F07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数据上链接口</w:t>
      </w:r>
    </w:p>
    <w:p w14:paraId="135DF45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@PostMapping("/upload")</w:t>
      </w:r>
    </w:p>
    <w:p w14:paraId="5734156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Result uploadTraceData(@RequestBody TraceDataDTO dto) {</w:t>
      </w:r>
    </w:p>
    <w:p w14:paraId="5AD6053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获取当前登录用户角色</w:t>
      </w:r>
    </w:p>
    <w:p w14:paraId="05A01FB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username = (String) request.getSession().getAttribute("username");</w:t>
      </w:r>
    </w:p>
    <w:p w14:paraId="7118E68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 user = userService.selectByUsername(username);</w:t>
      </w:r>
    </w:p>
    <w:p w14:paraId="2F61712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role = user.getRole();</w:t>
      </w:r>
    </w:p>
    <w:p w14:paraId="565B424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E96EDA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w:t>
      </w:r>
    </w:p>
    <w:p w14:paraId="084136F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调用Fabric服务上传数据</w:t>
      </w:r>
    </w:p>
    <w:p w14:paraId="09764DB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result = fabricService.uploadTraceData(</w:t>
      </w:r>
    </w:p>
    <w:p w14:paraId="5D662D2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dto.getGoodsId(),</w:t>
      </w:r>
    </w:p>
    <w:p w14:paraId="0226AEA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dto.getStage(),</w:t>
      </w:r>
    </w:p>
    <w:p w14:paraId="5594645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dto.getData(),</w:t>
      </w:r>
    </w:p>
    <w:p w14:paraId="366FD72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role</w:t>
      </w:r>
    </w:p>
    <w:p w14:paraId="2C9038B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331A9A6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Result.success(result);</w:t>
      </w:r>
    </w:p>
    <w:p w14:paraId="6BF7954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catch (Exception e) {</w:t>
      </w:r>
    </w:p>
    <w:p w14:paraId="5D50BB1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Result.error(e.getMessage());</w:t>
      </w:r>
    </w:p>
    <w:p w14:paraId="1775B96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0A2D915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764D6B5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DE66DD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溯源查询接口</w:t>
      </w:r>
    </w:p>
    <w:p w14:paraId="18F3350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@GetMapping("/query")</w:t>
      </w:r>
    </w:p>
    <w:p w14:paraId="44B9409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public Result queryTraceData(@RequestParam String goodsId) {</w:t>
      </w:r>
    </w:p>
    <w:p w14:paraId="5559668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w:t>
      </w:r>
    </w:p>
    <w:p w14:paraId="4BE381F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String result = fabricService.queryTraceData(goodsId);</w:t>
      </w:r>
    </w:p>
    <w:p w14:paraId="698EB0F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Result.success(result);</w:t>
      </w:r>
    </w:p>
    <w:p w14:paraId="7259D50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catch (Exception e) {</w:t>
      </w:r>
    </w:p>
    <w:p w14:paraId="48F917D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Result.error(e.getMessage());</w:t>
      </w:r>
    </w:p>
    <w:p w14:paraId="786A30B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9DB607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7D21EC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AF5F58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Calibri" w:hAnsi="Calibri" w:eastAsia="宋体" w:cs="Times New Roman"/>
        </w:rPr>
      </w:pPr>
      <w:r>
        <w:rPr>
          <w:rFonts w:hint="default" w:ascii="Calibri" w:hAnsi="Calibri" w:eastAsia="宋体" w:cs="Times New Roman"/>
          <w:kern w:val="2"/>
          <w:sz w:val="24"/>
          <w:szCs w:val="24"/>
          <w:lang w:val="en-US" w:eastAsia="zh-CN" w:bidi="ar-SA"/>
        </w:rPr>
        <w:t>前端基于 Vue.js 3.x + Element Plus 构建，采用「组件化+路由」设计，核心模块包括：登录/注册组件：实现用户身份认证；角色操作组件：不同角色对应的上链表单（如种植户的「种植信息上链」表单）；溯源查询组件：输入商品ID/扫描二维码，展示链上全流程数据；数据可视化组件：展示链上交易统计、商品溯源分布等</w:t>
      </w:r>
      <w:r>
        <w:rPr>
          <w:rFonts w:hint="eastAsia" w:ascii="Calibri" w:hAnsi="Calibri" w:eastAsia="宋体" w:cs="Times New Roman"/>
          <w:kern w:val="2"/>
          <w:sz w:val="24"/>
          <w:szCs w:val="24"/>
          <w:lang w:val="en-US" w:eastAsia="zh-CN" w:bidi="ar-SA"/>
        </w:rPr>
        <w:t>。</w:t>
      </w:r>
    </w:p>
    <w:p w14:paraId="3C28AF7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登录页面</w:t>
      </w:r>
    </w:p>
    <w:p w14:paraId="3523D7E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719487A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 ref="loginForm" :model="loginForm" label-width="80px" class="login-form"&gt;</w:t>
      </w:r>
    </w:p>
    <w:p w14:paraId="34CE124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 label="用户名" prop="username"&gt;</w:t>
      </w:r>
    </w:p>
    <w:p w14:paraId="0838C66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v-model="loginForm.username" placeholder="请输入用户名"&gt;&lt;/el-input&gt;</w:t>
      </w:r>
    </w:p>
    <w:p w14:paraId="19BF562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4799100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 label="密码" prop="password"&gt;</w:t>
      </w:r>
    </w:p>
    <w:p w14:paraId="315C0B1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v-model="loginForm.password" type="password" placeholder="请输入密码"&gt;&lt;/el-input&gt;</w:t>
      </w:r>
    </w:p>
    <w:p w14:paraId="763CB6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436E801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7054A06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&lt;el-button type="primary" @click="login"&gt;登录&lt;/el-button&gt;</w:t>
      </w:r>
    </w:p>
    <w:p w14:paraId="3DCC0E9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&lt;el-button @click="reset"&gt;重置&lt;/el-button&gt;</w:t>
      </w:r>
    </w:p>
    <w:p w14:paraId="1291D44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61C77DF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&lt;/el-form&gt;</w:t>
      </w:r>
    </w:p>
    <w:p w14:paraId="6FC0963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4624A7B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6130AC4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 setup&gt;</w:t>
      </w:r>
    </w:p>
    <w:p w14:paraId="58F92D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reactive, ref } from 'vue';</w:t>
      </w:r>
    </w:p>
    <w:p w14:paraId="41DE2D7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ElMessage } from 'element-plus';</w:t>
      </w:r>
    </w:p>
    <w:p w14:paraId="1C579C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axios from 'axios';</w:t>
      </w:r>
    </w:p>
    <w:p w14:paraId="6CEA794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361A05F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loginForm = reactive({</w:t>
      </w:r>
    </w:p>
    <w:p w14:paraId="339E49E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username: '',</w:t>
      </w:r>
    </w:p>
    <w:p w14:paraId="65B30FC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password: ''</w:t>
      </w:r>
    </w:p>
    <w:p w14:paraId="5B0C58E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514418D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2CF280F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login = async () =&gt; {</w:t>
      </w:r>
    </w:p>
    <w:p w14:paraId="29A92DB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w:t>
      </w:r>
    </w:p>
    <w:p w14:paraId="4C4A7EB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res = await axios.post('/api/user/login', loginForm);</w:t>
      </w:r>
    </w:p>
    <w:p w14:paraId="2CEED11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(res.data.code === 200) {</w:t>
      </w:r>
    </w:p>
    <w:p w14:paraId="1DD30FE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sessionStorage.setItem('username', loginForm.username);</w:t>
      </w:r>
    </w:p>
    <w:p w14:paraId="48262C9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ElMessage.success('登录成功');</w:t>
      </w:r>
    </w:p>
    <w:p w14:paraId="2AB0A33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跳转到对应角色页面</w:t>
      </w:r>
    </w:p>
    <w:p w14:paraId="2B66AA5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role = res.data.data.role;</w:t>
      </w:r>
    </w:p>
    <w:p w14:paraId="67F1F71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window.location.href = `/${role}/dashboard`;</w:t>
      </w:r>
    </w:p>
    <w:p w14:paraId="01936C2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else {</w:t>
      </w:r>
    </w:p>
    <w:p w14:paraId="2A0068C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ElMessage.error(res.data.msg);</w:t>
      </w:r>
    </w:p>
    <w:p w14:paraId="398FFB3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40FF83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catch (e) {</w:t>
      </w:r>
    </w:p>
    <w:p w14:paraId="79DA919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ElMessage.error('登录失败');</w:t>
      </w:r>
    </w:p>
    <w:p w14:paraId="1A88E08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47F37CC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1C7612B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456F3C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reset = () =&gt; {</w:t>
      </w:r>
    </w:p>
    <w:p w14:paraId="335978A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loginForm.username = '';</w:t>
      </w:r>
    </w:p>
    <w:p w14:paraId="5E40F1A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loginForm.password = '';</w:t>
      </w:r>
    </w:p>
    <w:p w14:paraId="4AB941E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0C046EC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&lt;/script&gt;</w:t>
      </w:r>
    </w:p>
    <w:p w14:paraId="13772A3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种植信息上链页面</w:t>
      </w:r>
    </w:p>
    <w:p w14:paraId="1BA0A4A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40CDE2C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 ref="traceForm" :model="traceForm" label-width="100px" class="trace-form"&gt;</w:t>
      </w:r>
    </w:p>
    <w:p w14:paraId="3275AE5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 label="商品ID" prop="goodsId"&gt;</w:t>
      </w:r>
    </w:p>
    <w:p w14:paraId="6B33881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v-model="traceForm.goodsId" placeholder="请输入商品唯一标识"&gt;&lt;/el-input&gt;</w:t>
      </w:r>
    </w:p>
    <w:p w14:paraId="699E991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00125B0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 label="种植环节" prop="stage"&gt;</w:t>
      </w:r>
    </w:p>
    <w:p w14:paraId="25BF042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v-model="traceForm.stage" disabled value="种植"&gt;&lt;/el-input&gt;</w:t>
      </w:r>
    </w:p>
    <w:p w14:paraId="0F491AC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60F6FAB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 label="种植信息" prop="data"&gt;</w:t>
      </w:r>
    </w:p>
    <w:p w14:paraId="769B078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type="textarea" v-model="traceForm.data" placeholder="如：品种：苹果；种植时间：2025-01-01；产地：山东烟台"&gt;&lt;/el-input&gt;</w:t>
      </w:r>
    </w:p>
    <w:p w14:paraId="20A2E06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423DE2C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525750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&lt;el-button type="primary" @click="upload"&gt;提交上链&lt;/el-button&gt;</w:t>
      </w:r>
    </w:p>
    <w:p w14:paraId="42EDB63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&lt;/el-form-item&gt;</w:t>
      </w:r>
    </w:p>
    <w:p w14:paraId="423C552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&lt;/el-form&gt;</w:t>
      </w:r>
    </w:p>
    <w:p w14:paraId="5785DA5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5DBDC2A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1844FDB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 setup&gt;</w:t>
      </w:r>
    </w:p>
    <w:p w14:paraId="253C44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reactive } from 'vue';</w:t>
      </w:r>
    </w:p>
    <w:p w14:paraId="680AE5D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ElMessage } from 'element-plus';</w:t>
      </w:r>
    </w:p>
    <w:p w14:paraId="26CC437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axios from 'axios';</w:t>
      </w:r>
    </w:p>
    <w:p w14:paraId="2D2FD93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38C037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traceForm = reactive({</w:t>
      </w:r>
    </w:p>
    <w:p w14:paraId="52416C8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goodsId: '',</w:t>
      </w:r>
    </w:p>
    <w:p w14:paraId="13EE4F9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stage: '种植',</w:t>
      </w:r>
    </w:p>
    <w:p w14:paraId="758C191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data: ''</w:t>
      </w:r>
    </w:p>
    <w:p w14:paraId="189B0E5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6731392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0818E0B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upload = async () =&gt; {</w:t>
      </w:r>
    </w:p>
    <w:p w14:paraId="7ED3616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w:t>
      </w:r>
    </w:p>
    <w:p w14:paraId="49AA667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res = await axios.post('/api/trace/upload', traceForm);</w:t>
      </w:r>
    </w:p>
    <w:p w14:paraId="3D7C4BA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(res.data.code === 200) {</w:t>
      </w:r>
    </w:p>
    <w:p w14:paraId="3285DF4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ElMessage.success('数据上链成功');</w:t>
      </w:r>
    </w:p>
    <w:p w14:paraId="72EC336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else {</w:t>
      </w:r>
    </w:p>
    <w:p w14:paraId="059700E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ElMessage.error(res.data.msg);</w:t>
      </w:r>
    </w:p>
    <w:p w14:paraId="148D44B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6354B46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catch (e) {</w:t>
      </w:r>
    </w:p>
    <w:p w14:paraId="739066A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ElMessage.error('上链失败');</w:t>
      </w:r>
    </w:p>
    <w:p w14:paraId="34C8D98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5EEDE32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6707D7D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&lt;/script&gt;</w:t>
      </w:r>
    </w:p>
    <w:p w14:paraId="350D45F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溯源查询页面</w:t>
      </w:r>
    </w:p>
    <w:p w14:paraId="14AB368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0251699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 class="query-container"&gt;</w:t>
      </w:r>
    </w:p>
    <w:p w14:paraId="481196B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&lt;el-input v-model="goodsId" placeholder="请输入商品ID" style="width: 300px; margin-right: 10px;"&gt;&lt;/el-input&gt;</w:t>
      </w:r>
    </w:p>
    <w:p w14:paraId="6CF6462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&lt;el-button type="primary" @click="query"&gt;查询溯源&lt;/el-button&gt;</w:t>
      </w:r>
    </w:p>
    <w:p w14:paraId="0FA9EB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 class="result-box" v-if="result"&gt;</w:t>
      </w:r>
    </w:p>
    <w:p w14:paraId="6676E23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&lt;h3&gt;商品{{ goodsId }}溯源结果&lt;/h3&gt;</w:t>
      </w:r>
    </w:p>
    <w:p w14:paraId="5EC9BCA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&lt;el-divider&gt;&lt;/el-divider&gt;</w:t>
      </w:r>
    </w:p>
    <w:p w14:paraId="170924D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 v-for="(item, index) in resultList" :key="index"&gt;</w:t>
      </w:r>
    </w:p>
    <w:p w14:paraId="132AA27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&lt;p&gt;&lt;strong&gt;{{ item.stage }}环节：&lt;/strong&gt;{{ item.data }}&lt;/p&gt;</w:t>
      </w:r>
    </w:p>
    <w:p w14:paraId="4A41EFA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&lt;/div&gt;</w:t>
      </w:r>
    </w:p>
    <w:p w14:paraId="16F1041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&lt;/div&gt;</w:t>
      </w:r>
    </w:p>
    <w:p w14:paraId="25C3F33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&lt;/div&gt;</w:t>
      </w:r>
    </w:p>
    <w:p w14:paraId="42D6648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&lt;/template&gt;</w:t>
      </w:r>
    </w:p>
    <w:p w14:paraId="6C6EAD1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6F43DE6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 setup&gt;</w:t>
      </w:r>
    </w:p>
    <w:p w14:paraId="15AD89D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ref, computed } from 'vue';</w:t>
      </w:r>
    </w:p>
    <w:p w14:paraId="38FBDA8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 ElMessage } from 'element-plus';</w:t>
      </w:r>
    </w:p>
    <w:p w14:paraId="7DF54CF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import axios from 'axios';</w:t>
      </w:r>
    </w:p>
    <w:p w14:paraId="245F2A6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C1937E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goodsId = ref('');</w:t>
      </w:r>
    </w:p>
    <w:p w14:paraId="0D1D0AE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result = ref('');</w:t>
      </w:r>
    </w:p>
    <w:p w14:paraId="439EE64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resultList = computed(() =&gt; {</w:t>
      </w:r>
    </w:p>
    <w:p w14:paraId="302EEE3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(!result.value) return [];</w:t>
      </w:r>
    </w:p>
    <w:p w14:paraId="3E6E166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解析链上返回的"goodsId-stage:data"格式数据</w:t>
      </w:r>
    </w:p>
    <w:p w14:paraId="6D80676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result.value.split(';').map(item =&gt; {</w:t>
      </w:r>
    </w:p>
    <w:p w14:paraId="3F4FEF1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(!item) return null;</w:t>
      </w:r>
    </w:p>
    <w:p w14:paraId="29C08F7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[key, data] = item.split(':');</w:t>
      </w:r>
    </w:p>
    <w:p w14:paraId="3E01FF9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[gid, stage] = key.split('-');</w:t>
      </w:r>
    </w:p>
    <w:p w14:paraId="38E5B31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 { stage, data };</w:t>
      </w:r>
    </w:p>
    <w:p w14:paraId="40EC646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}).filter(Boolean);</w:t>
      </w:r>
    </w:p>
    <w:p w14:paraId="447472B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6188090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F1E860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const query = async () =&gt; {</w:t>
      </w:r>
    </w:p>
    <w:p w14:paraId="760AB2E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(!goodsId.value) {</w:t>
      </w:r>
    </w:p>
    <w:p w14:paraId="1176C79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ElMessage.warning('请输入商品ID');</w:t>
      </w:r>
    </w:p>
    <w:p w14:paraId="4FF0BDF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return;</w:t>
      </w:r>
    </w:p>
    <w:p w14:paraId="1DD89C4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3ED0FF9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try {</w:t>
      </w:r>
    </w:p>
    <w:p w14:paraId="3DD2F53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const res = await axios.get('/api/trace/query', { params: { goodsId: goodsId.value } });</w:t>
      </w:r>
    </w:p>
    <w:p w14:paraId="62F1C83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if (res.data.code === 200) {</w:t>
      </w:r>
    </w:p>
    <w:p w14:paraId="03C8CFD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result.value = res.data.data;</w:t>
      </w:r>
    </w:p>
    <w:p w14:paraId="18B0F5D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else {</w:t>
      </w:r>
    </w:p>
    <w:p w14:paraId="57CBBE1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ElMessage.error(res.data.msg);</w:t>
      </w:r>
    </w:p>
    <w:p w14:paraId="0367C11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0BF4CAC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catch (e) {</w:t>
      </w:r>
    </w:p>
    <w:p w14:paraId="1A2CCD6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ElMessage.error('查询失败');</w:t>
      </w:r>
    </w:p>
    <w:p w14:paraId="27A0C72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w:t>
      </w:r>
    </w:p>
    <w:p w14:paraId="24F4139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w:t>
      </w:r>
    </w:p>
    <w:p w14:paraId="1F43CDA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&lt;/script&gt;</w:t>
      </w:r>
    </w:p>
    <w:p w14:paraId="5557264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容器化部署</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项目采用 Docker Compose 实现一键部署，部署架构包含以下容器：Fabric 节点容器：Peer、Orderer、CA 节点；</w:t>
      </w:r>
      <w:r>
        <w:rPr>
          <w:rFonts w:hint="eastAsia" w:ascii="Calibri" w:hAnsi="Calibri" w:eastAsia="宋体" w:cs="Times New Roman"/>
          <w:kern w:val="2"/>
          <w:sz w:val="24"/>
          <w:szCs w:val="24"/>
          <w:lang w:val="en-US" w:eastAsia="zh-CN" w:bidi="ar-SA"/>
        </w:rPr>
        <w:t>，</w:t>
      </w:r>
      <w:r>
        <w:rPr>
          <w:rFonts w:hint="default" w:ascii="Calibri" w:hAnsi="Calibri" w:eastAsia="宋体" w:cs="Times New Roman"/>
          <w:kern w:val="2"/>
          <w:sz w:val="24"/>
          <w:szCs w:val="24"/>
          <w:lang w:val="en-US" w:eastAsia="zh-CN" w:bidi="ar-SA"/>
        </w:rPr>
        <w:t>后端服务容器：Spring Boot 应用；前端容器：Nginx 部署 Vue 静态资源；数据库容器：MySQL 8.0。</w:t>
      </w:r>
    </w:p>
    <w:p w14:paraId="300FE32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kern w:val="2"/>
          <w:sz w:val="24"/>
          <w:szCs w:val="24"/>
          <w:lang w:val="en-US" w:eastAsia="zh-CN" w:bidi="ar-SA"/>
        </w:rPr>
      </w:pPr>
      <w:r>
        <w:rPr>
          <w:rFonts w:hint="default" w:ascii="Calibri" w:hAnsi="Calibri" w:eastAsia="宋体" w:cs="Times New Roman"/>
          <w:kern w:val="2"/>
          <w:sz w:val="24"/>
          <w:szCs w:val="24"/>
          <w:lang w:val="en-US" w:eastAsia="zh-CN" w:bidi="ar-SA"/>
        </w:rPr>
        <w:t>Docker Compose 配置（核心片段）</w:t>
      </w:r>
    </w:p>
    <w:p w14:paraId="07640BE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version: '3.8'</w:t>
      </w:r>
    </w:p>
    <w:p w14:paraId="341D28B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services:</w:t>
      </w:r>
    </w:p>
    <w:p w14:paraId="273798A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MySQL 数据库</w:t>
      </w:r>
    </w:p>
    <w:p w14:paraId="3BAB66B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mysql:</w:t>
      </w:r>
    </w:p>
    <w:p w14:paraId="4F6E0EC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image: mysql:8.0</w:t>
      </w:r>
    </w:p>
    <w:p w14:paraId="178AD2B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container_name: trace-mysql</w:t>
      </w:r>
    </w:p>
    <w:p w14:paraId="0CD119C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environment:</w:t>
      </w:r>
    </w:p>
    <w:p w14:paraId="1CEFFB8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MYSQL_ROOT_PASSWORD: root</w:t>
      </w:r>
    </w:p>
    <w:p w14:paraId="4BAEA96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MYSQL_DATABASE: trace_db</w:t>
      </w:r>
    </w:p>
    <w:p w14:paraId="787B3C5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ports:</w:t>
      </w:r>
    </w:p>
    <w:p w14:paraId="1E828DE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"3306:3306"</w:t>
      </w:r>
    </w:p>
    <w:p w14:paraId="6808807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volumes:</w:t>
      </w:r>
    </w:p>
    <w:p w14:paraId="77DA9ED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./mysql/data:/var/lib/mysql</w:t>
      </w:r>
    </w:p>
    <w:p w14:paraId="091D6C2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networks:</w:t>
      </w:r>
    </w:p>
    <w:p w14:paraId="020CCE3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trace-network</w:t>
      </w:r>
    </w:p>
    <w:p w14:paraId="3B76560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004F1F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后端服务</w:t>
      </w:r>
    </w:p>
    <w:p w14:paraId="14E22B1C">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backend:</w:t>
      </w:r>
    </w:p>
    <w:p w14:paraId="7E114B6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build: ./backend</w:t>
      </w:r>
    </w:p>
    <w:p w14:paraId="2DC51E4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container_name: trace-backend</w:t>
      </w:r>
    </w:p>
    <w:p w14:paraId="25F1690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ports:</w:t>
      </w:r>
    </w:p>
    <w:p w14:paraId="4691C5F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"8080:8080"</w:t>
      </w:r>
    </w:p>
    <w:p w14:paraId="6BD006A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depends_on:</w:t>
      </w:r>
    </w:p>
    <w:p w14:paraId="334BAA8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mysql</w:t>
      </w:r>
    </w:p>
    <w:p w14:paraId="2C5DC96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environment:</w:t>
      </w:r>
    </w:p>
    <w:p w14:paraId="2A85DE4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SPRING_DATASOURCE_URL: jdbc:mysql://mysql:3306/trace_db?useSSL=false</w:t>
      </w:r>
    </w:p>
    <w:p w14:paraId="04FD5ADB">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SPRING_DATASOURCE_USERNAME: root</w:t>
      </w:r>
    </w:p>
    <w:p w14:paraId="645161A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SPRING_DATASOURCE_PASSWORD: root</w:t>
      </w:r>
    </w:p>
    <w:p w14:paraId="6A5C238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networks:</w:t>
      </w:r>
    </w:p>
    <w:p w14:paraId="4DA210D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trace-network</w:t>
      </w:r>
    </w:p>
    <w:p w14:paraId="57AC666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0AF57E1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前端服务</w:t>
      </w:r>
    </w:p>
    <w:p w14:paraId="5D8B7F7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frontend:</w:t>
      </w:r>
    </w:p>
    <w:p w14:paraId="0C1E788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build: ./frontend</w:t>
      </w:r>
    </w:p>
    <w:p w14:paraId="647F1AF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container_name: trace-frontend</w:t>
      </w:r>
    </w:p>
    <w:p w14:paraId="62D645F0">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ports:</w:t>
      </w:r>
    </w:p>
    <w:p w14:paraId="0BD0B83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"80:80"</w:t>
      </w:r>
    </w:p>
    <w:p w14:paraId="63ED32E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depends_on:</w:t>
      </w:r>
    </w:p>
    <w:p w14:paraId="6F3EA2F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backend</w:t>
      </w:r>
    </w:p>
    <w:p w14:paraId="767E038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networks:</w:t>
      </w:r>
    </w:p>
    <w:p w14:paraId="050BF5A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trace-network</w:t>
      </w:r>
    </w:p>
    <w:p w14:paraId="327AC2C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45B4C974">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Fabric Peer 节点（示例）</w:t>
      </w:r>
    </w:p>
    <w:p w14:paraId="004A3E4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peer0.farmer.example.com:</w:t>
      </w:r>
    </w:p>
    <w:p w14:paraId="328713F3">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image: hyperledger/fabric-peer:2.5</w:t>
      </w:r>
    </w:p>
    <w:p w14:paraId="091E4D2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container_name: peer0.farmer.example.com</w:t>
      </w:r>
    </w:p>
    <w:p w14:paraId="0034D2FF">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environment:</w:t>
      </w:r>
    </w:p>
    <w:p w14:paraId="6589D2C6">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CORE_VM_ENDPOINT=unix:///host/var/run/docker.sock</w:t>
      </w:r>
    </w:p>
    <w:p w14:paraId="5634CAC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CORE_PEER_ID=peer0.farmer.example.com</w:t>
      </w:r>
    </w:p>
    <w:p w14:paraId="15C7F9AE">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CORE_PEER_ADDRESS=peer0.farmer.example.com:7051</w:t>
      </w:r>
    </w:p>
    <w:p w14:paraId="7B41782A">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CORE_PEER_LOCALMSPID=OrgFarmerMSP</w:t>
      </w:r>
    </w:p>
    <w:p w14:paraId="21F1EA2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volumes:</w:t>
      </w:r>
    </w:p>
    <w:p w14:paraId="6C26D4D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./fabric/crypto-config/peerOrganizations/farmer.example.com/peers/peer0.farmer.example.com:/etc/hyperledger/fabric</w:t>
      </w:r>
    </w:p>
    <w:p w14:paraId="7297C9B9">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ports:</w:t>
      </w:r>
    </w:p>
    <w:p w14:paraId="532D46D1">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"7051:7051"</w:t>
      </w:r>
    </w:p>
    <w:p w14:paraId="72C5E0F5">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networks:</w:t>
      </w:r>
    </w:p>
    <w:p w14:paraId="412E7CE7">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 trace-network</w:t>
      </w:r>
    </w:p>
    <w:p w14:paraId="453B070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p>
    <w:p w14:paraId="723160D8">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networks:</w:t>
      </w:r>
    </w:p>
    <w:p w14:paraId="6481A4E2">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trace-network:</w:t>
      </w:r>
    </w:p>
    <w:p w14:paraId="301B0C5D">
      <w:pPr>
        <w:keepNext w:val="0"/>
        <w:keepLines w:val="0"/>
        <w:widowControl/>
        <w:suppressLineNumbers w:val="0"/>
        <w:pBdr>
          <w:top w:val="none" w:color="auto" w:sz="0" w:space="0"/>
          <w:left w:val="none" w:color="auto" w:sz="0" w:space="0"/>
          <w:bottom w:val="none" w:color="auto" w:sz="0" w:space="0"/>
          <w:right w:val="none" w:color="auto" w:sz="0" w:space="0"/>
        </w:pBdr>
        <w:shd w:val="clear" w:fill="F6F8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6" w:lineRule="atLeast"/>
        <w:jc w:val="left"/>
        <w:rPr>
          <w:rFonts w:hint="eastAsia" w:ascii="宋体" w:hAnsi="宋体" w:eastAsia="宋体" w:cs="宋体"/>
          <w:kern w:val="0"/>
          <w:sz w:val="24"/>
          <w:szCs w:val="24"/>
          <w:lang w:val="en-US" w:eastAsia="zh-CN" w:bidi="ar"/>
        </w:rPr>
      </w:pPr>
      <w:r>
        <w:rPr>
          <w:rFonts w:hint="eastAsia" w:ascii="Courier New" w:hAnsi="Courier New" w:eastAsia="宋体" w:cs="Times New Roman"/>
          <w:kern w:val="2"/>
          <w:sz w:val="20"/>
          <w:szCs w:val="24"/>
          <w:lang w:val="en-US" w:eastAsia="zh-CN" w:bidi="ar-SA"/>
        </w:rPr>
        <w:t xml:space="preserve">    driver: bridge</w:t>
      </w:r>
    </w:p>
    <w:p w14:paraId="6CCD33FE">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48EEA9F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智能合约（链码）采用Go语言开发，定义了核心数据模型与业务函数。数据模型包括：原料批次（MaterialBatch）、产品实例（ProductInstance）、物流记录（LogisticsRecord）、交易事件（TransactionEvent）等关键结构体，每个结构体包含唯一ID、所有者、时间戳、状态及上链哈希等字段。智能合约函数主要包括：创建资产（如CreateBatch）、转移所有权（TransferOwnership）、更新状态（UpdateStatus）、查询历史（QueryHistory）等，所有函数均通过Fabric的背书策略进行权限控制。数据上链时，大文件（如设计稿、质检报告）先存储于IPFS或服务器，仅将其哈希值上链，在保证不可篡改性的同时兼顾存储效率。</w:t>
      </w:r>
    </w:p>
    <w:p w14:paraId="27FA8A3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系统用户表（sys_user）存储系统所有用户的基础信息与身份凭证，是权限管控与业务操作的核心关联表</w:t>
      </w:r>
      <w:r>
        <w:rPr>
          <w:rFonts w:hint="eastAsia" w:ascii="Calibri" w:hAnsi="Calibri" w:eastAsia="宋体" w:cs="Times New Roman"/>
          <w:sz w:val="24"/>
          <w:szCs w:val="24"/>
          <w:lang w:val="en-US" w:eastAsia="zh-CN"/>
        </w:rPr>
        <w:t>。</w:t>
      </w:r>
    </w:p>
    <w:p w14:paraId="71623325">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表3.1 系统用户表</w:t>
      </w:r>
    </w:p>
    <w:tbl>
      <w:tblPr>
        <w:tblStyle w:val="35"/>
        <w:tblW w:w="4794" w:type="pct"/>
        <w:tblInd w:w="15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039"/>
        <w:gridCol w:w="1200"/>
        <w:gridCol w:w="600"/>
        <w:gridCol w:w="2592"/>
        <w:gridCol w:w="1763"/>
      </w:tblGrid>
      <w:tr w14:paraId="36B17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1244"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48E35288">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字段名</w:t>
            </w:r>
          </w:p>
        </w:tc>
        <w:tc>
          <w:tcPr>
            <w:tcW w:w="732"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7AE8B6E9">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数据类型</w:t>
            </w:r>
          </w:p>
        </w:tc>
        <w:tc>
          <w:tcPr>
            <w:tcW w:w="366"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4DCEF23">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长度</w:t>
            </w:r>
          </w:p>
        </w:tc>
        <w:tc>
          <w:tcPr>
            <w:tcW w:w="1581"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453A91FD">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约束条件</w:t>
            </w:r>
          </w:p>
        </w:tc>
        <w:tc>
          <w:tcPr>
            <w:tcW w:w="107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51F3800A">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字段说明</w:t>
            </w:r>
          </w:p>
        </w:tc>
      </w:tr>
      <w:tr w14:paraId="61AD8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0AC0E3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id</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6B57C8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7439DA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9DEDA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PRIMARY KEY, AUTO_INCREMENT</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36C4DE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用户唯一主键 ID</w:t>
            </w:r>
          </w:p>
        </w:tc>
      </w:tr>
      <w:tr w14:paraId="77FAD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7662D8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username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13494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CD9CFF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2EF322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BCC4F6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登录用户名（唯一，如 farmer_001）</w:t>
            </w:r>
          </w:p>
        </w:tc>
      </w:tr>
      <w:tr w14:paraId="0B218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06D391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password</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6CE096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8259AA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2783BB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4724E1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密码（BCrypt 加密存储，不可逆）</w:t>
            </w:r>
          </w:p>
        </w:tc>
      </w:tr>
      <w:tr w14:paraId="0C164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2BBAE7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real_name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00AC69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88AA34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F23787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5F64B3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用户真实姓名（如“张三”）</w:t>
            </w:r>
          </w:p>
        </w:tc>
      </w:tr>
      <w:tr w14:paraId="05429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2FA44D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phone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D2923A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26AC0F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F40CC1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 UNIQUE</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61BA7F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联系电话（唯一，用于身份验证或通知）</w:t>
            </w:r>
          </w:p>
        </w:tc>
      </w:tr>
      <w:tr w14:paraId="11195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61FF22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email</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2ABA7B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F334B1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083A64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 UNIQUE</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A612D4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邮箱（可选，用于密码找回）</w:t>
            </w:r>
          </w:p>
        </w:tc>
      </w:tr>
      <w:tr w14:paraId="3D4B6C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0642E8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org_id</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30748C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D7A2AE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2CB96B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271EE0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所属组织 ID（关联 Fabric 网络组织，如 Org_Farmer）</w:t>
            </w:r>
          </w:p>
        </w:tc>
      </w:tr>
      <w:tr w14:paraId="378A7C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68A2C9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org_name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08E5DB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2A2467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726562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169B32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所属组织名称（如“山东种植户联盟”）</w:t>
            </w:r>
          </w:p>
        </w:tc>
      </w:tr>
      <w:tr w14:paraId="7B29A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7EAFAD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status</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943BEA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TINYINT</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1B3966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03AB19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1</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99E46B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账号状态（1-正常，0-禁用）</w:t>
            </w:r>
          </w:p>
        </w:tc>
      </w:tr>
      <w:tr w14:paraId="6385C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77B711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create_time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6ADB82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043D99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1D2E1F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E8F108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账号创建时间</w:t>
            </w:r>
          </w:p>
        </w:tc>
      </w:tr>
      <w:tr w14:paraId="035C2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AD31B1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update_time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86439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490176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32C70A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 ON UPDATE CURRENT_TIMESTAMP</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AF1DBA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账号更新时间</w:t>
            </w:r>
          </w:p>
        </w:tc>
      </w:tr>
      <w:tr w14:paraId="3ACE8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5A2057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last_login_time</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8D899D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27E6F6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B45AB3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583D8D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最后登录时间</w:t>
            </w:r>
          </w:p>
        </w:tc>
      </w:tr>
      <w:tr w14:paraId="39911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170A88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extend1</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885831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DC4FA0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833173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C70710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扩展字段1（如身份证号）</w:t>
            </w:r>
          </w:p>
        </w:tc>
      </w:tr>
      <w:tr w14:paraId="7B52C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244"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58FEBE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extend2</w:t>
            </w:r>
          </w:p>
        </w:tc>
        <w:tc>
          <w:tcPr>
            <w:tcW w:w="73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8E2CCC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6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5C936C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158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9638C5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07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303FE4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扩展字段2（如地址）</w:t>
            </w:r>
          </w:p>
        </w:tc>
      </w:tr>
    </w:tbl>
    <w:p w14:paraId="0578DBE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角色表（sys_role）定义系统支持的所有角色，与用户通过关联表实现多对多关系，是权限管控的核心层级。</w:t>
      </w:r>
    </w:p>
    <w:p w14:paraId="10D2B9E3">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表3.</w:t>
      </w:r>
      <w:r>
        <w:rPr>
          <w:rFonts w:hint="eastAsia" w:ascii="Calibri" w:hAnsi="Calibri" w:eastAsia="宋体" w:cs="Times New Roman"/>
          <w:sz w:val="24"/>
          <w:szCs w:val="24"/>
          <w:lang w:val="en-US" w:eastAsia="zh-CN"/>
        </w:rPr>
        <w:t>2</w:t>
      </w:r>
      <w:r>
        <w:rPr>
          <w:rFonts w:hint="default" w:ascii="Calibri" w:hAnsi="Calibri" w:eastAsia="宋体" w:cs="Times New Roman"/>
          <w:sz w:val="24"/>
          <w:szCs w:val="24"/>
          <w:lang w:val="en-US" w:eastAsia="zh-CN"/>
        </w:rPr>
        <w:t xml:space="preserve"> 角色表</w:t>
      </w:r>
    </w:p>
    <w:tbl>
      <w:tblPr>
        <w:tblStyle w:val="35"/>
        <w:tblW w:w="4789" w:type="pct"/>
        <w:tblInd w:w="15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171"/>
        <w:gridCol w:w="917"/>
        <w:gridCol w:w="493"/>
        <w:gridCol w:w="1679"/>
        <w:gridCol w:w="3925"/>
      </w:tblGrid>
      <w:tr w14:paraId="30719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71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0B7D3323">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字段名</w:t>
            </w:r>
          </w:p>
        </w:tc>
        <w:tc>
          <w:tcPr>
            <w:tcW w:w="560"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867CC05">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数据类型</w:t>
            </w:r>
          </w:p>
        </w:tc>
        <w:tc>
          <w:tcPr>
            <w:tcW w:w="301"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A0B4618">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长度</w:t>
            </w:r>
          </w:p>
        </w:tc>
        <w:tc>
          <w:tcPr>
            <w:tcW w:w="102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E157100">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约束条件</w:t>
            </w:r>
          </w:p>
        </w:tc>
        <w:tc>
          <w:tcPr>
            <w:tcW w:w="2397"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00045EC2">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字段说明</w:t>
            </w:r>
          </w:p>
        </w:tc>
      </w:tr>
      <w:tr w14:paraId="44DB4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D91669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id</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00C9E5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554564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AD448F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PRIMARY KEY, AUTO_INCREMENT</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35EA24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角色唯一主键 ID</w:t>
            </w:r>
          </w:p>
        </w:tc>
      </w:tr>
      <w:tr w14:paraId="062AC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91AA31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role_code</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748765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10A6D4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30</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87FB9F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34AFA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角色编码（唯一，如 farmer/processor/logistics/retailer/consumer）</w:t>
            </w:r>
          </w:p>
        </w:tc>
      </w:tr>
      <w:tr w14:paraId="4C5E6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81A511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role_name</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5501C1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9D4639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375446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7DC8D5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角色名称（如“种植户”“加工厂”“物流商”“零售商”“消费者”）</w:t>
            </w:r>
          </w:p>
        </w:tc>
      </w:tr>
      <w:tr w14:paraId="52D7E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B99240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description</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36E28E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D65EE4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DBF366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D3514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角色描述（如“负责农产品种植信息上链”）</w:t>
            </w:r>
          </w:p>
        </w:tc>
      </w:tr>
      <w:tr w14:paraId="75EC4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F5CA9B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create_time</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F4F9B7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F6272C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556581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0EE55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角色创建时间</w:t>
            </w:r>
          </w:p>
        </w:tc>
      </w:tr>
      <w:tr w14:paraId="7A099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1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4B12F6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update_time</w:t>
            </w:r>
          </w:p>
        </w:tc>
        <w:tc>
          <w:tcPr>
            <w:tcW w:w="560"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A34F60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30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5B52EC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02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3FE1EE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 ON UPDATE CURRENT_TIMESTAMP</w:t>
            </w:r>
          </w:p>
        </w:tc>
        <w:tc>
          <w:tcPr>
            <w:tcW w:w="2397"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C0D816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角色更新时间</w:t>
            </w:r>
          </w:p>
        </w:tc>
      </w:tr>
    </w:tbl>
    <w:p w14:paraId="1C4A318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商品基础信息表（goods_base_info）存储商品的基础属性信息，是 MySQL 与 Fabric 链上溯源数据的核心关联表，用户查询溯源信息时先通过溯源码关联此表获取基础信息，再查询链上详细环节数据。</w:t>
      </w:r>
    </w:p>
    <w:p w14:paraId="774A5195">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角色表</w:t>
      </w:r>
    </w:p>
    <w:tbl>
      <w:tblPr>
        <w:tblStyle w:val="35"/>
        <w:tblW w:w="4843" w:type="pct"/>
        <w:tblInd w:w="14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775"/>
        <w:gridCol w:w="1333"/>
        <w:gridCol w:w="731"/>
        <w:gridCol w:w="2476"/>
        <w:gridCol w:w="1963"/>
      </w:tblGrid>
      <w:tr w14:paraId="5CBB0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703" w:hRule="atLeast"/>
          <w:tblHeader/>
        </w:trPr>
        <w:tc>
          <w:tcPr>
            <w:tcW w:w="1072"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B83874B">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字段名</w:t>
            </w:r>
          </w:p>
        </w:tc>
        <w:tc>
          <w:tcPr>
            <w:tcW w:w="80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7209183C">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数据类型</w:t>
            </w:r>
          </w:p>
        </w:tc>
        <w:tc>
          <w:tcPr>
            <w:tcW w:w="441"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047CF946">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长度</w:t>
            </w:r>
          </w:p>
        </w:tc>
        <w:tc>
          <w:tcPr>
            <w:tcW w:w="149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5C24935B">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约束条件</w:t>
            </w:r>
          </w:p>
        </w:tc>
        <w:tc>
          <w:tcPr>
            <w:tcW w:w="118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4847CD67">
            <w:pPr>
              <w:keepNext w:val="0"/>
              <w:keepLines w:val="0"/>
              <w:widowControl/>
              <w:suppressLineNumbers w:val="0"/>
              <w:spacing w:line="16" w:lineRule="atLeast"/>
              <w:jc w:val="left"/>
              <w:rPr>
                <w:rFonts w:hint="default" w:ascii="宋体" w:hAnsi="宋体" w:eastAsia="宋体" w:cs="宋体"/>
                <w:b/>
                <w:bCs/>
                <w:sz w:val="21"/>
                <w:szCs w:val="21"/>
              </w:rPr>
            </w:pPr>
            <w:r>
              <w:rPr>
                <w:rFonts w:hint="default" w:ascii="宋体" w:hAnsi="宋体" w:eastAsia="宋体" w:cs="宋体"/>
                <w:b/>
                <w:bCs/>
                <w:sz w:val="21"/>
                <w:szCs w:val="21"/>
              </w:rPr>
              <w:t>字段说明</w:t>
            </w:r>
          </w:p>
        </w:tc>
      </w:tr>
      <w:tr w14:paraId="3312C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0C9ABC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id</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D65EA0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5CEB5E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00CA9B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PRIMARY KEY, AUTO_INCREMENT</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113C46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商品基础信息唯一主键 ID</w:t>
            </w:r>
          </w:p>
        </w:tc>
      </w:tr>
      <w:tr w14:paraId="6748A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AD0A12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goods_id</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591184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7B180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64</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D0DDD5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B91E25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商品唯一标识（与 Fabric 链上商品 ID 一致，如 UUID）</w:t>
            </w:r>
          </w:p>
        </w:tc>
      </w:tr>
      <w:tr w14:paraId="0465AD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E58DBE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trace_code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261970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43AA57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64</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BD6D57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7207FE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溯源码（用户查询入口，如二维码编码，可与 goods_id 一致或单独生成）</w:t>
            </w:r>
          </w:p>
        </w:tc>
      </w:tr>
      <w:tr w14:paraId="13356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A35A81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goods_name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1AF01D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51FF7C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432784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B3B183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商品名称（如“烟台红富士苹果”“山东花生”）</w:t>
            </w:r>
          </w:p>
        </w:tc>
      </w:tr>
      <w:tr w14:paraId="7EDC3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3E451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goods_type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9BA599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046617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917C60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440C3B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商品类型（如“水果”“坚果”“蔬菜”“肉类”）</w:t>
            </w:r>
          </w:p>
        </w:tc>
      </w:tr>
      <w:tr w14:paraId="66843C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8A4C1F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brand</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C46768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F24C0B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2B5E53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27373A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商品品牌（如“农夫山泉”“阳光炒货”）</w:t>
            </w:r>
          </w:p>
        </w:tc>
      </w:tr>
      <w:tr w14:paraId="7CB48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D383C2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specification</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A8B4A0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4E532D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4EB6DC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0F1015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商品规格（如“500g/袋”“10kg/箱”）</w:t>
            </w:r>
          </w:p>
        </w:tc>
      </w:tr>
      <w:tr w14:paraId="48F1E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1A6ADF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origin</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A2B51F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5EA3E3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100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380AFD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DFF99B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商品原产地（如“山东省烟台市”“广东省广州市”）</w:t>
            </w:r>
          </w:p>
        </w:tc>
      </w:tr>
      <w:tr w14:paraId="35CB6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B32569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producer_id</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6FAED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1B5CAD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7DD165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753584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生产者 ID（关联 sys_user.id，如种植户 ID）</w:t>
            </w:r>
          </w:p>
        </w:tc>
      </w:tr>
      <w:tr w14:paraId="22DEC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10CDA4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producer_name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E23A2C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87C097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4CD7DF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1477C5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生产者名称（冗余字段，如“张三种植户”）</w:t>
            </w:r>
          </w:p>
        </w:tc>
      </w:tr>
      <w:tr w14:paraId="090D7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246A21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production_date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85C2BA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34F7F2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611CAD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08F35D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生产日期（如种植日期、生产日期）</w:t>
            </w:r>
          </w:p>
        </w:tc>
      </w:tr>
      <w:tr w14:paraId="32AA0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97CF3D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shelf_life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907D9C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06A1D0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67AE52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114361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保质期（如“6个月”“1年”）</w:t>
            </w:r>
          </w:p>
        </w:tc>
      </w:tr>
      <w:tr w14:paraId="6F593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05440E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status</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51F584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TINYINT</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CFAD73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893EBE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1</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76F9BD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商品状态（1-在售，2-下架，3-过期）</w:t>
            </w:r>
          </w:p>
        </w:tc>
      </w:tr>
      <w:tr w14:paraId="56B84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DDF910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create_time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C37565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CE1396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8AC6DA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73DCE2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记录创建时间</w:t>
            </w:r>
          </w:p>
        </w:tc>
      </w:tr>
      <w:tr w14:paraId="54F8B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8CA067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update_time</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49B6EC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0704F4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E5B5CA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 ON UPDATE CURRENT_TIMESTAMP</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0EAF13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记录更新时间</w:t>
            </w:r>
          </w:p>
        </w:tc>
      </w:tr>
      <w:tr w14:paraId="266A6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CDE86E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extend1</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A56AB7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04A4C3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89DCC5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0E8DE5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扩展字段1（如商品批次号）</w:t>
            </w:r>
          </w:p>
        </w:tc>
      </w:tr>
      <w:tr w14:paraId="328BF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07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C84602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extend2</w:t>
            </w:r>
          </w:p>
        </w:tc>
        <w:tc>
          <w:tcPr>
            <w:tcW w:w="80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115619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441"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9DDE7B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149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08EF7D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118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85D34D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扩展字段2（如检测报告编号）</w:t>
            </w:r>
          </w:p>
        </w:tc>
      </w:tr>
    </w:tbl>
    <w:p w14:paraId="5CE7615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溯源环节字典表（trace_stage_dict）定义溯源流程的所有环节，规范环节编码与名称，限制各环节的上链角色，是数据上链权限校验的核心字典表。</w:t>
      </w:r>
    </w:p>
    <w:tbl>
      <w:tblPr>
        <w:tblStyle w:val="3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762"/>
        <w:gridCol w:w="957"/>
        <w:gridCol w:w="509"/>
        <w:gridCol w:w="1763"/>
        <w:gridCol w:w="3555"/>
      </w:tblGrid>
      <w:tr w14:paraId="21880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74076734">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字段名</w:t>
            </w:r>
          </w:p>
        </w:tc>
        <w:tc>
          <w:tcPr>
            <w:tcW w:w="0" w:type="auto"/>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0A0841CA">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数据类型</w:t>
            </w:r>
          </w:p>
        </w:tc>
        <w:tc>
          <w:tcPr>
            <w:tcW w:w="0" w:type="auto"/>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22D41CEF">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长度</w:t>
            </w:r>
          </w:p>
        </w:tc>
        <w:tc>
          <w:tcPr>
            <w:tcW w:w="0" w:type="auto"/>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90AECAE">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约束条件</w:t>
            </w:r>
          </w:p>
        </w:tc>
        <w:tc>
          <w:tcPr>
            <w:tcW w:w="0" w:type="auto"/>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21B46F4F">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字段说明</w:t>
            </w:r>
          </w:p>
        </w:tc>
      </w:tr>
      <w:tr w14:paraId="398485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666D92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id</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794A30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640893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D70D78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PRIMARY KEY, AUTO_INCREMENT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98E9B8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字典项唯一主键 ID</w:t>
            </w:r>
          </w:p>
        </w:tc>
      </w:tr>
      <w:tr w14:paraId="0A44A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1D47ED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stage_code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1D8B74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7F8C5F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30</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CB2CC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F8051E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环节编码（唯一，如 planting/processing/logistics/sales）</w:t>
            </w:r>
          </w:p>
        </w:tc>
      </w:tr>
      <w:tr w14:paraId="57C5F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62261D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stage_name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FFC350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5825C5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50</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162D9E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428F96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环节名称（如“种植”“加工”“物流”“销售”）</w:t>
            </w:r>
          </w:p>
        </w:tc>
      </w:tr>
      <w:tr w14:paraId="44CD6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F78AEE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sort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EDEB7F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INT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561509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EF0D26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0</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C9E2D0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环节排序（如种植→加工→物流→销售，排序 1→2→3→4）</w:t>
            </w:r>
          </w:p>
        </w:tc>
      </w:tr>
      <w:tr w14:paraId="09515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B19DEE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allow_upload_role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A09749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DA2841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9F6385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FB4793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允许上链的角色编码（多个用逗号分隔，如“farmer”“processor,logistics”）</w:t>
            </w:r>
          </w:p>
        </w:tc>
      </w:tr>
      <w:tr w14:paraId="6DECA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C58880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description</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B68563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2233DE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255</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383CC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BD5A785">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环节描述（如“农产品种植环节，记录种植时间、产地等信息”）</w:t>
            </w:r>
          </w:p>
        </w:tc>
      </w:tr>
      <w:tr w14:paraId="6F5ED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2AC778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create_time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26A0EC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74B9A4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42C272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9B7E8A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字典项创建时间</w:t>
            </w:r>
          </w:p>
        </w:tc>
      </w:tr>
      <w:tr w14:paraId="74558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C66908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update_time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1E148B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092384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AF6E3E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 ON UPDATE CURRENT_TIMESTAMP</w:t>
            </w:r>
          </w:p>
        </w:tc>
        <w:tc>
          <w:tcPr>
            <w:tcW w:w="0" w:type="auto"/>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BF86C5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字典项更新时间</w:t>
            </w:r>
          </w:p>
        </w:tc>
      </w:tr>
    </w:tbl>
    <w:p w14:paraId="29D7D6C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链上数据同步表（trace_chain_sync）用于缓存 Fabric 链上的核心溯源数据，减少前端查询时的链上调用次数，提升查询效率（需保证与链上数据一致性，可通过定时任务同步）。</w:t>
      </w:r>
    </w:p>
    <w:tbl>
      <w:tblPr>
        <w:tblStyle w:val="35"/>
        <w:tblW w:w="4857" w:type="pct"/>
        <w:tblInd w:w="13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493"/>
        <w:gridCol w:w="867"/>
        <w:gridCol w:w="475"/>
        <w:gridCol w:w="1571"/>
        <w:gridCol w:w="3896"/>
      </w:tblGrid>
      <w:tr w14:paraId="7DE6E6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blHeader/>
        </w:trPr>
        <w:tc>
          <w:tcPr>
            <w:tcW w:w="899"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FB49BD6">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字段名</w:t>
            </w:r>
          </w:p>
        </w:tc>
        <w:tc>
          <w:tcPr>
            <w:tcW w:w="522"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52BE0FB9">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数据类型</w:t>
            </w:r>
          </w:p>
        </w:tc>
        <w:tc>
          <w:tcPr>
            <w:tcW w:w="286"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339D37C9">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长度</w:t>
            </w:r>
          </w:p>
        </w:tc>
        <w:tc>
          <w:tcPr>
            <w:tcW w:w="946"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96F9280">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约束条件</w:t>
            </w:r>
          </w:p>
        </w:tc>
        <w:tc>
          <w:tcPr>
            <w:tcW w:w="2345" w:type="pct"/>
            <w:tcBorders>
              <w:top w:val="single" w:color="DFE2E5" w:sz="4" w:space="0"/>
              <w:left w:val="single" w:color="DFE2E5" w:sz="4" w:space="0"/>
              <w:bottom w:val="single" w:color="DFE2E5" w:sz="4" w:space="0"/>
              <w:right w:val="single" w:color="DFE2E5" w:sz="4" w:space="0"/>
            </w:tcBorders>
            <w:shd w:val="clear" w:color="auto" w:fill="F6F8FA"/>
            <w:tcMar>
              <w:top w:w="80" w:type="dxa"/>
              <w:left w:w="120" w:type="dxa"/>
              <w:bottom w:w="80" w:type="dxa"/>
              <w:right w:w="120" w:type="dxa"/>
            </w:tcMar>
            <w:vAlign w:val="center"/>
          </w:tcPr>
          <w:p w14:paraId="6B14FF2D">
            <w:pPr>
              <w:keepNext w:val="0"/>
              <w:keepLines w:val="0"/>
              <w:widowControl/>
              <w:suppressLineNumbers w:val="0"/>
              <w:spacing w:line="16" w:lineRule="atLeast"/>
              <w:jc w:val="center"/>
              <w:rPr>
                <w:rFonts w:hint="default" w:ascii="宋体" w:hAnsi="宋体" w:eastAsia="宋体" w:cs="宋体"/>
                <w:b/>
                <w:bCs/>
                <w:sz w:val="21"/>
                <w:szCs w:val="21"/>
              </w:rPr>
            </w:pPr>
            <w:r>
              <w:rPr>
                <w:rFonts w:hint="default" w:ascii="宋体" w:hAnsi="宋体" w:eastAsia="宋体" w:cs="宋体"/>
                <w:b/>
                <w:bCs/>
                <w:sz w:val="21"/>
                <w:szCs w:val="21"/>
              </w:rPr>
              <w:t>字段说明</w:t>
            </w:r>
          </w:p>
        </w:tc>
      </w:tr>
      <w:tr w14:paraId="70D2E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E0988C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id</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E3CAD6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FBA759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14620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PRIMARY KEY, AUTO_INCREMENT</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F3AADA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同步记录唯一主键 ID</w:t>
            </w:r>
          </w:p>
        </w:tc>
      </w:tr>
      <w:tr w14:paraId="3A8BA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DCE06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goods_id</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56B825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DBAB1F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64</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FD52CD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C24933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商品 ID（关联 goods_base_info.goods_id）</w:t>
            </w:r>
          </w:p>
        </w:tc>
      </w:tr>
      <w:tr w14:paraId="305FE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BE40FC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stage_code</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A00DCD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17274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30</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1B8956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98A2E3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溯源环节编码（关联 trace_stage_dict.stage_code）</w:t>
            </w:r>
          </w:p>
        </w:tc>
      </w:tr>
      <w:tr w14:paraId="45BB9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28D9F3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tx_id</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0C1648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VARCHAR</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1A16A62">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128</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37ADA3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UNIQUE</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2AFAD9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区块链交易 ID（唯一，关联 Fabric 链上交易）</w:t>
            </w:r>
          </w:p>
        </w:tc>
      </w:tr>
      <w:tr w14:paraId="0260A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D9E23E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chain_data</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2AA521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TEXT</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6444F44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5AB0997">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A9165D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链上数据（JSON 格式，如“{\"plantingTime\":\"2025-01-01\",\"origin\":\"山东烟台\"}”）</w:t>
            </w:r>
          </w:p>
        </w:tc>
      </w:tr>
      <w:tr w14:paraId="02AFE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2407B0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block_number</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268292A">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BIGINT</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2D1761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3DF393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E7E889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区块号（链上交易所在区块）</w:t>
            </w:r>
          </w:p>
        </w:tc>
      </w:tr>
      <w:tr w14:paraId="3E024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040EBE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transaction_time</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D543F00">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5583D3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7EB610E9">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NULL</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E9EE2A6">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链上交易时间（Fabric 账本记录的交易时间）</w:t>
            </w:r>
          </w:p>
        </w:tc>
      </w:tr>
      <w:tr w14:paraId="1F2F0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32EDD73B">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sync_time</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E87B2CF">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DATETIME</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8CE0D33">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4EDE247E">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CURRENT_TIMESTAMP</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6C1B81D">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数据同步到 MySQL 的时间（可选，用于缓存）</w:t>
            </w:r>
          </w:p>
        </w:tc>
      </w:tr>
      <w:tr w14:paraId="3FD22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899"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35BE2D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sync_status</w:t>
            </w:r>
          </w:p>
        </w:tc>
        <w:tc>
          <w:tcPr>
            <w:tcW w:w="522"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2084904C">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TINYINT</w:t>
            </w:r>
          </w:p>
        </w:tc>
        <w:tc>
          <w:tcPr>
            <w:tcW w:w="28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1FED12C1">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1</w:t>
            </w:r>
          </w:p>
        </w:tc>
        <w:tc>
          <w:tcPr>
            <w:tcW w:w="946"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0E747864">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NOT NULL, DEFAULT 1</w:t>
            </w:r>
          </w:p>
        </w:tc>
        <w:tc>
          <w:tcPr>
            <w:tcW w:w="2345" w:type="pct"/>
            <w:tcBorders>
              <w:top w:val="single" w:color="DFE2E5" w:sz="4" w:space="0"/>
              <w:left w:val="single" w:color="DFE2E5" w:sz="4" w:space="0"/>
              <w:bottom w:val="single" w:color="DFE2E5" w:sz="4" w:space="0"/>
              <w:right w:val="single" w:color="DFE2E5" w:sz="4" w:space="0"/>
            </w:tcBorders>
            <w:shd w:val="clear" w:color="auto" w:fill="auto"/>
            <w:tcMar>
              <w:top w:w="80" w:type="dxa"/>
              <w:left w:w="120" w:type="dxa"/>
              <w:bottom w:w="80" w:type="dxa"/>
              <w:right w:w="120" w:type="dxa"/>
            </w:tcMar>
            <w:vAlign w:val="center"/>
          </w:tcPr>
          <w:p w14:paraId="536931A8">
            <w:pPr>
              <w:keepNext w:val="0"/>
              <w:keepLines w:val="0"/>
              <w:widowControl/>
              <w:suppressLineNumbers w:val="0"/>
              <w:spacing w:line="16" w:lineRule="atLeast"/>
              <w:jc w:val="left"/>
              <w:rPr>
                <w:rFonts w:hint="default" w:ascii="宋体" w:hAnsi="宋体" w:eastAsia="宋体" w:cs="宋体"/>
                <w:sz w:val="21"/>
                <w:szCs w:val="21"/>
              </w:rPr>
            </w:pPr>
            <w:r>
              <w:rPr>
                <w:rFonts w:hint="default" w:ascii="宋体" w:hAnsi="宋体" w:eastAsia="宋体" w:cs="宋体"/>
                <w:sz w:val="21"/>
                <w:szCs w:val="21"/>
              </w:rPr>
              <w:t>同步状态（1-已同步，0-未同步）</w:t>
            </w:r>
          </w:p>
        </w:tc>
      </w:tr>
    </w:tbl>
    <w:p w14:paraId="0DD215B2">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7FFC629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系统使用流程围绕不同角色展开：首先，各企业用户通过前端页面注册账户，经管理员审核后获得相应角色权限。登录后，面料商可在“采购管理”模块录入新采购的原料信息并提交上链；服装加工厂在“生产操作”模块接收原料批次，关联生产任务，并随着工序推进逐步更新生产状态与质检数据至链上；物流商在“物流管理”模块为出厂商品创建运单，并在运输过程中通过API或移动端实时更新位置与环境数据；零售商在“销售追溯”模块完成商品入库，销售时系统自动生成关联链上ID的追溯二维码。消费者购得商品后，使用手机扫描二维码，即可在专属查询页面以时间轴形式查看该商品从原料到货架的全链条可信信息，包括各环节的操作主体、时间、关键参数及存证文件。管理员可通过内置区块链浏览器监控网络状态、查询交易详情，并在后台管理用户权限与系统参数。</w:t>
      </w:r>
    </w:p>
    <w:p w14:paraId="7F2F4566">
      <w:pPr>
        <w:bidi w:val="0"/>
        <w:jc w:val="center"/>
        <w:rPr>
          <w:rFonts w:ascii="Calibri" w:hAnsi="Calibri" w:eastAsia="宋体" w:cs="Times New Roman"/>
        </w:rPr>
      </w:pPr>
      <w:r>
        <w:rPr>
          <w:rFonts w:ascii="Calibri" w:hAnsi="Calibri" w:eastAsia="宋体" w:cs="Times New Roman"/>
        </w:rPr>
        <w:drawing>
          <wp:inline distT="0" distB="0" distL="114300" distR="114300">
            <wp:extent cx="4582160" cy="1590040"/>
            <wp:effectExtent l="0" t="0" r="8890" b="10160"/>
            <wp:docPr id="164" name="图片 29" descr="ab8dbaaee7d55aa41f12da8b5d163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9" descr="ab8dbaaee7d55aa41f12da8b5d163c3"/>
                    <pic:cNvPicPr>
                      <a:picLocks noChangeAspect="1"/>
                    </pic:cNvPicPr>
                  </pic:nvPicPr>
                  <pic:blipFill>
                    <a:blip r:embed="rId278"/>
                    <a:stretch>
                      <a:fillRect/>
                    </a:stretch>
                  </pic:blipFill>
                  <pic:spPr>
                    <a:xfrm>
                      <a:off x="0" y="0"/>
                      <a:ext cx="4582160" cy="1590040"/>
                    </a:xfrm>
                    <a:prstGeom prst="rect">
                      <a:avLst/>
                    </a:prstGeom>
                  </pic:spPr>
                </pic:pic>
              </a:graphicData>
            </a:graphic>
          </wp:inline>
        </w:drawing>
      </w:r>
    </w:p>
    <w:p w14:paraId="5DBC5A50">
      <w:pPr>
        <w:bidi w:val="0"/>
        <w:jc w:val="center"/>
        <w:rPr>
          <w:rFonts w:hint="eastAsia" w:ascii="Calibri" w:hAnsi="Calibri" w:eastAsia="宋体" w:cs="Times New Roman"/>
          <w:lang w:val="en-US" w:eastAsia="zh-CN"/>
        </w:rPr>
      </w:pPr>
      <w:r>
        <w:rPr>
          <w:rFonts w:hint="eastAsia" w:ascii="Calibri" w:hAnsi="Calibri" w:eastAsia="宋体" w:cs="Times New Roman"/>
          <w:lang w:val="en-US" w:eastAsia="zh-CN"/>
        </w:rPr>
        <w:t>图3.1 用户登录</w:t>
      </w:r>
    </w:p>
    <w:p w14:paraId="065BC9B1">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47328" behindDoc="0" locked="0" layoutInCell="1" allowOverlap="1">
            <wp:simplePos x="0" y="0"/>
            <wp:positionH relativeFrom="column">
              <wp:posOffset>5080</wp:posOffset>
            </wp:positionH>
            <wp:positionV relativeFrom="paragraph">
              <wp:posOffset>583565</wp:posOffset>
            </wp:positionV>
            <wp:extent cx="5273675" cy="3133725"/>
            <wp:effectExtent l="0" t="0" r="3175" b="9525"/>
            <wp:wrapTopAndBottom/>
            <wp:docPr id="16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9"/>
                    <pic:cNvPicPr>
                      <a:picLocks noChangeAspect="1"/>
                    </pic:cNvPicPr>
                  </pic:nvPicPr>
                  <pic:blipFill>
                    <a:blip r:embed="rId279"/>
                    <a:stretch>
                      <a:fillRect/>
                    </a:stretch>
                  </pic:blipFill>
                  <pic:spPr>
                    <a:xfrm>
                      <a:off x="0" y="0"/>
                      <a:ext cx="5273675" cy="3133725"/>
                    </a:xfrm>
                    <a:prstGeom prst="rect">
                      <a:avLst/>
                    </a:prstGeom>
                    <a:noFill/>
                    <a:ln>
                      <a:noFill/>
                    </a:ln>
                  </pic:spPr>
                </pic:pic>
              </a:graphicData>
            </a:graphic>
          </wp:anchor>
        </w:drawing>
      </w:r>
      <w:r>
        <w:rPr>
          <w:rFonts w:hint="default" w:ascii="Calibri" w:hAnsi="Calibri" w:eastAsia="宋体" w:cs="Times New Roman"/>
          <w:sz w:val="24"/>
          <w:szCs w:val="24"/>
          <w:lang w:val="en-US" w:eastAsia="zh-CN"/>
        </w:rPr>
        <w:t>采购管理模块：包含供应商信息、原料特性、采购批次，实现原材料供应商信息管理、原料属性记录及采购批次追溯。</w:t>
      </w:r>
    </w:p>
    <w:p w14:paraId="029F09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设计版权保护板块：由设计存证、侵权检测、版权交易构成，基于区块链存证技术实现设计稿上链存证、全网侵权监测及版权交易智能分配。</w:t>
      </w:r>
    </w:p>
    <w:p w14:paraId="007E15AA">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48352" behindDoc="0" locked="0" layoutInCell="1" allowOverlap="1">
            <wp:simplePos x="0" y="0"/>
            <wp:positionH relativeFrom="column">
              <wp:posOffset>15875</wp:posOffset>
            </wp:positionH>
            <wp:positionV relativeFrom="paragraph">
              <wp:posOffset>5715</wp:posOffset>
            </wp:positionV>
            <wp:extent cx="5266055" cy="3135630"/>
            <wp:effectExtent l="0" t="0" r="10795" b="7620"/>
            <wp:wrapTopAndBottom/>
            <wp:docPr id="16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4"/>
                    <pic:cNvPicPr>
                      <a:picLocks noChangeAspect="1"/>
                    </pic:cNvPicPr>
                  </pic:nvPicPr>
                  <pic:blipFill>
                    <a:blip r:embed="rId280"/>
                    <a:stretch>
                      <a:fillRect/>
                    </a:stretch>
                  </pic:blipFill>
                  <pic:spPr>
                    <a:xfrm>
                      <a:off x="0" y="0"/>
                      <a:ext cx="5266055" cy="3135630"/>
                    </a:xfrm>
                    <a:prstGeom prst="rect">
                      <a:avLst/>
                    </a:prstGeom>
                    <a:noFill/>
                    <a:ln>
                      <a:noFill/>
                    </a:ln>
                  </pic:spPr>
                </pic:pic>
              </a:graphicData>
            </a:graphic>
          </wp:anchor>
        </w:drawing>
      </w:r>
      <w:r>
        <w:rPr>
          <w:rFonts w:hint="default" w:ascii="Calibri" w:hAnsi="Calibri" w:eastAsia="宋体" w:cs="Times New Roman"/>
          <w:sz w:val="24"/>
          <w:szCs w:val="24"/>
          <w:lang w:val="en-US" w:eastAsia="zh-CN"/>
        </w:rPr>
        <w:t>生产操作板块：包含生产数据录入、设备管理、生产进度追踪，实现生产过程数据上链、生产设备监控及生产进度可视化追溯。</w:t>
      </w:r>
    </w:p>
    <w:p w14:paraId="2F552771">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50400" behindDoc="0" locked="0" layoutInCell="1" allowOverlap="1">
            <wp:simplePos x="0" y="0"/>
            <wp:positionH relativeFrom="column">
              <wp:posOffset>-13970</wp:posOffset>
            </wp:positionH>
            <wp:positionV relativeFrom="paragraph">
              <wp:posOffset>38100</wp:posOffset>
            </wp:positionV>
            <wp:extent cx="5273040" cy="2698115"/>
            <wp:effectExtent l="0" t="0" r="0" b="0"/>
            <wp:wrapTopAndBottom/>
            <wp:docPr id="16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0"/>
                    <pic:cNvPicPr>
                      <a:picLocks noChangeAspect="1"/>
                    </pic:cNvPicPr>
                  </pic:nvPicPr>
                  <pic:blipFill>
                    <a:blip r:embed="rId281"/>
                    <a:stretch>
                      <a:fillRect/>
                    </a:stretch>
                  </pic:blipFill>
                  <pic:spPr>
                    <a:xfrm>
                      <a:off x="0" y="0"/>
                      <a:ext cx="5273040" cy="2698115"/>
                    </a:xfrm>
                    <a:prstGeom prst="rect">
                      <a:avLst/>
                    </a:prstGeom>
                    <a:noFill/>
                    <a:ln>
                      <a:noFill/>
                    </a:ln>
                  </pic:spPr>
                </pic:pic>
              </a:graphicData>
            </a:graphic>
          </wp:anchor>
        </w:drawing>
      </w:r>
      <w:r>
        <w:rPr>
          <w:rFonts w:hint="default" w:ascii="Calibri" w:hAnsi="Calibri" w:eastAsia="宋体" w:cs="Times New Roman"/>
          <w:sz w:val="24"/>
          <w:szCs w:val="24"/>
          <w:lang w:val="en-US" w:eastAsia="zh-CN"/>
        </w:rPr>
        <w:t>库存管理模块：由入库信息、库存实时更新、仓储环境组成，保障库存入库信息记录、库存动态更新及仓储环境监测。</w:t>
      </w:r>
    </w:p>
    <w:p w14:paraId="7F728BD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51424" behindDoc="0" locked="0" layoutInCell="1" allowOverlap="1">
            <wp:simplePos x="0" y="0"/>
            <wp:positionH relativeFrom="column">
              <wp:posOffset>25400</wp:posOffset>
            </wp:positionH>
            <wp:positionV relativeFrom="paragraph">
              <wp:posOffset>46990</wp:posOffset>
            </wp:positionV>
            <wp:extent cx="5158105" cy="1508760"/>
            <wp:effectExtent l="0" t="0" r="0" b="15240"/>
            <wp:wrapTopAndBottom/>
            <wp:docPr id="1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4"/>
                    <pic:cNvPicPr>
                      <a:picLocks noChangeAspect="1"/>
                    </pic:cNvPicPr>
                  </pic:nvPicPr>
                  <pic:blipFill>
                    <a:blip r:embed="rId282"/>
                    <a:stretch>
                      <a:fillRect/>
                    </a:stretch>
                  </pic:blipFill>
                  <pic:spPr>
                    <a:xfrm>
                      <a:off x="0" y="0"/>
                      <a:ext cx="5158105" cy="1508760"/>
                    </a:xfrm>
                    <a:prstGeom prst="rect">
                      <a:avLst/>
                    </a:prstGeom>
                    <a:noFill/>
                    <a:ln>
                      <a:noFill/>
                    </a:ln>
                  </pic:spPr>
                </pic:pic>
              </a:graphicData>
            </a:graphic>
          </wp:anchor>
        </w:drawing>
      </w:r>
      <w:r>
        <w:rPr>
          <w:rFonts w:hint="default" w:ascii="Calibri" w:hAnsi="Calibri" w:eastAsia="宋体" w:cs="Times New Roman"/>
          <w:sz w:val="24"/>
          <w:szCs w:val="24"/>
          <w:lang w:val="en-US" w:eastAsia="zh-CN"/>
        </w:rPr>
        <w:t>服装销售追溯板块：涵盖定制订单管理、经销商管理、售后管理，支持定制订单全流程管理、经销商防窜货及售后维权上链。</w:t>
      </w:r>
    </w:p>
    <w:p w14:paraId="62D471DD">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52448" behindDoc="0" locked="0" layoutInCell="1" allowOverlap="1">
            <wp:simplePos x="0" y="0"/>
            <wp:positionH relativeFrom="column">
              <wp:posOffset>-5715</wp:posOffset>
            </wp:positionH>
            <wp:positionV relativeFrom="paragraph">
              <wp:posOffset>110490</wp:posOffset>
            </wp:positionV>
            <wp:extent cx="5267960" cy="2508250"/>
            <wp:effectExtent l="0" t="0" r="8890" b="6350"/>
            <wp:wrapTopAndBottom/>
            <wp:docPr id="16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5"/>
                    <pic:cNvPicPr>
                      <a:picLocks noChangeAspect="1"/>
                    </pic:cNvPicPr>
                  </pic:nvPicPr>
                  <pic:blipFill>
                    <a:blip r:embed="rId283"/>
                    <a:stretch>
                      <a:fillRect/>
                    </a:stretch>
                  </pic:blipFill>
                  <pic:spPr>
                    <a:xfrm>
                      <a:off x="0" y="0"/>
                      <a:ext cx="5267960" cy="2508250"/>
                    </a:xfrm>
                    <a:prstGeom prst="rect">
                      <a:avLst/>
                    </a:prstGeom>
                    <a:noFill/>
                    <a:ln>
                      <a:noFill/>
                    </a:ln>
                  </pic:spPr>
                </pic:pic>
              </a:graphicData>
            </a:graphic>
          </wp:anchor>
        </w:drawing>
      </w:r>
      <w:r>
        <w:rPr>
          <w:rFonts w:hint="default" w:ascii="Calibri" w:hAnsi="Calibri" w:eastAsia="宋体" w:cs="Times New Roman"/>
          <w:sz w:val="24"/>
          <w:szCs w:val="24"/>
          <w:lang w:val="en-US" w:eastAsia="zh-CN"/>
        </w:rPr>
        <w:t>物流管理模块：包含运输信息、运输条件、装卸情况，实现物流运输信息记录、运输条件监测及装卸过程追溯。</w:t>
      </w:r>
    </w:p>
    <w:p w14:paraId="70C7D2D1">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53472" behindDoc="0" locked="0" layoutInCell="1" allowOverlap="1">
            <wp:simplePos x="0" y="0"/>
            <wp:positionH relativeFrom="column">
              <wp:posOffset>-76835</wp:posOffset>
            </wp:positionH>
            <wp:positionV relativeFrom="paragraph">
              <wp:posOffset>95250</wp:posOffset>
            </wp:positionV>
            <wp:extent cx="5269230" cy="2375535"/>
            <wp:effectExtent l="0" t="0" r="7620" b="5715"/>
            <wp:wrapTopAndBottom/>
            <wp:docPr id="17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6"/>
                    <pic:cNvPicPr>
                      <a:picLocks noChangeAspect="1"/>
                    </pic:cNvPicPr>
                  </pic:nvPicPr>
                  <pic:blipFill>
                    <a:blip r:embed="rId284"/>
                    <a:stretch>
                      <a:fillRect/>
                    </a:stretch>
                  </pic:blipFill>
                  <pic:spPr>
                    <a:xfrm>
                      <a:off x="0" y="0"/>
                      <a:ext cx="5269230" cy="2375535"/>
                    </a:xfrm>
                    <a:prstGeom prst="rect">
                      <a:avLst/>
                    </a:prstGeom>
                    <a:noFill/>
                    <a:ln>
                      <a:noFill/>
                    </a:ln>
                  </pic:spPr>
                </pic:pic>
              </a:graphicData>
            </a:graphic>
          </wp:anchor>
        </w:drawing>
      </w:r>
      <w:r>
        <w:rPr>
          <w:rFonts w:hint="default" w:ascii="Calibri" w:hAnsi="Calibri" w:eastAsia="宋体" w:cs="Times New Roman"/>
          <w:sz w:val="24"/>
          <w:szCs w:val="24"/>
          <w:lang w:val="en-US" w:eastAsia="zh-CN"/>
        </w:rPr>
        <w:t>绿色溯源板块：由环保数据记录、回收追溯、碳足迹核算构成，用于废旧服装回收追溯、环保数据记录及碳足迹量化核算。</w:t>
      </w:r>
    </w:p>
    <w:p w14:paraId="22E459D2">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default" w:ascii="Calibri" w:hAnsi="Calibri" w:eastAsia="宋体" w:cs="Times New Roman"/>
          <w:sz w:val="24"/>
          <w:szCs w:val="24"/>
          <w:lang w:val="en-US" w:eastAsia="zh-CN"/>
        </w:rPr>
      </w:pPr>
      <w:r>
        <w:rPr>
          <w:rFonts w:ascii="Calibri" w:hAnsi="Calibri" w:eastAsia="宋体" w:cs="Times New Roman"/>
        </w:rPr>
        <w:drawing>
          <wp:anchor distT="0" distB="0" distL="114300" distR="114300" simplePos="0" relativeHeight="251754496" behindDoc="0" locked="0" layoutInCell="1" allowOverlap="1">
            <wp:simplePos x="0" y="0"/>
            <wp:positionH relativeFrom="column">
              <wp:posOffset>-68580</wp:posOffset>
            </wp:positionH>
            <wp:positionV relativeFrom="paragraph">
              <wp:posOffset>78105</wp:posOffset>
            </wp:positionV>
            <wp:extent cx="5274310" cy="1911985"/>
            <wp:effectExtent l="0" t="0" r="2540" b="12065"/>
            <wp:wrapTopAndBottom/>
            <wp:docPr id="17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7"/>
                    <pic:cNvPicPr>
                      <a:picLocks noChangeAspect="1"/>
                    </pic:cNvPicPr>
                  </pic:nvPicPr>
                  <pic:blipFill>
                    <a:blip r:embed="rId285"/>
                    <a:stretch>
                      <a:fillRect/>
                    </a:stretch>
                  </pic:blipFill>
                  <pic:spPr>
                    <a:xfrm>
                      <a:off x="0" y="0"/>
                      <a:ext cx="5274310" cy="1911985"/>
                    </a:xfrm>
                    <a:prstGeom prst="rect">
                      <a:avLst/>
                    </a:prstGeom>
                    <a:noFill/>
                    <a:ln>
                      <a:noFill/>
                    </a:ln>
                  </pic:spPr>
                </pic:pic>
              </a:graphicData>
            </a:graphic>
          </wp:anchor>
        </w:drawing>
      </w:r>
      <w:r>
        <w:rPr>
          <w:rFonts w:hint="default" w:ascii="Calibri" w:hAnsi="Calibri" w:eastAsia="宋体" w:cs="Times New Roman"/>
          <w:sz w:val="24"/>
          <w:szCs w:val="24"/>
          <w:lang w:val="en-US" w:eastAsia="zh-CN"/>
        </w:rPr>
        <w:t>大数据分析板块：包含运营分析、需求预测、风险预警，基于区块链数据实现企业运营数据统计、市场需求预测及风险预警。</w:t>
      </w:r>
    </w:p>
    <w:p w14:paraId="3C266466">
      <w:pPr>
        <w:bidi w:val="0"/>
        <w:jc w:val="both"/>
        <w:rPr>
          <w:rFonts w:hint="default" w:ascii="Calibri" w:hAnsi="Calibri" w:eastAsia="宋体" w:cs="Times New Roman"/>
          <w:lang w:val="en-US" w:eastAsia="zh-CN"/>
        </w:rPr>
      </w:pPr>
    </w:p>
    <w:p w14:paraId="172BFECA">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3B638538">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系统测试实施多维度质量保障：单元测试针对Go语言编写的智能合约与后端服务函数，使用go test框架确保逻辑正确性；集成测试验证前后端数据交互、API接口响应及与Fabric网络的连通性；功能测试覆盖所有八大业务模块的用户操作流程，确保各角色功能符合需求定义；性能测试利用内置tape工具对Fabric网络进行压力测试，评估交易吞吐量（TPS）与延迟，同时对后端API进行负载</w:t>
      </w:r>
      <w:r>
        <w:rPr>
          <w:rFonts w:ascii="Calibri" w:hAnsi="Calibri" w:eastAsia="宋体" w:cs="Times New Roman"/>
        </w:rPr>
        <w:drawing>
          <wp:anchor distT="0" distB="0" distL="114300" distR="114300" simplePos="0" relativeHeight="251749376" behindDoc="0" locked="0" layoutInCell="1" allowOverlap="1">
            <wp:simplePos x="0" y="0"/>
            <wp:positionH relativeFrom="column">
              <wp:posOffset>-19050</wp:posOffset>
            </wp:positionH>
            <wp:positionV relativeFrom="paragraph">
              <wp:posOffset>842010</wp:posOffset>
            </wp:positionV>
            <wp:extent cx="5270500" cy="3004820"/>
            <wp:effectExtent l="0" t="0" r="6350" b="5080"/>
            <wp:wrapTopAndBottom/>
            <wp:docPr id="1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8"/>
                    <pic:cNvPicPr>
                      <a:picLocks noChangeAspect="1"/>
                    </pic:cNvPicPr>
                  </pic:nvPicPr>
                  <pic:blipFill>
                    <a:blip r:embed="rId286"/>
                    <a:stretch>
                      <a:fillRect/>
                    </a:stretch>
                  </pic:blipFill>
                  <pic:spPr>
                    <a:xfrm>
                      <a:off x="0" y="0"/>
                      <a:ext cx="5270500" cy="3004820"/>
                    </a:xfrm>
                    <a:prstGeom prst="rect">
                      <a:avLst/>
                    </a:prstGeom>
                    <a:noFill/>
                    <a:ln>
                      <a:noFill/>
                    </a:ln>
                  </pic:spPr>
                </pic:pic>
              </a:graphicData>
            </a:graphic>
          </wp:anchor>
        </w:drawing>
      </w:r>
      <w:r>
        <w:rPr>
          <w:rFonts w:hint="eastAsia" w:ascii="Calibri" w:hAnsi="Calibri" w:eastAsia="宋体" w:cs="Times New Roman"/>
          <w:sz w:val="24"/>
          <w:szCs w:val="24"/>
          <w:lang w:val="en-US" w:eastAsia="zh-CN"/>
        </w:rPr>
        <w:t>测试；安全测试重点检查权限绕过、数据注入及链码背书策略的有效性；兼容性测试验证系统在Chrome、Firefox、Safari等主流浏览器及移动端的显示与操作正常。测试过程中发现的缺陷通过缺陷管理系统跟踪至修复完成，确保版本质量。</w:t>
      </w:r>
      <w:r>
        <w:rPr>
          <w:rFonts w:hint="eastAsia" w:ascii="Calibri" w:hAnsi="Calibri" w:eastAsia="宋体" w:cs="Times New Roman"/>
          <w:b/>
          <w:bCs/>
          <w:sz w:val="28"/>
          <w:szCs w:val="28"/>
        </w:rPr>
        <w:t>6 总结</w:t>
      </w:r>
    </w:p>
    <w:p w14:paraId="350D48C0">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本项目成功设计并实现了基于Hyperledger Fabric的“衣链”服装溯源系统，通过联盟链技术有效解决了服装产业供应链中的数据孤岛、信息不透明与信任缺失问题。系统采用“传统Web+区块链”的混合架构，兼顾了业务处理效率与数据可信存证，预置的八大功能模块全面覆盖了服装从设计到回收的全生命周期。项目开发过程中，团队掌握了Fabric网络部署、链码开发、前后端集成等关键技术，积累了企业级区块链应用开发的经验。系统不仅为消费者提供了透明的产品溯源体验，也为企业提升了供应链管理效率与品牌可信度，同时为行业监管提供了可信数据接口。未来可探索与物联网（IoT）设备深度集成实现数据自动上链，并进一步优化跨链技术以实现更广范围的产业生态互联。</w:t>
      </w:r>
    </w:p>
    <w:p w14:paraId="3A8CC7DD">
      <w:pPr>
        <w:sectPr>
          <w:headerReference r:id="rId21" w:type="default"/>
          <w:footerReference r:id="rId2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D0F6D5D">
      <w:pPr>
        <w:pStyle w:val="3"/>
        <w:bidi w:val="0"/>
        <w:rPr>
          <w:rFonts w:hint="eastAsia"/>
          <w:lang w:val="en-US" w:eastAsia="zh-CN"/>
        </w:rPr>
      </w:pPr>
      <w:bookmarkStart w:id="776" w:name="_Toc17612"/>
      <w:bookmarkStart w:id="777" w:name="_Toc17140"/>
      <w:r>
        <w:rPr>
          <w:rFonts w:hint="eastAsia"/>
          <w:lang w:val="en-US" w:eastAsia="zh-CN"/>
        </w:rPr>
        <w:t>4.乐投平台</w:t>
      </w:r>
      <w:bookmarkEnd w:id="776"/>
      <w:bookmarkEnd w:id="777"/>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71E92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6EAB844">
            <w:pPr>
              <w:jc w:val="left"/>
              <w:outlineLvl w:val="0"/>
              <w:rPr>
                <w:rFonts w:hint="eastAsia" w:ascii="Calibri" w:hAnsi="Calibri" w:eastAsia="黑体" w:cs="Times New Roman"/>
                <w:szCs w:val="21"/>
                <w:lang w:val="en-US" w:eastAsia="zh-CN"/>
              </w:rPr>
            </w:pPr>
            <w:bookmarkStart w:id="778" w:name="_Toc29314"/>
            <w:bookmarkStart w:id="779" w:name="_Toc8956"/>
            <w:r>
              <w:rPr>
                <w:rFonts w:hint="eastAsia" w:ascii="Calibri" w:hAnsi="Calibri" w:eastAsia="黑体" w:cs="Times New Roman"/>
                <w:sz w:val="24"/>
                <w:lang w:val="en-US" w:eastAsia="zh-CN"/>
              </w:rPr>
              <w:t>项目</w:t>
            </w:r>
            <w:r>
              <w:rPr>
                <w:rFonts w:hint="eastAsia" w:ascii="Calibri" w:hAnsi="Calibri" w:eastAsia="黑体" w:cs="Times New Roman"/>
                <w:sz w:val="24"/>
              </w:rPr>
              <w:t>主题：</w:t>
            </w:r>
            <w:r>
              <w:rPr>
                <w:rFonts w:hint="eastAsia" w:ascii="Calibri" w:hAnsi="Calibri" w:eastAsia="黑体" w:cs="Times New Roman"/>
                <w:sz w:val="24"/>
                <w:lang w:val="en-US" w:eastAsia="zh-CN"/>
              </w:rPr>
              <w:t>乐投平台</w:t>
            </w:r>
            <w:bookmarkEnd w:id="778"/>
            <w:bookmarkEnd w:id="779"/>
          </w:p>
        </w:tc>
      </w:tr>
      <w:tr w14:paraId="6952D0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462B479">
            <w:pPr>
              <w:jc w:val="left"/>
              <w:rPr>
                <w:rFonts w:ascii="Calibri" w:hAnsi="Calibri" w:eastAsia="黑体" w:cs="Times New Roman"/>
                <w:sz w:val="24"/>
              </w:rPr>
            </w:pPr>
            <w:r>
              <w:rPr>
                <w:rFonts w:hint="eastAsia" w:ascii="Calibri" w:hAnsi="Calibri" w:eastAsia="黑体" w:cs="Times New Roman"/>
                <w:sz w:val="24"/>
              </w:rPr>
              <w:t>班    级：</w:t>
            </w:r>
            <w:r>
              <w:rPr>
                <w:rFonts w:hint="eastAsia" w:ascii="Calibri" w:hAnsi="Calibri" w:eastAsia="黑体" w:cs="Times New Roman"/>
                <w:sz w:val="24"/>
                <w:lang w:val="en-US" w:eastAsia="zh-CN"/>
              </w:rPr>
              <w:t>23级区块链工程</w:t>
            </w:r>
            <w:r>
              <w:rPr>
                <w:rFonts w:hint="eastAsia" w:ascii="Calibri" w:hAnsi="Calibri" w:eastAsia="黑体" w:cs="Times New Roman"/>
                <w:sz w:val="24"/>
              </w:rPr>
              <w:t>本科1班</w:t>
            </w:r>
          </w:p>
        </w:tc>
      </w:tr>
      <w:tr w14:paraId="594745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0B3E9C23">
            <w:pPr>
              <w:jc w:val="left"/>
              <w:rPr>
                <w:rFonts w:hint="default" w:ascii="Calibri" w:hAnsi="Calibri" w:eastAsia="黑体" w:cs="Times New Roman"/>
                <w:szCs w:val="21"/>
                <w:lang w:val="en-US"/>
              </w:rPr>
            </w:pPr>
            <w:r>
              <w:rPr>
                <w:rFonts w:hint="eastAsia" w:ascii="Calibri" w:hAnsi="Calibri" w:eastAsia="黑体" w:cs="Times New Roman"/>
                <w:sz w:val="24"/>
              </w:rPr>
              <w:t>学生姓名：李佳鑫</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张健</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雷燕</w:t>
            </w:r>
            <w:r>
              <w:rPr>
                <w:rFonts w:hint="eastAsia" w:ascii="Calibri" w:hAnsi="Calibri" w:eastAsia="黑体" w:cs="Times New Roman"/>
                <w:sz w:val="24"/>
                <w:lang w:val="en-US" w:eastAsia="zh-CN"/>
              </w:rPr>
              <w:t xml:space="preserve"> 易重庆 黄星雨 曹海珍  </w:t>
            </w:r>
            <w:r>
              <w:rPr>
                <w:rFonts w:hint="eastAsia" w:ascii="Calibri" w:hAnsi="Calibri" w:eastAsia="黑体" w:cs="Times New Roman"/>
                <w:sz w:val="24"/>
              </w:rPr>
              <w:t>指导教师：</w:t>
            </w:r>
            <w:r>
              <w:rPr>
                <w:rFonts w:hint="eastAsia" w:ascii="Calibri" w:hAnsi="Calibri" w:eastAsia="黑体" w:cs="Times New Roman"/>
                <w:sz w:val="22"/>
                <w:szCs w:val="22"/>
                <w:lang w:val="en-US" w:eastAsia="zh-CN"/>
              </w:rPr>
              <w:t>张红</w:t>
            </w:r>
            <w:r>
              <w:rPr>
                <w:rFonts w:hint="eastAsia" w:ascii="Calibri" w:hAnsi="Calibri" w:eastAsia="黑体" w:cs="Times New Roman"/>
                <w:sz w:val="24"/>
                <w:lang w:val="en-US" w:eastAsia="zh-CN"/>
              </w:rPr>
              <w:t xml:space="preserve"> </w:t>
            </w:r>
            <w:r>
              <w:rPr>
                <w:rFonts w:hint="eastAsia" w:ascii="Calibri" w:hAnsi="Calibri" w:eastAsia="黑体" w:cs="Times New Roman"/>
                <w:sz w:val="21"/>
                <w:szCs w:val="21"/>
                <w:lang w:val="en-US" w:eastAsia="zh-CN"/>
              </w:rPr>
              <w:t>翟剑锟</w:t>
            </w:r>
          </w:p>
        </w:tc>
      </w:tr>
    </w:tbl>
    <w:p w14:paraId="727DD5B5">
      <w:pPr>
        <w:bidi w:val="0"/>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0B9DE404">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6FE740F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Calibri" w:hAnsi="Calibri" w:eastAsia="宋体" w:cs="Times New Roman"/>
          <w:sz w:val="24"/>
          <w:szCs w:val="24"/>
        </w:rPr>
      </w:pPr>
      <w:r>
        <w:rPr>
          <w:rFonts w:hint="eastAsia" w:ascii="Calibri" w:hAnsi="Calibri" w:eastAsia="宋体" w:cs="Times New Roman"/>
          <w:sz w:val="24"/>
          <w:szCs w:val="24"/>
          <w:lang w:val="en-US" w:eastAsia="zh-CN"/>
        </w:rPr>
        <w:t>本项目“区块链彩票”是一个基于以太坊生态构建的去中心化数字彩票平台，旨在通过区块链技术重塑传统彩票的信任机制与运营模式。项目定位为以“去中心化”为核心的安全可信数字彩票平台，依托智能合约技术实现彩票投注、开奖、奖金发放全流程的自动化与公开化，无需任何中心化第三方机构介入，为用户提供去信任化的彩票参与体验。平台通过公开透明的链上逻辑与数据，确保每一笔投注、每一次开奖、每一轮奖金分配均可被验证且不可篡改，有效解决了传统彩票因中心化运营而可能存在的暗箱操作、奖金挪用、数据不透明等信任问题，同时探索了区块链技术在高公平性需求场景下的创新落地应用。核心价值体现为“安全可靠、透明可追溯、去信任化、高效便捷”。目标用户主要包括两类人群：一是对传统彩票信任不足、追求绝对公平透明投注环境的彩票爱好者；二是熟悉加密货币与去中心化应用（DApp）操作、愿意尝试区块链技术落地应用的区块链原生用户。平台使用自定义的代币作为投注媒介，用户通过MetaMask钱包连接并管理资产，整个业务流程——从购买代币、选择号码投注、等待智能合约自动开奖到中奖奖金的即时发放——全部在链上完成，构建了一个自治、透明、可信的数字博彩新范式。</w:t>
      </w:r>
    </w:p>
    <w:p w14:paraId="080125E8">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04A0FA8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采用基于以太坊技术栈的全套开发环境，构建了一个从本地测试到前端交互的完整DApp开发闭环。区块链底层在开发与测试阶段使用Ganache，这是一个用于创建本地以太坊区块链的模拟环境，它允许开发者在无需连接真实公链、无需消耗真实Gas费的情况下，快速部署智能合约、模拟账户交易并进行功能调试，极大地提升了开发效率与便利性。核心业务逻辑层使用Solidity语言编写智能合约，这是以太坊生态中用于定义去中心化应用业务规则的标准编程语言，合约代码涵盖了代币发行（ERC20标准）、投注记录管理、开奖算法、权限控制及奖金发放等所有核心功能。前端开发层采用经典的Web技术组合：使用HTML5构建页面结构，CSS3结合Bootstrap框架进行样式设计与响应式布局，确保应用在桌面端与移动端均有良好的视觉体验与交互适应性。前端与区块链的通信通过web3.js库实现，这是一个允许JavaScript代码与以太坊节点交互的API库，负责调用合约方法、监听链上事件、获取账户状态等关键操作。用户身份认证与资产管理完全集成MetaMask浏览器插件钱包，它充当了用户与DApp之间的安全桥梁。此外，项目使用Mocha测试框架配合Chai断言库，为智能合约编写了完整的单元测试用例，确保合约逻辑的安全性与正确性。整体开发环境强调模块化、可测试性与对以太坊生态标准工具的深度集成。</w:t>
      </w:r>
    </w:p>
    <w:p w14:paraId="7C211D3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前端技术栈的核心在于构建用户与Web应用之间的交互界面。HTML负责页面的结构，CSS负责页面的样式，而JavaScript则负责页面的交互逻辑。这三者相互协作，</w:t>
      </w:r>
      <w:r>
        <w:rPr>
          <w:rFonts w:hint="eastAsia" w:ascii="Calibri" w:hAnsi="Calibri" w:eastAsia="宋体" w:cs="Times New Roman"/>
          <w:sz w:val="24"/>
          <w:szCs w:val="24"/>
          <w:lang w:val="en-US" w:eastAsia="zh-CN"/>
        </w:rPr>
        <w:t>可以开发</w:t>
      </w:r>
      <w:r>
        <w:rPr>
          <w:rFonts w:hint="eastAsia" w:ascii="Calibri" w:hAnsi="Calibri" w:eastAsia="宋体" w:cs="Times New Roman"/>
          <w:sz w:val="24"/>
          <w:szCs w:val="24"/>
        </w:rPr>
        <w:t>Web</w:t>
      </w:r>
      <w:r>
        <w:rPr>
          <w:rFonts w:hint="eastAsia" w:ascii="Calibri" w:hAnsi="Calibri" w:eastAsia="宋体" w:cs="Times New Roman"/>
          <w:sz w:val="24"/>
          <w:szCs w:val="24"/>
          <w:lang w:val="en-US" w:eastAsia="zh-CN"/>
        </w:rPr>
        <w:t>2.0互联网交互</w:t>
      </w:r>
      <w:r>
        <w:rPr>
          <w:rFonts w:hint="eastAsia" w:ascii="Calibri" w:hAnsi="Calibri" w:eastAsia="宋体" w:cs="Times New Roman"/>
          <w:sz w:val="24"/>
          <w:szCs w:val="24"/>
        </w:rPr>
        <w:t>应用。</w:t>
      </w:r>
    </w:p>
    <w:p w14:paraId="7EC605F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HTML（HyperText Markup Language，超文本标记语言）是用于描述网页结构的标记语言（并非编程语言），核心作用是通过预定义的“标记（标签）”告诉浏览器如何组织和展示网页内容（如标题、段落、图片、链接等）。</w:t>
      </w:r>
    </w:p>
    <w:p w14:paraId="16AF0C4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CSS（Cascading Style Sheets）用于描述网页的样式，包括颜色、字体、布局等。通过CSS，我们可以对HTML元素进行美化，提升页面的视觉效果和用户体验。层叠性：多个样式规则可作用于同一元素，优先级高的规则会覆盖优先级低的规则，冲突时按特定优先级顺序生效；继承性：部分样式属性（如字体、颜色）会从父元素自动继承到子元素，减少重复代码；分离性：将样式代码与 HTML 结构代码分离，便于代码维护和样式复用，同时让 HTML 专注于语义化结构；版本迭代：目前主流为 CSS3，新增圆角、阴影、渐变、动画、弹性布局等特性，大幅提升网页视觉表现力。</w:t>
      </w:r>
    </w:p>
    <w:p w14:paraId="2FB9F08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JavaScript（简称 JS）是一种具有面向对象能力的脚本语言，主要用于增强网页的交互性与动态性。通过 JavaScript，我们可以对用户操作做出响应、修改 HTML/CSS 内容、处理数据、与服务器进行通信等，与 HTML（结构）、CSS（样式）共同构成现代网页开发的三大核心技术，大幅提升页面的交互体验和功能完整性。</w:t>
      </w:r>
    </w:p>
    <w:p w14:paraId="1B08298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JavaScript的核心特征：</w:t>
      </w:r>
    </w:p>
    <w:p w14:paraId="4464E93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解释性：无需编译，由浏览器逐行解释执行，开发效率高，无需关注底层编译细节；</w:t>
      </w:r>
    </w:p>
    <w:p w14:paraId="4C57FA0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弱类型：变量类型无需预先声明，可动态转换（如数字与字符串相互转换），使用灵活但需注意类型校验；</w:t>
      </w:r>
    </w:p>
    <w:p w14:paraId="45CEE04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多范式：支持面向过程、面向对象（基于原型）、函数式编程等多种编程范式，适配不同开发场景；</w:t>
      </w:r>
    </w:p>
    <w:p w14:paraId="087D2EE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跨平台性：不仅可在浏览器端运行，还可通过 Node.js 运行环境在服务器端、桌面端等多种平台运行；</w:t>
      </w:r>
    </w:p>
    <w:p w14:paraId="0AD11F2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Web3.js 是一套基于 JavaScript/TypeScript 开发的开源库，诞生于 2014 年，由 ChainSafe Systems 主导维护，是连接传统 Web 应用与以太坊及其他兼容 EVM（以太坊虚拟机）区块链网络的核心桥梁。其核心价值在于封装了复杂的区块链底层通信协议，为开发者提供了简洁易用的 API 接口，无需深入理解区块链底层原理，即可快速实现与区块链节点的交互，构建去中心化应用（DApp）。</w:t>
      </w:r>
    </w:p>
    <w:p w14:paraId="14949AA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区块链网络的底层通信依赖 JSON-RPC 协议，直接调用该协议需要处理复杂的数据格式转换与网络请求逻辑，门槛较高。Web3.js 的核心定位是对 JSON-RPC 协议进行抽象封装，简化开发者与区块链节点的交互流程。</w:t>
      </w:r>
    </w:p>
    <w:p w14:paraId="071DB03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其核心价值主要体现在三个方面：一是降低开发门槛，让熟悉 JavaScript/TypeScript 的开发者能够快速切入区块链开发领域；二是提升开发效率，提供丰富的工具函数与模块化 API，覆盖区块链交互全流程；三是保障兼容性，支持浏览器、Node.js、Electron 等多种运行环境，同时适配所有 EVM 兼容链，实现跨链开发支持。</w:t>
      </w:r>
    </w:p>
    <w:p w14:paraId="570C913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模块化架构设计：采用分层模块化设计，核心功能与扩展功能分离，开发者可按需安装所需模块，减少项目依赖体积，支持 ESM 和 CommonJS 两种模块规范，适配不同项目构建方案。</w:t>
      </w:r>
    </w:p>
    <w:p w14:paraId="599CA89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全面的类型支持：基于 TypeScript 重写，提供完整的类型定义，通过严格的类型校验提升代码安全性，减少开发过程中的类型错误。</w:t>
      </w:r>
    </w:p>
    <w:p w14:paraId="1DDA7AD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高效的 ABI 编解码：内置行业领先的 ABI（应用二进制接口）编解码工具，支持智能合约交互过程中的数据格式转换，性能优化优异。</w:t>
      </w:r>
    </w:p>
    <w:p w14:paraId="03C97E0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灵活的输出格式化：支持将区块链返回的数据格式化为字符串、数字、BigInt 等多种类型，适配不同业务场景的数据处理需求。</w:t>
      </w:r>
    </w:p>
    <w:p w14:paraId="1A7150A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多环境多协议支持：支持通过 HTTP、IPC、WebSocket 三种方式与区块链节点通信，可运行于浏览器、Node.js 后端、桌面应用等多种环境。</w:t>
      </w:r>
    </w:p>
    <w:p w14:paraId="13AB3A1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丰富的生态适配：无缝兼容 MetaMask 等主流钱包插件，支持 Infura 等节点服务提供商，与 Hardhat 等开发工具链深度集成，形成完整的开发闭环。</w:t>
      </w:r>
    </w:p>
    <w:p w14:paraId="1D3A3A0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Web3.js v4.x 采用模块化设计，核心模块与扩展插件分离，开发者可通过 npm 按需安装，核心模块结构如下：</w:t>
      </w:r>
    </w:p>
    <w:p w14:paraId="040526D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核心包（web3）</w:t>
      </w:r>
    </w:p>
    <w:p w14:paraId="56E4661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基础入口包，提供核心的初始化能力与工具函数集合，安装命令：npm install web3，通过该包可初始化 Web3 实例，建立与区块链节点的连接。</w:t>
      </w:r>
    </w:p>
    <w:p w14:paraId="5B4634F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核心子模块</w:t>
      </w:r>
    </w:p>
    <w:p w14:paraId="0634E8C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web3.eth：以太坊主链交互核心模块，提供区块查询、交易发送、账户管理等核心功能。关键方法包括 getBlockNumber()（获取最新区块号）、getBalance()（查询账户余额）、sendTransaction()（发送交易）、subscribe()（订阅链上事件）等。</w:t>
      </w:r>
    </w:p>
    <w:p w14:paraId="7C86E81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web3.eth.contract：智能合约交互模块，支持通过 ABI 生成合约实例，实现合约方法调用与交易发送。核心流程为：通过 ABI 和合约地址创建实例 → 调用 call() 方法读取合约数据 → 调用 send() 方法发送合约交易。</w:t>
      </w:r>
    </w:p>
    <w:p w14:paraId="6FC9DD1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web3.utils：工具函数模块，提供区块链开发常用工具，如 ETH 与 Wei 单位转换（toWei()/fromWei()）、哈希计算（keccak256()）、地址有效性校验（isAddress()）、数据格式转换（hexToUtf8()）等。</w:t>
      </w:r>
    </w:p>
    <w:p w14:paraId="72F8980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web3.eth.accounts：本地账户管理模块，支持离线生成以太坊账户、签名交易与数据，无需依赖区块链节点，保障私钥安全。</w:t>
      </w:r>
    </w:p>
    <w:p w14:paraId="1BD8393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web3.net：网络信息模块，用于查询区块链节点的网络状态，如网络 ID（getId()）、节点连接状态（isListening()）等。</w:t>
      </w:r>
    </w:p>
    <w:p w14:paraId="066ED9B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开发服务器：使用Ganache提供以太坊本地网络环境。Ganache是Truffle Suite的一部分，是一个用于以太坊区块链开发的个人区块链模拟器。它可以在本地计算机上启动以太坊网络环境，开发人员可以开发智能合约并测试和部署。</w:t>
      </w:r>
    </w:p>
    <w:p w14:paraId="70D9257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进入Ganache官网--Ganache - Truffle Suite，点击download即可下载适配电脑的版本，下载后的文件为appx版本，将其改为.exe即可成功运行</w:t>
      </w:r>
    </w:p>
    <w:p w14:paraId="4D25084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rPr>
        <w:drawing>
          <wp:anchor distT="0" distB="0" distL="114300" distR="114300" simplePos="0" relativeHeight="251757568" behindDoc="0" locked="0" layoutInCell="1" allowOverlap="1">
            <wp:simplePos x="0" y="0"/>
            <wp:positionH relativeFrom="column">
              <wp:posOffset>165100</wp:posOffset>
            </wp:positionH>
            <wp:positionV relativeFrom="paragraph">
              <wp:posOffset>135255</wp:posOffset>
            </wp:positionV>
            <wp:extent cx="4800600" cy="2590800"/>
            <wp:effectExtent l="0" t="0" r="0" b="0"/>
            <wp:wrapTopAndBottom/>
            <wp:docPr id="1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5"/>
                    <pic:cNvPicPr>
                      <a:picLocks noChangeAspect="1"/>
                    </pic:cNvPicPr>
                  </pic:nvPicPr>
                  <pic:blipFill>
                    <a:blip r:embed="rId287"/>
                    <a:stretch>
                      <a:fillRect/>
                    </a:stretch>
                  </pic:blipFill>
                  <pic:spPr>
                    <a:xfrm>
                      <a:off x="0" y="0"/>
                      <a:ext cx="4800600" cy="2590800"/>
                    </a:xfrm>
                    <a:prstGeom prst="rect">
                      <a:avLst/>
                    </a:prstGeom>
                    <a:noFill/>
                    <a:ln>
                      <a:noFill/>
                    </a:ln>
                  </pic:spPr>
                </pic:pic>
              </a:graphicData>
            </a:graphic>
          </wp:anchor>
        </w:drawing>
      </w:r>
      <w:r>
        <w:rPr>
          <w:rFonts w:hint="eastAsia" w:ascii="宋体" w:hAnsi="宋体" w:eastAsia="宋体" w:cs="宋体"/>
          <w:sz w:val="21"/>
          <w:szCs w:val="21"/>
          <w:lang w:val="en-US" w:eastAsia="zh-CN"/>
        </w:rPr>
        <w:t>图1.1 Ganache官网</w:t>
      </w:r>
    </w:p>
    <w:p w14:paraId="21D2F7C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如果官网下载缓慢，可以访问GitHub资源，找到exe版本链接下载--Releases · trufflesuite/ganache-ui。</w:t>
      </w:r>
    </w:p>
    <w:p w14:paraId="40C2522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下载后直接按步骤安装即可。</w:t>
      </w:r>
    </w:p>
    <w:p w14:paraId="39790AA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58592" behindDoc="0" locked="0" layoutInCell="1" allowOverlap="1">
            <wp:simplePos x="0" y="0"/>
            <wp:positionH relativeFrom="column">
              <wp:posOffset>255270</wp:posOffset>
            </wp:positionH>
            <wp:positionV relativeFrom="paragraph">
              <wp:posOffset>107950</wp:posOffset>
            </wp:positionV>
            <wp:extent cx="4762500" cy="3438525"/>
            <wp:effectExtent l="0" t="0" r="0" b="9525"/>
            <wp:wrapTopAndBottom/>
            <wp:docPr id="175"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6" descr="IMG_256"/>
                    <pic:cNvPicPr>
                      <a:picLocks noChangeAspect="1"/>
                    </pic:cNvPicPr>
                  </pic:nvPicPr>
                  <pic:blipFill>
                    <a:blip r:embed="rId288"/>
                    <a:stretch>
                      <a:fillRect/>
                    </a:stretch>
                  </pic:blipFill>
                  <pic:spPr>
                    <a:xfrm>
                      <a:off x="0" y="0"/>
                      <a:ext cx="4762500" cy="3438525"/>
                    </a:xfrm>
                    <a:prstGeom prst="rect">
                      <a:avLst/>
                    </a:prstGeom>
                    <a:noFill/>
                    <a:ln w="9525">
                      <a:noFill/>
                    </a:ln>
                  </pic:spPr>
                </pic:pic>
              </a:graphicData>
            </a:graphic>
          </wp:anchor>
        </w:drawing>
      </w:r>
      <w:r>
        <w:rPr>
          <w:rFonts w:hint="eastAsia" w:ascii="宋体" w:hAnsi="宋体" w:eastAsia="宋体" w:cs="宋体"/>
          <w:sz w:val="21"/>
          <w:szCs w:val="21"/>
          <w:lang w:val="en-US" w:eastAsia="zh-CN"/>
        </w:rPr>
        <w:t>图1.2 Ganache安装</w:t>
      </w:r>
    </w:p>
    <w:p w14:paraId="0D587C2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使用Ganache，双击打开，点击QUICKSTART，即可启动一个本地以太坊区块链，并显示10个预设账户及其相关信息，如下图所示。</w:t>
      </w:r>
    </w:p>
    <w:p w14:paraId="6BB2410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59616" behindDoc="0" locked="0" layoutInCell="1" allowOverlap="1">
            <wp:simplePos x="0" y="0"/>
            <wp:positionH relativeFrom="column">
              <wp:posOffset>355600</wp:posOffset>
            </wp:positionH>
            <wp:positionV relativeFrom="paragraph">
              <wp:posOffset>95250</wp:posOffset>
            </wp:positionV>
            <wp:extent cx="4762500" cy="2714625"/>
            <wp:effectExtent l="0" t="0" r="0" b="9525"/>
            <wp:wrapTopAndBottom/>
            <wp:docPr id="176"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 descr="IMG_256"/>
                    <pic:cNvPicPr>
                      <a:picLocks noChangeAspect="1"/>
                    </pic:cNvPicPr>
                  </pic:nvPicPr>
                  <pic:blipFill>
                    <a:blip r:embed="rId289"/>
                    <a:stretch>
                      <a:fillRect/>
                    </a:stretch>
                  </pic:blipFill>
                  <pic:spPr>
                    <a:xfrm>
                      <a:off x="0" y="0"/>
                      <a:ext cx="4762500" cy="2714625"/>
                    </a:xfrm>
                    <a:prstGeom prst="rect">
                      <a:avLst/>
                    </a:prstGeom>
                    <a:noFill/>
                    <a:ln w="9525">
                      <a:noFill/>
                    </a:ln>
                  </pic:spPr>
                </pic:pic>
              </a:graphicData>
            </a:graphic>
          </wp:anchor>
        </w:drawing>
      </w:r>
      <w:r>
        <w:rPr>
          <w:rFonts w:hint="eastAsia" w:ascii="宋体" w:hAnsi="宋体" w:eastAsia="宋体" w:cs="宋体"/>
          <w:sz w:val="21"/>
          <w:szCs w:val="21"/>
          <w:lang w:val="en-US" w:eastAsia="zh-CN"/>
        </w:rPr>
        <w:t>图1.3 Ganache主页</w:t>
      </w:r>
    </w:p>
    <w:p w14:paraId="23DF35D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主页内容包括Address，以太坊地址（0x 开头的公钥地址）。Balance，该地址当前持有的 ETH 数量。TX Count,交易计数（也可以理解为该地址的交易次数或 nonce）。在以太坊中，nonce（或 TX Count）通常表示“这个地址已经发起过多少笔交易”。Index该地址在此列表（或账户集合）中的索引编号。</w:t>
      </w:r>
    </w:p>
    <w:p w14:paraId="421886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智能合约部署,remix设置,进入remix</w:t>
      </w:r>
    </w:p>
    <w:p w14:paraId="1AAA373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0640" behindDoc="0" locked="0" layoutInCell="1" allowOverlap="1">
            <wp:simplePos x="0" y="0"/>
            <wp:positionH relativeFrom="column">
              <wp:posOffset>285115</wp:posOffset>
            </wp:positionH>
            <wp:positionV relativeFrom="paragraph">
              <wp:posOffset>185420</wp:posOffset>
            </wp:positionV>
            <wp:extent cx="3352800" cy="1847850"/>
            <wp:effectExtent l="0" t="0" r="0" b="0"/>
            <wp:wrapTopAndBottom/>
            <wp:docPr id="1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
                    <pic:cNvPicPr>
                      <a:picLocks noChangeAspect="1"/>
                    </pic:cNvPicPr>
                  </pic:nvPicPr>
                  <pic:blipFill>
                    <a:blip r:embed="rId290"/>
                    <a:stretch>
                      <a:fillRect/>
                    </a:stretch>
                  </pic:blipFill>
                  <pic:spPr>
                    <a:xfrm>
                      <a:off x="0" y="0"/>
                      <a:ext cx="3352800" cy="1847850"/>
                    </a:xfrm>
                    <a:prstGeom prst="rect">
                      <a:avLst/>
                    </a:prstGeom>
                    <a:noFill/>
                    <a:ln>
                      <a:noFill/>
                    </a:ln>
                  </pic:spPr>
                </pic:pic>
              </a:graphicData>
            </a:graphic>
          </wp:anchor>
        </w:drawing>
      </w:r>
      <w:r>
        <w:rPr>
          <w:rFonts w:hint="eastAsia" w:ascii="宋体" w:hAnsi="宋体" w:eastAsia="宋体" w:cs="宋体"/>
          <w:sz w:val="21"/>
          <w:szCs w:val="21"/>
          <w:lang w:val="en-US" w:eastAsia="zh-CN"/>
        </w:rPr>
        <w:t>图1.4 Remix创建文件</w:t>
      </w:r>
    </w:p>
    <w:p w14:paraId="185F8DD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点击新建文件，智能合约扩展名.sol,编辑智能合约代码。</w:t>
      </w:r>
    </w:p>
    <w:p w14:paraId="3A10BCD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1664" behindDoc="0" locked="0" layoutInCell="1" allowOverlap="1">
            <wp:simplePos x="0" y="0"/>
            <wp:positionH relativeFrom="column">
              <wp:posOffset>254000</wp:posOffset>
            </wp:positionH>
            <wp:positionV relativeFrom="paragraph">
              <wp:posOffset>139700</wp:posOffset>
            </wp:positionV>
            <wp:extent cx="5267325" cy="1430020"/>
            <wp:effectExtent l="0" t="0" r="9525" b="17780"/>
            <wp:wrapTopAndBottom/>
            <wp:docPr id="17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9"/>
                    <pic:cNvPicPr>
                      <a:picLocks noChangeAspect="1"/>
                    </pic:cNvPicPr>
                  </pic:nvPicPr>
                  <pic:blipFill>
                    <a:blip r:embed="rId291"/>
                    <a:stretch>
                      <a:fillRect/>
                    </a:stretch>
                  </pic:blipFill>
                  <pic:spPr>
                    <a:xfrm>
                      <a:off x="0" y="0"/>
                      <a:ext cx="5267325" cy="1430020"/>
                    </a:xfrm>
                    <a:prstGeom prst="rect">
                      <a:avLst/>
                    </a:prstGeom>
                    <a:noFill/>
                    <a:ln>
                      <a:noFill/>
                    </a:ln>
                  </pic:spPr>
                </pic:pic>
              </a:graphicData>
            </a:graphic>
          </wp:anchor>
        </w:drawing>
      </w:r>
      <w:r>
        <w:rPr>
          <w:rFonts w:hint="eastAsia" w:ascii="宋体" w:hAnsi="宋体" w:eastAsia="宋体" w:cs="宋体"/>
          <w:sz w:val="21"/>
          <w:szCs w:val="21"/>
          <w:lang w:val="en-US" w:eastAsia="zh-CN"/>
        </w:rPr>
        <w:t>图1.5 智能合约源码</w:t>
      </w:r>
    </w:p>
    <w:p w14:paraId="37AF6A2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选择编译器版本为0.8.x，再编译源码。</w:t>
      </w:r>
    </w:p>
    <w:p w14:paraId="53B1C2F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2688" behindDoc="0" locked="0" layoutInCell="1" allowOverlap="1">
            <wp:simplePos x="0" y="0"/>
            <wp:positionH relativeFrom="column">
              <wp:posOffset>243840</wp:posOffset>
            </wp:positionH>
            <wp:positionV relativeFrom="paragraph">
              <wp:posOffset>59690</wp:posOffset>
            </wp:positionV>
            <wp:extent cx="3248025" cy="2503170"/>
            <wp:effectExtent l="0" t="0" r="9525" b="11430"/>
            <wp:wrapTopAndBottom/>
            <wp:docPr id="1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0"/>
                    <pic:cNvPicPr>
                      <a:picLocks noChangeAspect="1"/>
                    </pic:cNvPicPr>
                  </pic:nvPicPr>
                  <pic:blipFill>
                    <a:blip r:embed="rId292"/>
                    <a:stretch>
                      <a:fillRect/>
                    </a:stretch>
                  </pic:blipFill>
                  <pic:spPr>
                    <a:xfrm>
                      <a:off x="0" y="0"/>
                      <a:ext cx="3248025" cy="2503170"/>
                    </a:xfrm>
                    <a:prstGeom prst="rect">
                      <a:avLst/>
                    </a:prstGeom>
                    <a:noFill/>
                    <a:ln>
                      <a:noFill/>
                    </a:ln>
                  </pic:spPr>
                </pic:pic>
              </a:graphicData>
            </a:graphic>
          </wp:anchor>
        </w:drawing>
      </w:r>
      <w:r>
        <w:rPr>
          <w:rFonts w:hint="eastAsia" w:ascii="宋体" w:hAnsi="宋体" w:eastAsia="宋体" w:cs="宋体"/>
          <w:sz w:val="21"/>
          <w:szCs w:val="21"/>
          <w:lang w:val="en-US" w:eastAsia="zh-CN"/>
        </w:rPr>
        <w:t>图1.6 编译智能合约</w:t>
      </w:r>
    </w:p>
    <w:p w14:paraId="720500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若编译运行成功，需要进行相关设置。注意：将EVM改成London，否则合约可能部署失败。EVM（Ethereum Virtual Machine）版本指定了合约要兼容的以太坊虚拟机升级。以太坊网络在不同阶段会进行硬分叉或升级，每次升级会引入新的特性或对某些操作码进行修改。</w:t>
      </w:r>
    </w:p>
    <w:p w14:paraId="2D30481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3712" behindDoc="0" locked="0" layoutInCell="1" allowOverlap="1">
            <wp:simplePos x="0" y="0"/>
            <wp:positionH relativeFrom="column">
              <wp:posOffset>838200</wp:posOffset>
            </wp:positionH>
            <wp:positionV relativeFrom="paragraph">
              <wp:posOffset>35560</wp:posOffset>
            </wp:positionV>
            <wp:extent cx="3543300" cy="2228850"/>
            <wp:effectExtent l="0" t="0" r="0" b="0"/>
            <wp:wrapTopAndBottom/>
            <wp:docPr id="1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1"/>
                    <pic:cNvPicPr>
                      <a:picLocks noChangeAspect="1"/>
                    </pic:cNvPicPr>
                  </pic:nvPicPr>
                  <pic:blipFill>
                    <a:blip r:embed="rId293"/>
                    <a:stretch>
                      <a:fillRect/>
                    </a:stretch>
                  </pic:blipFill>
                  <pic:spPr>
                    <a:xfrm>
                      <a:off x="0" y="0"/>
                      <a:ext cx="3543300" cy="2228850"/>
                    </a:xfrm>
                    <a:prstGeom prst="rect">
                      <a:avLst/>
                    </a:prstGeom>
                    <a:noFill/>
                    <a:ln>
                      <a:noFill/>
                    </a:ln>
                  </pic:spPr>
                </pic:pic>
              </a:graphicData>
            </a:graphic>
          </wp:anchor>
        </w:drawing>
      </w:r>
      <w:r>
        <w:rPr>
          <w:rFonts w:hint="eastAsia" w:ascii="宋体" w:hAnsi="宋体" w:eastAsia="宋体" w:cs="宋体"/>
          <w:sz w:val="21"/>
          <w:szCs w:val="21"/>
          <w:lang w:val="en-US" w:eastAsia="zh-CN"/>
        </w:rPr>
        <w:t>图1.7 选择部署环境</w:t>
      </w:r>
    </w:p>
    <w:p w14:paraId="5CC7E4A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账户设置，在插件中找到Matamask钱包。注意：一定要在remix界面打开插件，不能打开matamask网页。点击左上角添加自定义网络。</w:t>
      </w:r>
    </w:p>
    <w:p w14:paraId="788AFED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 xml:space="preserve">图1.8 </w:t>
      </w:r>
      <w:r>
        <w:rPr>
          <w:rFonts w:hint="eastAsia" w:ascii="宋体" w:hAnsi="宋体" w:eastAsia="宋体" w:cs="宋体"/>
          <w:sz w:val="21"/>
          <w:szCs w:val="21"/>
          <w:lang w:val="en-US" w:eastAsia="zh-CN"/>
        </w:rPr>
        <w:drawing>
          <wp:anchor distT="0" distB="0" distL="114300" distR="114300" simplePos="0" relativeHeight="251764736" behindDoc="0" locked="0" layoutInCell="1" allowOverlap="1">
            <wp:simplePos x="0" y="0"/>
            <wp:positionH relativeFrom="column">
              <wp:posOffset>1354455</wp:posOffset>
            </wp:positionH>
            <wp:positionV relativeFrom="paragraph">
              <wp:posOffset>40640</wp:posOffset>
            </wp:positionV>
            <wp:extent cx="2943225" cy="2228850"/>
            <wp:effectExtent l="0" t="0" r="9525" b="0"/>
            <wp:wrapTopAndBottom/>
            <wp:docPr id="1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2"/>
                    <pic:cNvPicPr>
                      <a:picLocks noChangeAspect="1"/>
                    </pic:cNvPicPr>
                  </pic:nvPicPr>
                  <pic:blipFill>
                    <a:blip r:embed="rId294"/>
                    <a:stretch>
                      <a:fillRect/>
                    </a:stretch>
                  </pic:blipFill>
                  <pic:spPr>
                    <a:xfrm>
                      <a:off x="0" y="0"/>
                      <a:ext cx="2943225" cy="2228850"/>
                    </a:xfrm>
                    <a:prstGeom prst="rect">
                      <a:avLst/>
                    </a:prstGeom>
                    <a:noFill/>
                    <a:ln>
                      <a:noFill/>
                    </a:ln>
                  </pic:spPr>
                </pic:pic>
              </a:graphicData>
            </a:graphic>
          </wp:anchor>
        </w:drawing>
      </w:r>
      <w:r>
        <w:rPr>
          <w:rFonts w:hint="eastAsia" w:ascii="宋体" w:hAnsi="宋体" w:eastAsia="宋体" w:cs="宋体"/>
          <w:sz w:val="21"/>
          <w:szCs w:val="21"/>
          <w:lang w:val="en-US" w:eastAsia="zh-CN"/>
        </w:rPr>
        <w:t>配置本地环境</w:t>
      </w:r>
    </w:p>
    <w:p w14:paraId="7BD259A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具体设置内容参考Ganache中设置里server内容</w:t>
      </w:r>
    </w:p>
    <w:p w14:paraId="7F0960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770880" behindDoc="0" locked="0" layoutInCell="1" allowOverlap="1">
            <wp:simplePos x="0" y="0"/>
            <wp:positionH relativeFrom="column">
              <wp:posOffset>1298575</wp:posOffset>
            </wp:positionH>
            <wp:positionV relativeFrom="paragraph">
              <wp:posOffset>149860</wp:posOffset>
            </wp:positionV>
            <wp:extent cx="2515870" cy="1266825"/>
            <wp:effectExtent l="0" t="0" r="17780" b="9525"/>
            <wp:wrapNone/>
            <wp:docPr id="18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3"/>
                    <pic:cNvPicPr>
                      <a:picLocks noChangeAspect="1"/>
                    </pic:cNvPicPr>
                  </pic:nvPicPr>
                  <pic:blipFill>
                    <a:blip r:embed="rId295"/>
                    <a:stretch>
                      <a:fillRect/>
                    </a:stretch>
                  </pic:blipFill>
                  <pic:spPr>
                    <a:xfrm>
                      <a:off x="0" y="0"/>
                      <a:ext cx="2515870" cy="1266825"/>
                    </a:xfrm>
                    <a:prstGeom prst="rect">
                      <a:avLst/>
                    </a:prstGeom>
                    <a:noFill/>
                    <a:ln>
                      <a:noFill/>
                    </a:ln>
                  </pic:spPr>
                </pic:pic>
              </a:graphicData>
            </a:graphic>
          </wp:anchor>
        </w:drawing>
      </w:r>
    </w:p>
    <w:p w14:paraId="48EF0AC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p>
    <w:p w14:paraId="55AAFD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p>
    <w:p w14:paraId="74BA92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p>
    <w:p w14:paraId="1CD877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lang w:val="en-US" w:eastAsia="zh-CN"/>
        </w:rPr>
      </w:pPr>
    </w:p>
    <w:p w14:paraId="4760F9A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图1.9 配置Server</w:t>
      </w:r>
    </w:p>
    <w:p w14:paraId="156742A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账户添加，在Ganache中点击小钥匙，将私钥PRIVATE KEY复制，进入matamask添加账户，点击导入账户，将刚才复制的私钥粘贴，提示账户导入成功，能够看到当前账户余额。</w:t>
      </w:r>
    </w:p>
    <w:p w14:paraId="3E38A01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5760" behindDoc="0" locked="0" layoutInCell="1" allowOverlap="1">
            <wp:simplePos x="0" y="0"/>
            <wp:positionH relativeFrom="column">
              <wp:posOffset>815975</wp:posOffset>
            </wp:positionH>
            <wp:positionV relativeFrom="paragraph">
              <wp:posOffset>59690</wp:posOffset>
            </wp:positionV>
            <wp:extent cx="3038475" cy="1476375"/>
            <wp:effectExtent l="0" t="0" r="9525" b="9525"/>
            <wp:wrapTopAndBottom/>
            <wp:docPr id="18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4"/>
                    <pic:cNvPicPr>
                      <a:picLocks noChangeAspect="1"/>
                    </pic:cNvPicPr>
                  </pic:nvPicPr>
                  <pic:blipFill>
                    <a:blip r:embed="rId296"/>
                    <a:stretch>
                      <a:fillRect/>
                    </a:stretch>
                  </pic:blipFill>
                  <pic:spPr>
                    <a:xfrm>
                      <a:off x="0" y="0"/>
                      <a:ext cx="3038475" cy="1476375"/>
                    </a:xfrm>
                    <a:prstGeom prst="rect">
                      <a:avLst/>
                    </a:prstGeom>
                    <a:noFill/>
                    <a:ln>
                      <a:noFill/>
                    </a:ln>
                  </pic:spPr>
                </pic:pic>
              </a:graphicData>
            </a:graphic>
          </wp:anchor>
        </w:drawing>
      </w:r>
      <w:r>
        <w:rPr>
          <w:rFonts w:hint="eastAsia" w:ascii="宋体" w:hAnsi="宋体" w:eastAsia="宋体" w:cs="宋体"/>
          <w:sz w:val="21"/>
          <w:szCs w:val="21"/>
          <w:lang w:val="en-US" w:eastAsia="zh-CN"/>
        </w:rPr>
        <w:t>图1.10 添加账户</w:t>
      </w:r>
    </w:p>
    <w:p w14:paraId="640787B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部署智能合约，在remix中点击以太坊标识，将环境改为matamask，account改为刚才添加的账户后点击deploy，会出现一个请求，点击确认，如果失败，可以修改一下GAS LIMIT参数，将其改高。</w:t>
      </w:r>
    </w:p>
    <w:p w14:paraId="204C38A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6784" behindDoc="0" locked="0" layoutInCell="1" allowOverlap="1">
            <wp:simplePos x="0" y="0"/>
            <wp:positionH relativeFrom="column">
              <wp:posOffset>97790</wp:posOffset>
            </wp:positionH>
            <wp:positionV relativeFrom="paragraph">
              <wp:posOffset>186055</wp:posOffset>
            </wp:positionV>
            <wp:extent cx="5271135" cy="3192780"/>
            <wp:effectExtent l="0" t="0" r="5715" b="7620"/>
            <wp:wrapTopAndBottom/>
            <wp:docPr id="1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5"/>
                    <pic:cNvPicPr>
                      <a:picLocks noChangeAspect="1"/>
                    </pic:cNvPicPr>
                  </pic:nvPicPr>
                  <pic:blipFill>
                    <a:blip r:embed="rId297"/>
                    <a:stretch>
                      <a:fillRect/>
                    </a:stretch>
                  </pic:blipFill>
                  <pic:spPr>
                    <a:xfrm>
                      <a:off x="0" y="0"/>
                      <a:ext cx="5271135" cy="3192780"/>
                    </a:xfrm>
                    <a:prstGeom prst="rect">
                      <a:avLst/>
                    </a:prstGeom>
                    <a:noFill/>
                    <a:ln>
                      <a:noFill/>
                    </a:ln>
                  </pic:spPr>
                </pic:pic>
              </a:graphicData>
            </a:graphic>
          </wp:anchor>
        </w:drawing>
      </w:r>
      <w:r>
        <w:rPr>
          <w:rFonts w:hint="eastAsia" w:ascii="宋体" w:hAnsi="宋体" w:eastAsia="宋体" w:cs="宋体"/>
          <w:sz w:val="21"/>
          <w:szCs w:val="21"/>
          <w:lang w:val="en-US" w:eastAsia="zh-CN"/>
        </w:rPr>
        <w:t>图1.10 部署合约</w:t>
      </w:r>
    </w:p>
    <w:p w14:paraId="6584447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此时合约已经正确部署，在Ganache中看到tx count数量会增加1，点击block会看见相关信息。Block 7，区块编号（Block Number），表明这是区块链上的第 7 个区块。区块编号是按时间顺序递增的。Gas Used（114125），当前区块中所有交易实际消耗的总 gas 量。Gas 是在以太坊网络上执行交易或智能合约所需的计算成本单位。Gas Limit（10000000），当前区块的 gas 上限。这个值限制了本区块中所有交易的最大 gas 总和。如果交易所需的 gas 超过此上限，就无法打包进该区块。Mined On（2025-10-22 09:12:43）区块被“挖出”或“打包”的时间戳，也就是该区块在区块链上被确认的时间（在本地开发环境中，这个时间可能由模拟器或本地节点决定）。Block Hash（0x3535c18ec...）区块哈希值，是区块的唯一标识符。通过区块内所有数据（包括交易列表、前一个区块哈希等）计算得来。一旦区块数据改变，哈希也会随之改变。Block 7区块编号（Block Number），表明这是区块链上的第 7 个区块。区块编号是按时间顺序递增的。Gas Used（114125）当前区块中所有交易实际消耗的总 gas 量。Gas 是在以太坊网络上执行交易或智能合约所需的计算成本单位。Gas Limit（10000000）当前区块的 gas 上限。这个值限制了本区块中所有交易的最大 gas 总和。如果交易所需的 gas 超过此上限，就无法打包进该区块。Mined On（2023-03-22 09:12:43）区块被“挖出”或“打包”的时间戳，也就是该区块在区块链上被确认的时间（在本地开发环境中，这个时间可能由模拟器或本地节点决定）。Block Hash0x3535c18ec...）区块哈希值，是区块的唯一标识符。通过区块内所有数据（包括交易列表、前一个区块哈希等）计算得来。一旦区块数据改变，哈希也会随之改变。</w:t>
      </w:r>
    </w:p>
    <w:p w14:paraId="5B56D93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7808" behindDoc="0" locked="0" layoutInCell="1" allowOverlap="1">
            <wp:simplePos x="0" y="0"/>
            <wp:positionH relativeFrom="column">
              <wp:posOffset>34290</wp:posOffset>
            </wp:positionH>
            <wp:positionV relativeFrom="paragraph">
              <wp:posOffset>59690</wp:posOffset>
            </wp:positionV>
            <wp:extent cx="5268595" cy="1332865"/>
            <wp:effectExtent l="0" t="0" r="8255" b="635"/>
            <wp:wrapTopAndBottom/>
            <wp:docPr id="18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7"/>
                    <pic:cNvPicPr>
                      <a:picLocks noChangeAspect="1"/>
                    </pic:cNvPicPr>
                  </pic:nvPicPr>
                  <pic:blipFill>
                    <a:blip r:embed="rId298"/>
                    <a:stretch>
                      <a:fillRect/>
                    </a:stretch>
                  </pic:blipFill>
                  <pic:spPr>
                    <a:xfrm>
                      <a:off x="0" y="0"/>
                      <a:ext cx="5268595" cy="1332865"/>
                    </a:xfrm>
                    <a:prstGeom prst="rect">
                      <a:avLst/>
                    </a:prstGeom>
                    <a:noFill/>
                    <a:ln>
                      <a:noFill/>
                    </a:ln>
                  </pic:spPr>
                </pic:pic>
              </a:graphicData>
            </a:graphic>
          </wp:anchor>
        </w:drawing>
      </w:r>
      <w:r>
        <w:rPr>
          <w:rFonts w:hint="eastAsia" w:ascii="宋体" w:hAnsi="宋体" w:eastAsia="宋体" w:cs="宋体"/>
          <w:sz w:val="21"/>
          <w:szCs w:val="21"/>
          <w:lang w:val="en-US" w:eastAsia="zh-CN"/>
        </w:rPr>
        <w:t>图1.11 智能合约部署信息</w:t>
      </w:r>
    </w:p>
    <w:p w14:paraId="2506E84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在remix界面也会看到如下信息，[Block: 7 txIndex: 1]Block: 7：该笔交易被打包进了区块编号 7。txIndex: 1：表示这是该区块中第 1 笔交易（交易在区块中的顺序索引）。from: 0x28...发起交易的以太坊地址，简称“发送方地址”。to: TestSimple.(constructor)交易目标是 TestSimple 合约的构造函数（constructor）。当 to 显示为合约名加“(constructor)”时，代表这是一次“创建合约”的交易，而不是对现有合约的调用。value: 0 wei这笔交易中发送的 ETH 数量是 0 wei（wei 是以太坊中最小的计量单位）。即没有额外转账，只是部署合约。data: 0x6080...交易的输入数据（input data），一般包括构造函数的字节码或合约部署的字节码等。在部署合约时，这里会包含合约编译后的 EVM 字节码。logs: 0表示这笔交易在执行过程中没有触发任何事件（Event），因此产生的日志数量为 0。hash: 0xbcd5...交易哈希（Transaction Hash），是交易的唯一标识符。可以在区块浏览器中通过此哈希查找具体交易信息。status: 0x1 Transaction mined and execution succeedstatus: 0x1：表示交易执行成功。如果是 0x0，通常代表交易失败或被回滚。“Transaction mined and execution succeed” 说明交易已被打包进区块且成功执行。block hash: 0x8df6...区块哈希（Block Hash），区块的唯一标识。由区块内的所有信息（包括交易、前一区块哈希等）通过加密算法生成。block number: 7与上方“Block: 7”对应，表示该交易所在的区块编号。contract address这里显示了一个新生成的地址（如果是合约部署交易）。说明部署成功后，合约最终被分配到这个地址。from再次列出发送方地址。to再次显示此次交易的目标（部署合约时通常为空或显示“constructor”）。gas: 114625这笔交易实际消耗的 gas 数量。transaction hash与上面“hash: 0xbcd5...”相同，是该交易的哈希值。input / decoded input详细的交易输入数据，以及解码后的人类可读信息（如果有函数参数，会在 decoded input 中显示具体参数值）。decoded output如果调用合约函数有返回值，这里会显示解码后的返回值（合约部署一般没有返回值）。logs / raw logs交易中触发的事件（Event）会在此列出，logs 是经过初步解析后的事件日志，raw logs 是原始日志数据（十六进制等）。</w:t>
      </w:r>
    </w:p>
    <w:p w14:paraId="0C7C856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68832" behindDoc="0" locked="0" layoutInCell="1" allowOverlap="1">
            <wp:simplePos x="0" y="0"/>
            <wp:positionH relativeFrom="column">
              <wp:posOffset>180975</wp:posOffset>
            </wp:positionH>
            <wp:positionV relativeFrom="paragraph">
              <wp:posOffset>141605</wp:posOffset>
            </wp:positionV>
            <wp:extent cx="4896485" cy="3058795"/>
            <wp:effectExtent l="0" t="0" r="18415" b="8255"/>
            <wp:wrapTopAndBottom/>
            <wp:docPr id="18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0"/>
                    <pic:cNvPicPr>
                      <a:picLocks noChangeAspect="1"/>
                    </pic:cNvPicPr>
                  </pic:nvPicPr>
                  <pic:blipFill>
                    <a:blip r:embed="rId299"/>
                    <a:stretch>
                      <a:fillRect/>
                    </a:stretch>
                  </pic:blipFill>
                  <pic:spPr>
                    <a:xfrm>
                      <a:off x="0" y="0"/>
                      <a:ext cx="4896485" cy="3058795"/>
                    </a:xfrm>
                    <a:prstGeom prst="rect">
                      <a:avLst/>
                    </a:prstGeom>
                    <a:noFill/>
                    <a:ln>
                      <a:noFill/>
                    </a:ln>
                  </pic:spPr>
                </pic:pic>
              </a:graphicData>
            </a:graphic>
          </wp:anchor>
        </w:drawing>
      </w:r>
      <w:r>
        <w:rPr>
          <w:rFonts w:hint="eastAsia" w:ascii="宋体" w:hAnsi="宋体" w:eastAsia="宋体" w:cs="宋体"/>
          <w:sz w:val="21"/>
          <w:szCs w:val="21"/>
          <w:lang w:val="en-US" w:eastAsia="zh-CN"/>
        </w:rPr>
        <w:t>图1.12交易详细信息</w:t>
      </w:r>
    </w:p>
    <w:p w14:paraId="40591C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智能合约：使用Solidity语言编写，部署于选择的区块链网络，用于管理用户身份、内容存储与权限逻辑。</w:t>
      </w:r>
    </w:p>
    <w:p w14:paraId="0F68540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开发工具：MetaMask浏览器扩展、Remix IDE（智能合约开发与测试）、版本控制（如Git）。</w:t>
      </w:r>
    </w:p>
    <w:p w14:paraId="7D68803C">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7D78D555">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小组由多名成员协作完成，李佳鑫、张健项目经理，雷燕、易重庆智能合约开发，黄星雨、曹海珍负责前端开发，李佳鑫负责产品的测试。分工明确覆盖了区块链DApp开发的全链路。智能合约开发工程师负责核心业务逻辑的实现，使用Solidity语言编写并优化包括代币合约、彩票主合约在内的所有智能合约代码，确保其安全性、功能完备性及Gas效率，并负责合约在Ganache测试环境及后续测试网上的部署与验证。前端开发工程师负责用户界面与交互逻辑的实现，运用HTML5、CSS3、Bootstrap技术构建美观、响应式的Web前端应用，并集成web3.js库，实现与智能合约的对接、用户操作（如连接钱包、投注、查询）的界面响应以及数据的动态展示。测试与质量保证工程师负责项目的质量保障体系，包括为智能合约编写全面的单元测试与集成测试用例（使用Mocha和Chai），执行前端功能测试、兼容性测试（确保与MetaMask及主流浏览器的兼容），并进行完整的端到端业务流程测试，以定位和修复潜在缺陷。项目经理/产品负责人负责项目的整体规划、需求分析、进度协调以及演示材料的准备，确保项目目标清晰、开发路线正确，并统筹最终的项目演示与成果汇报。小组成员通过紧密协作，将区块链技术、前端工程与产品设计相结合，共同交付了此款可演示、功能完整的区块链彩票概念验证（PoC）系统。</w:t>
      </w:r>
    </w:p>
    <w:p w14:paraId="0786EF5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935" distR="114935" simplePos="0" relativeHeight="251769856" behindDoc="0" locked="0" layoutInCell="1" allowOverlap="1">
            <wp:simplePos x="0" y="0"/>
            <wp:positionH relativeFrom="column">
              <wp:posOffset>34290</wp:posOffset>
            </wp:positionH>
            <wp:positionV relativeFrom="paragraph">
              <wp:posOffset>123825</wp:posOffset>
            </wp:positionV>
            <wp:extent cx="5272405" cy="2893060"/>
            <wp:effectExtent l="0" t="0" r="4445" b="2540"/>
            <wp:wrapTopAndBottom/>
            <wp:docPr id="18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1"/>
                    <pic:cNvPicPr>
                      <a:picLocks noChangeAspect="1"/>
                    </pic:cNvPicPr>
                  </pic:nvPicPr>
                  <pic:blipFill>
                    <a:blip r:embed="rId300"/>
                    <a:stretch>
                      <a:fillRect/>
                    </a:stretch>
                  </pic:blipFill>
                  <pic:spPr>
                    <a:xfrm>
                      <a:off x="0" y="0"/>
                      <a:ext cx="5272405" cy="2893060"/>
                    </a:xfrm>
                    <a:prstGeom prst="rect">
                      <a:avLst/>
                    </a:prstGeom>
                    <a:noFill/>
                    <a:ln>
                      <a:noFill/>
                    </a:ln>
                  </pic:spPr>
                </pic:pic>
              </a:graphicData>
            </a:graphic>
          </wp:anchor>
        </w:drawing>
      </w:r>
      <w:r>
        <w:rPr>
          <w:rFonts w:hint="eastAsia" w:ascii="宋体" w:hAnsi="宋体" w:eastAsia="宋体" w:cs="宋体"/>
          <w:sz w:val="21"/>
          <w:szCs w:val="21"/>
          <w:lang w:val="en-US" w:eastAsia="zh-CN"/>
        </w:rPr>
        <w:t>图1.13 人组织结构图</w:t>
      </w:r>
    </w:p>
    <w:p w14:paraId="164E9C44">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35E8A141">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1BA0E38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的需求分析围绕构建一个去中心化、自动化、高透明度的彩票平台展开。功能性需求主要包括：第一，用户账户与资产管理，系统需支持用户通过MetaMask钱包匿名连接，查看账户余额及代币授权状态，并能够使用ETH购买平台专用的彩票代币。第二，投注功能，用户应能使用代币在每期彩票中投注自选的号码序列，系统需清晰记录每笔投注的详细信息（投注地址、号码、时间、期号）并实时更新奖池总额。第三，开奖与派奖功能，这是核心需求，必须由智能合约在满足预设条件（如达到特定时间或参与人数）后，以可验证的、不可预测且不可篡改的方式自动执行开奖计算，并立即将奖池奖金自动转账至中奖者地址。第四，信息查询与展示功能，前端需能实时从链上获取并展示当前期数、投注状态、开奖结果、历史中奖记录、奖池余额等关键信息。第五，管理员功能，虽然平台去中心化，但仍需一个受控的管理员角色（通常为合约部署者）来执行必要的系统维护操作，例如开启新一期彩票、设置或调整基础参数（如单注价格）。非功能性需求至关重要：安全性是首位，智能合约必须经过严格审计，防止重入攻击、整数溢出等常见漏洞，并确保资金安全；透明性与公平性要求所有核心逻辑与数据上链公开，开奖过程必须可验证且不受人为干预；可用性要求前端界面直观易用，响应迅速，对区块链交易状态（如等待确认、成功/失败）有清晰反馈；性能方面，智能合约的函数调用应尽可能优化以控制Gas成本，前端数据加载不应有显著延迟。</w:t>
      </w:r>
    </w:p>
    <w:p w14:paraId="66B6292B">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5A35E70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项目的可行性从技术、经济和法律/运营三个维度进行评估。技术可行性极高，项目所依赖的以太坊技术栈（Solidity, web3.js, MetaMask, Ganache）已非常成熟且拥有庞大的开发者社区和丰富的学习资源，智能合约的编写模式、前端集成方法均有大量成功案例可循，从技术实现角度不存在不可逾越的障碍。经济可行性体现在开发和运营成本相对较低：开发阶段主要成本为人力；部署上主网虽有一次性Gas成本，但后续运营几乎无服务器维护费用；平台可通过设置少量手续费（在奖金分配中留存小比例）或未来引入更多增值服务来探索可持续模式。然而，法律与运营可行性是主要的挑战与风险点。全球范围内对于基于加密货币的博彩或彩票的法律监管差异巨大且处于快速变化中，在许多司法管辖区，此类活动可能面临严格的牌照要求或被明令禁止。运营上，如何获取可验证的随机数源（VDF或预言机集成）以确保开奖绝对公平，如何吸引和教育用户使用钱包与DApp，以及如何应对公链交易拥堵和高Gas费可能带来的用户体验问题，都是实际运营中需要解决的难题。因此，当前项目更侧重于技术可行性的验证与概念原型的展示。</w:t>
      </w:r>
    </w:p>
    <w:p w14:paraId="414EFD24">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0C1C69A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系统主要涉及两类用户角色：普通参与者（玩家）和管理员。普通参与者的核心用例包括：1. 连接钱包：使用MetaMask连接DApp，完成身份认证。2. 资产管理：查看ETH和彩票代币余额，完成ETH兑换代币的操作。3. 参与投注：选择或输入投注号码，确认投注数量，支付代币完成投注，并能在界面查看自己的历史投注记录。4. 查询与兑奖：实时查看当前期状态、开奖倒计时，在开奖后自动（或手动查询）获知自己是否中奖，中奖后代币奖金自动到账。该角色的核心诉求是流程简单透明、开奖绝对公平、奖金发放即时可靠。管理员角色的核心用例则相对集中：1. 系统配置：在合约部署初期或必要时，通过特权函数设置每注价格、奖池分配比例等参数。2. 期数管理：手动触发“开启新一期”操作，将系统状态重置，准备接受新一期投注；或在必要时“锁定”当前期（尽管自动化是理想状态，但保留此权限用于应急）。3. 状态监控：通过特权视图函数或直接查询链上数据，监控合约总资金、参与人数等运营状态。管理员角色被严格限制，其操作通常也需上链留痕，以平衡系统自治的必要管理与去中心化精神。所有用例的执行都依赖于与智能合约的交互，并通过区块链交易记录得到永久性、可审计的存证。</w:t>
      </w:r>
    </w:p>
    <w:p w14:paraId="7AC34E2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56544" behindDoc="0" locked="0" layoutInCell="1" allowOverlap="1">
            <wp:simplePos x="0" y="0"/>
            <wp:positionH relativeFrom="column">
              <wp:posOffset>259080</wp:posOffset>
            </wp:positionH>
            <wp:positionV relativeFrom="paragraph">
              <wp:posOffset>44450</wp:posOffset>
            </wp:positionV>
            <wp:extent cx="4267200" cy="3145790"/>
            <wp:effectExtent l="0" t="0" r="0" b="16510"/>
            <wp:wrapTopAndBottom/>
            <wp:docPr id="1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
                    <pic:cNvPicPr>
                      <a:picLocks noChangeAspect="1"/>
                    </pic:cNvPicPr>
                  </pic:nvPicPr>
                  <pic:blipFill>
                    <a:blip r:embed="rId301"/>
                    <a:stretch>
                      <a:fillRect/>
                    </a:stretch>
                  </pic:blipFill>
                  <pic:spPr>
                    <a:xfrm>
                      <a:off x="0" y="0"/>
                      <a:ext cx="4267200" cy="3145790"/>
                    </a:xfrm>
                    <a:prstGeom prst="rect">
                      <a:avLst/>
                    </a:prstGeom>
                    <a:noFill/>
                    <a:ln>
                      <a:noFill/>
                    </a:ln>
                  </pic:spPr>
                </pic:pic>
              </a:graphicData>
            </a:graphic>
          </wp:anchor>
        </w:drawing>
      </w:r>
      <w:r>
        <w:rPr>
          <w:rFonts w:hint="eastAsia" w:ascii="宋体" w:hAnsi="宋体" w:eastAsia="宋体" w:cs="宋体"/>
          <w:sz w:val="21"/>
          <w:szCs w:val="21"/>
          <w:lang w:val="en-US" w:eastAsia="zh-CN"/>
        </w:rPr>
        <w:t>图2.1 系统需求分析用例图</w:t>
      </w:r>
    </w:p>
    <w:p w14:paraId="1F302225">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54B2C22A">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结构设计</w:t>
      </w:r>
    </w:p>
    <w:p w14:paraId="6C59FDB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采用典型的分层架构，清晰划分了职责，确保模块间的松耦合与高内聚。自底向上可分为四层：区块链与合约层：这是系统的信任基石与核心逻辑层。底层基于以太坊虚拟机（EVM）兼容环境，本地开发测试时由Ganache模拟。其上运行着用Solidity编写的核心智能合约集，主要包括一个符合ERC20标准的代币合约（用于投注与奖金媒介）和一个彩票主合约。彩票主合约封装了投注记录、奖池管理、开奖算法、权限控制等所有核心业务逻辑，其状态与代码公开透明且不可更改。数据与交互接口层：这一层由web3.js库构成，它作为前端JavaScript应用与以太坊区块链网络之间的桥梁。它负责将前端的函数调用（如“投注”、“查询奖池”）转化为具体的JSON-RPC请求，与MetaMask或直接与节点通信，并处理交易签名、发送、回执获取以及事件监听等一系列底层交互细节，向上提供简化的异步API。前端表示层：使用HTML5、CSS3和Bootstrap构建的用户界面（UI）。这一层负责渲染所有可视化元素，如账户信息面板、投注表单、开奖结果显示区域、管理员控制面板等。它捕获用户的操作事件（点击、输入），通过调用web3.js提供的接口与合约层通信，并根据返回的链上数据动态更新UI状态，提供实时的交互反馈。用户访问层：以用户浏览器（如Firefox、Chrome）为载体，并安装了MetaMask钱包插件。MetaMask在此层中扮演关键角色，它管理用户的私钥与账户，在需要发起交易时弹出签名请求，是用户安全身份与链上资产的守护者。这种分层设计使得前端UI可独立迭代，智能合约可独立升级（通过代理模式等），技术栈清晰，便于团队协作与后续维护。</w:t>
      </w:r>
    </w:p>
    <w:p w14:paraId="7A4FC109">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04CBA18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功能模块围绕彩票业务流程进行组织，主要分为以下几个核心模块：用户身份与资产管理模块：该模块前端负责引导用户连接MetaMask钱包，获取并显示用户地址及资产余额（ETH及平台代币）。后端由智能合约中的代币合约支持，提供代币的转账、授权（允许彩票合约操作用户代币）及余额查询功能。投注管理模块：这是用户参与的核心。前端提供友好的投注界面，让用户输入或选择号码，并确认投注数量。其逻辑与智能合约中的`placeBet`函数交互，该函数会验证用户代币余额及授权，扣除代币，将投注详情（用户地址、投注号码、时间戳、期号）记录到链上，并更新当期奖池总额。合约内部维护着每期投注记录的映射表。开奖与奖金分配模块：这是系统的灵魂。开奖触发可以是时间驱动、人数驱动或由管理员在满足条件后手动触发（更去中心化的方式是使用链上可验证随机函数或预言机）。开奖函数（如`drawLottery`）在满足权限和状态条件下被调用，它执行一个预定的随机数生成算法（其种子需不可预测，如未来区块哈希），计算出中奖号码，然后遍历当期投注记录，匹配出中奖者地址。最后，自动执行代币转账，将奖池资金（可能扣除少量平台费）发放给中奖者，并更新系统状态为“已开奖”。信息查询与展示模块：前端通过调用合约的`view`函数（不消耗Gas）或监听事件，实时获取并展示公共信息，如当前期号、投注截止时间/条件、奖池余额、最近的中奖号码与地址、用户个人的投注历史等。管理员后台模块：这是一个受权限保护的模块，前端仅对管理员地址显示特定控制面板。通过该面板，管理员可以调用合约的所有者函数，如`startNewRound`（开启新一期）、`setTicketPrice`（设置单价）等，所有操作均通过交易上链，接受公开监督。</w:t>
      </w:r>
    </w:p>
    <w:p w14:paraId="1A73D2B9">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7DFEA25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智能合约的设计是项目安全与功能的核心。关键数据结构：合约中定义了`Round`结构体来管理每一期彩票，包含期号、开始/结束时间、奖池总额、开奖状态、中奖号码等字段。使用`mapping`来高效存储每期投注记录（地址-&gt;投注详情列表）和用户参与历史。权限控制：通过Solidity的修饰器（如`onlyOwner`）严格限制关键函数（如开启新期、提取合约余额）只能由合约部署者（Owner）调用。投注函数则对所有人开放，但需要检查用户已对合约进行了代币授权。资金流管理：采用“拉取”或“批准-转移”模式管理代币。用户投注前，需先调用代币合约的`approve`函数，授权彩票合约可划转一定数量的代币。投注时，彩票合约再安全地调用代币合约的`transferFrom`来完成扣款。奖金发放则由合约主动调用`transfer`给中奖者。随机数生成：这是一个关键的安全考量点。简单的基于`blockhash`或`timestamp`的随机数容易被矿工或参与者预测。项目在演示阶段可能采用相对简单的方式，但在设计中必须明确指出其局限性，并为未来集成链上可验证随机函数（VRF，如Chainlink VRF）或提交-揭示方案预留了接口和升级思路，这是确保商业级应用公平性的必需。安全考量：合约编写需遵循最佳实践，防止重入攻击（使用Checks-Effects-Interactions模式）、整数溢出（使用SafeMath库或Solidity 0.8+的内置检查）、拒绝服务攻击等。所有涉及资金转移的操作都必须有完备的状态检查和错误处理。合约在部署前应经过手动审计并使用自动化工具进行扫描。</w:t>
      </w:r>
    </w:p>
    <w:p w14:paraId="2E7733CD">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3EBD46D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lang w:val="en-US" w:eastAsia="zh-CN"/>
        </w:rPr>
      </w:pPr>
      <w:r>
        <w:rPr>
          <w:rFonts w:hint="eastAsia" w:ascii="Calibri" w:hAnsi="Calibri" w:eastAsia="宋体" w:cs="Times New Roman"/>
          <w:sz w:val="24"/>
          <w:szCs w:val="24"/>
          <w:lang w:val="en-US" w:eastAsia="zh-CN"/>
        </w:rPr>
        <w:t>用户使用本区块链彩票DApp的完整流程如下：首先，用户需要在浏览器（如Firefox）中安装并设置好MetaMask钱包插件，创建或导入一个以太坊账户，并为开发测试准备好一些测试网ETH（如果使用测试网）。访问DApp网址后，第一步是连接钱包：点击页面上的“连接钱包”或类似按钮，MetaMask会弹出请求连接的通知，用户确认后，DApp前端即可获取到用户的公钥地址，并显示在页面右上角。第二步是获取投注代币：用户需要购买平台专用的彩票代币。页面会显示代币与ETH的兑换比率，用户输入想要购买的代币数量，点击“购买”并确认MetaMask弹出的交易签名。交易成功后，用户的代币余额将更新。第三步是授权代币：在首次投注前，用户需要授权彩票智能合约可以从其账户中划转代币。点击“授权”按钮，再次确认MetaMask交易。授权只需进行一次（除非更改额度）。第四步是参与投注：在“投注”区域，用户选择或手动输入一组合法的彩票号码（如一组数字序列），选择投注的注数，然后点击“投注”按钮。确认交易后，代币被扣除，投注信息即被记录上链。用户可以在“我的投注”页面查看当前期的投注详情。第五步是等待开奖与查看结果：投注截止后（根据规则由管理员触发或自动触发），系统进入开奖阶段。开奖交易被触发并上链确认后，页面会自动更新，醒目地显示本期开奖号码。同时，系统会自动遍历匹配，如果用户中奖，其账户的代币余额会立即增加，页面也可能弹出中奖祝贺信息。用户也可以在“开奖历史”页面查询往期的所有开奖结果与中奖者地址。对于管理员，在登录拥有特定权限的账户后，页面会额外显示管理员面板。管理员可以在这里输入新的投注价格，或点击“开始新一期”按钮来重置彩票状态，开启新一轮投注。所有管理操作同样需要通过MetaMask签名发送交易，并记录在区块链上，确保操作的可追溯与不可抵赖。</w:t>
      </w:r>
    </w:p>
    <w:p w14:paraId="6E98D5F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55520" behindDoc="0" locked="0" layoutInCell="1" allowOverlap="1">
            <wp:simplePos x="0" y="0"/>
            <wp:positionH relativeFrom="column">
              <wp:posOffset>935355</wp:posOffset>
            </wp:positionH>
            <wp:positionV relativeFrom="paragraph">
              <wp:posOffset>23495</wp:posOffset>
            </wp:positionV>
            <wp:extent cx="3038475" cy="2176780"/>
            <wp:effectExtent l="0" t="0" r="9525" b="13970"/>
            <wp:wrapTopAndBottom/>
            <wp:docPr id="189" name="图片" descr="D:/asus/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descr="D:/asus/1.png1"/>
                    <pic:cNvPicPr>
                      <a:picLocks noChangeAspect="1"/>
                    </pic:cNvPicPr>
                  </pic:nvPicPr>
                  <pic:blipFill>
                    <a:blip r:embed="rId302"/>
                    <a:srcRect l="7390" t="-1436" r="8373"/>
                    <a:stretch>
                      <a:fillRect/>
                    </a:stretch>
                  </pic:blipFill>
                  <pic:spPr>
                    <a:xfrm>
                      <a:off x="0" y="0"/>
                      <a:ext cx="3038475" cy="2176780"/>
                    </a:xfrm>
                    <a:prstGeom prst="round2DiagRect">
                      <a:avLst/>
                    </a:prstGeom>
                  </pic:spPr>
                </pic:pic>
              </a:graphicData>
            </a:graphic>
          </wp:anchor>
        </w:drawing>
      </w:r>
      <w:r>
        <w:rPr>
          <w:rFonts w:hint="eastAsia" w:ascii="宋体" w:hAnsi="宋体" w:eastAsia="宋体" w:cs="宋体"/>
          <w:sz w:val="21"/>
          <w:szCs w:val="21"/>
          <w:lang w:val="en-US" w:eastAsia="zh-CN"/>
        </w:rPr>
        <w:t>图4.1 系统主页面</w:t>
      </w:r>
    </w:p>
    <w:p w14:paraId="24762FA3">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26DBA795">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为确保区块链彩票系统的可靠性、安全性与用户体验，项目实施了多层次的严格测试。智能合约单元测试与集成测试：这是测试的重中之重。使用Mocha测试框架和Chai断言库，为所有Solidity智能合约函数编写了详尽的测试脚本。测试在Ganache本地链环境中运行，覆盖了所有正常业务路径（如成功投注、成功开奖、奖金发放）和各类异常边界情况（如余额不足投注、未授权投注、非管理员尝试开奖、重复开奖等）。特别针对随机数生成函数（即使是模拟的）进行了大量测试，验证其输出范围与分布是否符合预期。同时，对合约之间的交互（如代币合约与彩票合约的`approve`/`transferFrom`）进行了集成测试，确保资金流安全无误。测试过程中还使用了如Slither、MythX等静态分析或形式化验证工具来扫描常见的安全漏洞模式。前端功能测试：对Web前端的所有用户交互流程进行了手动与自动化测试。包括测试钱包连接流程在不同状态下的表现（已安装/未安装MetaMask、网络切换）、测试投注表单的输入验证、测试交易发起后UI的加载状态与反馈（如按钮禁用、等待指示器）、测试开奖结果的通知展示等。确保前端能正确处理web3.js调用返回的各种状态（成功、失败、拒绝）。端到端（E2E）业务流程测试：模拟真实用户从连接钱包到完成投注、再到见证开奖的完整流程。通常需要编写脚本或使用测试工具，在Ganache上模拟多个用户账户并发进行投注，然后触发开奖，验证奖池计算是否正确、奖金是否准确发放到中奖地址、所有链上事件是否被前端正确捕获并展示。兼容性与性能测试：检查DApp在主流浏览器（Chrome, Firefox, Brave）中与MetaMask插件的兼容性。对前端页面的加载性能进行优化，确保资源加载速度。虽然公链性能非本项目可控，但在测试中会评估合约函数调用的Gas消耗，并对可能的高成本操作进行优化提示。所有测试过程中发现的Bug都被记录在案，修复后需进行回归测试，确保系统质量在迭代中保持稳定。</w:t>
      </w:r>
    </w:p>
    <w:p w14:paraId="482105E9">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3002ACD5">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本项目“区块链彩票”成功设计并实现了一个基于以太坊的去中心化彩票系统概念验证（PoC），有效地验证了区块链技术，特别是智能合约，在构建高透明度、高公平性、去信任化博彩应用方面的技术可行性与独特价值。项目完整地实现了从用户身份认证、资产代币化、链上投注、自动开奖到即时派奖的全业务流程，所有关键逻辑与数据均通过智能合约在链上公开执行与存储，从根本上杜绝了中心化运营可能带来的不透明与不信任问题。通过采用成熟的技术栈（Solidity, web3.js, MetaMask, Ganache）和分层架构设计，项目展示了将传统Web开发与区块链底层能力相结合的清晰路径。项目的核心价值在于其示范意义：它不仅是一个可运行的DApp，更是一个探讨如何在特定场景下利用技术解决固有信任问题的案例。然而，项目也清醒地认识到当前版本的局限性，尤其是在开奖随机数的安全获取方面仍存在中心化或可预测性风险，这指向了未来需要集成预言机或更高级密码学方案的技术方向。此外，法律合规性、大规模用户推广的挑战以及公链固有性能与费用问题，都是该模式走向大规模商用必须面对的课题。展望未来，项目可在多个维度进行扩展：引入链上可验证随机函数（VRF）以实现真正不可预测且可验证的公平开奖；支持更多样化的彩票玩法（如双色球模式、即开型）；探索Layer 2扩容方案以降低用户参与成本并提升交易速度；甚至考虑向完全去中心化自治组织（DAO）演进，让代币持有者共同参与平台参数的治理。总而言之，本项目为理解区块链的“信任机器”属性提供了一个生动而具体的实践样本，为相关领域的后续开发积累了宝贵经验。</w:t>
      </w:r>
    </w:p>
    <w:p w14:paraId="0FF12D32">
      <w:pPr>
        <w:sectPr>
          <w:headerReference r:id="rId23" w:type="default"/>
          <w:footerReference r:id="rId2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51D7E6D">
      <w:pPr>
        <w:pStyle w:val="3"/>
        <w:bidi w:val="0"/>
        <w:rPr>
          <w:rFonts w:hint="eastAsia"/>
          <w:lang w:val="en-US" w:eastAsia="zh-CN"/>
        </w:rPr>
      </w:pPr>
      <w:bookmarkStart w:id="780" w:name="_Toc16375"/>
      <w:bookmarkStart w:id="781" w:name="_Toc16613"/>
      <w:r>
        <w:rPr>
          <w:rFonts w:hint="eastAsia"/>
          <w:lang w:val="en-US" w:eastAsia="zh-CN"/>
        </w:rPr>
        <w:t>5.</w:t>
      </w:r>
      <w:r>
        <w:rPr>
          <w:rFonts w:hint="eastAsia"/>
        </w:rPr>
        <w:t>基于</w:t>
      </w:r>
      <w:r>
        <w:rPr>
          <w:rFonts w:hint="eastAsia"/>
          <w:lang w:val="en-US" w:eastAsia="zh-CN"/>
        </w:rPr>
        <w:t>区块链的服装投票</w:t>
      </w:r>
      <w:r>
        <w:t>系统的设计与实现</w:t>
      </w:r>
      <w:bookmarkEnd w:id="780"/>
      <w:bookmarkEnd w:id="781"/>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9F9AB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E9DCBF8">
            <w:pPr>
              <w:jc w:val="left"/>
              <w:outlineLvl w:val="0"/>
              <w:rPr>
                <w:rFonts w:ascii="Calibri" w:hAnsi="Calibri" w:eastAsia="黑体" w:cs="Times New Roman"/>
                <w:szCs w:val="21"/>
              </w:rPr>
            </w:pPr>
            <w:bookmarkStart w:id="782" w:name="_Toc2331"/>
            <w:bookmarkStart w:id="783" w:name="_Toc9793"/>
            <w:r>
              <w:rPr>
                <w:rFonts w:hint="eastAsia" w:ascii="Calibri" w:hAnsi="Calibri" w:eastAsia="黑体" w:cs="Times New Roman"/>
                <w:sz w:val="24"/>
                <w:lang w:val="en-US" w:eastAsia="zh-CN"/>
              </w:rPr>
              <w:t>项目</w:t>
            </w:r>
            <w:r>
              <w:rPr>
                <w:rFonts w:hint="eastAsia" w:ascii="Calibri" w:hAnsi="Calibri" w:eastAsia="黑体" w:cs="Times New Roman"/>
                <w:sz w:val="24"/>
              </w:rPr>
              <w:t>主题：</w:t>
            </w:r>
            <w:bookmarkStart w:id="784" w:name="_Hlk174392898"/>
            <w:r>
              <w:rPr>
                <w:rFonts w:hint="eastAsia" w:ascii="Calibri" w:hAnsi="Calibri" w:eastAsia="黑体" w:cs="Times New Roman"/>
                <w:sz w:val="24"/>
              </w:rPr>
              <w:t>基于</w:t>
            </w:r>
            <w:r>
              <w:rPr>
                <w:rFonts w:hint="eastAsia" w:ascii="Calibri" w:hAnsi="Calibri" w:eastAsia="黑体" w:cs="Times New Roman"/>
                <w:sz w:val="24"/>
                <w:lang w:val="en-US" w:eastAsia="zh-CN"/>
              </w:rPr>
              <w:t>区块链的服装投票</w:t>
            </w:r>
            <w:r>
              <w:rPr>
                <w:rFonts w:ascii="Calibri" w:hAnsi="Calibri" w:eastAsia="黑体" w:cs="Times New Roman"/>
                <w:sz w:val="24"/>
              </w:rPr>
              <w:t>系统的设计与实现</w:t>
            </w:r>
            <w:bookmarkEnd w:id="782"/>
            <w:bookmarkEnd w:id="783"/>
            <w:bookmarkEnd w:id="784"/>
          </w:p>
        </w:tc>
      </w:tr>
      <w:tr w14:paraId="0114E8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9C4EF5A">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3区块链工程</w:t>
            </w:r>
            <w:r>
              <w:rPr>
                <w:rFonts w:hint="eastAsia" w:ascii="Calibri" w:hAnsi="Calibri" w:eastAsia="黑体" w:cs="Times New Roman"/>
                <w:sz w:val="24"/>
              </w:rPr>
              <w:t>本科1班</w:t>
            </w:r>
          </w:p>
        </w:tc>
      </w:tr>
      <w:tr w14:paraId="1A7E1D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E1CD2CC">
            <w:pPr>
              <w:jc w:val="left"/>
              <w:rPr>
                <w:rFonts w:ascii="Calibri" w:hAnsi="Calibri" w:eastAsia="黑体" w:cs="Times New Roman"/>
                <w:szCs w:val="21"/>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姜俊智</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唐思伟</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骆宗伟</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赵善诺</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王浩然</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翟剑锟</w:t>
            </w:r>
          </w:p>
        </w:tc>
      </w:tr>
    </w:tbl>
    <w:p w14:paraId="2FBD09FA">
      <w:pPr>
        <w:spacing w:line="440" w:lineRule="exact"/>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32E49FF1">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7AA9A68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基于区块链的服装投票系统”是一个创新性应用平台，旨在利用区块链技术的去中心化、不可篡改与透明可追溯等核心特性，重塑服装设计领域的评选与决策机制。传统服装设计大赛、品牌新品选款或潮流趋势预测等环节，普遍存在评选过程不透明、中心化干预、数据易被篡改、用户参与感弱及版权确权难等行业痛点。本系统通过构建一个基于区块链（特别是联盟链）的投票与决策基础设施，将设计作品从提交、存证、展示到接受用户投票、统计结果乃至最终授权的全流程完整记录于链上，形成一个公开、可信的决策账本。核心价值在于通过技术手段保障评选的公平性与公正性，利用智能合约自动化执行投票规则与奖励分配，减少人为操纵风险；同时，通过引入代币经济模型激励用户参与，提升社区活力与决策的广泛代表性。系统设计考虑了与现有服装产业链的衔接，预期应用场景广泛，包括但不限于独立设计师大赛、品牌方的新品公众票选、供应链对流行趋势的民主化预测等，目标是为时尚产业提供一个高效、可信、高参与度的去中心化决策支持工具，推动行业的透明化与民主化转型。</w:t>
      </w:r>
    </w:p>
    <w:p w14:paraId="03F07C48">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1A904F8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项目采用前后端分离的架构，并结合联盟链技术栈，以平衡性能、隐私与开发效率。区块链底层拟采用Hyperledger Fabric作为联盟链框架，其具备的通道机制、隐私数据集合和灵活的成员服务提供者（MSP）特性，非常适合服装产业中多方参与（如品牌商、设计师、供应商、消费者代表）且需保护部分商业隐私的场景。开发测试将基于Fabric的Docker-Compose本地网络进行。后端服务采用高性能的Go语言，结合Gin或Echo等Web框架开发RESTful API，负责处理复杂的业务逻辑、用户会话管理、与非链上数据库的交互，并作为前端与Fabric区块链网络之间的适配层，通过Fabric SDK调用链码。前端考虑到用户触达的便捷性，将同时开发Web端与轻量级移动端（H5或小程序），使用Vue.js 3或React框架构建响应式用户界面，状态管理使用Pinia或Redux，UI库可选择Element Plus或Ant Design。数据存储采用混合模式：用户基础信息、作品展示文件（高清图）等非关键数据存储于高性能的关系型数据库（如PostgreSQL）或对象存储服务中；而作品的元数据哈希、投票行为、最终结果、代币交易记录等核心确权与决策数据则通过智能合约（链码，使用Go或Java编写）存入Fabric的分布式账本。开发工具链包括：Docker用于容器化部署，Git用于版本控制，Postman或Apifox用于API调试，以及Fabric专用的CA工具和CLI进行网络管理。</w:t>
      </w:r>
    </w:p>
    <w:p w14:paraId="37228A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超级账本是一组专注于跨行业分布式账本技术的开源项目，主要目标是创建企业级、开源、分布式的分类框架和代码库来支持业务用例。超级账本的关键目标之一不只是建立自己的分布式账本技术，更重要的是建立分布式账本技术的行业标准，鼓励更多企业参与到分布账本技术的建设和应用中来，形成一个开放的生态体系。超级账本的发展速度非常快，截至202</w:t>
      </w:r>
      <w:r>
        <w:rPr>
          <w:rFonts w:hint="eastAsia" w:ascii="Calibri" w:hAnsi="Calibri" w:eastAsia="宋体" w:cs="Times New Roman"/>
          <w:sz w:val="24"/>
          <w:szCs w:val="24"/>
          <w:lang w:val="en-US" w:eastAsia="zh-CN"/>
        </w:rPr>
        <w:t>5</w:t>
      </w:r>
      <w:r>
        <w:rPr>
          <w:rFonts w:hint="eastAsia" w:ascii="Calibri" w:hAnsi="Calibri" w:eastAsia="宋体" w:cs="Times New Roman"/>
          <w:sz w:val="24"/>
          <w:szCs w:val="24"/>
        </w:rPr>
        <w:t>年1</w:t>
      </w:r>
      <w:r>
        <w:rPr>
          <w:rFonts w:hint="eastAsia" w:ascii="Calibri" w:hAnsi="Calibri" w:eastAsia="宋体" w:cs="Times New Roman"/>
          <w:sz w:val="24"/>
          <w:szCs w:val="24"/>
          <w:lang w:val="en-US" w:eastAsia="zh-CN"/>
        </w:rPr>
        <w:t>0</w:t>
      </w:r>
      <w:r>
        <w:rPr>
          <w:rFonts w:hint="eastAsia" w:ascii="Calibri" w:hAnsi="Calibri" w:eastAsia="宋体" w:cs="Times New Roman"/>
          <w:sz w:val="24"/>
          <w:szCs w:val="24"/>
        </w:rPr>
        <w:t>月，超级账本由15个项目组成,其中6个是超级账本的框架（Hyperledger Frameworks），9个项目是支持这些框架的工具（Hyperledger Tools），项目的代码都开源在github上。</w:t>
      </w:r>
    </w:p>
    <w:p w14:paraId="3F617EF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76000" behindDoc="0" locked="0" layoutInCell="1" allowOverlap="1">
            <wp:simplePos x="0" y="0"/>
            <wp:positionH relativeFrom="column">
              <wp:posOffset>-13335</wp:posOffset>
            </wp:positionH>
            <wp:positionV relativeFrom="paragraph">
              <wp:posOffset>247650</wp:posOffset>
            </wp:positionV>
            <wp:extent cx="5273040" cy="2511425"/>
            <wp:effectExtent l="0" t="0" r="3810" b="3175"/>
            <wp:wrapTopAndBottom/>
            <wp:docPr id="19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24" descr="IMG_256"/>
                    <pic:cNvPicPr>
                      <a:picLocks noChangeAspect="1"/>
                    </pic:cNvPicPr>
                  </pic:nvPicPr>
                  <pic:blipFill>
                    <a:blip r:embed="rId303"/>
                    <a:stretch>
                      <a:fillRect/>
                    </a:stretch>
                  </pic:blipFill>
                  <pic:spPr>
                    <a:xfrm>
                      <a:off x="0" y="0"/>
                      <a:ext cx="5273040" cy="2511425"/>
                    </a:xfrm>
                    <a:prstGeom prst="rect">
                      <a:avLst/>
                    </a:prstGeom>
                    <a:noFill/>
                    <a:ln w="9525">
                      <a:noFill/>
                    </a:ln>
                  </pic:spPr>
                </pic:pic>
              </a:graphicData>
            </a:graphic>
          </wp:anchor>
        </w:drawing>
      </w:r>
      <w:r>
        <w:rPr>
          <w:rFonts w:hint="eastAsia" w:ascii="宋体" w:hAnsi="宋体" w:eastAsia="宋体" w:cs="宋体"/>
          <w:sz w:val="21"/>
          <w:szCs w:val="21"/>
          <w:lang w:val="en-US" w:eastAsia="zh-CN"/>
        </w:rPr>
        <w:t>图1.1 Fabric结构图</w:t>
      </w:r>
    </w:p>
    <w:p w14:paraId="703C950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Hyperledger Fabric是最早加入超级账本项目的顶级项目，Fabric 由IBM 、DAH 等企业于2015年底提交到社区。该项目的定位是面向企业的分布式账本平台，创新地引入了权限管理机制，设计上支持可插拔、可扩展，是首个面向联盟链场景的开源项目。Hyperledger Iroha是由Soramitsu、日立、NTT Data和Colu提供。超级账本Iroha可以非常方便地集成到需要分布式账本技术的基础设施项目中。有别于其它超级账本框架，超级账本Iroha支持Android和iOS客户端库的移动应用程序开发。超级账本Iroha支持C++语言进行开发，采用了YAC共识机制。Hyperledger Sawtooth是由Intel提供的一个区块链框架，它利用模块化平台构建、部署和运行分布式账本，支持物联网（IoT）芯片的接入。超级账本Sawtooth根据网络情况使用了动态共识算法——运行时间证明机制（Proof of Elapsed Time，PoET），该算法提供了较好的可扩展性，同时又不需要很高的能耗。PoET支持高度可伸缩的验证器节点网络。部署方式上Hyperledger Sawtooth支持公有链和联盟链两种方式。Hyperledger Indy是为身份认证设计的一种分布式账本技术，可以很好地保护用户隐私。Hyperledger Indy的目标是通过开发一组分散的身份规范和组件，这些规范和组件独立于任何特定的分布式账本，并将支持分布式账本之间的操作。Hyperledger Burrow的正式名称是iris-db，于2014年12月发布。Hyperledger Burrow是一款可授权的智能合约应用引擎，提供以太坊虚拟机的支持。</w:t>
      </w:r>
    </w:p>
    <w:p w14:paraId="48DD184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超级账本框架是用来构建区块链和分布式账本。超级账本工具是区块链的辅助软件，用于部署和维护区块链网络，检查账本数据以及区块链的设计和开发。</w:t>
      </w:r>
    </w:p>
    <w:p w14:paraId="31E800C3">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Calibri" w:hAnsi="Calibri" w:eastAsia="宋体" w:cs="Times New Roman"/>
          <w:sz w:val="24"/>
          <w:szCs w:val="24"/>
        </w:rPr>
      </w:pPr>
      <w:r>
        <w:rPr>
          <w:rFonts w:hint="eastAsia" w:ascii="Calibri" w:hAnsi="Calibri" w:eastAsia="宋体" w:cs="Times New Roman"/>
          <w:sz w:val="24"/>
          <w:szCs w:val="24"/>
        </w:rPr>
        <w:t>Hyperledger Explorer是一种可视化区块链操作工具，是首个超级账本区块链浏览器，由DTCC、英特尔和IBM提供。Hyperledger Explorer旨在创建用户友好的Web应用程序，用户可以查看、调用、部署或查询区块,交易和交易相关数据,网络信息（名称、状态、节点列表）,智能合约（智能合约代码和交易）,存储在账本中的其它相关信息。</w:t>
      </w:r>
    </w:p>
    <w:p w14:paraId="5329D53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73952" behindDoc="0" locked="0" layoutInCell="1" allowOverlap="1">
            <wp:simplePos x="0" y="0"/>
            <wp:positionH relativeFrom="column">
              <wp:posOffset>-100965</wp:posOffset>
            </wp:positionH>
            <wp:positionV relativeFrom="paragraph">
              <wp:posOffset>34925</wp:posOffset>
            </wp:positionV>
            <wp:extent cx="5469890" cy="2973705"/>
            <wp:effectExtent l="0" t="0" r="16510" b="17145"/>
            <wp:wrapTopAndBottom/>
            <wp:docPr id="1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
                    <pic:cNvPicPr>
                      <a:picLocks noChangeAspect="1"/>
                    </pic:cNvPicPr>
                  </pic:nvPicPr>
                  <pic:blipFill>
                    <a:blip r:embed="rId304"/>
                    <a:stretch>
                      <a:fillRect/>
                    </a:stretch>
                  </pic:blipFill>
                  <pic:spPr>
                    <a:xfrm>
                      <a:off x="0" y="0"/>
                      <a:ext cx="5469890" cy="2973705"/>
                    </a:xfrm>
                    <a:prstGeom prst="rect">
                      <a:avLst/>
                    </a:prstGeom>
                    <a:noFill/>
                    <a:ln>
                      <a:noFill/>
                    </a:ln>
                  </pic:spPr>
                </pic:pic>
              </a:graphicData>
            </a:graphic>
          </wp:anchor>
        </w:drawing>
      </w:r>
      <w:r>
        <w:rPr>
          <w:rFonts w:hint="eastAsia" w:ascii="宋体" w:hAnsi="宋体" w:eastAsia="宋体" w:cs="宋体"/>
          <w:sz w:val="21"/>
          <w:szCs w:val="21"/>
          <w:lang w:val="en-US" w:eastAsia="zh-CN"/>
        </w:rPr>
        <w:t>图1.2 区块链浏览器</w:t>
      </w:r>
    </w:p>
    <w:p w14:paraId="496FF8E7">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0049225E">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项目团队由六名核心成员构成，分工明确，覆盖了区块链、后端、前端、测试及产品全链路。区块链开发工程师（2人）负责核心底层搭建，包括Hyperledger Fabric联盟链网络的规划、部署、配置与运维，以及使用Go语言编写并测试实现投票、计票、奖励发放等核心业务逻辑的链码（智能合约），并确保其安全性与性能。后端开发工程师（1人）负责业务中台开发，基于Go的Gin框架设计与实现所有RESTful API接口，处理用户认证、数据预处理、链上链下数据同步逻辑，并负责与数据库及区块链适配层的交互。前端开发工程师（2人）分为Web端与移动端，共同负责用户交互界面的实现，使用Vue.js 3和uni-app等框架开发展示作品画廊、投票操作面板、结果排行榜、个人中心等模块，并确保与后端API的顺畅通信及良好的用户体验。测试与质量保障工程师（1人）负责制定全面的测试策略，编写并执行智能合约的单元与集成测试用例，进行前后端的功能测试、性能测试和安全渗透测试，并持续进行缺陷跟踪与管理。项目经理/产品设计师（兼任）负责整体项目规划、需求分析、原型设计、进度协调、资源调配以及对外沟通，确保项目目标与业务需求对齐，并推动产品迭代。</w:t>
      </w:r>
    </w:p>
    <w:p w14:paraId="31924649">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rPr>
        <w:drawing>
          <wp:anchor distT="0" distB="0" distL="114300" distR="114300" simplePos="0" relativeHeight="251771904" behindDoc="0" locked="0" layoutInCell="1" allowOverlap="1">
            <wp:simplePos x="0" y="0"/>
            <wp:positionH relativeFrom="column">
              <wp:posOffset>162560</wp:posOffset>
            </wp:positionH>
            <wp:positionV relativeFrom="paragraph">
              <wp:posOffset>190500</wp:posOffset>
            </wp:positionV>
            <wp:extent cx="4884420" cy="2091690"/>
            <wp:effectExtent l="0" t="0" r="11430" b="3810"/>
            <wp:wrapTopAndBottom/>
            <wp:docPr id="1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
                    <pic:cNvPicPr>
                      <a:picLocks noChangeAspect="1"/>
                    </pic:cNvPicPr>
                  </pic:nvPicPr>
                  <pic:blipFill>
                    <a:blip r:embed="rId305"/>
                    <a:stretch>
                      <a:fillRect/>
                    </a:stretch>
                  </pic:blipFill>
                  <pic:spPr>
                    <a:xfrm>
                      <a:off x="0" y="0"/>
                      <a:ext cx="4884420" cy="2091690"/>
                    </a:xfrm>
                    <a:prstGeom prst="rect">
                      <a:avLst/>
                    </a:prstGeom>
                    <a:noFill/>
                    <a:ln>
                      <a:noFill/>
                    </a:ln>
                  </pic:spPr>
                </pic:pic>
              </a:graphicData>
            </a:graphic>
          </wp:anchor>
        </w:drawing>
      </w:r>
      <w:r>
        <w:rPr>
          <w:rFonts w:hint="eastAsia" w:ascii="宋体" w:hAnsi="宋体" w:eastAsia="宋体" w:cs="宋体"/>
          <w:sz w:val="21"/>
          <w:szCs w:val="21"/>
          <w:lang w:val="en-US" w:eastAsia="zh-CN"/>
        </w:rPr>
        <w:t>图1.3 人员组织结构图</w:t>
      </w:r>
    </w:p>
    <w:p w14:paraId="022DD550">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3305BB93">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1315FC5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需求旨在构建一个安全、公平、高效且具有激励性的服装设计投票生态系统。功能性需求可分解为四大核心板块：一是身份与权限管理，系统需支持多角色（设计师、普通投票用户、评审专家、管理员）的注册、登录与差异化的权限控制，设计师可提交作品并声明版权，用户可参与投票，管理员负责活动管理与参数设置。二是作品与投票管理，设计师需能将设计作品（效果图、说明文档）的关键信息（如哈希值）上链存证，作品以画廊形式公开展示；投票用户可对作品进行投票（如赞成票、打分、多维评价），投票行为本身及其权重（可能基于用户历史贡献或持有代币数量）需记录上链；系统需支持多种投票活动（如海选、晋级赛、决赛）的创建与管理。三是计票与结果公示，投票结束后，系统需根据预设的智能合约规则（如简单多数、加权计分）自动、实时地计算并生成不可篡改的排名结果，并立即进行链上公示与全网广播。四是代币激励与流通，设计一套原生代币或积分体系，用于奖励用户的投票参与、有效反馈等行为，并可应用于支付投票权重提升、兑换权益等场景，代币的发放、转移均通过链上合约执行。非功能性需求至关重要：安全性要求防止女巫攻击、刷票，保护用户隐私（支持匿名/实名可选），智能合约需经严格审计；公平性与透明度要求所有核心逻辑与数据上链，可供独立验证；性能需支持高并发投票场景，响应延迟在可接受范围内；可用性要求界面直观友好，投票流程简单顺畅；可扩展性要求架构能支持未来新增投票模式或与外部系统（如电商平台、版权登记机构）的集成。</w:t>
      </w:r>
    </w:p>
    <w:p w14:paraId="64FC19F5">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0461962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rPr>
      </w:pPr>
      <w:r>
        <w:rPr>
          <w:rFonts w:hint="eastAsia" w:ascii="Calibri" w:hAnsi="Calibri" w:eastAsia="宋体" w:cs="Times New Roman"/>
          <w:sz w:val="24"/>
          <w:szCs w:val="24"/>
        </w:rPr>
        <w:t>项目的可行性评估涵盖技术、经济与运营三个维度。技术可行性方面，项目所依赖的核心技术均已成熟。Hyperledger Fabric是经过大量企业级应用验证的联盟链框架，其权限管理和隐私保护机制非常适合本项目的多角色商业场景。前后端技术栈（Go, Vue.js, 移动端框架）更是业界主流，有丰富的开源组件和社区支持。实现投票、存证等核心业务的智能合约逻辑复杂度适中，技术上无不可逾越的障碍。经济可行性体现在，虽然初期在区块链网络搭建、智能合约开发和系统集成方面需要一定的研发投入，但系统上线后能够通过多种途径创造价值：为服装赛事或品牌方提供可信投票服务可收取技术服务费；活跃的社区和代币经济可能衍生出新的商业模式（如设计版权交易市场）；通过提升决策公信力间接帮助品牌降低市场风险、提升新品成功率。长期看，项目的收益潜力能够覆盖并超越初期成本。运营与法律可行性是更具挑战性的方面。运营上，需要吸引足够的设计师和用户参与以形成网络效应，这要求有良好的市场推广和运营活动设计。法律上，涉及数字资产（代币）的发行与流通需要在目标运营地符合当地关于虚拟货币、证券或众筹的相关法规；投票结果的链上法律效力可能需要与现有司法电子存证体系进行衔接或获得特定认证。因此，项目初期可能更适合在封闭的联盟环境或特定法律框架清晰的区域内进行试点。</w:t>
      </w:r>
    </w:p>
    <w:p w14:paraId="79524BF5">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41CEF16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涉及四类核心用户角色，其交互场景各有侧重。设计师：核心场景是“作品提交与版权保护”。他们登录系统后，上传设计作品，系统自动生成哈希并上链存证，完成初步的确权。随后作品进入展示池，他们可以关注自己作品的投票进度与排名，并在胜出后可能通过智能合约获得奖励或版权授权机会。他们的核心诉求是版权得到保护、作品获得公平曝光与评价。投票用户：核心场景是“浏览与投票”。他们可以匿名或实名浏览所有参赛作品，对自己喜欢的作品进行投票或打分。系统会根据其活跃度、历史准确性等因素动态赋予投票权重。参与投票后，他们会立即获得代币奖励，并可以在个人中心查看投票记录、累积奖励及影响力排名。他们的诉求是投票过程有趣、有回报，且自己的选择能真正影响结果。评审专家（可选高级角色）：可能被赋予更高的投票权重，或在特定轮次拥有决定权。他们的交互场景更侧重于深度评价，可能需要对作品进行多维度打分并填写评审意见，这些专业意见也可以被选择性上链以增加结果的说服力。活动管理员：通常由赛事主办方或品牌方担任。他们的场景是“活动全周期管理”：创建新的投票活动，设置活动规则（如投票周期、计票算法、奖励方案），审核设计师提交的作品，监控实时投票数据看板，并在活动结束后确认并发布最终结果。他们需要强大而直观的后台管理界面，并确保所有操作符合预设的、已上链的规则，自身权力也受到合约制约。</w:t>
      </w:r>
    </w:p>
    <w:p w14:paraId="0113825E">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72928" behindDoc="0" locked="0" layoutInCell="1" allowOverlap="1">
            <wp:simplePos x="0" y="0"/>
            <wp:positionH relativeFrom="column">
              <wp:posOffset>542290</wp:posOffset>
            </wp:positionH>
            <wp:positionV relativeFrom="paragraph">
              <wp:posOffset>99060</wp:posOffset>
            </wp:positionV>
            <wp:extent cx="4284980" cy="3161665"/>
            <wp:effectExtent l="0" t="0" r="1270" b="635"/>
            <wp:wrapTopAndBottom/>
            <wp:docPr id="1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5"/>
                    <pic:cNvPicPr>
                      <a:picLocks noChangeAspect="1"/>
                    </pic:cNvPicPr>
                  </pic:nvPicPr>
                  <pic:blipFill>
                    <a:blip r:embed="rId306"/>
                    <a:stretch>
                      <a:fillRect/>
                    </a:stretch>
                  </pic:blipFill>
                  <pic:spPr>
                    <a:xfrm>
                      <a:off x="0" y="0"/>
                      <a:ext cx="4284980" cy="3161665"/>
                    </a:xfrm>
                    <a:prstGeom prst="rect">
                      <a:avLst/>
                    </a:prstGeom>
                    <a:noFill/>
                    <a:ln>
                      <a:noFill/>
                    </a:ln>
                  </pic:spPr>
                </pic:pic>
              </a:graphicData>
            </a:graphic>
          </wp:anchor>
        </w:drawing>
      </w:r>
      <w:r>
        <w:rPr>
          <w:rFonts w:hint="eastAsia" w:ascii="宋体" w:hAnsi="宋体" w:eastAsia="宋体" w:cs="宋体"/>
          <w:sz w:val="21"/>
          <w:szCs w:val="21"/>
          <w:lang w:val="en-US" w:eastAsia="zh-CN"/>
        </w:rPr>
        <w:t>图2.1 用例图</w:t>
      </w:r>
    </w:p>
    <w:p w14:paraId="76E3AE7C">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5B6CCA7F">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结构设计</w:t>
      </w:r>
    </w:p>
    <w:p w14:paraId="405EAC2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系统采用分层、模块化的混合架构，融合了传统中心化服务的高效与区块链的去中心化可信。整体自底向上可分为四层</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区块链信任层：这是系统的基石，基于Hyperledger Fabric联盟链构建。该层包含由多个组织（如主办方、行业协会、公证机构）共同维护的Peer节点、排序服务以及CA。链上部署了核心的智能合约（链码），负责执行最关键的逻辑：设计作品的元数据（哈希、时间戳、作者）存证、每一次投票（投票者ID哈希、作品ID、权重、时间）的记录、根据规则自动计算票数并生成不可篡改的排名结果、以及代币的发行与流转。Fabric的通道机制可用于隔离不同赛事或品牌方的数据，保障商业隐私。数据与服务层：该层包含中心化部署的后端服务器与数据库。关系型数据库（如PostgreSQL）存储非核心但需高效查询的数据，如用户个人资料、作品高清图片的URL、活动描述文案、页面缓存等。后端服务使用Go编写，它一方面提供丰富的RESTful API供前端调用，处理用户认证、文件上传、复杂查询等业务；另一方面，它作为区块链的适配器，封装了对Fabric SDK的调用，将前端请求转化为链码调用交易，并处理交易结果的解析与同步。这一层实现了“链上确权，链下体验”的平衡。应用接口层：主要由Web前端应用和移动端应用构成。它们通过HTTP/WebSocket与后端服务层通信，为用户提供丰富的交互界面。前端负责渲染作品画廊、实现流畅的投票交互、展示实时动态的排行榜、管理个人资产（代币）等。这一层是用户体验的直接载体。用户访问层：用户通过浏览器或手机App访问系统。由于采用联盟链，用户无需安装复杂的钱包插件（如MetaMask），其身份可通过传统的注册登录或与第三方权威身份系统（如CA颁发的数字证书）结合来实现，降低了使用门槛，更符合大众用户习惯。</w:t>
      </w:r>
    </w:p>
    <w:p w14:paraId="6DFB3D16">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default" w:ascii="宋体" w:hAnsi="宋体" w:eastAsia="宋体" w:cs="宋体"/>
          <w:sz w:val="21"/>
          <w:szCs w:val="21"/>
          <w:lang w:val="en-US"/>
        </w:rPr>
      </w:pPr>
      <w:r>
        <w:rPr>
          <w:rFonts w:hint="eastAsia" w:ascii="Calibri" w:hAnsi="Calibri" w:eastAsia="宋体" w:cs="Times New Roman"/>
          <w:sz w:val="21"/>
          <w:szCs w:val="21"/>
        </w:rPr>
        <w:drawing>
          <wp:anchor distT="0" distB="0" distL="114300" distR="114300" simplePos="0" relativeHeight="251774976" behindDoc="0" locked="0" layoutInCell="1" allowOverlap="1">
            <wp:simplePos x="0" y="0"/>
            <wp:positionH relativeFrom="column">
              <wp:posOffset>844550</wp:posOffset>
            </wp:positionH>
            <wp:positionV relativeFrom="paragraph">
              <wp:posOffset>93345</wp:posOffset>
            </wp:positionV>
            <wp:extent cx="3388360" cy="2778760"/>
            <wp:effectExtent l="0" t="0" r="2540" b="2540"/>
            <wp:wrapTopAndBottom/>
            <wp:docPr id="1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
                    <pic:cNvPicPr>
                      <a:picLocks noChangeAspect="1"/>
                    </pic:cNvPicPr>
                  </pic:nvPicPr>
                  <pic:blipFill>
                    <a:blip r:embed="rId307"/>
                    <a:stretch>
                      <a:fillRect/>
                    </a:stretch>
                  </pic:blipFill>
                  <pic:spPr>
                    <a:xfrm>
                      <a:off x="0" y="0"/>
                      <a:ext cx="3388360" cy="2778760"/>
                    </a:xfrm>
                    <a:prstGeom prst="rect">
                      <a:avLst/>
                    </a:prstGeom>
                    <a:noFill/>
                    <a:ln>
                      <a:noFill/>
                    </a:ln>
                  </pic:spPr>
                </pic:pic>
              </a:graphicData>
            </a:graphic>
          </wp:anchor>
        </w:drawing>
      </w:r>
      <w:r>
        <w:rPr>
          <w:rFonts w:hint="eastAsia" w:ascii="宋体" w:hAnsi="宋体" w:eastAsia="宋体" w:cs="宋体"/>
          <w:sz w:val="21"/>
          <w:szCs w:val="21"/>
          <w:lang w:val="en-US" w:eastAsia="zh-CN"/>
        </w:rPr>
        <w:t>图3.2 系统结构图</w:t>
      </w:r>
    </w:p>
    <w:p w14:paraId="442D67F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5B52C67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功能被解构为六个高内聚、低耦合的核心模块：用户与权限中心模块：管理所有角色的注册、登录、身份验证与授权。集成Fabric的MSP或外部CA，为每位用户颁发可验证的数字身份凭证。管理用户资料、信誉分、代币余额等信息，并为不同角色分配不同的前端功能权限和链码调用权限。设计作品管理模块：为设计师提供作品上传、描述、分类打标等功能。核心在于“一键存证”：用户提交作品文件后，后端计算其哈希值，并调用链码将该哈希值与作者ID、提交时间一同写入区块链，生成唯一的存证证书（可下载）。同时，作品信息存入中心数据库供前端展示。投票活动引擎模块：这是系统的业务核心。允许管理员灵活创建和管理投票活动，配置活动名称、描述、时间周期、参赛作品范围、投票规则（如一人一票、加权投票、多轮淘汰）、计票算法等。所有配置的关键部分需要上链锁定，确保活动过程的不可篡改。投票与计票执行模块：前端提供投票界面，用户投票时，该行为数据（经过必要脱敏）被发送至后端，后端组装成交易提案，通过Fabric SDK调用链码，将投票记录写入账本。链码内嵌计票逻辑，实时或定时聚合投票数据。计票过程完全在链上完成，结果状态（如当前排名）可通过链码查询函数实时获取。代币激励与资产模块：系统发行内部流通的激励代币（或积分）。智能合约定义代币的发行总量、分配规则（如每次投票奖励、优秀作品奖励）。用户参与投票、作品获奖等行为会自动触发合约，向相关地址发放代币。代币可用于购买更高投票权重、兑换实物奖品或在未来生态中流通。数据展示与分析模块：从链上和链下数据库抽取数据，为所有用户提供丰富的可视化展示。包括实时更新的作品排行榜、个人投票历史图谱、全网投票热度趋势分析、代币流通数据看板等。为管理员提供深度数据分析报告，辅助决策。</w:t>
      </w:r>
    </w:p>
    <w:p w14:paraId="25D557E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核心依赖关系：用户与权限中心模块是所有其他模块的基础，为各模块提供身份验证与权限管控支持，确保操作的合法性；</w:t>
      </w:r>
    </w:p>
    <w:p w14:paraId="060D761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业务流转关系：设计作品管理模块的作品数据为投票活动引擎模块提供参赛资源，投票活动引擎模块的配置规则驱动投票与计票执行模块的运行；</w:t>
      </w:r>
    </w:p>
    <w:p w14:paraId="7D3574A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激励与展示关系：投票与计票执行模块的用户行为数据触发代币激励与资产模块的奖励发放逻辑，同时各模块的核心数据均同步至数据展示与分析模块，为用户提供可视化服务。</w:t>
      </w:r>
    </w:p>
    <w:p w14:paraId="41B10C7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核心职责</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负责全系统用户身份的生命周期管理与权限管控，是系统安全访问的基础保障模块。</w:t>
      </w:r>
    </w:p>
    <w:p w14:paraId="1FFD668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身份管理</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集成Fabric的MSP（成员服务提供者）或外部CA（证书颁发机构），为每位用户颁发唯一、可验证的数字身份凭证，支持用户注册、登录、身份注销等全流程操作。</w:t>
      </w:r>
    </w:p>
    <w:p w14:paraId="37F204D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信息管理</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维护用户核心信息，包括用户基础资料、信誉评分（基于参与行为生成）、激励代币余额等，确保信息的一致性与可追溯性。</w:t>
      </w:r>
    </w:p>
    <w:p w14:paraId="15BAF4E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权限分配</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采用基于角色的权限控制（RBAC）模型，为不同角色（管理员、设计师、普通投票用户、审计人员）分配差异化的前端功能访问权限与链码调用权限，实现权限的精细化管控。</w:t>
      </w:r>
    </w:p>
    <w:p w14:paraId="2CD3FA9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设计作品管理模块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核心职责</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为设计师提供作品全流程管理功能，核心亮点是实现作品的区块链可信存证，保障作品版权归属的可追溯性。</w:t>
      </w:r>
    </w:p>
    <w:p w14:paraId="592E8EB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作品基础管理：支持设计师上传作品文件（如设计图纸、效果图）、填写作品描述、进行分类打标（如风格、应用场景）等基础操作，提升作品展示的规范性。</w:t>
      </w:r>
    </w:p>
    <w:p w14:paraId="4801A81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一键存证功能：设计师提交作品后，后端自动计算作品文件的唯一哈希值（如SHA-256），通过Fabric SDK调用链码，将哈希值、作者ID、提交时间戳等核心信息写入区块链。存证完成后，系统自动生成唯一的存证证书（含存证编号、区块链查询链接等信息），支持用户下载留存。</w:t>
      </w:r>
    </w:p>
    <w:p w14:paraId="3688B82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作品展示支撑：将作品的非核心展示信息（如作品预览图、详细描述）存入中心数据库，为前端展示提供数据支撑，实现链上可信数据与链下展示数据的协同。</w:t>
      </w:r>
    </w:p>
    <w:p w14:paraId="71126DE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投票活动引擎模块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核心职责</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作为系统的业务核心，负责投票活动的全生命周期配置与管理，保障活动规则的灵活性与执行的可信性。</w:t>
      </w:r>
    </w:p>
    <w:p w14:paraId="1976914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活动创建与配置：支持管理员灵活创建投票活动，配置活动核心参数，包括活动名称、活动描述、时间周期（开始时间、结束时间）、参赛作品范围（指定作品池、全平台作品）、投票规则（一人一票、加权投票、多轮淘汰等）、计票算法（简单多数制、排序投票制等）。</w:t>
      </w:r>
    </w:p>
    <w:p w14:paraId="6DA9B09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规则上链锁定：活动配置的关键参数（如投票规则、时间周期、计票算法）需写入区块链锁定，确保活动过程中规则不可篡改，保障投票的公平性。</w:t>
      </w:r>
    </w:p>
    <w:p w14:paraId="2CE91DD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活动状态管理：支持管理员对活动状态进行管控（如启动、暂停、结束），活动状态变更记录实时上链，确保状态变更的可追溯性。</w:t>
      </w:r>
    </w:p>
    <w:p w14:paraId="3C8F684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投票与计票执行模块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核心职责</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负责投票行为的接收、验证与上链存储，以及投票数据的链上聚合计算，是保障投票结果可信的核心模块。</w:t>
      </w:r>
    </w:p>
    <w:p w14:paraId="3D98C00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投票交互支撑：前端提供直观的投票界面，用户选择作品投票后，系统对投票行为数据进行必要脱敏（如对投票者ID进行哈希处理），并发送至后端。投票上链执行：后端接收投票数据后，组装成交易提案，通过Fabric SDK调用链码，将投票记录（含脱敏后的投票者ID、作品ID、活动ID、投票权重、时间戳）写入区块链账本，确保投票记录不可篡改。链上计票逻辑：链码内嵌计票逻辑，支持实时或定时聚合投票数据。计票过程完全在链上完成，避免中心化计票带来的篡改风险，计票结果状态（如当前作品排名、实时票数）可通过链码查询函数实时获取。</w:t>
      </w:r>
    </w:p>
    <w:p w14:paraId="1337AF9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代币激励与资产模块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核心职责</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通过发行内部激励代币，构建系统生态激励机制，提升用户参与积极性，保障生态的可持续运行。</w:t>
      </w:r>
    </w:p>
    <w:p w14:paraId="15BCC79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代币发行定义：通过智能合约定义激励代币的核心参数，包括发行总量、发行方式、分配规则（如投票参与奖励、优秀作品奖励、管理员激励等），确保代币发行的透明性与规范性</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自动激励发放：用户参与投票、作品获得奖励等符合激励规则的行为发生时，智能合约自动触发激励发放逻辑，向相关用户地址发放对应数量的代币，无需人工干预，提升激励效率。代币流通管理：支持代币的基础流通功能，如用户间代币转账、代币兑换（可用于购买更高投票权重、兑换实物奖品），为未来生态扩展预留流通能力。</w:t>
      </w:r>
    </w:p>
    <w:p w14:paraId="70237E9F">
      <w:pPr>
        <w:spacing w:line="440" w:lineRule="exact"/>
        <w:ind w:firstLine="480" w:firstLineChars="200"/>
        <w:rPr>
          <w:rFonts w:hint="eastAsia" w:ascii="Calibri" w:hAnsi="Calibri" w:eastAsia="宋体" w:cs="Times New Roman"/>
          <w:sz w:val="24"/>
          <w:szCs w:val="24"/>
        </w:rPr>
      </w:pPr>
      <w:bookmarkStart w:id="785" w:name="heading_16"/>
      <w:r>
        <w:rPr>
          <w:rFonts w:hint="eastAsia" w:ascii="Calibri" w:hAnsi="Calibri" w:eastAsia="宋体" w:cs="Times New Roman"/>
          <w:sz w:val="24"/>
          <w:szCs w:val="24"/>
        </w:rPr>
        <w:t>数据展示与分析模块</w:t>
      </w:r>
      <w:bookmarkEnd w:id="785"/>
      <w:r>
        <w:rPr>
          <w:rFonts w:hint="eastAsia" w:ascii="Calibri" w:hAnsi="Calibri" w:eastAsia="宋体" w:cs="Times New Roman"/>
          <w:sz w:val="24"/>
          <w:szCs w:val="24"/>
          <w:lang w:eastAsia="zh-CN"/>
        </w:rPr>
        <w:t>，</w:t>
      </w:r>
      <w:bookmarkStart w:id="786" w:name="heading_17"/>
      <w:r>
        <w:rPr>
          <w:rFonts w:hint="eastAsia" w:ascii="Calibri" w:hAnsi="Calibri" w:eastAsia="宋体" w:cs="Times New Roman"/>
          <w:sz w:val="24"/>
          <w:szCs w:val="24"/>
        </w:rPr>
        <w:t>核心职责</w:t>
      </w:r>
      <w:bookmarkEnd w:id="786"/>
      <w:r>
        <w:rPr>
          <w:rFonts w:hint="eastAsia" w:ascii="Calibri" w:hAnsi="Calibri" w:eastAsia="宋体" w:cs="Times New Roman"/>
          <w:sz w:val="24"/>
          <w:szCs w:val="24"/>
          <w:lang w:eastAsia="zh-CN"/>
        </w:rPr>
        <w:t>，</w:t>
      </w:r>
      <w:r>
        <w:rPr>
          <w:rFonts w:hint="eastAsia" w:ascii="Calibri" w:hAnsi="Calibri" w:eastAsia="宋体" w:cs="Times New Roman"/>
          <w:sz w:val="24"/>
          <w:szCs w:val="24"/>
        </w:rPr>
        <w:t>整合链上与链下数据资源，为不同角色用户提供可视化数据展示与深度分析服务，支撑用户决策与系统优化。</w:t>
      </w:r>
    </w:p>
    <w:p w14:paraId="551DEE7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通用数据可视化：为所有用户提供丰富的实时数据展示，包括作品排行榜（按票数、热度排序）、个人投票历史图谱、全网投票热度趋势分析、代币流通数据看板等，提升用户参与体验。管理员深度分析：为管理员提供专项数据分析报告，包括活动参与度分析、用户行为画像、代币激励效果评估等，辅助管理员优化活动策略与激励机制。数据查询支撑：提供多维度的数据查询功能，支持用户按活动、作品、时间等维度查询相关数据，同时提供区块链数据溯源入口，增强数据可信度。</w:t>
      </w:r>
    </w:p>
    <w:p w14:paraId="189F9B7E">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rPr>
        <w:t xml:space="preserve">3.3 </w:t>
      </w:r>
      <w:r>
        <w:rPr>
          <w:rFonts w:hint="eastAsia" w:ascii="Calibri" w:hAnsi="Calibri" w:eastAsia="宋体" w:cs="Times New Roman"/>
          <w:sz w:val="24"/>
          <w:szCs w:val="24"/>
          <w:lang w:val="en-US" w:eastAsia="zh-CN"/>
        </w:rPr>
        <w:t>数据结构设计</w:t>
      </w:r>
    </w:p>
    <w:p w14:paraId="26A9FB11">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智能合约是系统自动化与可信执行的保障，采用Go语言在Hyperledger Fabric上开发。关键数据结构设计：在链码中定义一系列结构体，如`DesignWork`（包含WorkID, DesignerID, Hash, Timestamp, Status）、`VoteActivity`（包含ActivityID, RuleConfig, Start/EndTime, Status）、`VoteRecord`（包含VoterIDHash, WorkID, ActivityID, Weight, Timestamp）、`TokenAccount`（包含OwnerID, Balance）。这些结构体状态通过复合键（如`DesignWork:{WorkID}`）存储在Fabric的状态数据库中。核心链码函数：包括`CreateWork()`（作品存证）、`CreateActivity()`（创建活动，仅管理员）、`CastVote()`（执行投票，内部计算权重并更新计票状态）、`TallyVotes()`（在活动结束后触发最终计票与排名生成）、`IssueToken()`（根据规则发行奖励代币）、`TransferToken()`（用户间转账）。权限与安全设计：通过Fabric的链码背书策略来实现精细权限控制。例如，`CreateActivity`函数可能要求多数主办方组织的Peer节点背书；`CastVote`函数需要验证调用者是否拥有有效且未在该活动中重复投票的身份凭证。合约代码严格遵循安全实践，避免状态变量未初始化、防止非预期的重入（尽管Fabric模型下风险较低）等。隐私考量：对于需要保护投票者隐私的场景，可以使用Fabric的私有数据集合，将投票记录细节仅分享给相关方（如审计委员会），而只将聚合结果（如总票数）放入公共账本。链码设计需充分考虑这种公私数据分离的机制。</w:t>
      </w:r>
    </w:p>
    <w:p w14:paraId="00E94A9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数据结构与链码核心设计</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智能合约（链码）是系统自动化与可信执行的核心保障，基于Go语言在Hyperledger Fabric上开发。本节详细阐述链码中的关键数据结构与核心函数设计，以及权限安全与隐私保护机制。</w:t>
      </w:r>
    </w:p>
    <w:p w14:paraId="2499207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关键数据结构设计</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链码中定义一系列结构化数据模型（结构体），用于规范存储系统核心可信数据，所有结构体状态通过复合键形式存储在Fabric的状态数据库中，确保数据查询的高效性与唯一性。</w:t>
      </w:r>
    </w:p>
    <w:p w14:paraId="72C8D38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DesignWork（设计作品存证结构体）</w:t>
      </w:r>
    </w:p>
    <w:tbl>
      <w:tblPr>
        <w:tblStyle w:val="35"/>
        <w:tblW w:w="0" w:type="auto"/>
        <w:tblInd w:w="159"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21"/>
      </w:tblGrid>
      <w:tr w14:paraId="0941A5A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21" w:type="dxa"/>
            <w:shd w:val="clear" w:color="auto" w:fill="F5F6F7"/>
            <w:tcMar>
              <w:top w:w="60" w:type="dxa"/>
              <w:left w:w="120" w:type="dxa"/>
              <w:bottom w:w="30" w:type="dxa"/>
              <w:right w:w="120" w:type="dxa"/>
            </w:tcMar>
          </w:tcPr>
          <w:p w14:paraId="2A19318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DesignWork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WorkID     string    // 作品唯一标识</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DesignerID string    // 设计师ID（关联用户身份凭证）</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Hash       string    // 作品文件哈希值（唯一标识作品内容）</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Timestamp  int64     // 存证时间戳（Unix时间戳）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Status     string    // 作品状态（如"已存证"、"参赛中"、"已下架"）</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4B3D895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存储键：DesignWork:{WorkID}（通过作品唯一标识构建复合键，确保作品数据的唯一性）</w:t>
      </w:r>
    </w:p>
    <w:p w14:paraId="01A9B53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VoteActivity（投票活动结构体）</w:t>
      </w:r>
    </w:p>
    <w:tbl>
      <w:tblPr>
        <w:tblStyle w:val="35"/>
        <w:tblW w:w="0" w:type="auto"/>
        <w:tblInd w:w="123"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57"/>
      </w:tblGrid>
      <w:tr w14:paraId="1EBF236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57" w:type="dxa"/>
            <w:shd w:val="clear" w:color="auto" w:fill="F5F6F7"/>
            <w:tcMar>
              <w:top w:w="60" w:type="dxa"/>
              <w:left w:w="120" w:type="dxa"/>
              <w:bottom w:w="30" w:type="dxa"/>
              <w:right w:w="120" w:type="dxa"/>
            </w:tcMar>
          </w:tcPr>
          <w:p w14:paraId="4539F8D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VoteActivity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ActivityID   string                 // 活动唯一标识</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Name         string                 // 活动名称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Description  string                 // 活动描述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RuleConfig   VoteRuleConfig         // 投票规则配置（嵌套结构体）</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StartTime    int64                  // 活动开始时间戳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EndTime      int64                  // 活动结束时间戳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Status       string                 // 活动状态（如"未启动"、"进行中"、"已结束"、"已暂停"）</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46CFEAAB">
      <w:pPr>
        <w:spacing w:line="440" w:lineRule="exact"/>
        <w:ind w:firstLine="480" w:firstLineChars="200"/>
        <w:rPr>
          <w:rFonts w:hint="eastAsia" w:ascii="Calibri" w:hAnsi="Calibri" w:eastAsia="宋体" w:cs="Times New Roman"/>
          <w:sz w:val="24"/>
          <w:szCs w:val="24"/>
        </w:rPr>
      </w:pP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64"/>
      </w:tblGrid>
      <w:tr w14:paraId="522927C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64" w:type="dxa"/>
            <w:shd w:val="clear" w:color="auto" w:fill="F5F6F7"/>
            <w:tcMar>
              <w:top w:w="60" w:type="dxa"/>
              <w:left w:w="120" w:type="dxa"/>
              <w:bottom w:w="30" w:type="dxa"/>
              <w:right w:w="120" w:type="dxa"/>
            </w:tcMar>
          </w:tcPr>
          <w:p w14:paraId="26F7000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 投票规则配置嵌套结构体</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VoteRuleConfig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VoteType     string   // 投票类型（如"一人一票"、"加权投票"、"多轮淘汰"）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TallyAlg     string   // 计票算法（如"简单多数制"、"排序投票制"）</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WorkScope    []string // 参赛作品范围（作品ID列表）</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WeightConfig map[string]float64 // 加权配置（如不同用户角色的投票权重）</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22423D2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存储键：VoteActivity:{ActivityID}（通过活动唯一标识构建复合键）</w:t>
      </w:r>
    </w:p>
    <w:p w14:paraId="15687D4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VoteRecord（投票记录结构体）</w:t>
      </w:r>
    </w:p>
    <w:tbl>
      <w:tblPr>
        <w:tblStyle w:val="35"/>
        <w:tblW w:w="0" w:type="auto"/>
        <w:tblInd w:w="109"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71"/>
      </w:tblGrid>
      <w:tr w14:paraId="5C70696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171" w:type="dxa"/>
            <w:shd w:val="clear" w:color="auto" w:fill="F5F6F7"/>
            <w:tcMar>
              <w:top w:w="60" w:type="dxa"/>
              <w:left w:w="120" w:type="dxa"/>
              <w:bottom w:w="30" w:type="dxa"/>
              <w:right w:w="120" w:type="dxa"/>
            </w:tcMar>
          </w:tcPr>
          <w:p w14:paraId="4A5A6C7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VoteRecord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VoterIDHash string  // 脱敏后的投票者ID（哈希值）</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WorkID      string  // 投票作品ID</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ActivityID  string  // 所属活动ID</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Weight      float64 // 投票权重</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Timestamp   int64   // 投票时间戳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78DA8BE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存储键：VoteRecord:{ActivityID}:{VoterIDHash}:{WorkID}（复合键包含活动ID、脱敏投票者ID与作品ID，确保同一用户在同一活动中对同一作品仅能投票一次）</w:t>
      </w:r>
    </w:p>
    <w:p w14:paraId="68151C4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TokenAccount（代币账户结构体）</w:t>
      </w: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64"/>
      </w:tblGrid>
      <w:tr w14:paraId="3EDDCE3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164" w:type="dxa"/>
            <w:shd w:val="clear" w:color="auto" w:fill="F5F6F7"/>
            <w:tcMar>
              <w:top w:w="60" w:type="dxa"/>
              <w:left w:w="120" w:type="dxa"/>
              <w:bottom w:w="30" w:type="dxa"/>
              <w:right w:w="120" w:type="dxa"/>
            </w:tcMar>
          </w:tcPr>
          <w:p w14:paraId="4FA1AEE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TokenAccount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OwnerID string  // 账户所有者ID（关联用户身份凭证）</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Balance float64 // 代币余额</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1B1F5DC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存储键：TokenAccount:{OwnerID}（通过所有者ID构建复合键，确保账户数据的唯一性）</w:t>
      </w:r>
    </w:p>
    <w:p w14:paraId="28E0A1B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核心链码函数设计</w:t>
      </w:r>
    </w:p>
    <w:p w14:paraId="314BD83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链码包含一系列核心函数，覆盖作品存证、活动管理、投票执行、计票统计、代币管理等全业务流程，所有函数均需通过Fabric SDK调用，确保执行的可信性。</w:t>
      </w:r>
    </w:p>
    <w:p w14:paraId="66FA1EA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作品存证相关函数</w:t>
      </w:r>
    </w:p>
    <w:p w14:paraId="03EC8BC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函数名：CreateWork</w:t>
      </w:r>
    </w:p>
    <w:p w14:paraId="484A5BB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功能描述：实现设计作品的链上存证，接收作品ID、设计师ID、作品哈希值等参数，创建DesignWork结构体并存储至区块链状态数据库。</w:t>
      </w:r>
    </w:p>
    <w:p w14:paraId="3862697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参数列表：workID string, designerID string, hash string, timestamp int64</w:t>
      </w:r>
    </w:p>
    <w:p w14:paraId="37B5C92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返回值：error（存证成功返回nil，失败返回具体错误信息）</w:t>
      </w:r>
    </w:p>
    <w:p w14:paraId="4E568BA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投票活动相关函数</w:t>
      </w:r>
    </w:p>
    <w:p w14:paraId="6289506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函数名：CreateActivity</w:t>
      </w:r>
    </w:p>
    <w:p w14:paraId="4F9F720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功能描述：创建投票活动，仅管理员可调用。接收活动配置参数，创建VoteActivity结构体并存储至区块链，同时锁定关键规则参数。</w:t>
      </w:r>
    </w:p>
    <w:p w14:paraId="30F3075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参数列表：activityID string, name string, description string, ruleConfig VoteRuleConfig, startTime int64, endTime int64</w:t>
      </w:r>
    </w:p>
    <w:p w14:paraId="5534B30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返回值：error（创建成功返回nil，失败返回具体错误信息）</w:t>
      </w:r>
    </w:p>
    <w:p w14:paraId="3371397A">
      <w:pPr>
        <w:spacing w:line="440" w:lineRule="exact"/>
        <w:ind w:firstLine="480" w:firstLineChars="200"/>
        <w:rPr>
          <w:rFonts w:hint="eastAsia" w:ascii="Calibri" w:hAnsi="Calibri" w:eastAsia="宋体" w:cs="Times New Roman"/>
          <w:sz w:val="24"/>
          <w:szCs w:val="24"/>
        </w:rPr>
      </w:pPr>
      <w:bookmarkStart w:id="787" w:name="heading_28"/>
      <w:r>
        <w:rPr>
          <w:rFonts w:hint="eastAsia" w:ascii="Calibri" w:hAnsi="Calibri" w:eastAsia="宋体" w:cs="Times New Roman"/>
          <w:sz w:val="24"/>
          <w:szCs w:val="24"/>
        </w:rPr>
        <w:t>投票执行相关函数</w:t>
      </w:r>
      <w:bookmarkEnd w:id="787"/>
    </w:p>
    <w:p w14:paraId="4C92D1A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函数名：CastVote</w:t>
      </w:r>
    </w:p>
    <w:p w14:paraId="0D740B8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功能描述：执行用户投票操作，验证投票者身份有效性与投票权限（如是否重复投票），计算投票权重，创建VoteRecord结构体并存储，同时更新对应活动的计票状态。</w:t>
      </w:r>
    </w:p>
    <w:p w14:paraId="7B885A0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参数列表：voterIDHash string, workID string, activityID string, timestamp int64</w:t>
      </w:r>
    </w:p>
    <w:p w14:paraId="6D3410F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返回值：(float64, error)（返回投票权重，成功返回nil，失败返回具体错误信息）</w:t>
      </w:r>
    </w:p>
    <w:p w14:paraId="62BC0B0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计票统计相关函数</w:t>
      </w:r>
    </w:p>
    <w:p w14:paraId="093E188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函数名：TallyVotes</w:t>
      </w:r>
    </w:p>
    <w:p w14:paraId="63D870A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功能描述：在投票活动结束后触发，执行最终计票逻辑，根据活动配置的计票算法聚合投票数据，生成作品排名结果并存储至区块链。</w:t>
      </w:r>
    </w:p>
    <w:p w14:paraId="50F9386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参数列表：activityID string</w:t>
      </w:r>
    </w:p>
    <w:p w14:paraId="10ABB22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返回值：(map[string]float64, error)（返回作品ID-总票数映射表，成功返回nil，失败返回具体错误信息）</w:t>
      </w:r>
    </w:p>
    <w:p w14:paraId="13DF1E2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代币管理相关函数</w:t>
      </w:r>
    </w:p>
    <w:p w14:paraId="043A61A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函数名：IssueToken</w:t>
      </w:r>
    </w:p>
    <w:p w14:paraId="23A9FEB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功能描述：根据激励规则发行代币，向指定用户地址发放奖励代币，更新用户的TokenAccount余额。</w:t>
      </w:r>
    </w:p>
    <w:p w14:paraId="26041B2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参数列表：ownerID string, amount float64</w:t>
      </w:r>
    </w:p>
    <w:p w14:paraId="74E4A53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返回值：error（发行成功返回nil，失败返回具体错误信息）</w:t>
      </w:r>
    </w:p>
    <w:p w14:paraId="413997B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函数名：TransferToken</w:t>
      </w:r>
    </w:p>
    <w:p w14:paraId="0B21945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功能描述：实现用户间的代币转账，验证转账方余额充足性，更新转账双方的TokenAccount余额。</w:t>
      </w:r>
    </w:p>
    <w:p w14:paraId="57FDB32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参数列表：fromID string, toID string, amount float64</w:t>
      </w:r>
    </w:p>
    <w:p w14:paraId="51760B5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返回值：error（转账成功返回nil，失败返回具体错误信息）</w:t>
      </w:r>
    </w:p>
    <w:p w14:paraId="6ECD2CD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权限与安全设计</w:t>
      </w:r>
    </w:p>
    <w:p w14:paraId="66E817D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系统基于Hyperledger Fabric的权限机制，结合链码层面的安全校验，构建多层次的权限安全防护体系，保障系统运行的安全性与可信性。</w:t>
      </w:r>
    </w:p>
    <w:p w14:paraId="58E5DDD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链码背书策略</w:t>
      </w:r>
    </w:p>
    <w:p w14:paraId="7676F7C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通过Fabric的链码背书策略实现精细的权限控制，确保关键操作仅能由授权主体执行：</w:t>
      </w:r>
    </w:p>
    <w:p w14:paraId="538EFFF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创建投票活动（CreateActivity）：要求多数主办方组织的Peer节点背书，确保活动创建的权威性与共识性。</w:t>
      </w:r>
    </w:p>
    <w:p w14:paraId="426EDE0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执行投票（CastVote）：要求投票者所属组织的Peer节点背书，同时验证调用者是否拥有有效且未在该活动中重复投票的身份凭证。</w:t>
      </w:r>
    </w:p>
    <w:p w14:paraId="7F3A89E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发放激励代币（IssueToken）：要求系统管理员组织与财务审计组织的Peer节点共同背书，防止代币被恶意发行。</w:t>
      </w:r>
    </w:p>
    <w:p w14:paraId="213BE617">
      <w:pPr>
        <w:spacing w:line="440" w:lineRule="exact"/>
        <w:ind w:firstLine="480" w:firstLineChars="200"/>
        <w:rPr>
          <w:rFonts w:hint="eastAsia" w:ascii="Calibri" w:hAnsi="Calibri" w:eastAsia="宋体" w:cs="Times New Roman"/>
          <w:sz w:val="24"/>
          <w:szCs w:val="24"/>
        </w:rPr>
      </w:pPr>
      <w:bookmarkStart w:id="788" w:name="heading_33"/>
      <w:r>
        <w:rPr>
          <w:rFonts w:hint="eastAsia" w:ascii="Calibri" w:hAnsi="Calibri" w:eastAsia="宋体" w:cs="Times New Roman"/>
          <w:sz w:val="24"/>
          <w:szCs w:val="24"/>
        </w:rPr>
        <w:t>链码安全实践</w:t>
      </w:r>
      <w:bookmarkEnd w:id="788"/>
    </w:p>
    <w:p w14:paraId="7256A8A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链码开发严格遵循安全编码规范，规避常见安全风险：</w:t>
      </w:r>
    </w:p>
    <w:p w14:paraId="3420669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状态变量初始化校验：所有结构体状态变量在创建时均进行初始化校验，避免未初始化变量导致的逻辑错误。</w:t>
      </w:r>
    </w:p>
    <w:p w14:paraId="4AF4FBE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重入风险防护：尽管Hyperledger Fabric的交易执行模型下重入风险较低，仍通过交易原子性校验、状态锁定等机制，防止非预期的重入攻击。</w:t>
      </w:r>
    </w:p>
    <w:p w14:paraId="22694F8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输入参数校验：对所有链码函数的输入参数进行合法性校验（如格式、范围、权限关联），拒绝非法参数调用，避免恶意输入导致的系统异常。</w:t>
      </w:r>
    </w:p>
    <w:p w14:paraId="68F6DD3A">
      <w:pPr>
        <w:spacing w:line="440" w:lineRule="exact"/>
        <w:ind w:firstLine="480" w:firstLineChars="200"/>
        <w:rPr>
          <w:rFonts w:hint="eastAsia" w:ascii="Calibri" w:hAnsi="Calibri" w:eastAsia="宋体" w:cs="Times New Roman"/>
          <w:sz w:val="24"/>
          <w:szCs w:val="24"/>
        </w:rPr>
      </w:pPr>
      <w:bookmarkStart w:id="789" w:name="heading_34"/>
      <w:r>
        <w:rPr>
          <w:rFonts w:hint="eastAsia" w:ascii="Calibri" w:hAnsi="Calibri" w:eastAsia="宋体" w:cs="Times New Roman"/>
          <w:sz w:val="24"/>
          <w:szCs w:val="24"/>
        </w:rPr>
        <w:t>隐私考量</w:t>
      </w:r>
      <w:bookmarkEnd w:id="789"/>
    </w:p>
    <w:p w14:paraId="3C4F942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系统针对投票者隐私保护等核心隐私需求，采用Fabric的私有数据集合（Private Data Collection）机制，实现公私数据的分离存储：</w:t>
      </w:r>
    </w:p>
    <w:p w14:paraId="53E4F68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私有数据隔离：将投票记录细节（如完整投票者ID、投票偏好）存储至私有数据集合，仅分享给相关授权方（如审计委员会、活动主办方），保障投票者隐私不被泄露。</w:t>
      </w:r>
    </w:p>
    <w:p w14:paraId="1F22879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公共数据公示：仅将投票聚合结果（如各作品总票数、排名）、活动规则等非隐私数据放入公共账本，供全网络节点查询，确保活动的透明度。</w:t>
      </w:r>
    </w:p>
    <w:p w14:paraId="0097466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隐私数据访问控制：通过Fabric的私有数据权限配置，严格控制私有数据集合的访问权限，仅授权用户可查询相关隐私数据，防止隐私泄露。</w:t>
      </w:r>
    </w:p>
    <w:p w14:paraId="13651FC9">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1B5735EB">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系统为用户提供从参与、投票到查看结果的全流程服务。对于设计师用户：首先注册并完成身份验证（可能需要提交资质证明）。登录后，进入“我的作品”页面，点击“上传新作”，填写设计说明、灵感来源并上传设计图。提交后，系统会提示“正在上链存证”，片刻后生成带有区块链交易ID的存证证书，证明其在特定时间拥有了该设计的数字指纹。随后作品进入公开展示区。设计师可以分享作品链接，邀请他人投票，并在活动页面实时追踪自己作品的票数排名和收到的评论。对于投票用户：用户可以通过简单的邮箱或社交媒体账号注册登录。进入系统主页后，会被丰富的设计作品画廊吸引。用户可以通过筛选标签（如风格、季节）来浏览作品。对心仪的作品，点击“投票”按钮即可完成支持。为了激励深度参与，系统可能提供“打分”或“标签标注”等高级投票形式，完成这些可获得更多代币奖励。用户的个人主页会显示其“投票影响力”（基于历史投票与最终结果的吻合度）和代币余额。代币可用于在特定活动中提升单次投票的权重，或在积分商城中兑换限定纪念品。对于活动管理员（主办方）：通过管理员账户登录后，进入专用后台。在这里，可以“创建新活动”，详细设置活动规则，包括投票起止时间、允许参与的作品范围、计票公式等，这些关键规则在确认后会写入区块链。活动创建后，管理员可以审核设计师提交的作品，决定是否允许其进入投票池。在活动进行中，管理员拥有一个实时数据仪表盘，可以监控总投票数、各作品实时排名、用户活跃度等关键指标，所有数据均源自链上，真实可信。活动截止时间一到，或手动触发结束，智能合约会自动执行最终计票，生成最终排名并立即公示，整个过程无需人工干预，结果无法更改。所有用户都可以在活动页面查看到这份盖有“区块链时间戳”的最终成绩单。</w:t>
      </w:r>
    </w:p>
    <w:p w14:paraId="5743497B">
      <w:pPr>
        <w:keepNext/>
        <w:keepLines/>
        <w:widowControl w:val="0"/>
        <w:tabs>
          <w:tab w:val="left" w:pos="1584"/>
        </w:tabs>
        <w:spacing w:before="240" w:beforeLines="0" w:after="64" w:afterLines="0" w:line="320" w:lineRule="auto"/>
        <w:ind w:left="1584" w:hanging="1584"/>
        <w:jc w:val="both"/>
        <w:outlineLvl w:val="9"/>
        <w:rPr>
          <w:rFonts w:hint="default" w:ascii="Arial" w:hAnsi="Arial" w:eastAsia="黑体" w:cs="Times New Roman"/>
          <w:kern w:val="2"/>
          <w:sz w:val="21"/>
          <w:szCs w:val="24"/>
          <w:lang w:val="en-US" w:eastAsia="zh-CN" w:bidi="ar-SA"/>
        </w:rPr>
      </w:pPr>
      <w:r>
        <w:rPr>
          <w:rFonts w:hint="default" w:ascii="Arial" w:hAnsi="Arial" w:eastAsia="黑体" w:cs="Times New Roman"/>
          <w:kern w:val="2"/>
          <w:sz w:val="21"/>
          <w:szCs w:val="24"/>
          <w:lang w:val="en-US" w:eastAsia="zh-CN" w:bidi="ar-SA"/>
        </w:rPr>
        <w:drawing>
          <wp:inline distT="0" distB="0" distL="114300" distR="114300">
            <wp:extent cx="5269865" cy="1957070"/>
            <wp:effectExtent l="0" t="0" r="6985" b="5080"/>
            <wp:docPr id="196" name="图片 196" descr="dd1ce800b10613f2f962c772298ff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dd1ce800b10613f2f962c772298ff01"/>
                    <pic:cNvPicPr>
                      <a:picLocks noChangeAspect="1"/>
                    </pic:cNvPicPr>
                  </pic:nvPicPr>
                  <pic:blipFill>
                    <a:blip r:embed="rId308"/>
                    <a:stretch>
                      <a:fillRect/>
                    </a:stretch>
                  </pic:blipFill>
                  <pic:spPr>
                    <a:xfrm>
                      <a:off x="0" y="0"/>
                      <a:ext cx="5269865" cy="1957070"/>
                    </a:xfrm>
                    <a:prstGeom prst="rect">
                      <a:avLst/>
                    </a:prstGeom>
                  </pic:spPr>
                </pic:pic>
              </a:graphicData>
            </a:graphic>
          </wp:inline>
        </w:drawing>
      </w:r>
    </w:p>
    <w:p w14:paraId="7FF31791">
      <w:pPr>
        <w:jc w:val="center"/>
        <w:rPr>
          <w:rFonts w:hint="eastAsia" w:ascii="Calibri" w:hAnsi="Calibri" w:eastAsia="宋体" w:cs="Times New Roman"/>
          <w:lang w:val="en-US" w:eastAsia="zh-CN"/>
        </w:rPr>
      </w:pPr>
      <w:r>
        <w:rPr>
          <w:rFonts w:hint="eastAsia" w:ascii="Calibri" w:hAnsi="Calibri" w:eastAsia="宋体" w:cs="Times New Roman"/>
          <w:lang w:val="en-US" w:eastAsia="zh-CN"/>
        </w:rPr>
        <w:t>图4.1 系统投票页面</w:t>
      </w:r>
    </w:p>
    <w:p w14:paraId="4D1DA44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系统概述</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本系统是一款基于区块链技术的设计作品投票平台，核心目标是为用户提供从参与、投票到查看结果的全流程可信服务。系统依托区块链不可篡改、可追溯的特性，保障设计作品存证确权的有效性与投票活动的公平公正性，同时通过代币激励机制提升用户参与积极性。平台支持设计师、投票用户、活动管理员三类核心角色，各角色功能协同联动，构建完整的设计作品投票生态。</w:t>
      </w:r>
    </w:p>
    <w:p w14:paraId="26EC292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核心角色及功能使用说明</w:t>
      </w:r>
    </w:p>
    <w:p w14:paraId="1817BAF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设计师用户</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核心权益：实现作品可信存证确权、参与投票活动、追踪作品表现，获取创作激励。全流程使用步骤如下：</w:t>
      </w:r>
    </w:p>
    <w:p w14:paraId="7D5D9C1D">
      <w:pPr>
        <w:spacing w:line="440" w:lineRule="exact"/>
        <w:ind w:firstLine="480" w:firstLineChars="200"/>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身份注册与验证</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首次使用需完成系统注册，按要求提交基础个人信息及相关设计资质证明（用于身份核验）。系统集成Fabric的MSP或外部CA完成身份审核后，将为您颁发唯</w:t>
      </w:r>
    </w:p>
    <w:p w14:paraId="0E2832A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可验证的数字身份凭证，完成注册流程。作品上传与存证</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使用审核通过的账号登录系统，进入“我的作品”专属页面，点击“上传新作”功能按钮：填写作品基础信息，包括设计说明、灵感来源等；上传设计图等作品文件（支持常见图片格式，单个文件不超过50MB）；</w:t>
      </w:r>
    </w:p>
    <w:p w14:paraId="1EA594F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确认信息无误后点击“提交”，系统将自动触发上链存证流程，页面显示“正在上链存证”状态；</w:t>
      </w:r>
    </w:p>
    <w:p w14:paraId="1E2A33F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存证完成后，系统生成带有区块链交易ID的存证证书，证书包含存证编号、作品哈希值、区块链查询链接等关键信息，可直接下载留存，以此证明您在特定时间点对该设计的数字指纹所有权。</w:t>
      </w:r>
    </w:p>
    <w:p w14:paraId="4A1DEC9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作品展示与推广</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存证完成的作品将自动进入系统公开展示区，供其他用户浏览。您可通过系统提供的“分享”功能生成作品专属链接，邀请他人查看作品并为您投票支持。</w:t>
      </w:r>
    </w:p>
    <w:p w14:paraId="592F497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活动参与与数据追踪</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在系统“活动中心”页面筛选可参与的投票活动，提交已存证的作品完成报名；活动期间，可在“我的作品-参赛作品”板块实时查看作品的票数、排名情况，以及其他用户对作品的评论反馈，所有数据均同步自区块链，真实可信。</w:t>
      </w:r>
    </w:p>
    <w:p w14:paraId="3298387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投票用户</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核心权益：便捷浏览优质设计作品、参与投票互动、获取代币激励，提升个人投票影响力。全流程使用步骤如下：</w:t>
      </w:r>
    </w:p>
    <w:p w14:paraId="26DC521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简易注册登录</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支持通过邮箱验证码或社交媒体账号（微信、QQ等）快速完成注册，无需复杂资质审核。登录后系统自动关联生成临时身份，补充基础个人信息后即可参与全流程操作。</w:t>
      </w:r>
    </w:p>
    <w:p w14:paraId="3D0B078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作品浏览与筛选</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登录后进入系统主页，将展示丰富的设计作品画廊。您可通过以下方式精准浏览作品：</w:t>
      </w:r>
    </w:p>
    <w:p w14:paraId="20E5200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直接滑动浏览画廊展示的作品；使用页面筛选功能，按风格（简约、复古、科技等）、季节（春季、夏季等）、活动主题等标签筛选感兴趣的作品，提升浏览效率。</w:t>
      </w:r>
    </w:p>
    <w:p w14:paraId="2E8A66A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投票参与</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找到心仪作品后，点击作品详情页的“投票”按钮即可完成支持，操作简单便捷。为激励深度参与，系统提供两种投票形式：</w:t>
      </w:r>
    </w:p>
    <w:p w14:paraId="2CE577CD">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基础投票：点击“投票”按钮完成支持，获得基础代币奖励；</w:t>
      </w:r>
    </w:p>
    <w:p w14:paraId="2D70D48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高级投票：参与作品打分（1-10分）或标签标注（如“色彩搭配优秀”“创意独特”），完成后可获得更多代币奖励。</w:t>
      </w:r>
    </w:p>
    <w:p w14:paraId="3354517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个人数据与代币使用</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进入个人主页，可查看两项核心数据：代币可用于两种场景：一是在特定活动中提升单次投票的权重，增强个人投票影响力；二是在系统积分商城兑换限定纪念品（如设计师周边、平台会员等）。</w:t>
      </w:r>
    </w:p>
    <w:p w14:paraId="0240F6A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投票影响力：基于您的历史投票结果与最终活动结果的吻合度计算，影响力越高，后续投票权重可能获得提升；</w:t>
      </w:r>
    </w:p>
    <w:p w14:paraId="0335413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代币余额：参与投票获得的激励代币总额。</w:t>
      </w:r>
    </w:p>
    <w:p w14:paraId="1452366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活动管理员</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核心权益：全流程管控投票活动、审核参赛作品、监控活动数据，确保活动公平有序开展。全流程使用步骤如下：</w:t>
      </w:r>
    </w:p>
    <w:p w14:paraId="0EEF29E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专属后台登录</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使用系统分配的管理员专属账号登录后台管理系统，获取活动管理、作品审核、数据监控等全权限操作入口。活动创建与规则配置点击“创建新活动”，进入活动配置页面，详细设置以下核心参数：</w:t>
      </w:r>
    </w:p>
    <w:p w14:paraId="4B445C1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基础信息：活动名称、活动描述、活动海报上传；</w:t>
      </w:r>
    </w:p>
    <w:p w14:paraId="746FBE0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时间配置：投票起止时间（支持设置时区）；</w:t>
      </w:r>
    </w:p>
    <w:p w14:paraId="41D9223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范围配置：允许参与的作品范围（指定作品池、全平台作品、特定设计师作品）；</w:t>
      </w:r>
    </w:p>
    <w:p w14:paraId="429A98D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规则配置：计票公式（简单多数制、排序投票制等）、投票限制（一人一票、每人限投3票等）、激励规则（投票奖励代币数量、优秀作品奖励设置）；</w:t>
      </w:r>
    </w:p>
    <w:p w14:paraId="1E9A099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确认提交：所有参数配置完成后点击“确认”，系统将关键规则参数写入区块链锁定，确保活动期间不可篡改。</w:t>
      </w:r>
    </w:p>
    <w:p w14:paraId="11E82E0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作品审核</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设计师提交活动报名后，可在后台“作品审核”板块查看报名列表，根据活动主题、规则等筛选符合要求的作品：</w:t>
      </w:r>
    </w:p>
    <w:p w14:paraId="3C38A21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审核通过：作品将进入活动投票池，向投票用户展示；</w:t>
      </w:r>
    </w:p>
    <w:p w14:paraId="68644B8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审核驳回：需填写驳回原因，反馈给对应设计师。</w:t>
      </w:r>
    </w:p>
    <w:p w14:paraId="59E26F7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实时数据监控</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活动进行中，可通过后台“数据仪表盘”实时查看核心指标，所有数据均直接源自区块链，真实不可篡改：</w:t>
      </w:r>
    </w:p>
    <w:p w14:paraId="4EB8685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投票数据：总投票数、实时投票速率、各时间段投票分布；</w:t>
      </w:r>
    </w:p>
    <w:p w14:paraId="23DF6C6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作品数据：各作品实时票数、排名变化、得票来源分布；</w:t>
      </w:r>
    </w:p>
    <w:p w14:paraId="717EC93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用户数据：活跃用户数、新增用户数、用户投票行为分析；</w:t>
      </w:r>
    </w:p>
    <w:p w14:paraId="5A561B9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激励数据：代币发放总额、各用户代币获取情况。</w:t>
      </w:r>
    </w:p>
    <w:p w14:paraId="5068590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活动结束与结果公示活动到达截止时间后将自动结束，也可由管理员手动触发结束：</w:t>
      </w:r>
    </w:p>
    <w:p w14:paraId="00032D6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自动计票：智能合约将自动执行最终计票逻辑，生成最终排名结果；</w:t>
      </w:r>
    </w:p>
    <w:p w14:paraId="391090C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结果公示：最终排名将立即在系统活动页面公示，结果附带“区块链时间戳”和区块链查询链接，所有用户均可查看；</w:t>
      </w:r>
    </w:p>
    <w:p w14:paraId="0ECA6FE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结果保障：整个计票与公示过程无需人工干预，结果不可更改，确保活动公平公正。</w:t>
      </w:r>
    </w:p>
    <w:p w14:paraId="59C459ED">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核心功能亮点说明</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区块链可信存证：作品存证信息写入区块链，生成唯一交易ID和存证证书，保障版权归属可追溯、不可篡改；全流程自动化：从活动创建、投票执行到计票公示，核心环节均由系统自动完成，减少人工干预，提升效率；精细化激励机制：通过代币激励深度参与行为，提升用户活跃度，同时代币可用于提升投票权重或兑换奖品，增强生态粘性；数据实时可信：所有核心数据均源自区块链，支持溯源查询，确保投票活动的透明度与结果的公信力。</w:t>
      </w:r>
    </w:p>
    <w:p w14:paraId="45718546">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07367EB5">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为确保系统的可靠性、安全性与用户体验，实施多维度、多层次的严格测试策略。智能合约（链码）测试：这是测试的重中之重。基于Hyperledger Fabric的测试框架，为所有链码函数编写详尽的单元测试和集成测试。测试覆盖所有正常业务路径（如成功存证、成功投票、正确计票）以及各种异常和边界情况（如重复投票、活动未开始或已结束投票、参数非法输入等）。特别针对计票逻辑进行数学正确性验证，并对涉及代币转账的函数进行余额校验测试，防止出现资产漏洞。使用Go语言的测试工具和Fabric的模拟Stub环境，在隔离的Docker容器中高效运行测试套件。后端API与业务逻辑测试：对Go后端服务进行全面的API测试。使用Postman或编写自动化测试脚本，验证每个RESTful接口的请求响应格式、状态码、错误处理以及业务逻辑的正确性。特别是测试后端作为区块链适配器时，是否能正确处理交易提交、事件监听和结果回调。进行数据库连接池、并发处理能力的压力测试。前端功能与兼容性测试：对Web端和移动端应用进行端到端（E2E）测试和跨浏览器/跨设备兼容性测试。使用Cypress、Selenium或Appium等工具，模拟用户真实操作流程：注册登录、浏览作品、执行投票、查看排行榜等，确保交互流程顺畅，UI渲染正确，数据加载无异常。测试在不同屏幕尺寸、不同操作系统及主流浏览器下的显示与功能一致性。安全与渗透测试：这是保障系统可信度的关键。对系统进行全面的安全评估，包括但不限于：对智能合约进行静态代码分析和形式化验证，查找重入、溢出、权限提升等漏洞；对Web应用进行OWASP Top 10漏洞扫描（如SQL注入、XSS、CSRF）；测试身份认证与会话管理机制是否牢固，防止未授权访问和票数造假；模拟女巫攻击，测试系统防刷票机制的有效性。性能与负载测试：模拟高并发场景，使用JMeter或Locust等工具对系统进行压力测试。重点测试在短时间内大量用户同时进行投票时，后端API的响应时间、错误率，以及区块链网络的交易吞吐量（TPS）和延迟。根据测试结果优化数据库索引、API缓存策略以及区块链的背书策略和区块生成间隔，确保系统在预期负载下稳定运行。</w:t>
      </w:r>
    </w:p>
    <w:p w14:paraId="25B914A1">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7823AAAD">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本项目“基于区块链的服装投票系统”成功地探索并实践了将分布式账本技术与时尚产业民主化决策需求相结合的有效路径。通过精心设计的分层混合架构，系统巧妙地平衡了区块链所带来的不可篡改、透明可信的技术优势与传统中心化系统的高性能、友好体验优势。项目不仅实现了设计作品版权链上存证、防篡改的透明化投票、自动化计票与结果公示等核心功能，更通过引入代币经济模型，构建了一个可持续的正向激励循环，有效提升了用户参与度和社区活力。技术选型上，采用Hyperledger Fabric联盟链是项目的关键决策，它使得系统能够在保障商业隐私和合规性的前提下，为服装行业的多方协作提供可信基础设施，相较于公有链方案，在性能和可控性上更具现实可行性。项目的价值超越了技术实现本身，它为破解传统服装行业在评选、决策环节的信任难题提供了一个创新的解决方案范本，有望在设计大赛公正性、品牌产品决策民主化、潮流预测众包化等多个场景产生实际影响，推动行业的透明化与创新进程。当然，项目也面临着挑战与未来改进空间：如何进一步优化大规模投票下的链上性能与成本，如何设计更科学防作弊的投票权重与信誉体系，以及如何与更广泛的法律版权体系、电商平台进行深度集成。展望未来，系统可向更开放的DAO（去中心化自治组织）治理模式演进，让代币持有者直接参与平台规则制定；亦可探索将AI生成内容（AIGC）的版权认定与投票结合，应对数字时尚的新趋势。总之，本项目为区块链技术在实体经济，特别是创意与消费产业的落地应用，提供了一个扎实而有启发性的案例。</w:t>
      </w:r>
    </w:p>
    <w:p w14:paraId="07B43A4E">
      <w:pPr>
        <w:sectPr>
          <w:headerReference r:id="rId25" w:type="default"/>
          <w:footerReference r:id="rId2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B37920C">
      <w:pPr>
        <w:pStyle w:val="3"/>
        <w:bidi w:val="0"/>
        <w:rPr>
          <w:rFonts w:hint="eastAsia"/>
          <w:lang w:val="en-US" w:eastAsia="zh-CN"/>
        </w:rPr>
      </w:pPr>
      <w:bookmarkStart w:id="790" w:name="_Toc7784"/>
      <w:bookmarkStart w:id="791" w:name="_Toc27503"/>
      <w:r>
        <w:rPr>
          <w:rFonts w:hint="eastAsia"/>
          <w:lang w:val="en-US" w:eastAsia="zh-CN"/>
        </w:rPr>
        <w:t>6.</w:t>
      </w:r>
      <w:r>
        <w:rPr>
          <w:rFonts w:hint="eastAsia"/>
        </w:rPr>
        <w:t>基于</w:t>
      </w:r>
      <w:r>
        <w:rPr>
          <w:rFonts w:hint="eastAsia"/>
          <w:lang w:val="en-US" w:eastAsia="zh-CN"/>
        </w:rPr>
        <w:t>文昌链技术的NFT服装数字藏品平台</w:t>
      </w:r>
      <w:bookmarkEnd w:id="790"/>
      <w:bookmarkEnd w:id="791"/>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68ADC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jc w:val="center"/>
        </w:trPr>
        <w:tc>
          <w:tcPr>
            <w:tcW w:w="8522" w:type="dxa"/>
            <w:vAlign w:val="center"/>
          </w:tcPr>
          <w:p w14:paraId="134AE5AA">
            <w:pPr>
              <w:jc w:val="left"/>
              <w:outlineLvl w:val="0"/>
              <w:rPr>
                <w:rFonts w:hint="default" w:ascii="Calibri" w:hAnsi="Calibri" w:eastAsia="黑体" w:cs="Times New Roman"/>
                <w:szCs w:val="21"/>
                <w:lang w:val="en-US" w:eastAsia="zh-CN"/>
              </w:rPr>
            </w:pPr>
            <w:bookmarkStart w:id="792" w:name="_Toc25301"/>
            <w:bookmarkStart w:id="793" w:name="_Toc19668"/>
            <w:r>
              <w:rPr>
                <w:rFonts w:hint="eastAsia" w:ascii="Calibri" w:hAnsi="Calibri" w:eastAsia="黑体" w:cs="Times New Roman"/>
                <w:sz w:val="24"/>
                <w:lang w:val="en-US" w:eastAsia="zh-CN"/>
              </w:rPr>
              <w:t>项目</w:t>
            </w:r>
            <w:r>
              <w:rPr>
                <w:rFonts w:hint="eastAsia" w:ascii="Calibri" w:hAnsi="Calibri" w:eastAsia="黑体" w:cs="Times New Roman"/>
                <w:sz w:val="24"/>
              </w:rPr>
              <w:t>主题：基于</w:t>
            </w:r>
            <w:r>
              <w:rPr>
                <w:rFonts w:hint="eastAsia" w:ascii="Calibri" w:hAnsi="Calibri" w:eastAsia="黑体" w:cs="Times New Roman"/>
                <w:sz w:val="24"/>
                <w:lang w:val="en-US" w:eastAsia="zh-CN"/>
              </w:rPr>
              <w:t>文昌链技术的NFT服装数字藏品平台</w:t>
            </w:r>
            <w:bookmarkEnd w:id="792"/>
            <w:bookmarkEnd w:id="793"/>
          </w:p>
        </w:tc>
      </w:tr>
      <w:tr w14:paraId="673BB2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3A721C6">
            <w:pPr>
              <w:jc w:val="left"/>
              <w:rPr>
                <w:rFonts w:hint="default" w:ascii="Calibri" w:hAnsi="Calibri" w:eastAsia="黑体" w:cs="Times New Roman"/>
                <w:sz w:val="24"/>
                <w:lang w:val="en-US" w:eastAsia="zh-CN"/>
              </w:rPr>
            </w:pPr>
            <w:r>
              <w:rPr>
                <w:rFonts w:hint="eastAsia" w:ascii="Calibri" w:hAnsi="Calibri" w:eastAsia="黑体" w:cs="Times New Roman"/>
                <w:sz w:val="24"/>
              </w:rPr>
              <w:t>班    级：2</w:t>
            </w:r>
            <w:r>
              <w:rPr>
                <w:rFonts w:hint="eastAsia" w:ascii="Calibri" w:hAnsi="Calibri" w:eastAsia="黑体" w:cs="Times New Roman"/>
                <w:sz w:val="24"/>
                <w:lang w:val="en-US" w:eastAsia="zh-CN"/>
              </w:rPr>
              <w:t>3区块链工程本科1班</w:t>
            </w:r>
          </w:p>
        </w:tc>
      </w:tr>
      <w:tr w14:paraId="7FC0F8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exact"/>
          <w:jc w:val="center"/>
        </w:trPr>
        <w:tc>
          <w:tcPr>
            <w:tcW w:w="8522" w:type="dxa"/>
            <w:vAlign w:val="center"/>
          </w:tcPr>
          <w:p w14:paraId="73A6ED31">
            <w:pPr>
              <w:jc w:val="left"/>
              <w:rPr>
                <w:rFonts w:ascii="Calibri" w:hAnsi="Calibri" w:eastAsia="黑体" w:cs="Times New Roman"/>
                <w:szCs w:val="21"/>
              </w:rPr>
            </w:pPr>
            <w:r>
              <w:rPr>
                <w:rFonts w:hint="eastAsia" w:ascii="Calibri" w:hAnsi="Calibri" w:eastAsia="黑体" w:cs="Times New Roman"/>
                <w:sz w:val="24"/>
              </w:rPr>
              <w:t>学生姓名</w:t>
            </w:r>
            <w:r>
              <w:rPr>
                <w:rFonts w:hint="eastAsia" w:ascii="Calibri" w:hAnsi="Calibri" w:eastAsia="黑体" w:cs="Times New Roman"/>
                <w:sz w:val="24"/>
                <w:lang w:eastAsia="zh-CN"/>
              </w:rPr>
              <w:t>：</w:t>
            </w:r>
            <w:r>
              <w:rPr>
                <w:rFonts w:hint="eastAsia" w:ascii="Calibri" w:hAnsi="Calibri" w:eastAsia="黑体" w:cs="Times New Roman"/>
                <w:sz w:val="24"/>
                <w:lang w:val="en-US" w:eastAsia="zh-CN"/>
              </w:rPr>
              <w:t xml:space="preserve">胡进保 王勇 彭志勇 钟金旺 熊嘉齐 李先乾 </w:t>
            </w:r>
            <w:r>
              <w:rPr>
                <w:rFonts w:hint="eastAsia" w:ascii="Calibri" w:hAnsi="Calibri" w:eastAsia="黑体" w:cs="Times New Roman"/>
                <w:sz w:val="24"/>
              </w:rPr>
              <w:t>指导教师：</w:t>
            </w:r>
            <w:r>
              <w:rPr>
                <w:rFonts w:hint="eastAsia" w:ascii="Calibri" w:hAnsi="Calibri" w:eastAsia="黑体" w:cs="Times New Roman"/>
                <w:sz w:val="24"/>
                <w:lang w:val="en-US" w:eastAsia="zh-CN"/>
              </w:rPr>
              <w:t>翟剑锟</w:t>
            </w:r>
          </w:p>
        </w:tc>
      </w:tr>
    </w:tbl>
    <w:p w14:paraId="60166E43">
      <w:pPr>
        <w:spacing w:line="440" w:lineRule="exact"/>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55FB8D61">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604C435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是一个以文昌链联盟链为核心技术底座，旨在构建一个高安全、高并发的数字藏品（NFT）全生命周期管理平台。项目聚焦于解决当前数字文化资产领域普遍存在的确权难、流转乱、价值评估体系缺失等核心痛点，为文化创作者提供从作品数字化、版权确权、价值发行到二级市场合规流转的一站式解决方案。平台通过将藏品的铸造、发行、持有、转让、销毁等全流程关键数据与操作记录上链存证，利用区块链的分布式账本、不可篡改、可追溯等技术特性，从根本上保障了每一份数字资产的唯一性、权属清晰性与交易历史的透明性。系统不仅为艺术家与内容创作者开辟了全新的数字资产化与合规变现渠道，还通过设计标准化的交易流程、完善的风控机制及清晰的用户角色权限体系，有效保障了收藏者与投资者的权益，致力于推动数字藏品市场乃至整个数字文化创意产业走向规范化、规模化与可持续的高质量发展道路。</w:t>
      </w:r>
    </w:p>
    <w:p w14:paraId="369C36B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eastAsia" w:ascii="宋体" w:hAnsi="宋体" w:eastAsia="宋体" w:cs="宋体"/>
          <w:sz w:val="21"/>
          <w:szCs w:val="21"/>
          <w:lang w:val="en-US" w:eastAsia="zh-CN"/>
        </w:rPr>
      </w:pPr>
      <w:r>
        <w:rPr>
          <w:rFonts w:hint="eastAsia" w:ascii="Calibri" w:hAnsi="Calibri" w:eastAsia="宋体" w:cs="Times New Roman"/>
          <w:sz w:val="24"/>
          <w:szCs w:val="24"/>
          <w:lang w:val="en-US" w:eastAsia="zh-CN"/>
        </w:rPr>
        <w:drawing>
          <wp:anchor distT="0" distB="0" distL="114300" distR="114300" simplePos="0" relativeHeight="251784192" behindDoc="0" locked="0" layoutInCell="1" allowOverlap="1">
            <wp:simplePos x="0" y="0"/>
            <wp:positionH relativeFrom="column">
              <wp:posOffset>49530</wp:posOffset>
            </wp:positionH>
            <wp:positionV relativeFrom="paragraph">
              <wp:posOffset>107950</wp:posOffset>
            </wp:positionV>
            <wp:extent cx="5238750" cy="2255520"/>
            <wp:effectExtent l="0" t="0" r="0" b="11430"/>
            <wp:wrapTopAndBottom/>
            <wp:docPr id="1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
                    <pic:cNvPicPr>
                      <a:picLocks noChangeAspect="1"/>
                    </pic:cNvPicPr>
                  </pic:nvPicPr>
                  <pic:blipFill>
                    <a:blip r:embed="rId309"/>
                    <a:stretch>
                      <a:fillRect/>
                    </a:stretch>
                  </pic:blipFill>
                  <pic:spPr>
                    <a:xfrm>
                      <a:off x="0" y="0"/>
                      <a:ext cx="5238750" cy="2255520"/>
                    </a:xfrm>
                    <a:prstGeom prst="rect">
                      <a:avLst/>
                    </a:prstGeom>
                    <a:noFill/>
                    <a:effectLst/>
                  </pic:spPr>
                </pic:pic>
              </a:graphicData>
            </a:graphic>
          </wp:anchor>
        </w:drawing>
      </w:r>
      <w:r>
        <w:rPr>
          <w:rFonts w:hint="eastAsia" w:ascii="宋体" w:hAnsi="宋体" w:eastAsia="宋体" w:cs="宋体"/>
          <w:sz w:val="21"/>
          <w:szCs w:val="21"/>
          <w:lang w:val="en-US" w:eastAsia="zh-CN"/>
        </w:rPr>
        <w:t>图1.1 系统界面</w:t>
      </w:r>
    </w:p>
    <w:p w14:paraId="5BF6A81D">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34632C7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项目采用全栈式、模块化的企业级开发技术栈。区块链层：以国产自主可控的“文昌链”联盟链作为核心信任基础设施，利用其高性能共识机制与合规监管友好特性，承载数字资产的主权登记与流转记录。后端服务层：主要采用JAVA语言进行开发，基于Spring Boot/Spring Cloud微服务框架构建高可用、可扩展的业务中台，处理复杂的业务逻辑、用户管理、订单处理及链上链下数据协同。数据存储层：采用混合数据存储策略，使用MySQL关系型数据库存储用户信息、藏品元数据（如名称、描述、图片URL）、交易订单等结构化业务数据；引入Redis作为高性能缓存中间件，用以缓存热点数据（如藏品详情、排行榜）、会话信息及减轻数据库读压力，显著提升系统响应速度。安全与加密：集成ECDSA（椭圆曲线数字签名算法） 用于关键交易请求的数字签名与验签，确保操作指令的不可抵赖性与完整性，并采用国密算法套件以满足更高等级的安全合规要求。前端交互层：支持Web端（Vue.js/React）、APP端（原生或跨平台框架如uni-app/Flutter）及小程序（微信/支付宝） 多端适配，确保用户在不同场景下均能获得流畅、一致的操作体验。开发与部署环境采用Docker容器化与Kubernetes编排，实现快速迭代与弹性伸缩。</w:t>
      </w:r>
    </w:p>
    <w:p w14:paraId="227DBA1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Git</w:t>
      </w:r>
      <w:r>
        <w:rPr>
          <w:rFonts w:hint="eastAsia" w:ascii="Calibri" w:hAnsi="Calibri" w:eastAsia="宋体" w:cs="Times New Roman"/>
          <w:sz w:val="24"/>
          <w:szCs w:val="24"/>
          <w:lang w:val="en-US" w:eastAsia="zh-CN"/>
        </w:rPr>
        <w:t>技术是</w:t>
      </w:r>
      <w:r>
        <w:rPr>
          <w:rFonts w:hint="eastAsia" w:ascii="Calibri" w:hAnsi="Calibri" w:eastAsia="宋体" w:cs="Times New Roman"/>
          <w:sz w:val="24"/>
          <w:szCs w:val="24"/>
        </w:rPr>
        <w:t>代码版本管理工具</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一个开源的分布式版本控制系统，用于敏捷高效地处理任何或小或大的项目。Linus Torvalds 为了帮助管理 Linux 内核开发而开发的一个开放源码的版本控制软件。Git 与常用的版本控制工具 CVS, Subversion 等不同，它采用了分布式版本库的方式，不必服务器端软件支持。</w:t>
      </w:r>
    </w:p>
    <w:p w14:paraId="08759F1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lang w:val="en-US" w:eastAsia="zh-CN"/>
        </w:rPr>
        <w:t>Git 的工作流程本质是基于分布式架构的本地数据流转与远程同步的技术闭环，其核心逻辑围绕 “工作区 - 暂存区 - 本地版本库 - 远程版本库” 四个核心区域的状态校验与对象传递展开，所有操作均以 SHA-1 哈希标识的对象模型为底层支撑。从技术视角看，完整的 Git 工作流程可拆解为本地版本管控与分布式同步两大阶段，每个环节都体现了 Git 对版本数据完整性和可追溯性的技术设计。</w:t>
      </w:r>
    </w:p>
    <w:p w14:paraId="3428B97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lang w:val="en-US" w:eastAsia="zh-CN"/>
        </w:rPr>
        <w:t>本地版本管控是 Git 工作流程的核心基础，其技术逻辑始于工作区的文件变更。工作区作为开发者实际编写代码的目录，存储的是未被 Git 追踪的原始文件，当执行git add命令时，Git 会将工作区中变更的文件内容封装为 Blob 对象，计算其唯一 SHA-1 哈希值，并将该对象写入本地版本库的.git/objects目录，同时更新暂存区（.git/index二进制索引文件），记录该 Blob 对象与文件路径、权限的映射关系 —— 这一过程本质是将工作区的 “未追踪状态” 转化为暂存区的 “待提交状态”，暂存区的核心技术作用是作为工作区与本地版本库的缓冲区，支持开发者分批筛选待提交的变更，避免单次提交包含无关修改。当执行git commit时，Git 会基于暂存区的索引信息构建 Tree 对象（描述目录结构），再创建 Commit 对象指向该 Tree 对象，同时记录父 Commit 哈希、提交者信息等元数据，最终将 Commit 对象写入本地版本库，此时本地版本库便新增了一个完整的版本快照。若需撤销或调整变更，git checkout（重置工作区文件）、git reset（修改暂存区 / 本地版本库指针）等命令的技术本质，是通过调整暂存区索引或移动 HEAD 指针（指向当前分支最新 Commit），重新映射本地版本库中的 Blob/Tree 对象，恢复对应版本的文件状态。</w:t>
      </w:r>
    </w:p>
    <w:p w14:paraId="1CEF36B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drawing>
          <wp:anchor distT="0" distB="0" distL="114300" distR="114300" simplePos="0" relativeHeight="251785216" behindDoc="0" locked="0" layoutInCell="1" allowOverlap="1">
            <wp:simplePos x="0" y="0"/>
            <wp:positionH relativeFrom="column">
              <wp:posOffset>908050</wp:posOffset>
            </wp:positionH>
            <wp:positionV relativeFrom="paragraph">
              <wp:posOffset>3944620</wp:posOffset>
            </wp:positionV>
            <wp:extent cx="3256280" cy="1915795"/>
            <wp:effectExtent l="0" t="0" r="1270" b="8255"/>
            <wp:wrapTopAndBottom/>
            <wp:docPr id="199" name="图片 5"/>
            <wp:cNvGraphicFramePr/>
            <a:graphic xmlns:a="http://schemas.openxmlformats.org/drawingml/2006/main">
              <a:graphicData uri="http://schemas.openxmlformats.org/drawingml/2006/picture">
                <pic:pic xmlns:pic="http://schemas.openxmlformats.org/drawingml/2006/picture">
                  <pic:nvPicPr>
                    <pic:cNvPr id="199" name="图片 5"/>
                    <pic:cNvPicPr/>
                  </pic:nvPicPr>
                  <pic:blipFill>
                    <a:blip r:embed="rId310"/>
                    <a:stretch>
                      <a:fillRect/>
                    </a:stretch>
                  </pic:blipFill>
                  <pic:spPr>
                    <a:xfrm>
                      <a:off x="0" y="0"/>
                      <a:ext cx="3256280" cy="1915795"/>
                    </a:xfrm>
                    <a:prstGeom prst="rect">
                      <a:avLst/>
                    </a:prstGeom>
                  </pic:spPr>
                </pic:pic>
              </a:graphicData>
            </a:graphic>
          </wp:anchor>
        </w:drawing>
      </w:r>
      <w:r>
        <w:rPr>
          <w:rFonts w:hint="eastAsia" w:ascii="Calibri" w:hAnsi="Calibri" w:eastAsia="宋体" w:cs="Times New Roman"/>
          <w:sz w:val="24"/>
          <w:szCs w:val="24"/>
          <w:lang w:val="en-US" w:eastAsia="zh-CN"/>
        </w:rPr>
        <w:t>分布式同步阶段则体现了 Git 无中心节点的技术特性，核心是本地版本库与远程版本库的对象同步与指针对齐。当需要将本地版本推送到远程时，git push命令会先校验本地与远程的 Commit 对象哈希链，仅传输远程版本库缺失的 Blob/Tree/Commit 对象，再更新远程版本库中对应分支的指针，确保远程版本库的分支指向与本地一致；而git pull（本质是git fetch + git merge）则先通过git fetch将远程版本库的新增对象拉取到本地的origin/分支名远程追踪分支，再通过git merge将远程变更合并到本地当前分支 —— 合并过程的技术核心是对比两个分支最新 Commit 的共同祖先 Commit，计算文件内容的差异（diff），并生成新的合并 Commit 对象，若出现冲突，则需开发者手动调整工作区文件后重新执行git add和git commit，完成冲突解决。此外，git clone命令的技术逻辑是完整复制远程版本库的所有对象数据库和分支指针到本地，使本地拥有独立且完整的版本历史，这也是 Git 分布式架构的核心体现：每个本地仓库都是功能完整的版本库，无需依赖远程服务器即可完成绝大部分版本管控操作，仅在需要协同开发时进行对象同步。</w:t>
      </w:r>
    </w:p>
    <w:p w14:paraId="5BB85955">
      <w:pPr>
        <w:spacing w:line="440" w:lineRule="exact"/>
        <w:jc w:val="center"/>
        <w:rPr>
          <w:rFonts w:hint="eastAsia" w:ascii="Calibri" w:hAnsi="Calibri" w:eastAsia="宋体" w:cs="Times New Roman"/>
          <w:sz w:val="24"/>
          <w:szCs w:val="24"/>
          <w:lang w:val="en-US" w:eastAsia="zh-CN"/>
        </w:rPr>
      </w:pPr>
      <w:r>
        <w:rPr>
          <w:rFonts w:hint="eastAsia" w:ascii="宋体" w:hAnsi="宋体" w:eastAsia="宋体" w:cs="宋体"/>
          <w:sz w:val="21"/>
          <w:szCs w:val="21"/>
          <w:lang w:val="en-US" w:eastAsia="zh-CN"/>
        </w:rPr>
        <w:t>图1.2git流程图</w:t>
      </w:r>
    </w:p>
    <w:p w14:paraId="018FA3D6">
      <w:pPr>
        <w:spacing w:line="440" w:lineRule="exact"/>
        <w:ind w:firstLine="480"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Maven是Apache软件基金会推出的一款基于项目对象模型（POM，Project Object Model）的自动化构建工具与项目管理平台，于2004年正式发布。其设计初衷是解决传统Java项目依赖管理混乱、构建流程不统一的痛点，通过标准化配置与自动化流程，实现“一次构建，处处运行”的目标，现已成为Java生态中最主流的项目管理工具，同时可通过插件扩展支持Scala、C#、Groovy等多种编程语言的项目构建。Maven的核心价值体现在四大标准化与自动化能力，大幅降低开发与团队协作成本。依赖管理自动化：通过统一的GAV坐标（GroupId组织ID、ArtifactId项目ID、Version版本）唯一标识依赖包，自动从仓库下载、缓存依赖，支持依赖传递与版本冲突解决，彻底摆脱手动拷贝管理JAR包的繁琐工作。构建流程标准化：预设三套核心生命周期（clean清理、default核心构建、site文档生成），包含编译、测试、打包、部署等固定构建阶段，执行后续阶段时自动触发前置阶段，无需编写复杂构建脚本。项目结构规范化：约定统一的项目目录结构（如src/main/java存放主代码、src/test/java存放测试代码、src/main/resources存放资源文件），确保不同团队、不同项目的结构一致性，降低协作沟通成本。</w:t>
      </w:r>
    </w:p>
    <w:p w14:paraId="3E9DAA76">
      <w:pPr>
        <w:spacing w:line="440" w:lineRule="exact"/>
        <w:jc w:val="both"/>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生态协同高效化：无缝集成IntelliJ IDEA、Eclipse等IDE工具，Jenkins、GitLab CI等持续集成工具，以及Git、SVN等代码管理工具，同时支持多模块项目管理，</w:t>
      </w:r>
    </w:p>
    <w:p w14:paraId="030BE408">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图1.</w:t>
      </w:r>
      <w:r>
        <w:rPr>
          <w:rFonts w:hint="eastAsia" w:ascii="宋体" w:hAnsi="宋体" w:eastAsia="宋体" w:cs="宋体"/>
          <w:sz w:val="21"/>
          <w:szCs w:val="21"/>
          <w:lang w:val="en-US" w:eastAsia="zh-CN"/>
        </w:rPr>
        <w:drawing>
          <wp:anchor distT="0" distB="0" distL="114300" distR="114300" simplePos="0" relativeHeight="251777024" behindDoc="0" locked="0" layoutInCell="1" allowOverlap="1">
            <wp:simplePos x="0" y="0"/>
            <wp:positionH relativeFrom="column">
              <wp:posOffset>432435</wp:posOffset>
            </wp:positionH>
            <wp:positionV relativeFrom="paragraph">
              <wp:posOffset>98425</wp:posOffset>
            </wp:positionV>
            <wp:extent cx="4297680" cy="1871345"/>
            <wp:effectExtent l="0" t="0" r="7620" b="14605"/>
            <wp:wrapTopAndBottom/>
            <wp:docPr id="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4"/>
                    <pic:cNvPicPr>
                      <a:picLocks noChangeAspect="1"/>
                    </pic:cNvPicPr>
                  </pic:nvPicPr>
                  <pic:blipFill>
                    <a:blip r:embed="rId311"/>
                    <a:stretch>
                      <a:fillRect/>
                    </a:stretch>
                  </pic:blipFill>
                  <pic:spPr>
                    <a:xfrm>
                      <a:off x="0" y="0"/>
                      <a:ext cx="4297680" cy="1871345"/>
                    </a:xfrm>
                    <a:prstGeom prst="rect">
                      <a:avLst/>
                    </a:prstGeom>
                    <a:noFill/>
                    <a:ln>
                      <a:noFill/>
                    </a:ln>
                  </pic:spPr>
                </pic:pic>
              </a:graphicData>
            </a:graphic>
          </wp:anchor>
        </w:drawing>
      </w:r>
      <w:r>
        <w:rPr>
          <w:rFonts w:hint="eastAsia" w:ascii="宋体" w:hAnsi="宋体" w:eastAsia="宋体" w:cs="宋体"/>
          <w:sz w:val="21"/>
          <w:szCs w:val="21"/>
          <w:lang w:val="en-US" w:eastAsia="zh-CN"/>
        </w:rPr>
        <w:t>3 maven流程图</w:t>
      </w:r>
    </w:p>
    <w:p w14:paraId="0341ADAE">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36930819">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项目团队由七名核心成员构成，分工协同明确：区块链开发工程师（2人） 负责文昌链节点的接入、智能合约（链码）的JAVA开发与部署、链上交易监听与解析，以及区块链网络性能调优。</w:t>
      </w:r>
    </w:p>
    <w:p w14:paraId="3FD5E7FC">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后端开发工程师（2人） 负责基于业务系统开发，包括用户中心、藏品管理、交易引擎、支付对账等核心模块的API设计与实现，并负责与区块链服务层、数据库、缓存中间件的集成。</w:t>
      </w:r>
    </w:p>
    <w:p w14:paraId="37F3DDA0">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前端开发工程师（2人） 分为Web端与移动端，负责各终端用户界面的开发、交互逻辑实现以及与后端API的联调，确保多端体验的一致性与高性能。测试与运维工程师（1人） 负责制定全链路测试方案（包括功能、性能、安全测试），编写自动化测试脚本，监控生产环境系统状态，并负责数据库备份、缓存策略实施及系统故障的应急响应与数据恢复。</w:t>
      </w:r>
    </w:p>
    <w:p w14:paraId="695CA411">
      <w:pPr>
        <w:spacing w:line="440" w:lineRule="exact"/>
        <w:ind w:firstLine="480" w:firstLineChars="200"/>
        <w:rPr>
          <w:rFonts w:hint="eastAsia" w:ascii="Calibri" w:hAnsi="Calibri" w:eastAsia="宋体" w:cs="Times New Roman"/>
          <w:sz w:val="24"/>
          <w:szCs w:val="24"/>
          <w:lang w:val="en-US" w:eastAsia="zh-CN"/>
        </w:rPr>
      </w:pPr>
    </w:p>
    <w:p w14:paraId="47A30CBF">
      <w:pPr>
        <w:spacing w:line="440" w:lineRule="exact"/>
        <w:ind w:firstLine="420" w:firstLineChars="20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90336" behindDoc="0" locked="0" layoutInCell="1" allowOverlap="1">
            <wp:simplePos x="0" y="0"/>
            <wp:positionH relativeFrom="column">
              <wp:posOffset>344170</wp:posOffset>
            </wp:positionH>
            <wp:positionV relativeFrom="paragraph">
              <wp:posOffset>161290</wp:posOffset>
            </wp:positionV>
            <wp:extent cx="4321175" cy="1661795"/>
            <wp:effectExtent l="0" t="0" r="3175" b="14605"/>
            <wp:wrapTopAndBottom/>
            <wp:docPr id="2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
                    <pic:cNvPicPr>
                      <a:picLocks noChangeAspect="1"/>
                    </pic:cNvPicPr>
                  </pic:nvPicPr>
                  <pic:blipFill>
                    <a:blip r:embed="rId312"/>
                    <a:stretch>
                      <a:fillRect/>
                    </a:stretch>
                  </pic:blipFill>
                  <pic:spPr>
                    <a:xfrm>
                      <a:off x="0" y="0"/>
                      <a:ext cx="4321175" cy="1661795"/>
                    </a:xfrm>
                    <a:prstGeom prst="rect">
                      <a:avLst/>
                    </a:prstGeom>
                    <a:noFill/>
                    <a:ln>
                      <a:noFill/>
                    </a:ln>
                  </pic:spPr>
                </pic:pic>
              </a:graphicData>
            </a:graphic>
          </wp:anchor>
        </w:drawing>
      </w:r>
      <w:r>
        <w:rPr>
          <w:rFonts w:hint="eastAsia" w:ascii="宋体" w:hAnsi="宋体" w:eastAsia="宋体" w:cs="宋体"/>
          <w:sz w:val="21"/>
          <w:szCs w:val="21"/>
          <w:lang w:val="en-US" w:eastAsia="zh-CN"/>
        </w:rPr>
        <w:t>图1.4 人员组织结构图</w:t>
      </w:r>
    </w:p>
    <w:p w14:paraId="026A0420">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4CC31874">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1E197E5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系统需求旨在构建一个集创作、发行、收藏、流转于一体的可信数字资产管理平台。功能性需求主要包括：1) 多角色权限管理：清晰划分管理员（平台运营方）、创作者（艺术家/版权方）、普通用户（收藏者/投资者） 的权限。管理员负责审核创作者资质与上架藏品、配置平台规则、处理争议；创作者可提交作品并完成链上铸造与发行；用户可浏览、购买、持有、转让藏品。2) 藏品全生命周期管理：支持从数字作品上传、元数据定义、智能合约铸造（生成唯一Token ID与元数据哈希）、定价发行、多形式销售（一口价、拍卖、盲盒）、到后续的转让、展示乃至合规销毁的全流程链上操作与记录。3) 交易与市场功能：提供安全便捷的充值与支付通道（支持法币与数字货币），实现藏品的挂单、求购、撮合交易，并实时生成不可篡改的交易凭证。4) 查询与验证服务：为用户提供基于区块链交易哈希的藏品真伪与全链路流转历史查询服务。非功能性需求尤为关键：高安全性要求私钥安全存储、交易多重签名、防DDOS攻击与智能合约审计；高并发与高性能要求系统能支撑瞬时大规模并发访问与交易，通过缓存、异步处理、数据库分库分表等手段保障低延迟响应；高可用性与可扩展性要求系统架构支持弹性伸缩，具备完善的容灾备份与快速恢复能力；合规性与友好性要求操作流程符合监管要求，用户界面直观易懂，多端体验流畅。</w:t>
      </w:r>
    </w:p>
    <w:p w14:paraId="62F81784">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6454BAD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技术可行性</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项目所选的文昌链在性能、合规性上具备优势，JAVA生态成熟，Spring Cloud微服务架构能有效支撑复杂业务与高并发场景，MySQL与Redis的组合是经过验证的高效数据解决方案，ECDSA等加密算法保障了交易安全，整体技术栈成熟可靠，无显著技术障碍。经济可行性：数字藏品市场前景广阔，平台可通过交易手续费、首发服务费、高级功能服务等多种模式实现盈利。初期投入主要在技术开发与基础设施上，长期运营成本可控，商业模式清晰，具备良好的投资回报潜力。运营与法律可行性：联盟链模式更易于满足国内对区块链服务的监管要求。项目需严格遵循《区块链信息服务管理规定》等进行备案，并建立用户实名认证、反洗钱（AML）和反欺诈风控体系。与版权管理机构、公证处合作，可增强链上确权的法律效力。运营上，需要吸引优质创作者和IP，并培育活跃的收藏者社区，这依赖于有效的市场运营策略。</w:t>
      </w:r>
    </w:p>
    <w:p w14:paraId="686760F9">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p>
    <w:p w14:paraId="5597CC0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涉及三类核心用户角色，其业务流程紧密衔接：创作者的业务流始于“资质认证与作品提交”，经平台审核后，进入“链上铸造与发行”环节，设定发行参数并完成上链，随后作品进入市场销售，创作者可追踪销售状况并获取收益。其核心诉求是便捷的创作工具、可靠的确权保护与高效的收益结算。普通用户（收藏者） 的业务流围绕“探索-获取-管理”，包括浏览市场、参与购买或竞拍、安全支付、在个人资产库中查看与管理藏品、进行后续的转让或展示。其核心诉求是资产安全、交易公平透明、藏品具有收藏或增值潜力以及流畅的购买体验。管理员的业务流聚焦于“监督与治理”，包括审核入驻创作者与上架藏品、监控市场交易异常、配置平台活动与规则、处理用户投诉与纠纷。其核心诉求是高效的管理工具、全面的数据洞察以及稳健的平台风险防控能力。所有角色的关键操作最终都通过智能合约在文昌链上留下不可篡改的记录，构成了平台信任的基石。</w:t>
      </w:r>
    </w:p>
    <w:p w14:paraId="660FCA28">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552CF047">
      <w:pPr>
        <w:spacing w:line="440" w:lineRule="exact"/>
        <w:ind w:firstLine="480" w:firstLineChars="200"/>
        <w:rPr>
          <w:rFonts w:hint="default"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 xml:space="preserve">结构设计 </w:t>
      </w:r>
    </w:p>
    <w:p w14:paraId="0C99437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系统采用前后端分离、微服务化、链上链下协同的总体架构。区块链层（文昌链）：作为系统的信任锚点与事实层，部署着数字藏品核心智能合约，负责资产ID的生成、所有权变更的登记、关键事件（铸造、转账）的日志记录。通过文昌链提供的SDK或API网关与业务层交互。业务中台层（微服务集群）：采用Spring Cloud构建，拆分为多个独立的微服务，如：用户服务（负责认证、权限）、藏品服务（负责元数据管理、链下业务状态）、交易服务（负责订单生成、支付对接、业务逻辑校验）、市场服务（负责商品展示、搜索、推荐）、区块链适配服务（封装所有与文昌链交互的细节，是业务层与区块链层的桥梁）。数据层：采用读写分离与缓存策略。MySQL主从集群负责持久化存储核心业务数据；Redis集群作为高速缓存，存储会话、热点藏品信息、限量抢购计数器等；同时，可能引入Elasticsearch用于复杂的藏品搜索与数据分析。接入层：通过API网关统一接收来自Web、APP、小程序的请求，进行路由、认证、限流与日志记录。</w:t>
      </w:r>
    </w:p>
    <w:p w14:paraId="28EB64A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86240" behindDoc="0" locked="0" layoutInCell="1" allowOverlap="1">
            <wp:simplePos x="0" y="0"/>
            <wp:positionH relativeFrom="column">
              <wp:posOffset>384175</wp:posOffset>
            </wp:positionH>
            <wp:positionV relativeFrom="paragraph">
              <wp:posOffset>91440</wp:posOffset>
            </wp:positionV>
            <wp:extent cx="4262755" cy="2034540"/>
            <wp:effectExtent l="0" t="0" r="4445" b="3810"/>
            <wp:wrapTopAndBottom/>
            <wp:docPr id="2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
                    <pic:cNvPicPr>
                      <a:picLocks noChangeAspect="1"/>
                    </pic:cNvPicPr>
                  </pic:nvPicPr>
                  <pic:blipFill>
                    <a:blip r:embed="rId313"/>
                    <a:stretch>
                      <a:fillRect/>
                    </a:stretch>
                  </pic:blipFill>
                  <pic:spPr>
                    <a:xfrm>
                      <a:off x="0" y="0"/>
                      <a:ext cx="4262755" cy="2034540"/>
                    </a:xfrm>
                    <a:prstGeom prst="rect">
                      <a:avLst/>
                    </a:prstGeom>
                    <a:noFill/>
                    <a:ln>
                      <a:noFill/>
                    </a:ln>
                  </pic:spPr>
                </pic:pic>
              </a:graphicData>
            </a:graphic>
          </wp:anchor>
        </w:drawing>
      </w:r>
      <w:r>
        <w:rPr>
          <w:rFonts w:hint="eastAsia" w:ascii="宋体" w:hAnsi="宋体" w:eastAsia="宋体" w:cs="宋体"/>
          <w:sz w:val="21"/>
          <w:szCs w:val="21"/>
          <w:lang w:val="en-US" w:eastAsia="zh-CN"/>
        </w:rPr>
        <w:t>图3.1 系统架构图</w:t>
      </w:r>
    </w:p>
    <w:p w14:paraId="503ABE76">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2A0923C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系统核心功能模块包括：1. 用户中心与权限模块：实现多级角色（超级管理员、运营、创作者、用户）的注册、登录、实名认证、KYC及细粒度权限控制（RBAC）。2. 数字藏品核心管理模块：提供藏品创建后台，支持素材上传、元数据编辑（名称、描述、属性、稀有度）、智能合约参数配置（发行量、版税比例）。该模块驱动“区块链适配服务”调用链上合约完成铸造。3. 发行与销售模块：支持多种发行模式，如公开发售、白名单预售、盲盒发售、拍卖等。集成支付渠道，处理订单创建、支付回调、藏品交割（链上所有权转移）逻辑。4. 二级市场交易模块：提供藏品挂单出售、求购、撮合交易功能。包含价格发现机制、订单簿管理、交易手续费计算及自动分账（包括给创作者的版税）。5. 资产钱包与账本模块：为用户管理其链上数字资产（藏品列表），提供清晰的资产变动流水，并安全托管或协助用户管理其链上账户密钥（基于MPC或托管方案）。6. 查询核验与展示模块：提供基于交易哈希或藏品ID的链上信息查询功能，生成可视化的藏品“身份证”与流转图谱。支持用户创建虚拟展厅，展示个人藏品。7. 运营后台管理模块：为管理员提供数据看板、内容审核、活动配置、风控规则设置、财务报表生成等全套运营工具。</w:t>
      </w:r>
    </w:p>
    <w:p w14:paraId="4B5789F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本系统是一款基于 Java 技术栈构建的全流程数字艺术品管理与交易平台，聚焦数字艺术品的创建、发行、交易、运营全生命周期管理，支持创作者入驻、艺术品上架审核、多模式交易、运营活动配置等核心场景。系统采用前后端分离架构，前端基于 Uniapp 实现跨端适配，后端通过模块化设计保障高内聚低耦合，源码结构清晰、功能覆盖全面，支持二次开发与定制化扩展，适用于数字艺术生态的非商业落地与技术研究场景。</w:t>
      </w:r>
    </w:p>
    <w:p w14:paraId="6117AFD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技术架构选型</w:t>
      </w:r>
    </w:p>
    <w:p w14:paraId="0C8E50B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系统技术栈围绕“轻量高效、易扩展、跨端适配、安全合规”核心目标选型，源码层面的技术实现与功能模块的关联逻辑如下：</w:t>
      </w:r>
    </w:p>
    <w:p w14:paraId="4F1F422B">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lang w:val="en-US" w:eastAsia="zh-CN"/>
        </w:rPr>
        <w:t>表3.1 系统选型表</w:t>
      </w:r>
    </w:p>
    <w:tbl>
      <w:tblPr>
        <w:tblStyle w:val="35"/>
        <w:tblW w:w="0" w:type="auto"/>
        <w:tblInd w:w="16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904"/>
        <w:gridCol w:w="2070"/>
        <w:gridCol w:w="2070"/>
        <w:gridCol w:w="2070"/>
      </w:tblGrid>
      <w:tr w14:paraId="04738D1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AFCD040">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技术类别</w:t>
            </w:r>
          </w:p>
        </w:tc>
        <w:tc>
          <w:tcPr>
            <w:tcW w:w="2070" w:type="dxa"/>
            <w:tcMar>
              <w:top w:w="60" w:type="dxa"/>
              <w:left w:w="120" w:type="dxa"/>
              <w:bottom w:w="30" w:type="dxa"/>
              <w:right w:w="120" w:type="dxa"/>
            </w:tcMar>
          </w:tcPr>
          <w:p w14:paraId="106F40C1">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选型方案</w:t>
            </w:r>
          </w:p>
        </w:tc>
        <w:tc>
          <w:tcPr>
            <w:tcW w:w="2070" w:type="dxa"/>
            <w:tcMar>
              <w:top w:w="60" w:type="dxa"/>
              <w:left w:w="120" w:type="dxa"/>
              <w:bottom w:w="30" w:type="dxa"/>
              <w:right w:w="120" w:type="dxa"/>
            </w:tcMar>
          </w:tcPr>
          <w:p w14:paraId="61570702">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核心功能模块适配</w:t>
            </w:r>
          </w:p>
        </w:tc>
        <w:tc>
          <w:tcPr>
            <w:tcW w:w="2070" w:type="dxa"/>
            <w:tcMar>
              <w:top w:w="60" w:type="dxa"/>
              <w:left w:w="120" w:type="dxa"/>
              <w:bottom w:w="30" w:type="dxa"/>
              <w:right w:w="120" w:type="dxa"/>
            </w:tcMar>
          </w:tcPr>
          <w:p w14:paraId="7AC7B807">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源码技术实现原理</w:t>
            </w:r>
          </w:p>
        </w:tc>
      </w:tr>
      <w:tr w14:paraId="7A1E06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B4EA73C">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后端框架</w:t>
            </w:r>
          </w:p>
        </w:tc>
        <w:tc>
          <w:tcPr>
            <w:tcW w:w="2070" w:type="dxa"/>
            <w:tcMar>
              <w:top w:w="60" w:type="dxa"/>
              <w:left w:w="120" w:type="dxa"/>
              <w:bottom w:w="30" w:type="dxa"/>
              <w:right w:w="120" w:type="dxa"/>
            </w:tcMar>
          </w:tcPr>
          <w:p w14:paraId="4CA57208">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Spring Boot 2.7.x</w:t>
            </w:r>
          </w:p>
        </w:tc>
        <w:tc>
          <w:tcPr>
            <w:tcW w:w="2070" w:type="dxa"/>
            <w:tcMar>
              <w:top w:w="60" w:type="dxa"/>
              <w:left w:w="120" w:type="dxa"/>
              <w:bottom w:w="30" w:type="dxa"/>
              <w:right w:w="120" w:type="dxa"/>
            </w:tcMar>
          </w:tcPr>
          <w:p w14:paraId="7FECFA31">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全功能模块</w:t>
            </w:r>
          </w:p>
        </w:tc>
        <w:tc>
          <w:tcPr>
            <w:tcW w:w="2070" w:type="dxa"/>
            <w:tcMar>
              <w:top w:w="60" w:type="dxa"/>
              <w:left w:w="120" w:type="dxa"/>
              <w:bottom w:w="30" w:type="dxa"/>
              <w:right w:w="120" w:type="dxa"/>
            </w:tcMar>
          </w:tcPr>
          <w:p w14:paraId="6C7A4F8A">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基于约定优于配置思想，简化配置与开发流程，源码中通过分层配置（dev/test/prod）实现环境隔离，支持动态切换</w:t>
            </w:r>
          </w:p>
        </w:tc>
      </w:tr>
      <w:tr w14:paraId="3100E07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33131340">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数据访问</w:t>
            </w:r>
          </w:p>
        </w:tc>
        <w:tc>
          <w:tcPr>
            <w:tcW w:w="2070" w:type="dxa"/>
            <w:tcMar>
              <w:top w:w="60" w:type="dxa"/>
              <w:left w:w="120" w:type="dxa"/>
              <w:bottom w:w="30" w:type="dxa"/>
              <w:right w:w="120" w:type="dxa"/>
            </w:tcMar>
          </w:tcPr>
          <w:p w14:paraId="7D653E44">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Spring Data Jpa + Hibernate</w:t>
            </w:r>
          </w:p>
        </w:tc>
        <w:tc>
          <w:tcPr>
            <w:tcW w:w="2070" w:type="dxa"/>
            <w:tcMar>
              <w:top w:w="60" w:type="dxa"/>
              <w:left w:w="120" w:type="dxa"/>
              <w:bottom w:w="30" w:type="dxa"/>
              <w:right w:w="120" w:type="dxa"/>
            </w:tcMar>
          </w:tcPr>
          <w:p w14:paraId="08216145">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数字艺术品、创作者、订单等数据密集型模块</w:t>
            </w:r>
          </w:p>
        </w:tc>
        <w:tc>
          <w:tcPr>
            <w:tcW w:w="2070" w:type="dxa"/>
            <w:tcMar>
              <w:top w:w="60" w:type="dxa"/>
              <w:left w:w="120" w:type="dxa"/>
              <w:bottom w:w="30" w:type="dxa"/>
              <w:right w:w="120" w:type="dxa"/>
            </w:tcMar>
          </w:tcPr>
          <w:p w14:paraId="3A932274">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封装 ORM 操作，源码中通过 `Repository` 接口实现 CRUD 逻辑，`JpaSpecificationExecutor` 支持动态条件查询（如艺术品多维度筛选）</w:t>
            </w:r>
          </w:p>
        </w:tc>
      </w:tr>
      <w:tr w14:paraId="6FB60F9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0DA65753">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权限认证</w:t>
            </w:r>
          </w:p>
        </w:tc>
        <w:tc>
          <w:tcPr>
            <w:tcW w:w="2070" w:type="dxa"/>
            <w:tcMar>
              <w:top w:w="60" w:type="dxa"/>
              <w:left w:w="120" w:type="dxa"/>
              <w:bottom w:w="30" w:type="dxa"/>
              <w:right w:w="120" w:type="dxa"/>
            </w:tcMar>
          </w:tcPr>
          <w:p w14:paraId="2143F2C9">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Sa Token + Redis</w:t>
            </w:r>
          </w:p>
        </w:tc>
        <w:tc>
          <w:tcPr>
            <w:tcW w:w="2070" w:type="dxa"/>
            <w:tcMar>
              <w:top w:w="60" w:type="dxa"/>
              <w:left w:w="120" w:type="dxa"/>
              <w:bottom w:w="30" w:type="dxa"/>
              <w:right w:w="120" w:type="dxa"/>
            </w:tcMar>
          </w:tcPr>
          <w:p w14:paraId="452A56C9">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会员管理、后台管理、权限控制模块</w:t>
            </w:r>
          </w:p>
        </w:tc>
        <w:tc>
          <w:tcPr>
            <w:tcW w:w="2070" w:type="dxa"/>
            <w:tcMar>
              <w:top w:w="60" w:type="dxa"/>
              <w:left w:w="120" w:type="dxa"/>
              <w:bottom w:w="30" w:type="dxa"/>
              <w:right w:w="120" w:type="dxa"/>
            </w:tcMar>
          </w:tcPr>
          <w:p w14:paraId="5500BC16">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无状态 Token 认证机制，源码中通过 `@SaCheckRole` `@SaCheckPermission` 注解实现细粒度权限拦截，Redis 存储会话与权限缓存</w:t>
            </w:r>
          </w:p>
        </w:tc>
      </w:tr>
      <w:tr w14:paraId="63C3723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030D47F6">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缓存服务</w:t>
            </w:r>
          </w:p>
        </w:tc>
        <w:tc>
          <w:tcPr>
            <w:tcW w:w="2070" w:type="dxa"/>
            <w:tcMar>
              <w:top w:w="60" w:type="dxa"/>
              <w:left w:w="120" w:type="dxa"/>
              <w:bottom w:w="30" w:type="dxa"/>
              <w:right w:w="120" w:type="dxa"/>
            </w:tcMar>
          </w:tcPr>
          <w:p w14:paraId="73C3781C">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Redis 6.2.x</w:t>
            </w:r>
          </w:p>
        </w:tc>
        <w:tc>
          <w:tcPr>
            <w:tcW w:w="2070" w:type="dxa"/>
            <w:tcMar>
              <w:top w:w="60" w:type="dxa"/>
              <w:left w:w="120" w:type="dxa"/>
              <w:bottom w:w="30" w:type="dxa"/>
              <w:right w:w="120" w:type="dxa"/>
            </w:tcMar>
          </w:tcPr>
          <w:p w14:paraId="6B61A9C5">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首页、持有艺术品、二级市场等高频访问模块</w:t>
            </w:r>
          </w:p>
        </w:tc>
        <w:tc>
          <w:tcPr>
            <w:tcW w:w="2070" w:type="dxa"/>
            <w:tcMar>
              <w:top w:w="60" w:type="dxa"/>
              <w:left w:w="120" w:type="dxa"/>
              <w:bottom w:w="30" w:type="dxa"/>
              <w:right w:w="120" w:type="dxa"/>
            </w:tcMar>
          </w:tcPr>
          <w:p w14:paraId="25B87BC0">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缓存热点数据（如首页推荐艺术品、用户资产列表），源码中通过 `RedisTemplate` 封装缓存操作，配合 TTL 策略实现缓存自动失效</w:t>
            </w:r>
          </w:p>
        </w:tc>
      </w:tr>
      <w:tr w14:paraId="55DD19F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79D9057C">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数据库</w:t>
            </w:r>
          </w:p>
        </w:tc>
        <w:tc>
          <w:tcPr>
            <w:tcW w:w="2070" w:type="dxa"/>
            <w:tcMar>
              <w:top w:w="60" w:type="dxa"/>
              <w:left w:w="120" w:type="dxa"/>
              <w:bottom w:w="30" w:type="dxa"/>
              <w:right w:w="120" w:type="dxa"/>
            </w:tcMar>
          </w:tcPr>
          <w:p w14:paraId="762B5AA6">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MySQL 8.0</w:t>
            </w:r>
          </w:p>
        </w:tc>
        <w:tc>
          <w:tcPr>
            <w:tcW w:w="2070" w:type="dxa"/>
            <w:tcMar>
              <w:top w:w="60" w:type="dxa"/>
              <w:left w:w="120" w:type="dxa"/>
              <w:bottom w:w="30" w:type="dxa"/>
              <w:right w:w="120" w:type="dxa"/>
            </w:tcMar>
          </w:tcPr>
          <w:p w14:paraId="0FA8295B">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全功能模块</w:t>
            </w:r>
          </w:p>
        </w:tc>
        <w:tc>
          <w:tcPr>
            <w:tcW w:w="2070" w:type="dxa"/>
            <w:tcMar>
              <w:top w:w="60" w:type="dxa"/>
              <w:left w:w="120" w:type="dxa"/>
              <w:bottom w:w="30" w:type="dxa"/>
              <w:right w:w="120" w:type="dxa"/>
            </w:tcMar>
          </w:tcPr>
          <w:p w14:paraId="60300876">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存储业务核心数据，源码含 `doc/nft_init.sql` 初始化脚本，支持表结构自动创建与基础数据插入，核心表设计含联合索引优化查询性能</w:t>
            </w:r>
          </w:p>
        </w:tc>
      </w:tr>
      <w:tr w14:paraId="619AEA0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73461968">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前端框架</w:t>
            </w:r>
          </w:p>
        </w:tc>
        <w:tc>
          <w:tcPr>
            <w:tcW w:w="2070" w:type="dxa"/>
            <w:tcMar>
              <w:top w:w="60" w:type="dxa"/>
              <w:left w:w="120" w:type="dxa"/>
              <w:bottom w:w="30" w:type="dxa"/>
              <w:right w:w="120" w:type="dxa"/>
            </w:tcMar>
          </w:tcPr>
          <w:p w14:paraId="51442674">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Uniapp + Vue 3 + Vant UI</w:t>
            </w:r>
          </w:p>
        </w:tc>
        <w:tc>
          <w:tcPr>
            <w:tcW w:w="2070" w:type="dxa"/>
            <w:tcMar>
              <w:top w:w="60" w:type="dxa"/>
              <w:left w:w="120" w:type="dxa"/>
              <w:bottom w:w="30" w:type="dxa"/>
              <w:right w:w="120" w:type="dxa"/>
            </w:tcMar>
          </w:tcPr>
          <w:p w14:paraId="12E5F666">
            <w:pPr>
              <w:spacing w:line="440" w:lineRule="exact"/>
              <w:ind w:firstLine="420" w:firstLineChars="200"/>
              <w:rPr>
                <w:rFonts w:hint="eastAsia" w:ascii="Calibri" w:hAnsi="Calibri" w:eastAsia="宋体" w:cs="Times New Roman"/>
                <w:sz w:val="21"/>
                <w:szCs w:val="21"/>
              </w:rPr>
            </w:pPr>
            <w:r>
              <w:rPr>
                <w:rFonts w:hint="eastAsia" w:ascii="Calibri" w:hAnsi="Calibri" w:eastAsia="宋体" w:cs="Times New Roman"/>
                <w:sz w:val="21"/>
                <w:szCs w:val="21"/>
              </w:rPr>
              <w:t>首页、持有艺术品、二级市场等前端交互模块</w:t>
            </w:r>
          </w:p>
        </w:tc>
        <w:tc>
          <w:tcPr>
            <w:tcW w:w="2070" w:type="dxa"/>
            <w:tcMar>
              <w:top w:w="60" w:type="dxa"/>
              <w:left w:w="120" w:type="dxa"/>
              <w:bottom w:w="30" w:type="dxa"/>
              <w:right w:w="120" w:type="dxa"/>
            </w:tcMar>
          </w:tcPr>
          <w:p w14:paraId="441F23F4">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跨端开发核心，一套代码适配 iOS、Android、Web 平台，源码中组件化封装通用 UI 组件，Vuex 管理全局状态，Axios 封装后端接口交互</w:t>
            </w:r>
          </w:p>
        </w:tc>
      </w:tr>
      <w:tr w14:paraId="12C8ED6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1FD97943">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区块链适配</w:t>
            </w:r>
          </w:p>
        </w:tc>
        <w:tc>
          <w:tcPr>
            <w:tcW w:w="2070" w:type="dxa"/>
            <w:tcMar>
              <w:top w:w="60" w:type="dxa"/>
              <w:left w:w="120" w:type="dxa"/>
              <w:bottom w:w="30" w:type="dxa"/>
              <w:right w:w="120" w:type="dxa"/>
            </w:tcMar>
          </w:tcPr>
          <w:p w14:paraId="667EF772">
            <w:pPr>
              <w:spacing w:line="440" w:lineRule="exact"/>
              <w:ind w:firstLine="420" w:firstLineChars="200"/>
              <w:rPr>
                <w:rFonts w:hint="default" w:ascii="Calibri" w:hAnsi="Calibri" w:eastAsia="宋体" w:cs="Times New Roman"/>
                <w:sz w:val="21"/>
                <w:szCs w:val="21"/>
                <w:lang w:val="en-US" w:eastAsia="zh-CN"/>
              </w:rPr>
            </w:pPr>
            <w:r>
              <w:rPr>
                <w:rFonts w:hint="eastAsia" w:ascii="Calibri" w:hAnsi="Calibri" w:eastAsia="宋体" w:cs="Times New Roman"/>
                <w:sz w:val="21"/>
                <w:szCs w:val="21"/>
                <w:lang w:val="en-US" w:eastAsia="zh-CN"/>
              </w:rPr>
              <w:t>武汉链</w:t>
            </w:r>
          </w:p>
        </w:tc>
        <w:tc>
          <w:tcPr>
            <w:tcW w:w="2070" w:type="dxa"/>
            <w:tcMar>
              <w:top w:w="60" w:type="dxa"/>
              <w:left w:w="120" w:type="dxa"/>
              <w:bottom w:w="30" w:type="dxa"/>
              <w:right w:w="120" w:type="dxa"/>
            </w:tcMar>
          </w:tcPr>
          <w:p w14:paraId="017A8E1F">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数字艺术品、持有艺术品、二级市场模块</w:t>
            </w:r>
          </w:p>
        </w:tc>
        <w:tc>
          <w:tcPr>
            <w:tcW w:w="2070" w:type="dxa"/>
            <w:tcMar>
              <w:top w:w="60" w:type="dxa"/>
              <w:left w:w="120" w:type="dxa"/>
              <w:bottom w:w="30" w:type="dxa"/>
              <w:right w:w="120" w:type="dxa"/>
            </w:tcMar>
          </w:tcPr>
          <w:p w14:paraId="26373FE4">
            <w:pPr>
              <w:spacing w:line="440" w:lineRule="exact"/>
              <w:rPr>
                <w:rFonts w:hint="eastAsia" w:ascii="Calibri" w:hAnsi="Calibri" w:eastAsia="宋体" w:cs="Times New Roman"/>
                <w:sz w:val="21"/>
                <w:szCs w:val="21"/>
              </w:rPr>
            </w:pPr>
            <w:r>
              <w:rPr>
                <w:rFonts w:hint="eastAsia" w:ascii="Calibri" w:hAnsi="Calibri" w:eastAsia="宋体" w:cs="Times New Roman"/>
                <w:sz w:val="21"/>
                <w:szCs w:val="21"/>
              </w:rPr>
              <w:t>封装链上铸造、权属转移、哈希校验接口，源码中 `BlockChainService` 类通过 HTTP 协议对接至信链开放平台，保障链上数据一致性</w:t>
            </w:r>
          </w:p>
        </w:tc>
      </w:tr>
      <w:tr w14:paraId="2A05AE8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904" w:type="dxa"/>
            <w:tcMar>
              <w:top w:w="60" w:type="dxa"/>
              <w:left w:w="120" w:type="dxa"/>
              <w:bottom w:w="30" w:type="dxa"/>
              <w:right w:w="120" w:type="dxa"/>
            </w:tcMar>
          </w:tcPr>
          <w:p w14:paraId="4B226562">
            <w:pPr>
              <w:spacing w:line="440" w:lineRule="exact"/>
              <w:ind w:firstLine="420" w:firstLineChars="200"/>
              <w:rPr>
                <w:rFonts w:hint="eastAsia" w:ascii="Calibri" w:hAnsi="Calibri" w:eastAsia="宋体" w:cs="Times New Roman"/>
                <w:sz w:val="21"/>
                <w:szCs w:val="21"/>
              </w:rPr>
            </w:pPr>
            <w:r>
              <w:rPr>
                <w:rFonts w:hint="eastAsia" w:ascii="Calibri" w:hAnsi="Calibri" w:eastAsia="宋体" w:cs="Times New Roman"/>
                <w:sz w:val="21"/>
                <w:szCs w:val="21"/>
              </w:rPr>
              <w:t>工具类框架</w:t>
            </w:r>
          </w:p>
        </w:tc>
        <w:tc>
          <w:tcPr>
            <w:tcW w:w="2070" w:type="dxa"/>
            <w:tcMar>
              <w:top w:w="60" w:type="dxa"/>
              <w:left w:w="120" w:type="dxa"/>
              <w:bottom w:w="30" w:type="dxa"/>
              <w:right w:w="120" w:type="dxa"/>
            </w:tcMar>
          </w:tcPr>
          <w:p w14:paraId="2C25AE26">
            <w:pPr>
              <w:spacing w:line="440" w:lineRule="exact"/>
              <w:ind w:firstLine="420" w:firstLineChars="200"/>
              <w:rPr>
                <w:rFonts w:hint="eastAsia" w:ascii="Calibri" w:hAnsi="Calibri" w:eastAsia="宋体" w:cs="Times New Roman"/>
                <w:sz w:val="21"/>
                <w:szCs w:val="21"/>
              </w:rPr>
            </w:pPr>
            <w:r>
              <w:rPr>
                <w:rFonts w:hint="eastAsia" w:ascii="Calibri" w:hAnsi="Calibri" w:eastAsia="宋体" w:cs="Times New Roman"/>
                <w:sz w:val="21"/>
                <w:szCs w:val="21"/>
              </w:rPr>
              <w:t>Hutool + Lombok</w:t>
            </w:r>
          </w:p>
        </w:tc>
        <w:tc>
          <w:tcPr>
            <w:tcW w:w="2070" w:type="dxa"/>
            <w:tcMar>
              <w:top w:w="60" w:type="dxa"/>
              <w:left w:w="120" w:type="dxa"/>
              <w:bottom w:w="30" w:type="dxa"/>
              <w:right w:w="120" w:type="dxa"/>
            </w:tcMar>
          </w:tcPr>
          <w:p w14:paraId="0AAA5D83">
            <w:pPr>
              <w:spacing w:line="440" w:lineRule="exact"/>
              <w:ind w:firstLine="420" w:firstLineChars="200"/>
              <w:rPr>
                <w:rFonts w:hint="eastAsia" w:ascii="Calibri" w:hAnsi="Calibri" w:eastAsia="宋体" w:cs="Times New Roman"/>
                <w:sz w:val="21"/>
                <w:szCs w:val="21"/>
              </w:rPr>
            </w:pPr>
            <w:r>
              <w:rPr>
                <w:rFonts w:hint="eastAsia" w:ascii="Calibri" w:hAnsi="Calibri" w:eastAsia="宋体" w:cs="Times New Roman"/>
                <w:sz w:val="21"/>
                <w:szCs w:val="21"/>
              </w:rPr>
              <w:t>全功能模块</w:t>
            </w:r>
          </w:p>
        </w:tc>
        <w:tc>
          <w:tcPr>
            <w:tcW w:w="2070" w:type="dxa"/>
            <w:tcMar>
              <w:top w:w="60" w:type="dxa"/>
              <w:left w:w="120" w:type="dxa"/>
              <w:bottom w:w="30" w:type="dxa"/>
              <w:right w:w="120" w:type="dxa"/>
            </w:tcMar>
          </w:tcPr>
          <w:p w14:paraId="5F25780A">
            <w:pPr>
              <w:spacing w:line="440" w:lineRule="exact"/>
              <w:ind w:firstLine="420" w:firstLineChars="200"/>
              <w:rPr>
                <w:rFonts w:hint="eastAsia" w:ascii="Calibri" w:hAnsi="Calibri" w:eastAsia="宋体" w:cs="Times New Roman"/>
                <w:sz w:val="21"/>
                <w:szCs w:val="21"/>
              </w:rPr>
            </w:pPr>
            <w:r>
              <w:rPr>
                <w:rFonts w:hint="eastAsia" w:ascii="Calibri" w:hAnsi="Calibri" w:eastAsia="宋体" w:cs="Times New Roman"/>
                <w:sz w:val="21"/>
                <w:szCs w:val="21"/>
              </w:rPr>
              <w:t>Hutool 封装字符串、日期、HTTP 等常用工具，Lombok 通过 `@Data` `@NoArgsConstructor` 注解简化实体类代码，减少冗余</w:t>
            </w:r>
          </w:p>
        </w:tc>
      </w:tr>
    </w:tbl>
    <w:p w14:paraId="4AE411F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源码目录结构与功能映射</w:t>
      </w:r>
    </w:p>
    <w:p w14:paraId="1436165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系统源码采用模块化划分，核心目录与功能模块的对应关系如下：</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42"/>
      </w:tblGrid>
      <w:tr w14:paraId="0C326A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42" w:type="dxa"/>
            <w:shd w:val="clear" w:color="auto" w:fill="F5F6F7"/>
            <w:tcMar>
              <w:top w:w="60" w:type="dxa"/>
              <w:left w:w="120" w:type="dxa"/>
              <w:bottom w:w="30" w:type="dxa"/>
              <w:right w:w="120" w:type="dxa"/>
            </w:tcMar>
          </w:tcPr>
          <w:p w14:paraId="77A39B4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plaintext</w:t>
            </w:r>
            <w:r>
              <w:rPr>
                <w:rFonts w:hint="eastAsia" w:ascii="Calibri" w:hAnsi="Calibri" w:eastAsia="宋体" w:cs="Times New Roman"/>
                <w:sz w:val="24"/>
                <w:szCs w:val="24"/>
              </w:rPr>
              <w:br w:type="textWrapping"/>
            </w:r>
            <w:r>
              <w:rPr>
                <w:rFonts w:hint="eastAsia" w:ascii="Calibri" w:hAnsi="Calibri" w:eastAsia="宋体" w:cs="Times New Roman"/>
                <w:sz w:val="24"/>
                <w:szCs w:val="24"/>
              </w:rPr>
              <w:t>nft_v4/</w:t>
            </w:r>
            <w:r>
              <w:rPr>
                <w:rFonts w:hint="eastAsia" w:ascii="Calibri" w:hAnsi="Calibri" w:eastAsia="宋体" w:cs="Times New Roman"/>
                <w:sz w:val="24"/>
                <w:szCs w:val="24"/>
              </w:rPr>
              <w:br w:type="textWrapping"/>
            </w:r>
            <w:r>
              <w:rPr>
                <w:rFonts w:hint="eastAsia" w:ascii="Calibri" w:hAnsi="Calibri" w:eastAsia="宋体" w:cs="Times New Roman"/>
                <w:sz w:val="24"/>
                <w:szCs w:val="24"/>
              </w:rPr>
              <w:t>├── doc/                      // 文档目录：含数据库初始化脚本、运营后台说明，支撑系统部署与配置</w:t>
            </w:r>
            <w:r>
              <w:rPr>
                <w:rFonts w:hint="eastAsia" w:ascii="Calibri" w:hAnsi="Calibri" w:eastAsia="宋体" w:cs="Times New Roman"/>
                <w:sz w:val="24"/>
                <w:szCs w:val="24"/>
              </w:rPr>
              <w:br w:type="textWrapping"/>
            </w:r>
            <w:r>
              <w:rPr>
                <w:rFonts w:hint="eastAsia" w:ascii="Calibri" w:hAnsi="Calibri" w:eastAsia="宋体" w:cs="Times New Roman"/>
                <w:sz w:val="24"/>
                <w:szCs w:val="24"/>
              </w:rPr>
              <w:t>├── img/                      // 静态资源目录：存储系统演示截图、前端静态资源</w:t>
            </w:r>
            <w:r>
              <w:rPr>
                <w:rFonts w:hint="eastAsia" w:ascii="Calibri" w:hAnsi="Calibri" w:eastAsia="宋体" w:cs="Times New Roman"/>
                <w:sz w:val="24"/>
                <w:szCs w:val="24"/>
              </w:rPr>
              <w:br w:type="textWrapping"/>
            </w:r>
            <w:r>
              <w:rPr>
                <w:rFonts w:hint="eastAsia" w:ascii="Calibri" w:hAnsi="Calibri" w:eastAsia="宋体" w:cs="Times New Roman"/>
                <w:sz w:val="24"/>
                <w:szCs w:val="24"/>
              </w:rPr>
              <w:t>├── nft-admin/                // 后台管理模块：源码实现会员管理、内容管理、系统设置、运营工具等后台功能</w:t>
            </w:r>
            <w:r>
              <w:rPr>
                <w:rFonts w:hint="eastAsia" w:ascii="Calibri" w:hAnsi="Calibri" w:eastAsia="宋体" w:cs="Times New Roman"/>
                <w:sz w:val="24"/>
                <w:szCs w:val="24"/>
              </w:rPr>
              <w:br w:type="textWrapping"/>
            </w:r>
            <w:r>
              <w:rPr>
                <w:rFonts w:hint="eastAsia" w:ascii="Calibri" w:hAnsi="Calibri" w:eastAsia="宋体" w:cs="Times New Roman"/>
                <w:sz w:val="24"/>
                <w:szCs w:val="24"/>
              </w:rPr>
              <w:t>│   └── src/main/java/com/muyu/admin/controller/  // 后台控制器：对应后台管理、系统设置、运营工具等功能接口</w:t>
            </w:r>
            <w:r>
              <w:rPr>
                <w:rFonts w:hint="eastAsia" w:ascii="Calibri" w:hAnsi="Calibri" w:eastAsia="宋体" w:cs="Times New Roman"/>
                <w:sz w:val="24"/>
                <w:szCs w:val="24"/>
              </w:rPr>
              <w:br w:type="textWrapping"/>
            </w:r>
            <w:r>
              <w:rPr>
                <w:rFonts w:hint="eastAsia" w:ascii="Calibri" w:hAnsi="Calibri" w:eastAsia="宋体" w:cs="Times New Roman"/>
                <w:sz w:val="24"/>
                <w:szCs w:val="24"/>
              </w:rPr>
              <w:t>├── nft-biz/                  // 核心业务模块：源码实现数字艺术品管理、交易、铸造、二级市场等核心逻辑</w:t>
            </w:r>
            <w:r>
              <w:rPr>
                <w:rFonts w:hint="eastAsia" w:ascii="Calibri" w:hAnsi="Calibri" w:eastAsia="宋体" w:cs="Times New Roman"/>
                <w:sz w:val="24"/>
                <w:szCs w:val="24"/>
              </w:rPr>
              <w:br w:type="textWrapping"/>
            </w:r>
            <w:r>
              <w:rPr>
                <w:rFonts w:hint="eastAsia" w:ascii="Calibri" w:hAnsi="Calibri" w:eastAsia="宋体" w:cs="Times New Roman"/>
                <w:sz w:val="24"/>
                <w:szCs w:val="24"/>
              </w:rPr>
              <w:t>│   └── src/main/java/com/muyu/biz/</w:t>
            </w:r>
            <w:r>
              <w:rPr>
                <w:rFonts w:hint="eastAsia" w:ascii="Calibri" w:hAnsi="Calibri" w:eastAsia="宋体" w:cs="Times New Roman"/>
                <w:sz w:val="24"/>
                <w:szCs w:val="24"/>
              </w:rPr>
              <w:br w:type="textWrapping"/>
            </w:r>
            <w:r>
              <w:rPr>
                <w:rFonts w:hint="eastAsia" w:ascii="Calibri" w:hAnsi="Calibri" w:eastAsia="宋体" w:cs="Times New Roman"/>
                <w:sz w:val="24"/>
                <w:szCs w:val="24"/>
              </w:rPr>
              <w:t>│       ├── controller/       // 业务控制器：对应数字艺术品、持有艺术品、支付订单等功能接口</w:t>
            </w:r>
            <w:r>
              <w:rPr>
                <w:rFonts w:hint="eastAsia" w:ascii="Calibri" w:hAnsi="Calibri" w:eastAsia="宋体" w:cs="Times New Roman"/>
                <w:sz w:val="24"/>
                <w:szCs w:val="24"/>
              </w:rPr>
              <w:br w:type="textWrapping"/>
            </w:r>
            <w:r>
              <w:rPr>
                <w:rFonts w:hint="eastAsia" w:ascii="Calibri" w:hAnsi="Calibri" w:eastAsia="宋体" w:cs="Times New Roman"/>
                <w:sz w:val="24"/>
                <w:szCs w:val="24"/>
              </w:rPr>
              <w:t>│       ├── service/          // 业务服务：实现艺术品上架、交易撮合、合成活动等核心逻辑</w:t>
            </w:r>
            <w:r>
              <w:rPr>
                <w:rFonts w:hint="eastAsia" w:ascii="Calibri" w:hAnsi="Calibri" w:eastAsia="宋体" w:cs="Times New Roman"/>
                <w:sz w:val="24"/>
                <w:szCs w:val="24"/>
              </w:rPr>
              <w:br w:type="textWrapping"/>
            </w:r>
            <w:r>
              <w:rPr>
                <w:rFonts w:hint="eastAsia" w:ascii="Calibri" w:hAnsi="Calibri" w:eastAsia="宋体" w:cs="Times New Roman"/>
                <w:sz w:val="24"/>
                <w:szCs w:val="24"/>
              </w:rPr>
              <w:t>│       ├── repository/       // 数据访问：通过 Jpa 实现数据持久化操作</w:t>
            </w:r>
            <w:r>
              <w:rPr>
                <w:rFonts w:hint="eastAsia" w:ascii="Calibri" w:hAnsi="Calibri" w:eastAsia="宋体" w:cs="Times New Roman"/>
                <w:sz w:val="24"/>
                <w:szCs w:val="24"/>
              </w:rPr>
              <w:br w:type="textWrapping"/>
            </w:r>
            <w:r>
              <w:rPr>
                <w:rFonts w:hint="eastAsia" w:ascii="Calibri" w:hAnsi="Calibri" w:eastAsia="宋体" w:cs="Times New Roman"/>
                <w:sz w:val="24"/>
                <w:szCs w:val="24"/>
              </w:rPr>
              <w:t>│       └── entity/           // 实体类：映射数据库表结构（如艺术品、订单、用户资产等）</w:t>
            </w:r>
            <w:r>
              <w:rPr>
                <w:rFonts w:hint="eastAsia" w:ascii="Calibri" w:hAnsi="Calibri" w:eastAsia="宋体" w:cs="Times New Roman"/>
                <w:sz w:val="24"/>
                <w:szCs w:val="24"/>
              </w:rPr>
              <w:br w:type="textWrapping"/>
            </w:r>
            <w:r>
              <w:rPr>
                <w:rFonts w:hint="eastAsia" w:ascii="Calibri" w:hAnsi="Calibri" w:eastAsia="宋体" w:cs="Times New Roman"/>
                <w:sz w:val="24"/>
                <w:szCs w:val="24"/>
              </w:rPr>
              <w:t>├── nft-member/               // 会员模块：源码实现用户注册、登录、实名认证、权限管理等功能</w:t>
            </w:r>
            <w:r>
              <w:rPr>
                <w:rFonts w:hint="eastAsia" w:ascii="Calibri" w:hAnsi="Calibri" w:eastAsia="宋体" w:cs="Times New Roman"/>
                <w:sz w:val="24"/>
                <w:szCs w:val="24"/>
              </w:rPr>
              <w:br w:type="textWrapping"/>
            </w:r>
            <w:r>
              <w:rPr>
                <w:rFonts w:hint="eastAsia" w:ascii="Calibri" w:hAnsi="Calibri" w:eastAsia="宋体" w:cs="Times New Roman"/>
                <w:sz w:val="24"/>
                <w:szCs w:val="24"/>
              </w:rPr>
              <w:t>├── pom.xml                   // Maven 依赖配置：统一管理后端所有模块的依赖版本，避免版本冲突</w:t>
            </w:r>
            <w:r>
              <w:rPr>
                <w:rFonts w:hint="eastAsia" w:ascii="Calibri" w:hAnsi="Calibri" w:eastAsia="宋体" w:cs="Times New Roman"/>
                <w:sz w:val="24"/>
                <w:szCs w:val="24"/>
              </w:rPr>
              <w:br w:type="textWrapping"/>
            </w:r>
          </w:p>
        </w:tc>
      </w:tr>
    </w:tbl>
    <w:p w14:paraId="64EACA1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核心功能模块设计</w:t>
      </w:r>
    </w:p>
    <w:p w14:paraId="2DE7C3D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首页模块</w:t>
      </w:r>
    </w:p>
    <w:p w14:paraId="029544B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45F7F22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核心展示：用户数字艺术品概览（持有数量、资产估值）、运营活动入口（合成、空投、优先购）、最新公告、推荐艺术品轮播图；</w:t>
      </w:r>
    </w:p>
    <w:p w14:paraId="5D4EE23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跳转功能：支持点击跳转至数字艺术品列表、个人中心、活动详情、公告详情等模块。</w:t>
      </w:r>
    </w:p>
    <w:p w14:paraId="2FBA889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39293FF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核心模块：`nft-biz`（业务逻辑）+ 前端 Uniapp 模块（界面渲染）；</w:t>
      </w:r>
    </w:p>
    <w:p w14:paraId="04B29E4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 xml:space="preserve">数据获取逻辑：    </w:t>
      </w:r>
    </w:p>
    <w:p w14:paraId="7F952B2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后端：`nft-biz/src/main/java/com/muyu/biz/controller/IndexController.java` 中 `getIndexData()` 方法，聚合查询用户资产统计（关联 `t_nft_asset` 表）、运营活动列表（关联 `t_nft_activity` 表）、最新公告（关联 `t_nft_notice` 表），通过 Redis 缓存热点数据（如推荐艺术品）提升响应速度；</w:t>
      </w:r>
    </w:p>
    <w:p w14:paraId="33ECEEA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前端：通过 Axios 调用 `getIndexData()` 接口，获取数据后通过 Vue 组件渲染首页布局，活动入口通过跳转链接关联至对应功能模块（如合成活动跳转至 `pages/activity/synthesis.vue`）；</w:t>
      </w:r>
    </w:p>
    <w:p w14:paraId="335F7F6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关键技术：数据聚合查询、Redis 缓存预热、前端组件化渲染。</w:t>
      </w:r>
    </w:p>
    <w:p w14:paraId="5AB1EC6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数字艺术品模块</w:t>
      </w:r>
    </w:p>
    <w:p w14:paraId="3124945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2149472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核心操作：支持数字艺术品的上架、编辑、下架操作，仅创作者与管理员有权限执行；</w:t>
      </w:r>
    </w:p>
    <w:p w14:paraId="45C15F9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元数据管理：记录艺术品名称、创作者ID、链上哈希值、所属系列、稀有度、发行量、描述等核心元数据；</w:t>
      </w:r>
    </w:p>
    <w:p w14:paraId="6CCADDB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关联功能：关联创作者信息（通过创作者ID关联 `t_member_creator` 表）、支持艺术品审核流程（对接艺术品管理模块）。</w:t>
      </w:r>
    </w:p>
    <w:p w14:paraId="152D24BE">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07EFAA2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核心模块：`nft-biz` 模块；</w:t>
      </w:r>
    </w:p>
    <w:p w14:paraId="3EE1858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实体类：`nft-biz/src/main/java/com/muyu/biz/entity/NftCollection.java`，映射 `t_nft_collection` 表，字段包含 `name`（名称）、`creatorId`（创作者ID）、`uniqueCode`（链上哈希值）、`seriesId`（所属系列）、`status`（上架状态：0-下架，1-上架）等，与元数据一一对应；</w:t>
      </w:r>
    </w:p>
    <w:p w14:paraId="7CD2149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控制器：`nft-biz/src/main/java/com/muyu/biz/controller/CollectionController.java`，提供 `addCollection()`（上架）、`updateCollection()`（编辑）、`offlineCollection()`（下架）接口，通过 `@SaCheckRole({"creator", "admin"})` 注解限制操作权限；</w:t>
      </w:r>
    </w:p>
    <w:p w14:paraId="6E6AD92E">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服务逻辑：`nft-biz/src/main/java/com/muyu/biz/service/CollectionService.java` 中 `addCollection()` 方法，包含素材上传（存储至服务器本地或分布式文件系统）、元数据校验、链上哈希生成（对接 `BlockChainService`）、数据库入库逻辑；</w:t>
      </w:r>
    </w:p>
    <w:p w14:paraId="788A1D2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数据流转：艺术品上架时，先校验创作者权限与素材合法性，再生成链上哈希并存储元数据，最后更新 `t_nft_collection` 表状态为“上架”。</w:t>
      </w:r>
    </w:p>
    <w:p w14:paraId="17E4E20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创作者模块</w:t>
      </w:r>
    </w:p>
    <w:p w14:paraId="3D03374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jc w:val="left"/>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1EEAB07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创作者管理：支持创作者注册、资质审核、账号启用/禁用操作；</w:t>
      </w:r>
    </w:p>
    <w:p w14:paraId="67918EC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关联管理：创作者账号与发布的艺术品自动关联，支持查询创作者名下所有艺术品；</w:t>
      </w:r>
    </w:p>
    <w:p w14:paraId="2565C20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资质审核：管理员审核创作者提交的资质材料（如身份证明、艺术作品证明），审核通过后授予创作者权限。</w:t>
      </w:r>
    </w:p>
    <w:p w14:paraId="1FF4484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5A53F26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核心模块：`nft-member`（账号管理）+ `nft-admin`（审核功能）；</w:t>
      </w:r>
    </w:p>
    <w:p w14:paraId="3D882CDB">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 xml:space="preserve">关键源码文件：  </w:t>
      </w:r>
    </w:p>
    <w:p w14:paraId="057E746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实体类：`nft-member/src/main/java/com/muyu/member/entity/Creator.java`，映射 `t_member_creator` 表，字段包含 `userId`（关联用户ID）、`qualification`（资质材料路径）、`auditStatus`（审核状态：0-待审核，1-已通过，2-已驳回）；</w:t>
      </w:r>
    </w:p>
    <w:p w14:paraId="47F19AC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 xml:space="preserve">注册与审核逻辑：        </w:t>
      </w:r>
    </w:p>
    <w:p w14:paraId="18E2DFA8">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创作者注册：`nft-member/src/main/java/com/muyu/member/controller/CreatorController.java` 中 `register()` 方法，关联用户账号（`t_member_user` 表），上传资质材料并设置审核状态为“待审核”；</w:t>
      </w:r>
    </w:p>
    <w:p w14:paraId="7DF2B94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审核操作：`nft-admin/src/main/java/com/muyu/admin/controller/CreatorAuditController.java` 中 `auditCreator()` 方法，管理员更新审核状态，审核通过后通过 `SaToken` 授予用户“creator”角色权限；</w:t>
      </w:r>
    </w:p>
    <w:p w14:paraId="2B61601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权限关联：创作者账号通过 `t_member_user_role` 表关联“creator”角色，获得艺术品上架、编辑等操作权限。</w:t>
      </w:r>
    </w:p>
    <w:p w14:paraId="3D399E3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艺术品管理模块</w:t>
      </w:r>
    </w:p>
    <w:p w14:paraId="1BC589D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3D0FB42B">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审核功能：审核创作者提交的艺术品上架申请，支持通过/驳回操作，记录审核意见；</w:t>
      </w:r>
    </w:p>
    <w:p w14:paraId="72B4785E">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规则配置：设置艺术品权限（是否允许二级市场交易）、可见性（公开/仅白名单可见）、交易规则（版税比例、交易手续费）；</w:t>
      </w:r>
    </w:p>
    <w:p w14:paraId="6897029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状态管理：支持手动下架违规艺术品，调整艺术品展示排序权重。</w:t>
      </w:r>
    </w:p>
    <w:p w14:paraId="5B81608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015CAFE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核心模块：`nft-admin`（后台操作）+ `nft-biz`（业务逻辑）；</w:t>
      </w:r>
    </w:p>
    <w:p w14:paraId="13DD30D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 xml:space="preserve">关键源码文件：    </w:t>
      </w:r>
    </w:p>
    <w:p w14:paraId="4F3286B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审核逻辑：`nft-admin/src/main/java/com/muyu/admin/controller/CollectionAuditController.java` 中 `auditCollection()` 方法，关联 `t_nft_collection` 表 `auditStatus` 字段，更新审核状态并记录审核日志（可扩展 `t_nft_audit_log` 表）；</w:t>
      </w:r>
    </w:p>
    <w:p w14:paraId="5DAABD3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规则配置逻辑：`nft-biz/src/main/java/com/muyu/biz/service/CollectionConfigService.java` 中 `setCollectionRule()` 方法，配置艺术品交易规则（存储至 `t_nft_collection_rule` 表），包含版税比例、交易权限开关、可见性配置；</w:t>
      </w:r>
    </w:p>
    <w:p w14:paraId="78780808">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数据关联：艺术品规则配置与艺术品ID关联，交易时通过艺术品ID查询规则并执行（如版税计算、交易权限校验）。</w:t>
      </w:r>
    </w:p>
    <w:p w14:paraId="3B654A6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持有艺术品模块</w:t>
      </w:r>
    </w:p>
    <w:p w14:paraId="5AB63EF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57AD36D5">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资产展示：展示用户通过购买、空投、合成等方式获得的所有数字艺术品，包含艺术品缩略图、名称、获取时间、状态；</w:t>
      </w:r>
    </w:p>
    <w:p w14:paraId="11A2F32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详情查询：支持查看艺术品元数据、链上哈希、转移记录（关联二级市场交易记录）；</w:t>
      </w:r>
    </w:p>
    <w:p w14:paraId="3F65251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操作功能：支持艺术品转赠、挂售（跳转至二级市场模块）、装饰定制（跳转至艺术品装潢记录模块）。</w:t>
      </w:r>
    </w:p>
    <w:p w14:paraId="4D942746">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54AEE0C6">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核心模块：`nft-biz` 模块；</w:t>
      </w:r>
    </w:p>
    <w:p w14:paraId="174AE283">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关键源码文件：</w:t>
      </w:r>
    </w:p>
    <w:p w14:paraId="2A7A12E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实体类：`nft-biz/src/main/java/com/muyu/biz/entity/NftAsset.java`，映射 `t_nft_asset` 表，字段包含 `userId`（用户ID）、`collectionId`（艺术品ID）、`obtainType`（获取方式：0-购买，1-空投，2-合成）、`obtainTime`（获取时间）、`status`（资产状态：0-正常，1-冻结）；</w:t>
      </w:r>
    </w:p>
    <w:p w14:paraId="1276E0B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资产查询逻辑：`nft-biz/src/main/java/com/muyu/biz/controller/AssetController.java` 中 `getUserAssetList()` 方法，通过用户ID关联 `t_nft_asset` 与 `t_nft_collection` 表，查询用户持有艺术品详情，通过 Redis 缓存高频访问的资产列表；</w:t>
      </w:r>
    </w:p>
    <w:p w14:paraId="73275FB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转移记录查询：`getAssetTransferRecord()` 方法，关联 `t_nft_transfer` 表（转赠记录）与 `t_nft_consignment` 表（二级市场交易记录），展示艺术品完整流转路径；</w:t>
      </w:r>
    </w:p>
    <w:p w14:paraId="6CC8E91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状态控制：艺术品挂售时，`t_nft_asset` 表中对应资产状态更新为“冻结”，交易完成或取消挂售后恢复为“正常”。</w:t>
      </w:r>
    </w:p>
    <w:p w14:paraId="36A07BD0">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艺术品装潢记录模块</w:t>
      </w:r>
    </w:p>
    <w:p w14:paraId="366BFC6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3D806CB3">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装潢操作记录：记录用户对艺术品的边框、背景、特效等装饰定制行为，包含装饰类型、定制时间、装饰素材ID；</w:t>
      </w:r>
    </w:p>
    <w:p w14:paraId="1B899CC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效果管理：支持装饰效果的预览、保存、撤销，装饰后的效果仅对用户本人可见。</w:t>
      </w:r>
    </w:p>
    <w:p w14:paraId="71814CC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236D889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核心模块：`nft-biz` 模块；</w:t>
      </w:r>
    </w:p>
    <w:p w14:paraId="5FCB8FC8">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关键源码文件：</w:t>
      </w:r>
    </w:p>
    <w:p w14:paraId="66959745">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实体类：`nft-biz/src/main/java/com/muyu/biz/entity/NftDecoration.java`，映射 `t_nft_decoration` 表，字段包含 `userId`（用户ID）、`collectionId`（艺术品ID）、`decorType`（装饰类型：0-边框，1-背景，2-特效）、`decorMaterialId`（装饰素材ID）、`createTime`（定制时间）、`isValid`（是否生效）；</w:t>
      </w:r>
    </w:p>
    <w:p w14:paraId="751FB9DB">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装饰逻辑：`nft-biz/src/main/java/com/muyu/biz/controller/DecorationController.java` 中 `decorateCollection()` 方法，校验用户是否持有该艺术品，保存装饰记录并关联装饰素材（素材存储于 `t_nft_decor_material` 表）；</w:t>
      </w:r>
    </w:p>
    <w:p w14:paraId="10A3153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预览与撤销：`previewDecoration()` 方法返回装饰后的艺术品展示路径，`cancelDecoration()` 方法更新 `isValid` 字段为“无效”，实现装饰撤销；</w:t>
      </w:r>
    </w:p>
    <w:p w14:paraId="28B0742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前端实现：通过 Uniapp 组件加载艺术品原图与装饰素材，实时渲染装饰效果，保存后将装饰配置同步至后端。</w:t>
      </w:r>
    </w:p>
    <w:p w14:paraId="41937E1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二级市场艺术品模块</w:t>
      </w:r>
    </w:p>
    <w:p w14:paraId="7B3392C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12AE9A8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挂售功能：用户可挂售已持有的艺术品，设置挂售价格、交易有效期，提交后平台审核；</w:t>
      </w:r>
    </w:p>
    <w:p w14:paraId="0B13786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审核功能：平台审核挂售信息（如价格合理性、艺术品合法性），审核通过后展示在二级市场；</w:t>
      </w:r>
    </w:p>
    <w:p w14:paraId="57E87DD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交易流转：买家购买后，系统自动完成支付扣款、艺术品权属转移、交易手续费与版税分账，更新艺术品持有者信息。</w:t>
      </w:r>
    </w:p>
    <w:p w14:paraId="60D6008C">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60BA277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核心模块：`nft-biz` 模块；</w:t>
      </w:r>
    </w:p>
    <w:p w14:paraId="26CC9F4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关键源码文件：</w:t>
      </w:r>
    </w:p>
    <w:p w14:paraId="5B1963C6">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挂售记录实体：`nft-biz/src/main/java/com/muyu/biz/entity/NftConsignment.java`，映射 `t_nft_consignment` 表，字段包含 `userId`（卖家ID）、`collectionId`（艺术品ID）、`price`（挂售价格）、`validityTime`（有效期）、`auditStatus`（审核状态）、`status`（交易状态）；</w:t>
      </w:r>
    </w:p>
    <w:p w14:paraId="4C77042E">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挂售流程逻辑：</w:t>
      </w:r>
    </w:p>
    <w:p w14:paraId="178225A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提交挂售：`ConsignmentController.addConsignment()` 方法，校验用户资产所有权，冻结对应资产（更新 `t_nft_asset` 表状态），创建挂售记录并设置审核状态为“待审核”；</w:t>
      </w:r>
    </w:p>
    <w:p w14:paraId="5F875CA2">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审核挂售：`nft-admin/src/main/java/com/muyu/admin/controller/ConsignmentAuditController.java` 中 `auditConsignment()` 方法，管理员审核挂售信息，通过后更新审核状态为“已通过”；</w:t>
      </w:r>
    </w:p>
    <w:p w14:paraId="2AF91909">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交易撮合：`ConsignmentService.matchOrder()` 方法，买家下单后，校验支付状态，调用 `BlockChainService` 完成链上权属转移（更新 `t_nft_collection` 表 `ownerAddress` 字段），解冻卖家资产并更新交易状态；</w:t>
      </w:r>
    </w:p>
    <w:p w14:paraId="2666DCC3">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分账逻辑：交易成功后，`FeeService.calculateAndSplitFee()` 方法计算交易手续费（平台收益）与版税（创作者收益），分别更新对应账户余额（关联 `t_member_user` 表 `walletBalance` 字段）。</w:t>
      </w:r>
    </w:p>
    <w:p w14:paraId="4EA36375">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支付订单模块</w:t>
      </w:r>
    </w:p>
    <w:p w14:paraId="057E5BFD">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1. 功能设计</w:t>
      </w:r>
    </w:p>
    <w:p w14:paraId="277092C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订单管理：记录用户购买、兑换、合成等场景产生的支付订单，包含订单号、金额、状态、支付方式；</w:t>
      </w:r>
    </w:p>
    <w:p w14:paraId="7D0D6C7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订单操作：支持订单查询（按时间、状态、订单号）、退款处理（仅未完成交易可退款）、对账导出（导出订单明细Excel）；</w:t>
      </w:r>
    </w:p>
    <w:p w14:paraId="49088C9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状态流转：订单状态包含“待支付”“已完成”“已取消”“已退款”，支持基于支付回调自动更新状态。</w:t>
      </w:r>
    </w:p>
    <w:p w14:paraId="2D9C5FA1">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2. 源码实现解析</w:t>
      </w:r>
    </w:p>
    <w:p w14:paraId="4FA9A21E">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核心模块：`nft-biz` 模块；</w:t>
      </w:r>
    </w:p>
    <w:p w14:paraId="55D7DB08">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关键源码文件：</w:t>
      </w:r>
    </w:p>
    <w:p w14:paraId="23B8F0B7">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订单实体：`nft-biz/src/main/java/com/muyu/biz/entity/NftOrder.java`，映射 `t_nft_order` 表，字段包含 `orderNo`（订单号，UUID生成）、`userId`（用户ID）、`amount`（订单金额）、`orderType`（订单类型：0-购买，1-兑换，2-合成）、`status`（订单状态）、`payType`（支付方式）；</w:t>
      </w:r>
    </w:p>
    <w:p w14:paraId="6D92C9F0">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订单流程逻辑：</w:t>
      </w:r>
    </w:p>
    <w:p w14:paraId="7EB7914A">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订单创建：`OrderController.createOrder()` 方法，生成唯一订单号，关联用户ID与业务场景（如购买艺术品则关联 `collectionId`），初始状态为“待支付”；</w:t>
      </w:r>
    </w:p>
    <w:p w14:paraId="79A722D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支付回调处理：`OrderController.payCallback()` 方法，接收支付渠道回调通知，验证签名后更新订单状态为“已完成”，并触发后续业务逻辑（如购买场景下的艺术品资产交割，即向 `t_nft_asset` 表插入资产记录；合成场景下的原材料扣减与合成品发放）；</w:t>
      </w:r>
    </w:p>
    <w:p w14:paraId="6B0503AF">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退款处理：`OrderController.refundOrder()` 方法，仅允许订单状态为“待支付”时发起退款，校验用户退款申请合法性后，调用支付渠道退款接口，同步更新订单状态为“已退款”，并回滚对应业务数据（如解冻被冻结的资产、恢复用户账户余额）；</w:t>
      </w:r>
    </w:p>
    <w:p w14:paraId="1F287E50">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订单查询与导出：`OrderController.getOrderList()` 方法支持多条件（时间范围、订单状态、订单类型）查询，通过 `JpaSpecificationExecutor` 构建动态查询条件；`exportOrderExcel()` 方法借助 Hutool 的 Excel 工具类封装订单数据，生成 Excel 文件并提供下载链接，支撑财务对账场景。</w:t>
      </w:r>
    </w:p>
    <w:p w14:paraId="69C743B4">
      <w:pPr>
        <w:keepNext w:val="0"/>
        <w:keepLines w:val="0"/>
        <w:pageBreakBefore w:val="0"/>
        <w:widowControl w:val="0"/>
        <w:kinsoku/>
        <w:wordWrap w:val="0"/>
        <w:overflowPunct/>
        <w:topLinePunct w:val="0"/>
        <w:autoSpaceDE/>
        <w:autoSpaceDN/>
        <w:bidi w:val="0"/>
        <w:adjustRightInd/>
        <w:snapToGrid/>
        <w:spacing w:line="440" w:lineRule="exact"/>
        <w:ind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关键技术：UUID 订单号生成（保证唯一性）、支付签名验证（防止回调数据篡改）、事务管理（确保订单状态更新与业务数据操作的原子性，源码中通过 `@Transactional` 注解实现）。</w:t>
      </w:r>
    </w:p>
    <w:p w14:paraId="39CE803E">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1B5A9A8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智能合约设计：在文昌链上使用JAVA语言开发核心资产合约，主要包含以下函数：`mintTo`（铸造）、`safeTransferFrom`（安全转移，支持版税自动支付）、`burn`（销毁）、`ownerOf`（查询所有者）等。合约需遵循ERC-721或文昌链相关数字资产标准，并内置灵活的版税机制。链上链下数据同步：这是系统设计的关键。采用“事件驱动同步”机制：当链上合约状态发生变化（如`Transfer`事件），区块链适配服务会监听并捕获这些事件，解析后，将关键数据（如新的所有者地址、交易哈希）同步更新至业务数据库，确保链下业务状态与链上事实最终一致。同时，对于发起链上交易的操作（如购买），业务层需先进行严格的业务校验（如余额、库存），然后生成待签名交易，通过安全签名后提交至链上，并监听交易回执，根据成功与否更新业务订单状态。一致性保障：通过事务性消息、异步重试与补偿机制（如Saga模式）来处理可能出现的链上交易失败但业务已预扣库存等不一致情况，确保系统数据的最终正确性。缓存数据（如藏品库存）在链上交易确认后需要及时失效更新。</w:t>
      </w:r>
    </w:p>
    <w:p w14:paraId="2E798A6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围绕数字藏品“创建-发行-交易-持有”全生命周期，梳理核心业务实体及关联关系。设计遵循“高内聚、低耦合”原则，通过合理的表结构、字段约束及索引优化，保障数据存储的完整性、一致性与查询高效性，支撑系统各核心业务场景的稳定运行。</w:t>
      </w:r>
    </w:p>
    <w:p w14:paraId="1183AAF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设计核心原则</w:t>
      </w:r>
    </w:p>
    <w:p w14:paraId="6F2B2B4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业务适配：表结构与数字藏品业务流程深度匹配，覆盖用户管理、创作者管理、藏品管理、交易流转等全场景；</w:t>
      </w:r>
    </w:p>
    <w:p w14:paraId="36C4354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数据一致性：通过外键关联、唯一约束保障核心数据（如链上哈希、用户账号）的唯一性与关联性；</w:t>
      </w:r>
    </w:p>
    <w:p w14:paraId="2B7BD39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查询高效：针对高频查询场景设计合理索引，优化多表关联查询性能；</w:t>
      </w:r>
    </w:p>
    <w:p w14:paraId="27D19F4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可扩展性：预留扩展字段与表结构，支持后续功能迭代（如多链适配、复杂运营活动）。</w:t>
      </w:r>
    </w:p>
    <w:p w14:paraId="5C3EDA0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核心表结构设计</w:t>
      </w:r>
    </w:p>
    <w:p w14:paraId="54DDFCD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用户信息表（t_member_user）</w:t>
      </w:r>
    </w:p>
    <w:p w14:paraId="6AEEF9D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核心功能：存储系统用户基础信息，支撑登录认证、权限分配、资产归属等核心场景。</w:t>
      </w:r>
    </w:p>
    <w:tbl>
      <w:tblPr>
        <w:tblStyle w:val="35"/>
        <w:tblW w:w="0" w:type="auto"/>
        <w:tblInd w:w="13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50"/>
      </w:tblGrid>
      <w:tr w14:paraId="29C50A2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50" w:type="dxa"/>
            <w:shd w:val="clear" w:color="auto" w:fill="F5F6F7"/>
            <w:tcMar>
              <w:top w:w="60" w:type="dxa"/>
              <w:left w:w="120" w:type="dxa"/>
              <w:bottom w:w="30" w:type="dxa"/>
              <w:right w:w="120" w:type="dxa"/>
            </w:tcMar>
          </w:tcPr>
          <w:p w14:paraId="635C3B1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`t_member_user`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'用户ID（主键）',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`username` varchar(50) NOT NULL COMMENT '用户名',</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`password` varchar(100) NOT NULL COMMENT '加密密码（BCrypt算法）',</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`phone` varchar(20) DEFAULT NULL COMMENT '手机号',</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`email` varchar(100) DEFAULT NULL COMMENT '邮箱',</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`real_name` varchar(50) DEFAULT NULL COMMENT '真实姓名（实名认证用）',</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`id_card` varchar(20) DEFAULT NULL COMMENT '身份证号（实名认证用）',</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`wallet_address` varchar(255) DEFAULT NULL COMMENT '区块链钱包地址',</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`wallet_balance` decimal(10,2) DEFAULT '0.00' COMMENT '平台钱包余额',</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`status` tinyint NOT NULL DEFAULT '1' COMMENT '账号状态：0-禁用，1-正常',</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`uk_username` (`username`),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`uk_phone` (`phone`),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`uk_email` (`email`),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`uk_wallet_address` (`wallet_address`)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COMMENT='用户信息表';</w:t>
            </w:r>
          </w:p>
        </w:tc>
      </w:tr>
    </w:tbl>
    <w:p w14:paraId="2F4DF34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创作者信息表（t_member_creator）</w:t>
      </w:r>
    </w:p>
    <w:p w14:paraId="26EE11F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核心功能：关联用户表，存储创作者资质信息，支撑创作者审核、权限授予及作品关联场景。</w:t>
      </w: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64"/>
      </w:tblGrid>
      <w:tr w14:paraId="4C2D08B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164" w:type="dxa"/>
            <w:shd w:val="clear" w:color="auto" w:fill="F5F6F7"/>
            <w:tcMar>
              <w:top w:w="60" w:type="dxa"/>
              <w:left w:w="120" w:type="dxa"/>
              <w:bottom w:w="30" w:type="dxa"/>
              <w:right w:w="120" w:type="dxa"/>
            </w:tcMar>
          </w:tcPr>
          <w:p w14:paraId="01336E2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`t_member_creator`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'记录ID（主键）',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`user_id` bigint NOT NULL COMMENT '关联用户ID（关联t_member_user.id）',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`qualification` varchar(255) NOT NULL COMMENT '资质材料存储路径',</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`introduction` text COMMENT '创作者简介',</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`audit_status` tinyint NOT NULL DEFAULT '0' COMMENT '审核状态：0-待审核，1-已通过，2-已驳回',</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`audit_opinion` varchar(255) DEFAULT NULL COMMENT '审核意见',</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`audit_time` datetime DEFAULT NULL COMMENT '审核时间',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`audit_user_id` bigint DEFAULT NULL COMMENT '审核管理员ID（关联t_member_user.id）',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`uk_user_id` (`user_id`),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`idx_audit_status` (`audit_status`),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`fk_creator_user` FOREIGN KEY (`user_id`) REFERENCES `t_member_user`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COMMENT='创作者信息表';</w:t>
            </w:r>
          </w:p>
        </w:tc>
      </w:tr>
    </w:tbl>
    <w:p w14:paraId="5A5EC9B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 数字藏品表（t_nft_collection）</w:t>
      </w:r>
    </w:p>
    <w:p w14:paraId="1782581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核心功能：存储数字藏品核心元数据，关联创作者与区块链信息，是系统核心业务表。</w:t>
      </w:r>
    </w:p>
    <w:tbl>
      <w:tblPr>
        <w:tblStyle w:val="35"/>
        <w:tblW w:w="0" w:type="auto"/>
        <w:tblInd w:w="109"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71"/>
      </w:tblGrid>
      <w:tr w14:paraId="6156B25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71" w:type="dxa"/>
            <w:shd w:val="clear" w:color="auto" w:fill="F5F6F7"/>
            <w:tcMar>
              <w:top w:w="60" w:type="dxa"/>
              <w:left w:w="120" w:type="dxa"/>
              <w:bottom w:w="30" w:type="dxa"/>
              <w:right w:w="120" w:type="dxa"/>
            </w:tcMar>
          </w:tcPr>
          <w:p w14:paraId="7B1C345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`t_nft_collection`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'藏品ID（主键）',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`name` varchar(100) NOT NULL COMMENT '藏品名称',</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`creator_id` bigint NOT NULL COMMENT '创作者ID（关联t_member_creator.user_id）',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`series_id` bigint DEFAULT NULL COMMENT '所属系列ID（关联t_nft_series.id）',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`chain_hash` varchar(255) NOT NULL COMMENT '链上唯一哈希值',</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`chain_id` varchar(50) NOT NULL COMMENT '区块链标识（如至信链：ZXCHAIN）',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`token_id` varchar(100) NOT NULL COMMENT '链上Token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`rarity` tinyint NOT NULL COMMENT '稀有度：0-普通，1-稀有，2-史诗，3-传说',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`total_supply` int NOT NULL COMMENT '发行量',</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`remaining_supply` int NOT NULL COMMENT '剩余可售数量',</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`cover_img` varchar(255) NOT NULL COMMENT '封面图路径',</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`metadata_url` varchar(255) DEFAULT NULL COMMENT '元数据JSON文件路径',</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`description` text COMMENT '藏品详情描述',</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`royalty_rate` decimal(5,2) DEFAULT '0.05' COMMENT '版税比例（默认5%）',</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`audit_status` tinyint NOT NULL DEFAULT '0' COMMENT '审核状态：0-待审核，1-已通过，2-已驳回',</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`on_shelf_status` tinyint NOT NULL DEFAULT '0' COMMENT '上架状态：0-下架，1-上架',</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`uk_chain_hash` (`chain_hash`),</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`uk_chain_token` (`chain_id`,`token_id`),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`idx_creator_id` (`creator_id`),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`idx_series_id` (`series_id`),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`idx_audit_shelf` (`audit_status`,`on_shelf_status`),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`fk_collection_creator` FOREIGN KEY (`creator_id`) REFERENCES `t_member_user`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COMMENT='数字藏品表';</w:t>
            </w:r>
          </w:p>
        </w:tc>
      </w:tr>
    </w:tbl>
    <w:p w14:paraId="79B832B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4. 用户持有藏品表（t_nft_asset）</w:t>
      </w:r>
    </w:p>
    <w:p w14:paraId="428ADCF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核心功能：记录用户持有藏品的关联关系，是用户资产的核心载体，支撑资产展示、转移等场景。</w:t>
      </w:r>
    </w:p>
    <w:tbl>
      <w:tblPr>
        <w:tblStyle w:val="35"/>
        <w:tblW w:w="0" w:type="auto"/>
        <w:tblInd w:w="13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50"/>
      </w:tblGrid>
      <w:tr w14:paraId="42958FA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150" w:type="dxa"/>
            <w:shd w:val="clear" w:color="auto" w:fill="F5F6F7"/>
            <w:tcMar>
              <w:top w:w="60" w:type="dxa"/>
              <w:left w:w="120" w:type="dxa"/>
              <w:bottom w:w="30" w:type="dxa"/>
              <w:right w:w="120" w:type="dxa"/>
            </w:tcMar>
          </w:tcPr>
          <w:p w14:paraId="2B1E6556">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`t_nft_asset`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'资产ID（主键）',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`user_id` bigint NOT NULL COMMENT '持有者ID（关联t_member_user.id）',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`collection_id` bigint NOT NULL COMMENT '藏品ID（关联t_nft_collection.id）',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`obtain_type` tinyint NOT NULL COMMENT '获取方式：0-购买，1-空投，2-合成，3-转赠',</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`obtain_time` datetime NOT NULL COMMENT '获取时间',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`asset_status` tinyint NOT NULL DEFAULT '0' COMMENT '资产状态：0-正常，1-冻结（挂售中），2-锁定（活动中）',</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`uk_user_collection` (`user_id`,`collection_id`),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`idx_collection_id` (`collection_id`),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`idx_asset_status` (`asset_status`),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`fk_asset_user` FOREIGN KEY (`user_id`) REFERENCES `t_member_user`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`fk_asset_collection` FOREIGN KEY (`collection_id`) REFERENCES `t_nft_collection`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COMMENT='用户持有藏品表';</w:t>
            </w:r>
          </w:p>
        </w:tc>
      </w:tr>
    </w:tbl>
    <w:p w14:paraId="4017923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5. 二级市场挂售表（t_nft_consignment）</w:t>
      </w:r>
    </w:p>
    <w:p w14:paraId="0453277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核心功能：存储二级市场挂售信息，支撑藏品交易流转场景，关联用户、藏品及订单信息。</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42"/>
      </w:tblGrid>
      <w:tr w14:paraId="4EEA6A7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42" w:type="dxa"/>
            <w:shd w:val="clear" w:color="auto" w:fill="F5F6F7"/>
            <w:tcMar>
              <w:top w:w="60" w:type="dxa"/>
              <w:left w:w="120" w:type="dxa"/>
              <w:bottom w:w="30" w:type="dxa"/>
              <w:right w:w="120" w:type="dxa"/>
            </w:tcMar>
          </w:tcPr>
          <w:p w14:paraId="29B6002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`t_nft_consignment`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'挂售ID（主键）',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`seller_id` bigint NOT NULL COMMENT '卖家ID（关联t_member_user.id）',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`collection_id` bigint NOT NULL COMMENT '藏品ID（关联t_nft_collection.id）',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`price` decimal(10,2) NOT NULL COMMENT '挂售价格',</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`validity_period` datetime NOT NULL COMMENT '挂售有效期',</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`audit_status` tinyint NOT NULL DEFAULT '0' COMMENT '审核状态：0-待审核，1-已通过，2-已驳回',</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`trade_status` tinyint NOT NULL DEFAULT '0' COMMENT '交易状态：0-待成交，1-已成交，2-已取消，3-已过期',</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`order_id` bigint DEFAULT NULL COMMENT '关联订单ID（成交后关联t_nft_order.id）',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`idx_seller_id` (`seller_id`),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`idx_collection_id` (`collection_id`),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`idx_audit_trade` (`audit_status`,`trade_status`),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`fk_consignment_seller` FOREIGN KEY (`seller_id`) REFERENCES `t_member_user`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`fk_consignment_collection` FOREIGN KEY (`collection_id`) REFERENCES `t_nft_collection`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COMMENT='二级市场挂售表';</w:t>
            </w:r>
          </w:p>
        </w:tc>
      </w:tr>
    </w:tbl>
    <w:p w14:paraId="5730466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6. 支付订单表（t_nft_order）</w:t>
      </w:r>
    </w:p>
    <w:p w14:paraId="0204844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核心功能：记录用户购买、合成等场景的支付信息，支撑交易结算、对账及退款场景。</w:t>
      </w:r>
    </w:p>
    <w:tbl>
      <w:tblPr>
        <w:tblStyle w:val="35"/>
        <w:tblW w:w="0" w:type="auto"/>
        <w:tblInd w:w="138"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42"/>
      </w:tblGrid>
      <w:tr w14:paraId="52B4CCB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42" w:type="dxa"/>
            <w:shd w:val="clear" w:color="auto" w:fill="F5F6F7"/>
            <w:tcMar>
              <w:top w:w="60" w:type="dxa"/>
              <w:left w:w="120" w:type="dxa"/>
              <w:bottom w:w="30" w:type="dxa"/>
              <w:right w:w="120" w:type="dxa"/>
            </w:tcMar>
          </w:tcPr>
          <w:p w14:paraId="1596FA1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sql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CREATE TABLE `t_nft_order`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`id` bigint NOT NULL AUTO_INCREMENT COMMENT '订单ID（主键）',</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`order_no` varchar(50) NOT NULL COMMENT '订单号（UUID生成）',</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`user_id` bigint NOT NULL COMMENT '用户ID（关联t_member_user.id）',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`collection_id` bigint DEFAULT NULL COMMENT '藏品ID（关联t_nft_collection.id，合成场景可为空）',</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`consignment_id` bigint DEFAULT NULL COMMENT '挂售ID（二级市场交易关联）',</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`order_type` tinyint NOT NULL COMMENT '订单类型：0-购买，1-兑换，2-合成，3-二级市场交易',</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`amount` decimal(10,2) NOT NULL COMMENT '订单金额',</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`pay_type` tinyint DEFAULT NULL COMMENT '支付方式：0-平台余额，1-微信支付，2-支付宝支付',</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`order_status` tinyint NOT NULL DEFAULT '0' COMMENT '订单状态：0-待支付，1-已完成，2-已取消，3-已退款',</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`pay_time` datetime DEFAULT NULL COMMENT '支付时间',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`refund_time` datetime DEFAULT NULL COMMENT '退款时间',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`refund_reason` varchar(255) DEFAULT NULL COMMENT '退款原因',</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`create_time` datetime NOT NULL DEFAULT CURRENT_TIMESTAMP COMMENT '创建时间',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`update_time` datetime NOT NULL DEFAULT CURRENT_TIMESTAMP ON UPDATE CURRENT_TIMESTAMP COMMENT '更新时间',</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PRIMARY KEY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UNIQUE KEY `uk_order_no` (`order_no`),</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`idx_user_id` (`user_id`),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`idx_collection_id` (`collection_id`),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KEY `idx_order_type_status` (`order_type`,`order_status`),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CONSTRAINT `fk_order_user` FOREIGN KEY (`user_id`) REFERENCES `t_member_user` (`id`) ON DELETE RESTRICT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ENGINE=InnoDB DEFAULT CHARSET=utf8mb4 COMMENT='支付订单表';</w:t>
            </w:r>
          </w:p>
        </w:tc>
      </w:tr>
    </w:tbl>
    <w:p w14:paraId="263AA75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表关系说明</w:t>
      </w:r>
    </w:p>
    <w:p w14:paraId="48EEF42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用户与创作者：一对一关系，通过 t_member_creator.user_id 关联 t_member_user.id，一个用户仅可申请成为一个创作者；</w:t>
      </w:r>
    </w:p>
    <w:p w14:paraId="26F7D70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创作者与藏品：一对多关系，通过 t_nft_collection.creator_id 关联，一个创作者可创建多个数字藏品；</w:t>
      </w:r>
    </w:p>
    <w:p w14:paraId="7EC79DA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用户与持有藏品：一对多关系，通过 t_nft_asset.user_id 关联，一个用户可持有多个藏品；</w:t>
      </w:r>
    </w:p>
    <w:p w14:paraId="0C8B0DA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藏品与挂售记录：一对多关系，通过 t_nft_consignment.collection_id 关联，一个藏品可多次挂售；</w:t>
      </w:r>
    </w:p>
    <w:p w14:paraId="3393215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挂售记录与订单：一对一关系，成交后通过 t_nft_consignment.order_id 关联 t_nft_order.id，记录交易闭环。</w:t>
      </w:r>
    </w:p>
    <w:p w14:paraId="66F816DD">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NFT智能合约设计基于以太坊ERC-721标准设计，适配</w:t>
      </w:r>
      <w:r>
        <w:rPr>
          <w:rFonts w:hint="eastAsia" w:ascii="Calibri" w:hAnsi="Calibri" w:eastAsia="宋体" w:cs="Times New Roman"/>
          <w:sz w:val="24"/>
          <w:szCs w:val="24"/>
          <w:lang w:val="en-US" w:eastAsia="zh-CN"/>
        </w:rPr>
        <w:t>武汉</w:t>
      </w:r>
      <w:r>
        <w:rPr>
          <w:rFonts w:hint="default" w:ascii="Calibri" w:hAnsi="Calibri" w:eastAsia="宋体" w:cs="Times New Roman"/>
          <w:sz w:val="24"/>
          <w:szCs w:val="24"/>
          <w:lang w:val="en-US" w:eastAsia="zh-CN"/>
        </w:rPr>
        <w:t>链环境，核心实现数字藏品的铸造、权属转移、版税分配等核心功能。合约设计遵循“安全、可扩展、合规”原则，支持链上数据追溯与权限管控，保障数字藏品的唯一性与权属合法性。</w:t>
      </w:r>
    </w:p>
    <w:p w14:paraId="2677C7E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设计核心目标</w:t>
      </w:r>
    </w:p>
    <w:p w14:paraId="7E1661A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标准化：遵循ERC-721标准，保障与主流区块链生态的兼容性；</w:t>
      </w:r>
    </w:p>
    <w:p w14:paraId="591B977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安全可控：实现权限分级管理，防止恶意铸造与非法转移；</w:t>
      </w:r>
    </w:p>
    <w:p w14:paraId="43BF4D6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合规追溯：记录藏品全生命周期流转记录，支持链上查询；</w:t>
      </w:r>
    </w:p>
    <w:p w14:paraId="283F521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灵活扩展：预留版税调整、多创作者分账等扩展接口。</w:t>
      </w:r>
    </w:p>
    <w:p w14:paraId="3DB3249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核心合约结构</w:t>
      </w:r>
    </w:p>
    <w:p w14:paraId="64E3B9D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合约基础信息与权限定义</w:t>
      </w:r>
    </w:p>
    <w:tbl>
      <w:tblPr>
        <w:tblStyle w:val="35"/>
        <w:tblW w:w="0" w:type="auto"/>
        <w:tblInd w:w="181"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099"/>
      </w:tblGrid>
      <w:tr w14:paraId="7A1B6AC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099" w:type="dxa"/>
            <w:shd w:val="clear" w:color="auto" w:fill="F5F6F7"/>
            <w:tcMar>
              <w:top w:w="60" w:type="dxa"/>
              <w:left w:w="120" w:type="dxa"/>
              <w:bottom w:w="30" w:type="dxa"/>
              <w:right w:w="120" w:type="dxa"/>
            </w:tcMar>
          </w:tcPr>
          <w:p w14:paraId="319FD71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solidity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SPDX-License-Identifier: MIT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pragma solidity ^0.8.17;</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import "@openzeppelin/contracts/token/ERC721/ERC721.sol";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import "@openzeppelin/contracts/access/Ownable.sol";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import "@openzeppelin/contracts/token/ERC721/extensions/ERC721Royalty.sol";</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@title NFTCollection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基于ERC-721标准的数字藏品合约，支持铸造、转移、版税分配</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contract NFTCollection is ERC721, Ownable, ERC721Royalty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合约名称与符号（对应数字藏品系列）</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string public constant CONTRACT_NAME = "Digital Art Collection";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string public constant CONTRACT_SYMBOL = "DAC";</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权限角色定义：管理员、创作者</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mapping(address =&gt; bool) public isAdmin;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mapping(address =&gt; bool) public isCreator;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藏品元数据URI前缀（链下存储元数据JSON文件）</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string public baseURI;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铸造计数器（用于生成唯一Token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public tokenIdCounter;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事件定义</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event CreatorAdded(address indexed creator);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event CreatorRemoved(address indexed creator);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event NFTCast(address indexed creator, address indexed owner, uint256 indexed tokenId, string metadataURI);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event RoyaltyUpdated(uint256 indexed tokenId, uint96 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构造函数：初始化合约名称、符号，设置合约拥有者</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constructor(string memory _baseURI) ERC721(CONTRACT_NAME, CONTRACT_SYMBOL)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baseURI = _baseURI;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tokenIdCounter = 1; // Token ID从1开始</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isAdmin[msg.sender] = true; // 部署者默认成为管理员</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p>
        </w:tc>
      </w:tr>
    </w:tbl>
    <w:p w14:paraId="1033F6D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权限控制函数</w:t>
      </w:r>
    </w:p>
    <w:tbl>
      <w:tblPr>
        <w:tblStyle w:val="35"/>
        <w:tblW w:w="0" w:type="auto"/>
        <w:tblInd w:w="13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50"/>
      </w:tblGrid>
      <w:tr w14:paraId="59B97E3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50" w:type="dxa"/>
            <w:shd w:val="clear" w:color="auto" w:fill="F5F6F7"/>
            <w:tcMar>
              <w:top w:w="60" w:type="dxa"/>
              <w:left w:w="120" w:type="dxa"/>
              <w:bottom w:w="30" w:type="dxa"/>
              <w:right w:w="120" w:type="dxa"/>
            </w:tcMar>
          </w:tcPr>
          <w:p w14:paraId="7850F54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solidity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仅管理员可调用的修饰符</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modifier onlyAdmin()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require(isAdmin[msg.sender], "Caller is not an admin");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仅创作者或管理员可调用的修饰符</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modifier onlyCreatorOrAdmin()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require(isCreator[msg.sender] || isAdmin[msg.sender], "Caller is not a creator or admin");</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添加创作者权限</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creator 创作者钱包地址</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addCreator(address creator) external onlyAdmin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require(creator != address(0), "Invalid creator address");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require(!isCreator[creator], "Creator already exists");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isCreator[creator] = true;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emit CreatorAdded(creator);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移除创作者权限</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creator 创作者钱包地址</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removeCreator(address creator) external onlyAdmin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require(isCreator[creator], "Creator does not exist");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isCreator[creator] = false;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emit CreatorRemoved(creator);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更新元数据基础URI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_baseURI 新的基础URI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setBaseURI(string memory _baseURI) external onlyAdmin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baseURI = _baseURI;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p>
        </w:tc>
      </w:tr>
    </w:tbl>
    <w:p w14:paraId="062A151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 NFT铸造核心函数</w:t>
      </w:r>
    </w:p>
    <w:tbl>
      <w:tblPr>
        <w:tblStyle w:val="35"/>
        <w:tblW w:w="0" w:type="auto"/>
        <w:tblInd w:w="116"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64"/>
      </w:tblGrid>
      <w:tr w14:paraId="36781F0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64" w:type="dxa"/>
            <w:shd w:val="clear" w:color="auto" w:fill="F5F6F7"/>
            <w:tcMar>
              <w:top w:w="60" w:type="dxa"/>
              <w:left w:w="120" w:type="dxa"/>
              <w:bottom w:w="30" w:type="dxa"/>
              <w:right w:w="120" w:type="dxa"/>
            </w:tcMar>
          </w:tcPr>
          <w:p w14:paraId="543391B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solidity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铸造NFT（仅创作者或管理员可调用）</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to 藏品接收者钱包地址</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royaltyRate 版税比例（千分比，如5%对应50）</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metadataURI 藏品元数据URI（指向JSON文件）</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@return tokenId 铸造的Token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mintNFT(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to,</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uint96 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string memory metadataURI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external onlyCreatorOrAdmin returns (uint256)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require(to != address(0), "Invalid recipient address");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require(bytes(metadataURI).length &gt; 0, "Metadata URI cannot be empty");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tokenId = tokenIdCounter;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tokenIdCounter++;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铸造NFT并分配给接收者</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_safeMint(to,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设置版税信息</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_setTokenRoyalty(tokenId, msg.sender, 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触发铸造事件</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emit NFTCast(msg.sender, to, tokenId, metadataURI);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return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批量铸造NFT（适用于同一藏品多份发行场景）</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to 接收者地址数组</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royaltyRate 版税比例</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metadataURI 元数据URI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@return tokenIds 铸造的Token ID数组</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batchMintNFT(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calldata to,</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uint96 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string memory metadataURI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external onlyCreatorOrAdmin returns (uint256[] memory)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require(to.length &gt; 0, "Recipient array cannot be empty");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memory tokenIds = new uint256[](to.length);</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for (uint256 i = 0; i &lt; to.length; i++)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require(to[i] != address(0), "Invalid recipient address");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tokenId = tokenIdCounter;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tokenIdCounter++;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_safeMint(to[i],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_setTokenRoyalty(tokenId, msg.sender, 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emit NFTCast(msg.sender, to[i], tokenId, metadataURI);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tokenIds[i] =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return tokenIds;</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p>
        </w:tc>
      </w:tr>
    </w:tbl>
    <w:p w14:paraId="08886478">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4. 版税与转移相关函数</w:t>
      </w:r>
    </w:p>
    <w:tbl>
      <w:tblPr>
        <w:tblStyle w:val="35"/>
        <w:tblW w:w="0" w:type="auto"/>
        <w:tblInd w:w="123"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57"/>
      </w:tblGrid>
      <w:tr w14:paraId="4A6E6A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8157" w:type="dxa"/>
            <w:shd w:val="clear" w:color="auto" w:fill="F5F6F7"/>
            <w:tcMar>
              <w:top w:w="60" w:type="dxa"/>
              <w:left w:w="120" w:type="dxa"/>
              <w:bottom w:w="30" w:type="dxa"/>
              <w:right w:w="120" w:type="dxa"/>
            </w:tcMar>
          </w:tcPr>
          <w:p w14:paraId="2B06E57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solidity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更新单个NFT的版税比例（仅创作者或管理员可调用）</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tokenId 藏品Token 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@param newRoyaltyRate 新版税比例</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updateRoyalty(uint256 tokenId, uint96 newRoyaltyRate) external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require(_exists(tokenId), "NFT does not exist");</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tokenCreator = _getRoyalty(tokenId).receiver;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require(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msg.sender == tokenCreator || isAdmin[msg.sender],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"Only creator or admin can update royalty"</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_setTokenRoyalty(tokenId, tokenCreator, newRoyaltyRate);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emit RoyaltyUpdated(tokenId, newRoyaltyRate);</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重写基础URI函数，拼接完整元数据地址</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_baseURI() internal view override returns (string memory)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return baseURI;</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重写转账函数，禁止冻结状态的NFT转移（可扩展冻结逻辑）</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transferFrom(</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from,</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to,</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public override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此处可添加冻结状态校验逻辑</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super.transferFrom(from, to,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重写安全转账函数</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safeTransferFrom(</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from,</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address to,</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uint256 tokenId,</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bytes memory data</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public override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此处可添加冻结状态校验逻辑</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super.safeTransferFrom(from, to, tokenId, data);</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 @dev 合约销毁函数（仅拥有者可调用）</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function destroy() external onlyOwner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selfdestruct(payable(owner()));</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 xml:space="preserve">    }</w:t>
            </w:r>
            <w:r>
              <w:rPr>
                <w:rFonts w:hint="default" w:ascii="Calibri" w:hAnsi="Calibri" w:eastAsia="宋体" w:cs="Times New Roman"/>
                <w:sz w:val="24"/>
                <w:szCs w:val="24"/>
                <w:lang w:val="en-US" w:eastAsia="zh-CN"/>
              </w:rPr>
              <w:br w:type="textWrapping"/>
            </w:r>
            <w:r>
              <w:rPr>
                <w:rFonts w:hint="default" w:ascii="Calibri" w:hAnsi="Calibri" w:eastAsia="宋体" w:cs="Times New Roman"/>
                <w:sz w:val="24"/>
                <w:szCs w:val="24"/>
                <w:lang w:val="en-US" w:eastAsia="zh-CN"/>
              </w:rPr>
              <w:t>}</w:t>
            </w:r>
          </w:p>
        </w:tc>
      </w:tr>
    </w:tbl>
    <w:p w14:paraId="3685DD6C">
      <w:pPr>
        <w:pStyle w:val="167"/>
        <w:bidi w:val="0"/>
        <w:rPr>
          <w:rFonts w:hint="default"/>
          <w:lang w:val="en-US" w:eastAsia="zh-CN"/>
        </w:rPr>
      </w:pPr>
      <w:r>
        <w:rPr>
          <w:rFonts w:hint="default"/>
          <w:lang w:val="en-US" w:eastAsia="zh-CN"/>
        </w:rPr>
        <w:t>（三）合约核心特性说明</w:t>
      </w:r>
    </w:p>
    <w:p w14:paraId="5B7C3EA4">
      <w:pPr>
        <w:pStyle w:val="167"/>
        <w:bidi w:val="0"/>
        <w:rPr>
          <w:rFonts w:hint="default"/>
          <w:lang w:val="en-US" w:eastAsia="zh-CN"/>
        </w:rPr>
      </w:pPr>
      <w:r>
        <w:rPr>
          <w:rFonts w:hint="default"/>
          <w:lang w:val="en-US" w:eastAsia="zh-CN"/>
        </w:rPr>
        <w:t>权限分级：区分管理员与创作者权限，管理员可管理创作者列表，创作者仅可铸造自身作品；</w:t>
      </w:r>
    </w:p>
    <w:p w14:paraId="707E126D">
      <w:pPr>
        <w:pStyle w:val="167"/>
        <w:bidi w:val="0"/>
        <w:rPr>
          <w:rFonts w:hint="default"/>
          <w:lang w:val="en-US" w:eastAsia="zh-CN"/>
        </w:rPr>
      </w:pPr>
      <w:r>
        <w:rPr>
          <w:rFonts w:hint="default"/>
          <w:lang w:val="en-US" w:eastAsia="zh-CN"/>
        </w:rPr>
        <w:t>版税支持：基于ERC-721Royalty扩展，支持单个藏品独立设置版税比例，交易时自动分账至创作者；</w:t>
      </w:r>
    </w:p>
    <w:p w14:paraId="4A8E8475">
      <w:pPr>
        <w:pStyle w:val="167"/>
        <w:bidi w:val="0"/>
        <w:rPr>
          <w:rFonts w:hint="default"/>
          <w:lang w:val="en-US" w:eastAsia="zh-CN"/>
        </w:rPr>
      </w:pPr>
      <w:r>
        <w:rPr>
          <w:rFonts w:hint="default"/>
          <w:lang w:val="en-US" w:eastAsia="zh-CN"/>
        </w:rPr>
        <w:t>批量铸造：支持多份同一藏品的批量铸造，适配发行场景需求；</w:t>
      </w:r>
    </w:p>
    <w:p w14:paraId="59CBF4D0">
      <w:pPr>
        <w:pStyle w:val="167"/>
        <w:bidi w:val="0"/>
        <w:rPr>
          <w:rFonts w:hint="default"/>
          <w:lang w:val="en-US" w:eastAsia="zh-CN"/>
        </w:rPr>
      </w:pPr>
      <w:r>
        <w:rPr>
          <w:rFonts w:hint="default"/>
          <w:lang w:val="en-US" w:eastAsia="zh-CN"/>
        </w:rPr>
        <w:t>元数据灵活配置：通过基础URI前缀+Token ID拼接完整元数据地址，支持链下元数据更新；</w:t>
      </w:r>
    </w:p>
    <w:p w14:paraId="11E032F8">
      <w:pPr>
        <w:pStyle w:val="167"/>
        <w:bidi w:val="0"/>
        <w:rPr>
          <w:rFonts w:hint="default"/>
          <w:lang w:val="en-US" w:eastAsia="zh-CN"/>
        </w:rPr>
      </w:pPr>
      <w:r>
        <w:rPr>
          <w:rFonts w:hint="default"/>
          <w:lang w:val="en-US" w:eastAsia="zh-CN"/>
        </w:rPr>
        <w:t>安全保障：实现权限修饰符、地址有效性校验，预留冻结状态管控接口，防止非法操作。</w:t>
      </w:r>
    </w:p>
    <w:p w14:paraId="24DCF23D">
      <w:pPr>
        <w:pStyle w:val="167"/>
        <w:bidi w:val="0"/>
        <w:rPr>
          <w:rFonts w:hint="default"/>
          <w:lang w:val="en-US" w:eastAsia="zh-CN"/>
        </w:rPr>
      </w:pPr>
      <w:r>
        <w:rPr>
          <w:rFonts w:hint="default"/>
          <w:lang w:val="en-US" w:eastAsia="zh-CN"/>
        </w:rPr>
        <w:t>合约部署与交互说明</w:t>
      </w:r>
    </w:p>
    <w:p w14:paraId="3746BAA4">
      <w:pPr>
        <w:pStyle w:val="167"/>
        <w:bidi w:val="0"/>
        <w:rPr>
          <w:rFonts w:hint="default"/>
          <w:lang w:val="en-US" w:eastAsia="zh-CN"/>
        </w:rPr>
      </w:pPr>
      <w:r>
        <w:rPr>
          <w:rFonts w:hint="default"/>
          <w:lang w:val="en-US" w:eastAsia="zh-CN"/>
        </w:rPr>
        <w:t>部署准备：确认区块链环境（至信链测试网/主网），准备部署账户（需拥有足够Gas费用）；</w:t>
      </w:r>
    </w:p>
    <w:p w14:paraId="34D85322">
      <w:pPr>
        <w:pStyle w:val="167"/>
        <w:bidi w:val="0"/>
        <w:rPr>
          <w:rFonts w:hint="default"/>
          <w:lang w:val="en-US" w:eastAsia="zh-CN"/>
        </w:rPr>
      </w:pPr>
      <w:r>
        <w:rPr>
          <w:rFonts w:hint="default"/>
          <w:lang w:val="en-US" w:eastAsia="zh-CN"/>
        </w:rPr>
        <w:t>合约部署：通过Remix、Truffle等工具部署合约，传入元数据基础URI参数；</w:t>
      </w:r>
    </w:p>
    <w:p w14:paraId="1F23C45E">
      <w:pPr>
        <w:pStyle w:val="167"/>
        <w:bidi w:val="0"/>
        <w:rPr>
          <w:rFonts w:hint="default"/>
          <w:lang w:val="en-US" w:eastAsia="zh-CN"/>
        </w:rPr>
      </w:pPr>
      <w:r>
        <w:rPr>
          <w:rFonts w:hint="default"/>
          <w:lang w:val="en-US" w:eastAsia="zh-CN"/>
        </w:rPr>
        <w:t>权限配置：部署后通过addCreator函数添加创作者地址；</w:t>
      </w:r>
    </w:p>
    <w:p w14:paraId="16FC0610">
      <w:pPr>
        <w:pStyle w:val="167"/>
        <w:bidi w:val="0"/>
        <w:rPr>
          <w:rFonts w:hint="default"/>
          <w:lang w:val="en-US" w:eastAsia="zh-CN"/>
        </w:rPr>
      </w:pPr>
      <w:r>
        <w:rPr>
          <w:rFonts w:hint="default"/>
          <w:lang w:val="en-US" w:eastAsia="zh-CN"/>
        </w:rPr>
        <w:t>业务交互：创作者通过mintNFT或batchMintNFT铸造藏品，用户通过标准ERC-721接口进行转移、交易；</w:t>
      </w:r>
    </w:p>
    <w:p w14:paraId="5251FF83">
      <w:pPr>
        <w:pStyle w:val="167"/>
        <w:bidi w:val="0"/>
        <w:rPr>
          <w:rFonts w:hint="default"/>
          <w:lang w:val="en-US" w:eastAsia="zh-CN"/>
        </w:rPr>
      </w:pPr>
      <w:r>
        <w:rPr>
          <w:rFonts w:hint="default"/>
          <w:lang w:val="en-US" w:eastAsia="zh-CN"/>
        </w:rPr>
        <w:t>数据同步：合约铸造、转移等事件触发后，系统后端通过监听链上事件同步数据至数据库。</w:t>
      </w:r>
    </w:p>
    <w:p w14:paraId="51DD0B94">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5EE5BB68">
      <w:pPr>
        <w:pStyle w:val="167"/>
        <w:bidi w:val="0"/>
        <w:rPr>
          <w:rFonts w:hint="default"/>
          <w:lang w:val="en-US" w:eastAsia="zh-CN"/>
        </w:rPr>
      </w:pPr>
      <w:r>
        <w:rPr>
          <w:rFonts w:hint="default"/>
          <w:lang w:val="en-US" w:eastAsia="zh-CN"/>
        </w:rPr>
        <w:t>创作者端使用流程：1) 注册与认证：完成实名认证并提交创作者资质证明，等待平台审核。2) 创作与铸造：审核通过后，在“创作者中心”上传数字作品文件，填写详细信息，设置发行数量、价格、版税比例等。点击“铸造”，系统将作品哈希等信息上链，生成唯一的数字藏品序列。3) 发行与销售：将铸造好的藏品上架到首发市场，可选择发售模式。销售期间可查看实时数据。4) 收益管理：在“我的收益”中查看销售额、版税收入，并申请提现。</w:t>
      </w:r>
    </w:p>
    <w:p w14:paraId="4EBC9BE4">
      <w:pPr>
        <w:pStyle w:val="167"/>
        <w:bidi w:val="0"/>
        <w:rPr>
          <w:rFonts w:hint="default" w:ascii="Calibri" w:hAnsi="Calibri" w:eastAsia="宋体" w:cs="Times New Roman"/>
          <w:szCs w:val="24"/>
          <w:lang w:val="en-US" w:eastAsia="zh-CN"/>
        </w:rPr>
      </w:pPr>
      <w:r>
        <w:rPr>
          <w:rFonts w:hint="default"/>
          <w:lang w:val="en-US" w:eastAsia="zh-CN"/>
        </w:rPr>
        <w:t>用户端（收藏者）使用流程：1) 注册与充值：完成注册及实名认证。通过支持的支付方式为账户充值。2) 浏览与购买：在市场中浏览各类藏品，查看详情与流转历史。选中心仪藏品后，可选择“一键购买”或参与“拍卖”。支付成功后，藏品将自动转入用户的个人数字钱包。3) 资产管理：在“我的藏品”中查看所有资产，可进行展示、分享。4) 转让交易：若想出售藏品，可将其挂单到二级市场，设置价格。交易成功后，款项自动扣除手续费后入账。管理员后台操作流程：登录运营后台，可在“审核管理”中处理创作者入驻与藏品上架申请；在“交易监控”中查看实时交易数据与风险订单；在“内容管理”中配置首页活动与推荐位；在“财务管理”中进行对账与结算；在“系统设置”中配置平台各项规则参数。</w:t>
      </w:r>
    </w:p>
    <w:p w14:paraId="3482C1E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94B7CFA">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p>
    <w:p w14:paraId="16F7EB1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5D41F5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56925C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E4CA80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46469F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3CB5CF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02D3FD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6164F7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696E46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852981B">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08C08C72">
      <w:pPr>
        <w:keepNext w:val="0"/>
        <w:keepLines w:val="0"/>
        <w:pageBreakBefore w:val="0"/>
        <w:widowControl w:val="0"/>
        <w:kinsoku/>
        <w:wordWrap/>
        <w:overflowPunct/>
        <w:topLinePunct w:val="0"/>
        <w:autoSpaceDE/>
        <w:autoSpaceDN/>
        <w:bidi w:val="0"/>
        <w:adjustRightInd/>
        <w:snapToGrid/>
        <w:spacing w:line="440" w:lineRule="exact"/>
        <w:ind w:left="0" w:leftChars="0" w:firstLine="1440" w:firstLineChars="600"/>
        <w:textAlignment w:val="auto"/>
        <w:rPr>
          <w:rFonts w:hint="eastAsia" w:ascii="宋体" w:hAnsi="宋体" w:eastAsia="宋体" w:cs="宋体"/>
          <w:sz w:val="21"/>
          <w:szCs w:val="21"/>
          <w:lang w:val="en-US" w:eastAsia="zh-CN"/>
        </w:rPr>
      </w:pPr>
      <w:r>
        <w:rPr>
          <w:rFonts w:hint="default" w:ascii="Calibri" w:hAnsi="Calibri" w:eastAsia="宋体" w:cs="Times New Roman"/>
          <w:sz w:val="24"/>
          <w:szCs w:val="24"/>
          <w:lang w:val="en-US" w:eastAsia="zh-CN"/>
        </w:rPr>
        <w:drawing>
          <wp:anchor distT="0" distB="0" distL="114300" distR="114300" simplePos="0" relativeHeight="251788288" behindDoc="0" locked="0" layoutInCell="1" allowOverlap="1">
            <wp:simplePos x="0" y="0"/>
            <wp:positionH relativeFrom="column">
              <wp:posOffset>2901950</wp:posOffset>
            </wp:positionH>
            <wp:positionV relativeFrom="paragraph">
              <wp:posOffset>17780</wp:posOffset>
            </wp:positionV>
            <wp:extent cx="2037715" cy="3658870"/>
            <wp:effectExtent l="0" t="0" r="635" b="17780"/>
            <wp:wrapNone/>
            <wp:docPr id="203"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5" descr="IMG_256"/>
                    <pic:cNvPicPr>
                      <a:picLocks noChangeAspect="1"/>
                    </pic:cNvPicPr>
                  </pic:nvPicPr>
                  <pic:blipFill>
                    <a:blip r:embed="rId314"/>
                    <a:stretch>
                      <a:fillRect/>
                    </a:stretch>
                  </pic:blipFill>
                  <pic:spPr>
                    <a:xfrm>
                      <a:off x="0" y="0"/>
                      <a:ext cx="2037715" cy="3658870"/>
                    </a:xfrm>
                    <a:prstGeom prst="rect">
                      <a:avLst/>
                    </a:prstGeom>
                    <a:noFill/>
                    <a:ln w="9525">
                      <a:noFill/>
                    </a:ln>
                  </pic:spPr>
                </pic:pic>
              </a:graphicData>
            </a:graphic>
          </wp:anchor>
        </w:drawing>
      </w:r>
      <w:r>
        <w:rPr>
          <w:rFonts w:hint="default" w:ascii="Calibri" w:hAnsi="Calibri" w:eastAsia="宋体" w:cs="Times New Roman"/>
          <w:sz w:val="24"/>
          <w:szCs w:val="24"/>
          <w:lang w:val="en-US" w:eastAsia="zh-CN"/>
        </w:rPr>
        <w:drawing>
          <wp:anchor distT="0" distB="0" distL="114300" distR="114300" simplePos="0" relativeHeight="251787264" behindDoc="0" locked="0" layoutInCell="1" allowOverlap="1">
            <wp:simplePos x="0" y="0"/>
            <wp:positionH relativeFrom="column">
              <wp:posOffset>180340</wp:posOffset>
            </wp:positionH>
            <wp:positionV relativeFrom="paragraph">
              <wp:posOffset>10160</wp:posOffset>
            </wp:positionV>
            <wp:extent cx="2244725" cy="3608070"/>
            <wp:effectExtent l="0" t="0" r="3175" b="11430"/>
            <wp:wrapNone/>
            <wp:docPr id="20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 descr="IMG_256"/>
                    <pic:cNvPicPr>
                      <a:picLocks noChangeAspect="1"/>
                    </pic:cNvPicPr>
                  </pic:nvPicPr>
                  <pic:blipFill>
                    <a:blip r:embed="rId315"/>
                    <a:stretch>
                      <a:fillRect/>
                    </a:stretch>
                  </pic:blipFill>
                  <pic:spPr>
                    <a:xfrm>
                      <a:off x="0" y="0"/>
                      <a:ext cx="2244725" cy="3608070"/>
                    </a:xfrm>
                    <a:prstGeom prst="rect">
                      <a:avLst/>
                    </a:prstGeom>
                    <a:noFill/>
                    <a:ln w="9525">
                      <a:noFill/>
                    </a:ln>
                  </pic:spPr>
                </pic:pic>
              </a:graphicData>
            </a:graphic>
          </wp:anchor>
        </w:drawing>
      </w:r>
    </w:p>
    <w:p w14:paraId="2DCD9145">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35C567C8">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41AD1822">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36F2AF08">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55A677BD">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6E7B47AB">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258B20DD">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4A670836">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007E6382">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0560D557">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0B2AD525">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47DCD59C">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29EFBFB7">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p>
    <w:p w14:paraId="3DA33CBC">
      <w:pPr>
        <w:keepNext w:val="0"/>
        <w:keepLines w:val="0"/>
        <w:pageBreakBefore w:val="0"/>
        <w:widowControl w:val="0"/>
        <w:kinsoku/>
        <w:wordWrap/>
        <w:overflowPunct/>
        <w:topLinePunct w:val="0"/>
        <w:autoSpaceDE/>
        <w:autoSpaceDN/>
        <w:bidi w:val="0"/>
        <w:adjustRightInd/>
        <w:snapToGrid/>
        <w:spacing w:line="440" w:lineRule="exact"/>
        <w:ind w:left="0" w:leftChars="0" w:firstLine="1260" w:firstLineChars="6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图4.1 首页                             图4.2藏品详情</w:t>
      </w:r>
    </w:p>
    <w:p w14:paraId="7872022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789312" behindDoc="0" locked="0" layoutInCell="1" allowOverlap="1">
            <wp:simplePos x="0" y="0"/>
            <wp:positionH relativeFrom="column">
              <wp:posOffset>1658620</wp:posOffset>
            </wp:positionH>
            <wp:positionV relativeFrom="paragraph">
              <wp:posOffset>270510</wp:posOffset>
            </wp:positionV>
            <wp:extent cx="2089150" cy="3430270"/>
            <wp:effectExtent l="0" t="0" r="6350" b="17780"/>
            <wp:wrapNone/>
            <wp:docPr id="205" name="图片 4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47" descr="IMG_256"/>
                    <pic:cNvPicPr>
                      <a:picLocks noChangeAspect="1"/>
                    </pic:cNvPicPr>
                  </pic:nvPicPr>
                  <pic:blipFill>
                    <a:blip r:embed="rId316"/>
                    <a:stretch>
                      <a:fillRect/>
                    </a:stretch>
                  </pic:blipFill>
                  <pic:spPr>
                    <a:xfrm>
                      <a:off x="0" y="0"/>
                      <a:ext cx="2089150" cy="3430270"/>
                    </a:xfrm>
                    <a:prstGeom prst="rect">
                      <a:avLst/>
                    </a:prstGeom>
                    <a:noFill/>
                    <a:ln w="9525">
                      <a:noFill/>
                    </a:ln>
                  </pic:spPr>
                </pic:pic>
              </a:graphicData>
            </a:graphic>
          </wp:anchor>
        </w:drawing>
      </w:r>
    </w:p>
    <w:p w14:paraId="7FE6206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p>
    <w:p w14:paraId="6984F76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p>
    <w:p w14:paraId="0B7EC4C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B4C491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1C378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EB8AEA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615882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0E4889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A43CEB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74A27C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035AEA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D39CDD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845FE2A">
      <w:pPr>
        <w:keepNext w:val="0"/>
        <w:keepLines w:val="0"/>
        <w:pageBreakBefore w:val="0"/>
        <w:widowControl w:val="0"/>
        <w:kinsoku/>
        <w:wordWrap/>
        <w:overflowPunct/>
        <w:topLinePunct w:val="0"/>
        <w:autoSpaceDE/>
        <w:autoSpaceDN/>
        <w:bidi w:val="0"/>
        <w:adjustRightInd/>
        <w:snapToGrid/>
        <w:spacing w:line="440" w:lineRule="exact"/>
        <w:ind w:left="0" w:leftChars="0" w:firstLine="3360" w:firstLineChars="1600"/>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图4.3 付款操作</w:t>
      </w:r>
    </w:p>
    <w:p w14:paraId="7DD250C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C7324B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BEDFF4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4C8EFB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779072" behindDoc="0" locked="0" layoutInCell="1" allowOverlap="1">
            <wp:simplePos x="0" y="0"/>
            <wp:positionH relativeFrom="column">
              <wp:posOffset>2705100</wp:posOffset>
            </wp:positionH>
            <wp:positionV relativeFrom="paragraph">
              <wp:posOffset>-75565</wp:posOffset>
            </wp:positionV>
            <wp:extent cx="2625725" cy="4115435"/>
            <wp:effectExtent l="0" t="0" r="3175" b="18415"/>
            <wp:wrapNone/>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317"/>
                    <a:stretch>
                      <a:fillRect/>
                    </a:stretch>
                  </pic:blipFill>
                  <pic:spPr>
                    <a:xfrm>
                      <a:off x="0" y="0"/>
                      <a:ext cx="2625725" cy="4115435"/>
                    </a:xfrm>
                    <a:prstGeom prst="rect">
                      <a:avLst/>
                    </a:prstGeom>
                    <a:noFill/>
                    <a:ln>
                      <a:noFill/>
                    </a:ln>
                  </pic:spPr>
                </pic:pic>
              </a:graphicData>
            </a:graphic>
          </wp:anchor>
        </w:drawing>
      </w:r>
      <w:r>
        <w:rPr>
          <w:rFonts w:hint="default" w:ascii="Calibri" w:hAnsi="Calibri" w:eastAsia="宋体" w:cs="Times New Roman"/>
          <w:sz w:val="24"/>
          <w:szCs w:val="24"/>
          <w:lang w:val="en-US" w:eastAsia="zh-CN"/>
        </w:rPr>
        <w:drawing>
          <wp:anchor distT="0" distB="0" distL="114300" distR="114300" simplePos="0" relativeHeight="251778048" behindDoc="0" locked="0" layoutInCell="1" allowOverlap="1">
            <wp:simplePos x="0" y="0"/>
            <wp:positionH relativeFrom="column">
              <wp:posOffset>93980</wp:posOffset>
            </wp:positionH>
            <wp:positionV relativeFrom="paragraph">
              <wp:posOffset>-8255</wp:posOffset>
            </wp:positionV>
            <wp:extent cx="2642235" cy="4217670"/>
            <wp:effectExtent l="0" t="0" r="5715" b="11430"/>
            <wp:wrapNone/>
            <wp:docPr id="2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
                    <pic:cNvPicPr>
                      <a:picLocks noChangeAspect="1"/>
                    </pic:cNvPicPr>
                  </pic:nvPicPr>
                  <pic:blipFill>
                    <a:blip r:embed="rId318"/>
                    <a:stretch>
                      <a:fillRect/>
                    </a:stretch>
                  </pic:blipFill>
                  <pic:spPr>
                    <a:xfrm>
                      <a:off x="0" y="0"/>
                      <a:ext cx="2642235" cy="4217670"/>
                    </a:xfrm>
                    <a:prstGeom prst="rect">
                      <a:avLst/>
                    </a:prstGeom>
                    <a:noFill/>
                    <a:ln>
                      <a:noFill/>
                    </a:ln>
                  </pic:spPr>
                </pic:pic>
              </a:graphicData>
            </a:graphic>
          </wp:anchor>
        </w:drawing>
      </w:r>
    </w:p>
    <w:p w14:paraId="7DEEA17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093578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F1B131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1B0EFD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E4F248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1BF388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D32316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92D631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5EBD49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DE7DAB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C44920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2C9ACC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17C70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242AF3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9683767">
      <w:pPr>
        <w:keepNext w:val="0"/>
        <w:keepLines w:val="0"/>
        <w:pageBreakBefore w:val="0"/>
        <w:widowControl w:val="0"/>
        <w:kinsoku/>
        <w:wordWrap/>
        <w:overflowPunct/>
        <w:topLinePunct w:val="0"/>
        <w:autoSpaceDE/>
        <w:autoSpaceDN/>
        <w:bidi w:val="0"/>
        <w:adjustRightInd/>
        <w:snapToGrid/>
        <w:spacing w:line="440" w:lineRule="exact"/>
        <w:ind w:left="0" w:leftChars="0" w:firstLine="1680" w:firstLineChars="8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图4.4 藏品详情                          图4.5 市场内容</w:t>
      </w:r>
    </w:p>
    <w:p w14:paraId="5B57635D">
      <w:pPr>
        <w:keepNext w:val="0"/>
        <w:keepLines w:val="0"/>
        <w:pageBreakBefore w:val="0"/>
        <w:widowControl w:val="0"/>
        <w:kinsoku/>
        <w:wordWrap/>
        <w:overflowPunct/>
        <w:topLinePunct w:val="0"/>
        <w:autoSpaceDE/>
        <w:autoSpaceDN/>
        <w:bidi w:val="0"/>
        <w:adjustRightInd/>
        <w:snapToGrid/>
        <w:spacing w:line="440" w:lineRule="exact"/>
        <w:ind w:firstLine="420" w:firstLineChars="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781120" behindDoc="0" locked="0" layoutInCell="1" allowOverlap="1">
            <wp:simplePos x="0" y="0"/>
            <wp:positionH relativeFrom="column">
              <wp:posOffset>2877185</wp:posOffset>
            </wp:positionH>
            <wp:positionV relativeFrom="paragraph">
              <wp:posOffset>25400</wp:posOffset>
            </wp:positionV>
            <wp:extent cx="2453640" cy="3442970"/>
            <wp:effectExtent l="0" t="0" r="3810" b="5080"/>
            <wp:wrapNone/>
            <wp:docPr id="2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1"/>
                    <pic:cNvPicPr>
                      <a:picLocks noChangeAspect="1"/>
                    </pic:cNvPicPr>
                  </pic:nvPicPr>
                  <pic:blipFill>
                    <a:blip r:embed="rId319">
                      <a:lum bright="-6000"/>
                    </a:blip>
                    <a:stretch>
                      <a:fillRect/>
                    </a:stretch>
                  </pic:blipFill>
                  <pic:spPr>
                    <a:xfrm>
                      <a:off x="0" y="0"/>
                      <a:ext cx="2453640" cy="3442970"/>
                    </a:xfrm>
                    <a:prstGeom prst="rect">
                      <a:avLst/>
                    </a:prstGeom>
                    <a:noFill/>
                    <a:ln>
                      <a:noFill/>
                    </a:ln>
                  </pic:spPr>
                </pic:pic>
              </a:graphicData>
            </a:graphic>
          </wp:anchor>
        </w:drawing>
      </w:r>
      <w:r>
        <w:rPr>
          <w:rFonts w:hint="default" w:ascii="Calibri" w:hAnsi="Calibri" w:eastAsia="宋体" w:cs="Times New Roman"/>
          <w:sz w:val="24"/>
          <w:szCs w:val="24"/>
          <w:lang w:val="en-US" w:eastAsia="zh-CN"/>
        </w:rPr>
        <w:drawing>
          <wp:anchor distT="0" distB="0" distL="114300" distR="114300" simplePos="0" relativeHeight="251780096" behindDoc="0" locked="0" layoutInCell="1" allowOverlap="1">
            <wp:simplePos x="0" y="0"/>
            <wp:positionH relativeFrom="column">
              <wp:posOffset>140335</wp:posOffset>
            </wp:positionH>
            <wp:positionV relativeFrom="paragraph">
              <wp:posOffset>25400</wp:posOffset>
            </wp:positionV>
            <wp:extent cx="2745740" cy="3420110"/>
            <wp:effectExtent l="0" t="0" r="16510" b="8890"/>
            <wp:wrapNone/>
            <wp:docPr id="2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9"/>
                    <pic:cNvPicPr>
                      <a:picLocks noChangeAspect="1"/>
                    </pic:cNvPicPr>
                  </pic:nvPicPr>
                  <pic:blipFill>
                    <a:blip r:embed="rId320"/>
                    <a:stretch>
                      <a:fillRect/>
                    </a:stretch>
                  </pic:blipFill>
                  <pic:spPr>
                    <a:xfrm>
                      <a:off x="0" y="0"/>
                      <a:ext cx="2745740" cy="3420110"/>
                    </a:xfrm>
                    <a:prstGeom prst="rect">
                      <a:avLst/>
                    </a:prstGeom>
                    <a:noFill/>
                    <a:ln>
                      <a:noFill/>
                    </a:ln>
                  </pic:spPr>
                </pic:pic>
              </a:graphicData>
            </a:graphic>
          </wp:anchor>
        </w:drawing>
      </w:r>
    </w:p>
    <w:p w14:paraId="414A16E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4FF7A2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B44683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25644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5BC3C9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55FD9E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8E4770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7CB39A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3DA68D5">
      <w:pPr>
        <w:keepNext w:val="0"/>
        <w:keepLines w:val="0"/>
        <w:pageBreakBefore w:val="0"/>
        <w:widowControl w:val="0"/>
        <w:kinsoku/>
        <w:wordWrap/>
        <w:overflowPunct/>
        <w:topLinePunct w:val="0"/>
        <w:autoSpaceDE/>
        <w:autoSpaceDN/>
        <w:bidi w:val="0"/>
        <w:adjustRightInd/>
        <w:snapToGrid/>
        <w:spacing w:line="440" w:lineRule="exact"/>
        <w:ind w:left="420" w:leftChars="0" w:firstLine="960" w:firstLineChars="400"/>
        <w:textAlignment w:val="auto"/>
        <w:rPr>
          <w:rFonts w:hint="eastAsia" w:ascii="Calibri" w:hAnsi="Calibri" w:eastAsia="宋体" w:cs="Times New Roman"/>
          <w:sz w:val="24"/>
          <w:szCs w:val="24"/>
          <w:lang w:val="en-US" w:eastAsia="zh-CN"/>
        </w:rPr>
      </w:pPr>
    </w:p>
    <w:p w14:paraId="2846847E">
      <w:pPr>
        <w:keepNext w:val="0"/>
        <w:keepLines w:val="0"/>
        <w:pageBreakBefore w:val="0"/>
        <w:widowControl w:val="0"/>
        <w:kinsoku/>
        <w:wordWrap/>
        <w:overflowPunct/>
        <w:topLinePunct w:val="0"/>
        <w:autoSpaceDE/>
        <w:autoSpaceDN/>
        <w:bidi w:val="0"/>
        <w:adjustRightInd/>
        <w:snapToGrid/>
        <w:spacing w:line="440" w:lineRule="exact"/>
        <w:ind w:left="420" w:leftChars="0" w:firstLine="960" w:firstLineChars="400"/>
        <w:textAlignment w:val="auto"/>
        <w:rPr>
          <w:rFonts w:hint="eastAsia" w:ascii="Calibri" w:hAnsi="Calibri" w:eastAsia="宋体" w:cs="Times New Roman"/>
          <w:sz w:val="24"/>
          <w:szCs w:val="24"/>
          <w:lang w:val="en-US" w:eastAsia="zh-CN"/>
        </w:rPr>
      </w:pPr>
    </w:p>
    <w:p w14:paraId="5B9B53B7">
      <w:pPr>
        <w:keepNext w:val="0"/>
        <w:keepLines w:val="0"/>
        <w:pageBreakBefore w:val="0"/>
        <w:widowControl w:val="0"/>
        <w:kinsoku/>
        <w:wordWrap/>
        <w:overflowPunct/>
        <w:topLinePunct w:val="0"/>
        <w:autoSpaceDE/>
        <w:autoSpaceDN/>
        <w:bidi w:val="0"/>
        <w:adjustRightInd/>
        <w:snapToGrid/>
        <w:spacing w:line="440" w:lineRule="exact"/>
        <w:ind w:left="420" w:leftChars="0" w:firstLine="840" w:firstLineChars="400"/>
        <w:textAlignment w:val="auto"/>
        <w:rPr>
          <w:rFonts w:hint="eastAsia" w:ascii="宋体" w:hAnsi="宋体" w:eastAsia="宋体" w:cs="宋体"/>
          <w:sz w:val="21"/>
          <w:szCs w:val="21"/>
          <w:lang w:val="en-US" w:eastAsia="zh-CN"/>
        </w:rPr>
      </w:pPr>
    </w:p>
    <w:p w14:paraId="3135D8C7">
      <w:pPr>
        <w:keepNext w:val="0"/>
        <w:keepLines w:val="0"/>
        <w:pageBreakBefore w:val="0"/>
        <w:widowControl w:val="0"/>
        <w:kinsoku/>
        <w:wordWrap/>
        <w:overflowPunct/>
        <w:topLinePunct w:val="0"/>
        <w:autoSpaceDE/>
        <w:autoSpaceDN/>
        <w:bidi w:val="0"/>
        <w:adjustRightInd/>
        <w:snapToGrid/>
        <w:spacing w:line="440" w:lineRule="exact"/>
        <w:ind w:left="420" w:leftChars="0" w:firstLine="840" w:firstLineChars="4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图4.6 我的订单                             图4.7订单详情</w:t>
      </w:r>
    </w:p>
    <w:p w14:paraId="7826FFA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8710AB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782144" behindDoc="0" locked="0" layoutInCell="1" allowOverlap="1">
            <wp:simplePos x="0" y="0"/>
            <wp:positionH relativeFrom="column">
              <wp:posOffset>-187960</wp:posOffset>
            </wp:positionH>
            <wp:positionV relativeFrom="paragraph">
              <wp:posOffset>175260</wp:posOffset>
            </wp:positionV>
            <wp:extent cx="2731770" cy="4003675"/>
            <wp:effectExtent l="0" t="0" r="11430" b="15875"/>
            <wp:wrapNone/>
            <wp:docPr id="2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2"/>
                    <pic:cNvPicPr>
                      <a:picLocks noChangeAspect="1"/>
                    </pic:cNvPicPr>
                  </pic:nvPicPr>
                  <pic:blipFill>
                    <a:blip r:embed="rId321"/>
                    <a:stretch>
                      <a:fillRect/>
                    </a:stretch>
                  </pic:blipFill>
                  <pic:spPr>
                    <a:xfrm>
                      <a:off x="0" y="0"/>
                      <a:ext cx="2731770" cy="4003675"/>
                    </a:xfrm>
                    <a:prstGeom prst="rect">
                      <a:avLst/>
                    </a:prstGeom>
                    <a:noFill/>
                    <a:ln>
                      <a:noFill/>
                    </a:ln>
                  </pic:spPr>
                </pic:pic>
              </a:graphicData>
            </a:graphic>
          </wp:anchor>
        </w:drawing>
      </w:r>
      <w:r>
        <w:rPr>
          <w:rFonts w:hint="default" w:ascii="Calibri" w:hAnsi="Calibri" w:eastAsia="宋体" w:cs="Times New Roman"/>
          <w:sz w:val="24"/>
          <w:szCs w:val="24"/>
          <w:lang w:val="en-US" w:eastAsia="zh-CN"/>
        </w:rPr>
        <w:drawing>
          <wp:anchor distT="0" distB="0" distL="114300" distR="114300" simplePos="0" relativeHeight="251783168" behindDoc="0" locked="0" layoutInCell="1" allowOverlap="1">
            <wp:simplePos x="0" y="0"/>
            <wp:positionH relativeFrom="column">
              <wp:posOffset>2601595</wp:posOffset>
            </wp:positionH>
            <wp:positionV relativeFrom="paragraph">
              <wp:posOffset>145415</wp:posOffset>
            </wp:positionV>
            <wp:extent cx="2722245" cy="3900805"/>
            <wp:effectExtent l="0" t="0" r="1905" b="4445"/>
            <wp:wrapNone/>
            <wp:docPr id="2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3"/>
                    <pic:cNvPicPr>
                      <a:picLocks noChangeAspect="1"/>
                    </pic:cNvPicPr>
                  </pic:nvPicPr>
                  <pic:blipFill>
                    <a:blip r:embed="rId322"/>
                    <a:stretch>
                      <a:fillRect/>
                    </a:stretch>
                  </pic:blipFill>
                  <pic:spPr>
                    <a:xfrm>
                      <a:off x="0" y="0"/>
                      <a:ext cx="2722245" cy="3900805"/>
                    </a:xfrm>
                    <a:prstGeom prst="rect">
                      <a:avLst/>
                    </a:prstGeom>
                    <a:noFill/>
                    <a:ln>
                      <a:noFill/>
                    </a:ln>
                  </pic:spPr>
                </pic:pic>
              </a:graphicData>
            </a:graphic>
          </wp:anchor>
        </w:drawing>
      </w:r>
    </w:p>
    <w:p w14:paraId="75DD08C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BA5A36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79375A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2FB856D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12F42E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95DB00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67DAA12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C64E5A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2EF10F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95A619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F232D5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54B9FF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B46A10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64D2407">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p>
    <w:p w14:paraId="655862D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0CBDBB7">
      <w:pPr>
        <w:keepNext w:val="0"/>
        <w:keepLines w:val="0"/>
        <w:pageBreakBefore w:val="0"/>
        <w:widowControl w:val="0"/>
        <w:kinsoku/>
        <w:wordWrap/>
        <w:overflowPunct/>
        <w:topLinePunct w:val="0"/>
        <w:autoSpaceDE/>
        <w:autoSpaceDN/>
        <w:bidi w:val="0"/>
        <w:adjustRightInd/>
        <w:snapToGrid/>
        <w:spacing w:line="440" w:lineRule="exact"/>
        <w:ind w:firstLine="960" w:firstLineChars="4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图4.8转赠                               图4.9流转记录</w:t>
      </w:r>
    </w:p>
    <w:p w14:paraId="193D53C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00B513C3">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577860C0">
      <w:pPr>
        <w:pStyle w:val="167"/>
        <w:bidi w:val="0"/>
        <w:rPr>
          <w:rFonts w:hint="eastAsia"/>
          <w:lang w:val="en-US" w:eastAsia="zh-CN"/>
        </w:rPr>
      </w:pPr>
      <w:r>
        <w:rPr>
          <w:rFonts w:hint="eastAsia"/>
          <w:lang w:val="en-US" w:eastAsia="zh-CN"/>
        </w:rPr>
        <w:t>测试工作覆盖全链路：单元测试：对JAVA后端各服务类、工具类及智能合约逻辑进行充分测试。集成测试：重点测试微服务间API调用、业务层与区块链适配服务的交互、数据库与缓存操作的一致性。端到端（E2E）测试：模拟真实用户场景，测试从用户注册、浏览、购买到资产查看的完整Web端和移动端流程。性能与压力测试：使用JMeter等工具模拟高并发场景，如限量抢购、热门藏品查询，测试系统的TPS、响应时间及资源利用率，验证缓存、数据库连接池、消息队列等组件的性能瓶颈。安全测试：进行智能合约安全审计（防重入、溢出等）、Web应用漏洞扫描（SQL注入、XSS等）、接口防刷测试、以及签名验签机制的安全性验证。兼容性测试：确保Web端兼容主流浏览器，移动端APP在Android/iOS不同版本上的正常运行。</w:t>
      </w:r>
    </w:p>
    <w:p w14:paraId="795120F4">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0E7ACD07">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本项目成功构建了一个以国产文昌链为信任基石、技术栈先进、架构稳健的数字藏品管理系统。它有效利用了区块链技术的核心优势，为数字文化资产提供了从确权、发行到流通的全流程可信解决方案，直击行业痛点。通过微服务架构实现了系统的高内聚、松耦合与弹性扩展能力，结合混合数据存储与缓存策略，保障了在高并发场景下的高性能与低延迟。清晰的权限模型与业务流程设计，既满足了平台运营的管理需求，也提供了创作者与用户友好便捷的操作体验。项目不仅具备显著的技术创新性与商业应用价值，也为推动数字文化产业在合规框架下的创新发展做出了有益探索。未来，平台可进一步探索与实体经济的结合（如实物衍生品联动）、跨链资产互操作、以及更丰富的社群治理与DAO实践，持续拓展数字藏品的价值边界与应用场景。</w:t>
      </w:r>
    </w:p>
    <w:p w14:paraId="4B36EED8">
      <w:pPr>
        <w:sectPr>
          <w:headerReference r:id="rId27" w:type="default"/>
          <w:footerReference r:id="rId28"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46D7EFC">
      <w:pPr>
        <w:pStyle w:val="3"/>
        <w:bidi w:val="0"/>
        <w:rPr>
          <w:rFonts w:hint="eastAsia"/>
          <w:lang w:val="en-US" w:eastAsia="zh-CN"/>
        </w:rPr>
      </w:pPr>
      <w:bookmarkStart w:id="794" w:name="_Toc29983"/>
      <w:bookmarkStart w:id="795" w:name="_Toc4449"/>
      <w:r>
        <w:rPr>
          <w:rFonts w:hint="eastAsia"/>
          <w:lang w:val="en-US" w:eastAsia="zh-CN"/>
        </w:rPr>
        <w:t>7.基于Hyperledger Fabric+NFT的奢侈品拍卖平台的设计与实现</w:t>
      </w:r>
      <w:bookmarkEnd w:id="794"/>
      <w:bookmarkEnd w:id="795"/>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31037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98A441B">
            <w:pPr>
              <w:jc w:val="left"/>
              <w:outlineLvl w:val="0"/>
              <w:rPr>
                <w:rFonts w:hint="default" w:ascii="Calibri" w:hAnsi="Calibri" w:eastAsia="黑体" w:cs="Times New Roman"/>
                <w:szCs w:val="21"/>
                <w:lang w:val="en-US"/>
              </w:rPr>
            </w:pPr>
            <w:bookmarkStart w:id="796" w:name="_Toc2225"/>
            <w:bookmarkStart w:id="797" w:name="_Toc14592"/>
            <w:r>
              <w:rPr>
                <w:rFonts w:hint="eastAsia" w:ascii="Calibri" w:hAnsi="Calibri" w:eastAsia="黑体" w:cs="Times New Roman"/>
                <w:sz w:val="24"/>
                <w:lang w:val="en-US" w:eastAsia="zh-CN"/>
              </w:rPr>
              <w:t>项目</w:t>
            </w:r>
            <w:r>
              <w:rPr>
                <w:rFonts w:hint="eastAsia" w:ascii="Calibri" w:hAnsi="Calibri" w:eastAsia="黑体" w:cs="Times New Roman"/>
                <w:sz w:val="24"/>
              </w:rPr>
              <w:t>主题：</w:t>
            </w:r>
            <w:r>
              <w:rPr>
                <w:rFonts w:hint="eastAsia" w:ascii="Calibri" w:hAnsi="Calibri" w:eastAsia="黑体" w:cs="Times New Roman"/>
                <w:sz w:val="24"/>
                <w:lang w:val="en-US" w:eastAsia="zh-CN"/>
              </w:rPr>
              <w:t>“基于Hyperledger Fabric+NFT的奢侈品拍卖平台的设计与实现”</w:t>
            </w:r>
            <w:bookmarkEnd w:id="796"/>
            <w:bookmarkEnd w:id="797"/>
          </w:p>
        </w:tc>
      </w:tr>
      <w:tr w14:paraId="6347E7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FD620BD">
            <w:pPr>
              <w:jc w:val="left"/>
              <w:rPr>
                <w:rFonts w:ascii="Calibri" w:hAnsi="Calibri" w:eastAsia="黑体" w:cs="Times New Roman"/>
                <w:sz w:val="24"/>
              </w:rPr>
            </w:pPr>
            <w:r>
              <w:rPr>
                <w:rFonts w:hint="eastAsia" w:ascii="Calibri" w:hAnsi="Calibri" w:eastAsia="黑体" w:cs="Times New Roman"/>
                <w:sz w:val="24"/>
              </w:rPr>
              <w:t>班    级：</w:t>
            </w:r>
            <w:r>
              <w:rPr>
                <w:rFonts w:hint="eastAsia" w:ascii="Calibri" w:hAnsi="Calibri" w:eastAsia="黑体" w:cs="Times New Roman"/>
                <w:sz w:val="24"/>
                <w:lang w:val="en-US" w:eastAsia="zh-CN"/>
              </w:rPr>
              <w:t>23级区块链工程</w:t>
            </w:r>
            <w:r>
              <w:rPr>
                <w:rFonts w:hint="eastAsia" w:ascii="Calibri" w:hAnsi="Calibri" w:eastAsia="黑体" w:cs="Times New Roman"/>
                <w:sz w:val="24"/>
              </w:rPr>
              <w:t>本科1班</w:t>
            </w:r>
          </w:p>
        </w:tc>
      </w:tr>
      <w:tr w14:paraId="1B11CD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9C543C7">
            <w:pPr>
              <w:jc w:val="left"/>
              <w:rPr>
                <w:rFonts w:hint="default" w:ascii="Calibri" w:hAnsi="Calibri" w:eastAsia="黑体" w:cs="Times New Roman"/>
                <w:szCs w:val="21"/>
                <w:lang w:val="en-US"/>
              </w:rPr>
            </w:pPr>
            <w:r>
              <w:rPr>
                <w:rFonts w:hint="eastAsia" w:ascii="Calibri" w:hAnsi="Calibri" w:eastAsia="黑体" w:cs="Times New Roman"/>
                <w:sz w:val="24"/>
              </w:rPr>
              <w:t>学生姓名：熊铭涛 倪帅 汪亚辉 李延龙</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指导教师：</w:t>
            </w:r>
            <w:r>
              <w:rPr>
                <w:rFonts w:hint="eastAsia" w:ascii="Calibri" w:hAnsi="Calibri" w:eastAsia="黑体" w:cs="Times New Roman"/>
                <w:sz w:val="21"/>
                <w:szCs w:val="21"/>
                <w:lang w:val="en-US" w:eastAsia="zh-CN"/>
              </w:rPr>
              <w:t>翟剑锟</w:t>
            </w:r>
          </w:p>
        </w:tc>
      </w:tr>
    </w:tbl>
    <w:p w14:paraId="543506A6">
      <w:pPr>
        <w:spacing w:line="440" w:lineRule="exact"/>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30835BE3">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618DA2D4">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本项目为基于Hyperledger Fabric联盟链技术与非同质化代币（NFT） 架构的奢侈品拍卖平台，旨在构建一个透明、可信、可追溯的去中心化奢侈品交易生态系统。传统奢侈品交易市场长期面临真伪难辨、来源不清、信息不对称、价格操纵及信任缺失等核心痛点。为解决这些问题，本项目创新性地为每一件实体奢侈品生成并绑定唯一的NFT数字身份，将商品的出厂信息、鉴定记录、所有权变更、交易历史等全生命周期数据不可篡改地记录于区块链上，形成完整的数字孪生档案。平台不仅支持标准化的拍卖流程（如英式拍卖、荷兰式拍卖），还通过智能合约自动执行竞价、落槌、结算与交割规则，彻底杜绝人为操控与赝品流通。结合Web3前端交互、AI图像比对与动态权限管理，本平台致力于为拍卖行、品牌方、鉴定机构、收藏家及投资者提供一个高效、安全、合规的数字交易基础设施，推动奢侈品行业从依赖中心化信任向基于技术信任的范式转型，构建一个公平、透明且可持续的高端消费市场新生态。</w:t>
      </w:r>
    </w:p>
    <w:p w14:paraId="62DADCBF">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91360" behindDoc="0" locked="0" layoutInCell="1" allowOverlap="1">
            <wp:simplePos x="0" y="0"/>
            <wp:positionH relativeFrom="column">
              <wp:posOffset>-20320</wp:posOffset>
            </wp:positionH>
            <wp:positionV relativeFrom="paragraph">
              <wp:posOffset>24130</wp:posOffset>
            </wp:positionV>
            <wp:extent cx="5311140" cy="3442335"/>
            <wp:effectExtent l="0" t="0" r="0" b="5715"/>
            <wp:wrapTopAndBottom/>
            <wp:docPr id="2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5"/>
                    <pic:cNvPicPr>
                      <a:picLocks noChangeAspect="1"/>
                    </pic:cNvPicPr>
                  </pic:nvPicPr>
                  <pic:blipFill>
                    <a:blip r:embed="rId323"/>
                    <a:stretch>
                      <a:fillRect/>
                    </a:stretch>
                  </pic:blipFill>
                  <pic:spPr>
                    <a:xfrm>
                      <a:off x="0" y="0"/>
                      <a:ext cx="5311140" cy="3442335"/>
                    </a:xfrm>
                    <a:prstGeom prst="rect">
                      <a:avLst/>
                    </a:prstGeom>
                    <a:noFill/>
                    <a:ln>
                      <a:noFill/>
                    </a:ln>
                  </pic:spPr>
                </pic:pic>
              </a:graphicData>
            </a:graphic>
          </wp:anchor>
        </w:drawing>
      </w:r>
      <w:r>
        <w:rPr>
          <w:rFonts w:hint="eastAsia" w:ascii="宋体" w:hAnsi="宋体" w:eastAsia="宋体" w:cs="宋体"/>
          <w:sz w:val="21"/>
          <w:szCs w:val="21"/>
          <w:lang w:val="en-US" w:eastAsia="zh-CN"/>
        </w:rPr>
        <w:t>图1.1 苏富比拍卖行</w:t>
      </w:r>
    </w:p>
    <w:p w14:paraId="24E2C65A">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1281EC9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项目采用分层化、模块化的企业级技术栈，以Hyperledger Fabric为核心构建可许可的联盟链网络。区块链层：基于Hyperledger Fabric 2.x 构建联盟链，参与方包括奢侈品品牌商、权威鉴定机构、知名拍卖行、物流公司及金融机构作为节点组织，通过通道（Channel） 机制隔离业务数据，利用私有数据集合（Private Data Collection） 保护商业敏感信息（如交易底价）。链码（智能合约）主要使用Go语言开发，实现NFT铸造、拍卖逻辑、权限控制等核心功能。后端服务层：采用Java（Spring Boot/Spring Cloud） 或 Go（Gin/Echo） 构建微服务架构，提供用户管理、拍品信息处理、支付网关对接、链下业务逻辑等服务，并通过Fabric SDK与区块链网络交互。前端交互层：开发Web3风格的前端应用，使用React.js/Vue.js 框架，集成MetaMask 或基于证书的联盟链钱包，提供用户友好的拍卖参与、数字身份查看、资产管理等界面。AI与存储服务：集成AI图像比对与识别服务（如基于TensorFlow/PyTorch的模型），用于拍品初次上链时的真伪辅助鉴定；大文件（如高清图片、3D模型、鉴定报告）存储于IPFS 或企业级分布式存储系统中，仅将其哈希值上链。开发与运维：使用Docker 和 Kubernetes 进行容器化部署与管理，GitLab CI/CD 实现持续集成与交付。</w:t>
      </w:r>
    </w:p>
    <w:p w14:paraId="1959402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在现代Web应用开发体系中，JavaScript、Node.js与Vue构成了“基础语法-后端服务-前端交互”的完整技术链路，三者按“底层支撑-中间服务-上层交互”的层次协同工作，支撑从简单页面到复杂全栈应用的开发需求。本文将从技术层次划分的角度，详细解析三者的核心定位、核心特性及协同逻辑。</w:t>
      </w:r>
    </w:p>
    <w:p w14:paraId="18FB179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drawing>
          <wp:anchor distT="0" distB="0" distL="114300" distR="114300" simplePos="0" relativeHeight="251792384" behindDoc="0" locked="0" layoutInCell="1" allowOverlap="1">
            <wp:simplePos x="0" y="0"/>
            <wp:positionH relativeFrom="column">
              <wp:posOffset>3259455</wp:posOffset>
            </wp:positionH>
            <wp:positionV relativeFrom="paragraph">
              <wp:posOffset>84455</wp:posOffset>
            </wp:positionV>
            <wp:extent cx="1838960" cy="1700530"/>
            <wp:effectExtent l="0" t="0" r="8890" b="13970"/>
            <wp:wrapSquare wrapText="bothSides"/>
            <wp:docPr id="2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6"/>
                    <pic:cNvPicPr>
                      <a:picLocks noChangeAspect="1"/>
                    </pic:cNvPicPr>
                  </pic:nvPicPr>
                  <pic:blipFill>
                    <a:blip r:embed="rId324"/>
                    <a:stretch>
                      <a:fillRect/>
                    </a:stretch>
                  </pic:blipFill>
                  <pic:spPr>
                    <a:xfrm>
                      <a:off x="0" y="0"/>
                      <a:ext cx="1838960" cy="1700530"/>
                    </a:xfrm>
                    <a:prstGeom prst="rect">
                      <a:avLst/>
                    </a:prstGeom>
                    <a:noFill/>
                    <a:ln>
                      <a:noFill/>
                    </a:ln>
                  </pic:spPr>
                </pic:pic>
              </a:graphicData>
            </a:graphic>
          </wp:anchor>
        </w:drawing>
      </w:r>
      <w:r>
        <w:rPr>
          <w:rFonts w:hint="eastAsia" w:ascii="Calibri" w:hAnsi="Calibri" w:eastAsia="宋体" w:cs="Times New Roman"/>
          <w:sz w:val="24"/>
          <w:szCs w:val="24"/>
        </w:rPr>
        <w:t>JavaScript</w:t>
      </w:r>
      <w:r>
        <w:rPr>
          <w:rFonts w:hint="eastAsia" w:ascii="Calibri" w:hAnsi="Calibri" w:eastAsia="宋体" w:cs="Times New Roman"/>
          <w:sz w:val="24"/>
          <w:szCs w:val="24"/>
          <w:lang w:val="en-US" w:eastAsia="zh-CN"/>
        </w:rPr>
        <w:t>全</w:t>
      </w:r>
      <w:r>
        <w:rPr>
          <w:rFonts w:hint="eastAsia" w:ascii="Calibri" w:hAnsi="Calibri" w:eastAsia="宋体" w:cs="Times New Roman"/>
          <w:sz w:val="24"/>
          <w:szCs w:val="24"/>
        </w:rPr>
        <w:t>栈开发的语法基石</w:t>
      </w:r>
      <w:r>
        <w:rPr>
          <w:rFonts w:hint="eastAsia" w:ascii="Calibri" w:hAnsi="Calibri" w:eastAsia="宋体" w:cs="Times New Roman"/>
          <w:sz w:val="24"/>
          <w:szCs w:val="24"/>
          <w:lang w:eastAsia="zh-CN"/>
        </w:rPr>
        <w:t>，底层支撑层。</w:t>
      </w:r>
      <w:r>
        <w:rPr>
          <w:rFonts w:hint="eastAsia" w:ascii="Calibri" w:hAnsi="Calibri" w:eastAsia="宋体" w:cs="Times New Roman"/>
          <w:sz w:val="24"/>
          <w:szCs w:val="24"/>
        </w:rPr>
        <w:t>JavaScript是整个技术链路的底层基础，作为一种解释型、弱类型的脚本语言，它打破了前端与后端的语言壁垒，为Node.js后端开发和Vue前端开发提供统一的语法规范，是实现全栈开发一致性的核心保障。其核心定位是“通用语法引擎”，贯穿Web应用开发的全流程。</w:t>
      </w:r>
    </w:p>
    <w:p w14:paraId="00D3B491">
      <w:pPr>
        <w:spacing w:line="440" w:lineRule="exact"/>
        <w:jc w:val="center"/>
        <w:rPr>
          <w:rFonts w:hint="default" w:ascii="Calibri" w:hAnsi="Calibri" w:eastAsia="宋体" w:cs="Times New Roman"/>
          <w:sz w:val="24"/>
          <w:szCs w:val="24"/>
          <w:lang w:val="en-US" w:eastAsia="zh-CN"/>
        </w:rPr>
      </w:pPr>
      <w:r>
        <w:rPr>
          <w:rFonts w:hint="eastAsia" w:ascii="宋体" w:hAnsi="宋体" w:eastAsia="宋体" w:cs="宋体"/>
          <w:sz w:val="21"/>
          <w:szCs w:val="21"/>
          <w:lang w:val="en-US" w:eastAsia="zh-CN"/>
        </w:rPr>
        <w:t xml:space="preserve">                                               图1.2 Javascript技术</w:t>
      </w:r>
    </w:p>
    <w:p w14:paraId="6D3501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p>
    <w:p w14:paraId="6175F3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p>
    <w:p w14:paraId="4FFBF31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p>
    <w:p w14:paraId="422F270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核心特性</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跨环境运行能力：最初设计用于浏览器端实现页面交互，随着Node.js的出现，可无缝迁移至服务器端运行，无需修改核心语法，实现“一次学习，多端应用”；动态灵活的语法特性：支持动态类型定义（变量类型可随赋值自动切换）、原型链继承、闭包、箭头函数等特性，开发效率高，适配多样化业务场景；事件驱动与异步编程：通过事件循环（Event Loop）机制处理异步操作，避免阻塞式执行，天生适配高并发交互场景（如前端用户频繁操作、后端多请求同时处理）；海量生态与工具链：拥有全球最大的开源包生态（npm仓库），涵盖数据处理、加密解密、网络请求等各类工具库（如axios、crypto-js），可快速集成所需功能。</w:t>
      </w:r>
    </w:p>
    <w:p w14:paraId="0C5570E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在技术栈中的核心作用</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作为底层支撑，JavaScript定义了数据类型、函数写法、逻辑控制等基础规则，是Node.js和Vue的“语法母体”：为Node.js提供后端开发的语法基础，使开发者可使用熟悉的JavaScript编写服务器端逻辑；为Vue提供前端组件逻辑的编写规范，Vue的组件方法、生命周期钩子、数据处理逻辑均基于JavaScript实现；实现前后端数据格式统一，减少跨端数据转换的复杂度（如JSON格式为JavaScript原生支持，可直接用于前后端数据传输）。</w:t>
      </w:r>
    </w:p>
    <w:p w14:paraId="60D56E4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rPr>
        <w:drawing>
          <wp:anchor distT="0" distB="0" distL="114300" distR="114300" simplePos="0" relativeHeight="251793408" behindDoc="0" locked="0" layoutInCell="1" allowOverlap="1">
            <wp:simplePos x="0" y="0"/>
            <wp:positionH relativeFrom="column">
              <wp:posOffset>2731770</wp:posOffset>
            </wp:positionH>
            <wp:positionV relativeFrom="paragraph">
              <wp:posOffset>264160</wp:posOffset>
            </wp:positionV>
            <wp:extent cx="2425065" cy="2009140"/>
            <wp:effectExtent l="0" t="0" r="13335" b="10160"/>
            <wp:wrapSquare wrapText="bothSides"/>
            <wp:docPr id="215" name="图片 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73" descr="IMG_256"/>
                    <pic:cNvPicPr>
                      <a:picLocks noChangeAspect="1"/>
                    </pic:cNvPicPr>
                  </pic:nvPicPr>
                  <pic:blipFill>
                    <a:blip r:embed="rId325"/>
                    <a:stretch>
                      <a:fillRect/>
                    </a:stretch>
                  </pic:blipFill>
                  <pic:spPr>
                    <a:xfrm>
                      <a:off x="0" y="0"/>
                      <a:ext cx="2425065" cy="2009140"/>
                    </a:xfrm>
                    <a:prstGeom prst="rect">
                      <a:avLst/>
                    </a:prstGeom>
                    <a:noFill/>
                    <a:ln w="9525">
                      <a:noFill/>
                    </a:ln>
                  </pic:spPr>
                </pic:pic>
              </a:graphicData>
            </a:graphic>
          </wp:anchor>
        </w:drawing>
      </w:r>
      <w:r>
        <w:rPr>
          <w:rFonts w:hint="eastAsia" w:ascii="Calibri" w:hAnsi="Calibri" w:eastAsia="宋体" w:cs="Times New Roman"/>
          <w:sz w:val="24"/>
          <w:szCs w:val="24"/>
        </w:rPr>
        <w:t>Node.js连接前端与后端的桥梁</w:t>
      </w:r>
      <w:r>
        <w:rPr>
          <w:rFonts w:hint="eastAsia" w:ascii="Calibri" w:hAnsi="Calibri" w:eastAsia="宋体" w:cs="Times New Roman"/>
          <w:sz w:val="24"/>
          <w:szCs w:val="24"/>
          <w:lang w:eastAsia="zh-CN"/>
        </w:rPr>
        <w:t>，中间服务层。</w:t>
      </w:r>
      <w:r>
        <w:rPr>
          <w:rFonts w:hint="eastAsia" w:ascii="Calibri" w:hAnsi="Calibri" w:eastAsia="宋体" w:cs="Times New Roman"/>
          <w:sz w:val="24"/>
          <w:szCs w:val="24"/>
        </w:rPr>
        <w:t>Node.js并非独立的编程语言，而是基于Chrome V8引擎构建的JavaScript运行环境，其核心价值是“让JavaScript脱离浏览器运行”，从而构建高性能的服务器端应用。它处于技术栈的中间层，一边承接前端Vue应用的请求，一边对接数据库、第三方接口（如区块链节点、支付接口），是实现业务逻辑的核心载体。</w:t>
      </w:r>
      <w:r>
        <w:rPr>
          <w:rFonts w:hint="eastAsia" w:ascii="Calibri" w:hAnsi="Calibri" w:eastAsia="宋体" w:cs="Times New Roman"/>
          <w:sz w:val="24"/>
          <w:szCs w:val="24"/>
          <w:lang w:val="en-US" w:eastAsia="zh-CN"/>
        </w:rPr>
        <w:t xml:space="preserve">                               </w:t>
      </w:r>
      <w:r>
        <w:rPr>
          <w:rFonts w:hint="eastAsia" w:ascii="宋体" w:hAnsi="宋体" w:eastAsia="宋体" w:cs="宋体"/>
          <w:sz w:val="21"/>
          <w:szCs w:val="21"/>
          <w:lang w:val="en-US" w:eastAsia="zh-CN"/>
        </w:rPr>
        <w:t>图1.3 node.js技术</w:t>
      </w:r>
    </w:p>
    <w:p w14:paraId="1B18D1F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p>
    <w:p w14:paraId="2AE6597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核心特性</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非阻塞I/O模型：这是Node.js高性能的核心原因。当处理文件读取、数据库查询等I/O操作时，不会阻塞后续代码执行，而是通过回调函数、Promise等方式在操作完成后触发后续逻辑，极大提升了高并发场景下的处理效率；单线程架构与多核扩展：采用单线程运行主线程，避免多线程上下文切换的开销；同时支持通过“集群模式”（cluster模块）利用多核CPU资源，平衡性能与资源占用；轻量高效的服务构建：内置http、fs、net等核心模块，可快速搭建Web服务器、处理文件操作、实现网络通信，无需依赖复杂的第三方框架；</w:t>
      </w:r>
    </w:p>
    <w:p w14:paraId="667B5F93">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Calibri" w:hAnsi="Calibri" w:eastAsia="宋体" w:cs="Times New Roman"/>
          <w:sz w:val="24"/>
          <w:szCs w:val="24"/>
        </w:rPr>
      </w:pPr>
      <w:r>
        <w:rPr>
          <w:rFonts w:hint="eastAsia" w:ascii="Calibri" w:hAnsi="Calibri" w:eastAsia="宋体" w:cs="Times New Roman"/>
          <w:sz w:val="24"/>
          <w:szCs w:val="24"/>
        </w:rPr>
        <w:t>与前端生态无缝衔接：共享npm仓库生态，前端常用的工具库（如axios）可直接在Node.js中使用，降低前后端开发的技术割裂感。</w:t>
      </w:r>
    </w:p>
    <w:p w14:paraId="1D81D38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在技术栈中的核心作用</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Node.js作为中间服务层，承担“请求处理、逻辑实现、数据中转”的核心职责，是连接前端与后端资源的关键：接收前端Vue应用发送的HTTP请求（如用户登录、藏品查询、智能合约调用），并执行对应的业务逻辑；对接数据库（如MySQL、MongoDB），实现数据的增删改查（如用户信息存储、NFT藏品数据管理）；集成第三方服务与接口（如区块链SDK、支付接口、短信服务），为前端提供统一的API调用入口；实现权限校验、数据加密、日志记录等通用服务，保障应用的安全性与可维护性。</w:t>
      </w:r>
    </w:p>
    <w:p w14:paraId="47A0DB8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rPr>
        <w:drawing>
          <wp:anchor distT="0" distB="0" distL="114300" distR="114300" simplePos="0" relativeHeight="251794432" behindDoc="0" locked="0" layoutInCell="1" allowOverlap="1">
            <wp:simplePos x="0" y="0"/>
            <wp:positionH relativeFrom="column">
              <wp:posOffset>2976880</wp:posOffset>
            </wp:positionH>
            <wp:positionV relativeFrom="paragraph">
              <wp:posOffset>201930</wp:posOffset>
            </wp:positionV>
            <wp:extent cx="2244725" cy="1558925"/>
            <wp:effectExtent l="0" t="0" r="3175" b="3175"/>
            <wp:wrapSquare wrapText="bothSides"/>
            <wp:docPr id="2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7"/>
                    <pic:cNvPicPr>
                      <a:picLocks noChangeAspect="1"/>
                    </pic:cNvPicPr>
                  </pic:nvPicPr>
                  <pic:blipFill>
                    <a:blip r:embed="rId326"/>
                    <a:stretch>
                      <a:fillRect/>
                    </a:stretch>
                  </pic:blipFill>
                  <pic:spPr>
                    <a:xfrm>
                      <a:off x="0" y="0"/>
                      <a:ext cx="2244725" cy="1558925"/>
                    </a:xfrm>
                    <a:prstGeom prst="rect">
                      <a:avLst/>
                    </a:prstGeom>
                    <a:noFill/>
                    <a:ln>
                      <a:noFill/>
                    </a:ln>
                  </pic:spPr>
                </pic:pic>
              </a:graphicData>
            </a:graphic>
          </wp:anchor>
        </w:drawing>
      </w:r>
      <w:r>
        <w:rPr>
          <w:rFonts w:hint="eastAsia" w:ascii="Calibri" w:hAnsi="Calibri" w:eastAsia="宋体" w:cs="Times New Roman"/>
          <w:sz w:val="24"/>
          <w:szCs w:val="24"/>
        </w:rPr>
        <w:t>Vue构建用户友好的前端界面</w:t>
      </w:r>
      <w:r>
        <w:rPr>
          <w:rFonts w:hint="eastAsia" w:ascii="Calibri" w:hAnsi="Calibri" w:eastAsia="宋体" w:cs="Times New Roman"/>
          <w:sz w:val="24"/>
          <w:szCs w:val="24"/>
          <w:lang w:eastAsia="zh-CN"/>
        </w:rPr>
        <w:t>，上层交互层。</w:t>
      </w:r>
      <w:r>
        <w:rPr>
          <w:rFonts w:hint="eastAsia" w:ascii="Calibri" w:hAnsi="Calibri" w:eastAsia="宋体" w:cs="Times New Roman"/>
          <w:sz w:val="24"/>
          <w:szCs w:val="24"/>
        </w:rPr>
        <w:t>Vue是基于JavaScript的渐进式前端框架，专注于构建用户界面（View层），处于技术栈的最上层，直接面向用户。其核心价值是“简化前端开发流程、提升用户交互体验”，通过组件化、响应式等特性，让开发者可快速构建复杂且易于维护的前端应用。</w:t>
      </w:r>
      <w:r>
        <w:rPr>
          <w:rFonts w:hint="eastAsia" w:ascii="Calibri" w:hAnsi="Calibri" w:eastAsia="宋体" w:cs="Times New Roman"/>
          <w:sz w:val="24"/>
          <w:szCs w:val="24"/>
          <w:lang w:val="en-US" w:eastAsia="zh-CN"/>
        </w:rPr>
        <w:t xml:space="preserve">                                             </w:t>
      </w:r>
      <w:r>
        <w:rPr>
          <w:rFonts w:hint="eastAsia" w:ascii="宋体" w:hAnsi="宋体" w:eastAsia="宋体" w:cs="宋体"/>
          <w:sz w:val="21"/>
          <w:szCs w:val="21"/>
          <w:lang w:val="en-US" w:eastAsia="zh-CN"/>
        </w:rPr>
        <w:t>图1.4 Vue技术</w:t>
      </w:r>
    </w:p>
    <w:p w14:paraId="0155D88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核心特性</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渐进式框架设计：可根据项目需求灵活引入功能模块（如路由、状态管理），无需一次性引入全部功能，适配从简单页面到复杂单页应用（SPA）的各类场景；响应式数据绑定：基于JavaScript的Object.defineProperty（Vue 2）或Proxy（Vue 3）实现数据劫持，当数据发生变化时，页面视图会自动更新，无需手动操作DOM，大幅提升开发效率；组件化开发模式：支持将页面拆分为独立的可复用组件（如按钮组件、卡片组件、NFT藏品展示组件），组件拥有独立的逻辑与视图，便于代码复用与团队协作；丰富的指令与生态：提供v-model（双向绑定）、v-for（循环渲染）、v-if（条件渲染）等内置指令，简化DOM操作；同时拥有Vue Router（路由管理）、Pinia（状态管理）、Vue CLI（工程化工具）等配套生态，支撑大型项目开发。</w:t>
      </w:r>
    </w:p>
    <w:p w14:paraId="03EEB66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在技术栈中的核心作用</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Vue作为上层交互层，直接承接用户操作，通过调用Node.js提供的API实现与后端的交互，核心职责是“构建友好的用户界面、提升交互体验”：实现页面布局与组件渲染（如NFT藏品列表、用户中心、交易页面等）；处理用户交互逻辑（如点击、输入、拖拽等操作），并通过axios等工具库向Node.js后端发送请求；接收后端返回的数据，通过响应式机制更新页面视图（如藏品数据加载、交易状态同步）；通过Vue Router实现页面路由跳转，构建单页应用体验；通过Pinia管理全局状态（如用户登录状态、购物车数据）。</w:t>
      </w:r>
    </w:p>
    <w:p w14:paraId="6EC806C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eastAsia="zh-CN"/>
        </w:rPr>
      </w:pPr>
      <w:r>
        <w:rPr>
          <w:rFonts w:hint="eastAsia" w:ascii="Calibri" w:hAnsi="Calibri" w:eastAsia="宋体" w:cs="Times New Roman"/>
          <w:sz w:val="24"/>
          <w:szCs w:val="24"/>
        </w:rPr>
        <w:t>从用户操作到数据响应的完整链路</w:t>
      </w:r>
      <w:r>
        <w:rPr>
          <w:rFonts w:hint="eastAsia" w:ascii="Calibri" w:hAnsi="Calibri" w:eastAsia="宋体" w:cs="Times New Roman"/>
          <w:sz w:val="24"/>
          <w:szCs w:val="24"/>
          <w:lang w:eastAsia="zh-CN"/>
        </w:rPr>
        <w:t>。</w:t>
      </w:r>
    </w:p>
    <w:p w14:paraId="6001C46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JavaScript、Node.js与Vue按“上层交互-中间服务-底层支撑”的层次协同工作，形成完整的Web应用开发链路，以NFT数字藏品系统为例，其协同流程如下：用户在Vue前端界面进行操作（如点击“购买NFT藏品”），Vue组件通过JavaScript编写的逻辑捕获该操作；Vue通过axios（JavaScript库）向Node.js后端发送HTTP请求，携带用户ID、藏品ID等参数；Node.js接收请求后，通过JavaScript编写的业务逻辑进行处理（如校验用户权限、查询藏品库存、调用区块链智能合约）；Node.js对接数据库或区块链节点，完成数据查询/修改后，将结果以JSON格式返回给Vue前端；Vue接收后端数据，通过响应式机制自动更新页面视图（如显示“购买成功”、更新用户藏品列表），完成整个交互流程。</w:t>
      </w:r>
    </w:p>
    <w:p w14:paraId="7F1BA32E">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1318334F">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团队由八名核心成员组成，分工如下：区块链架构师（1人）：负责整体区块链网络架构设计、Fabric网络部署与配置、共识机制与安全策略制定。智能合约开发工程师（2人）：负责使用Go语言编写、测试与部署链码，包括NFT资产合约、拍卖合约及相关的工具合约，确保合约安全性与高性能。后端开发工程师（2人）：负责基于微服务架构的后端业务系统开发，实现用户认证、拍品管理、支付集成、事件监听等核心API，并负责与区块链层、AI服务及存储服务的集成。前端开发工程师（2人）：负责Web3前端应用的开发，实现拍卖大厅、个人资产库、数字身份证查看器、管理员面板等模块，并确保与区块链钱包及后端API的流畅交互。AI/数据工程师（1人）：负责开发与维护图像比对AI模型，用于奢侈品真伪辅助鉴定，并设计数据分析模块，为平台提供交易趋势、价格预测等数据洞察</w:t>
      </w:r>
    </w:p>
    <w:p w14:paraId="56966626">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95456" behindDoc="0" locked="0" layoutInCell="1" allowOverlap="1">
            <wp:simplePos x="0" y="0"/>
            <wp:positionH relativeFrom="column">
              <wp:posOffset>308610</wp:posOffset>
            </wp:positionH>
            <wp:positionV relativeFrom="paragraph">
              <wp:posOffset>84455</wp:posOffset>
            </wp:positionV>
            <wp:extent cx="4584700" cy="1622425"/>
            <wp:effectExtent l="0" t="0" r="6350" b="15875"/>
            <wp:wrapTopAndBottom/>
            <wp:docPr id="2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8"/>
                    <pic:cNvPicPr>
                      <a:picLocks noChangeAspect="1"/>
                    </pic:cNvPicPr>
                  </pic:nvPicPr>
                  <pic:blipFill>
                    <a:blip r:embed="rId327"/>
                    <a:stretch>
                      <a:fillRect/>
                    </a:stretch>
                  </pic:blipFill>
                  <pic:spPr>
                    <a:xfrm>
                      <a:off x="0" y="0"/>
                      <a:ext cx="4584700" cy="1622425"/>
                    </a:xfrm>
                    <a:prstGeom prst="rect">
                      <a:avLst/>
                    </a:prstGeom>
                    <a:noFill/>
                    <a:ln>
                      <a:noFill/>
                    </a:ln>
                  </pic:spPr>
                </pic:pic>
              </a:graphicData>
            </a:graphic>
          </wp:anchor>
        </w:drawing>
      </w:r>
      <w:r>
        <w:rPr>
          <w:rFonts w:hint="eastAsia" w:ascii="宋体" w:hAnsi="宋体" w:eastAsia="宋体" w:cs="宋体"/>
          <w:sz w:val="21"/>
          <w:szCs w:val="21"/>
          <w:lang w:val="en-US" w:eastAsia="zh-CN"/>
        </w:rPr>
        <w:t>图1.5组织结构</w:t>
      </w:r>
    </w:p>
    <w:p w14:paraId="13AEF6EB">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4D6EC430">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5C8C2FC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系统需满足奢侈品拍卖全流程的可信、安全、高效与合规要求。功能性需求主要包括：1) NFT数字身份管理：支持为实体奢侈品生成唯一NFT，记录其元数据（品牌、型号、序列号、材质、生产日期）、多维度媒体文件（高清图、视频、3D扫描）哈希及所有权链。2) 权威鉴定与上链：建立与第三方权威鉴定机构的对接流程，鉴定结果经多方签名后上链，作为NFT的关键属性。3) 智能拍卖引擎：支持多种拍卖模式（如增价、降价、密封投标），通过智能合约自动处理竞价、计时、获胜者判定、违约金扣除等逻辑。4) 动态权限与角色管理：细粒度控制不同角色（平台管理员、品牌方、鉴定师、拍卖师、普通用户、监管机构）的权限，如数据查看、出价、流拍处理等。5) 交易与结算：集成法币及数字货币支付通道，实现保证金缴纳、尾款支付及自动分账（含佣金、版税）。6) 查询与验证：提供公开的NFT验证接口，任何人可通过NFT ID查询其全生命周期历史与当前状态。非功能性需求：高安全性与隐私性，需防篡改、防DDoS、保护交易隐私；高性能与可扩展性，支持高并发竞价与实时数据同步；合规性，遵循金融监管、反洗钱（AML）及奢侈品贸易相关法规；用户体验，界面直观，操作流畅，对区块链复杂性进行封装。</w:t>
      </w:r>
    </w:p>
    <w:p w14:paraId="196F1B8B">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1C6DF5B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技术可行性：Hyperledger Fabric作为成熟的联盟链框架，其权限管理、通道隔离与高性能共识机制非常适合奢侈品拍卖的多方协作场景。NFT作为数字所有权凭证的技术已标准化。AI图像识别、IPFS存储等技术均为成熟方案。整体技术栈风险可控。经济可行性：奢侈品拍卖市场体量巨大，数字化与可信化是明确趋势。平台可通过交易佣金、鉴定服务费、API服务、数据分析报告等实现盈利。初期投入虽高，但长期收益可观，且能显著降低行业摩擦成本。运营与法律可行性：联盟链模式便于引入权威机构作为可信节点，增强平台公信力。需与鉴定机构、品牌方、拍卖行建立合作伙伴关系。在法律层面，需明确链上数字身份的法律效力，可能需与司法存证机构合作。平台运营需建立严格的KYC/AML流程，并确保符合各国关于拍卖、奢侈品交易及数据隐私的法律法规。</w:t>
      </w:r>
    </w:p>
    <w:p w14:paraId="11B732D3">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15B9D2B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核心流程涉及四大关键阶段：1. 拍品登记与鉴定上链：物主提交拍品信息与实物，经平台合作的权威鉴定机构线下核验并出具数字鉴定证书。平台将拍品信息、鉴定证书哈希等铸造成唯一NFT，并记录首次所有权。2. 拍卖筹备：物主或拍卖行设置拍卖参数（起拍价、保留价、拍卖方式、时间），并缴纳保证金。NFT状态变更为“待拍卖”，并在拍卖大厅展示。3. 拍卖进行：符合条件的买家缴纳保证金后参与出价。所有出价实时上链，智能合约自动执行规则。拍卖结束时，合约自动判定获胜者，并将NFT所有权标记为转移至获胜者，同时锁定双方保证金。4. 交易结算与交割：获胜者在规定时间内支付尾款，智能合约触发自动分账（款项划给物主，佣金划给平台/拍卖行），并更新NFT所有权信息。同时，物流信息（如需）可选择性上链，完成交割闭环。整个流程中，鉴定机构、拍卖行、买卖双方等行为均被不可篡改地记录，构建了完整的信任链条。</w:t>
      </w:r>
    </w:p>
    <w:p w14:paraId="78F4C896">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796480" behindDoc="0" locked="0" layoutInCell="1" allowOverlap="1">
            <wp:simplePos x="0" y="0"/>
            <wp:positionH relativeFrom="column">
              <wp:posOffset>645795</wp:posOffset>
            </wp:positionH>
            <wp:positionV relativeFrom="paragraph">
              <wp:posOffset>135890</wp:posOffset>
            </wp:positionV>
            <wp:extent cx="3928110" cy="3403600"/>
            <wp:effectExtent l="0" t="0" r="15240" b="6350"/>
            <wp:wrapTopAndBottom/>
            <wp:docPr id="2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9"/>
                    <pic:cNvPicPr>
                      <a:picLocks noChangeAspect="1"/>
                    </pic:cNvPicPr>
                  </pic:nvPicPr>
                  <pic:blipFill>
                    <a:blip r:embed="rId328"/>
                    <a:stretch>
                      <a:fillRect/>
                    </a:stretch>
                  </pic:blipFill>
                  <pic:spPr>
                    <a:xfrm>
                      <a:off x="0" y="0"/>
                      <a:ext cx="3928110" cy="3403600"/>
                    </a:xfrm>
                    <a:prstGeom prst="rect">
                      <a:avLst/>
                    </a:prstGeom>
                    <a:noFill/>
                    <a:ln>
                      <a:noFill/>
                    </a:ln>
                  </pic:spPr>
                </pic:pic>
              </a:graphicData>
            </a:graphic>
          </wp:anchor>
        </w:drawing>
      </w:r>
      <w:r>
        <w:rPr>
          <w:rFonts w:hint="eastAsia" w:ascii="宋体" w:hAnsi="宋体" w:eastAsia="宋体" w:cs="宋体"/>
          <w:sz w:val="21"/>
          <w:szCs w:val="21"/>
          <w:lang w:val="en-US" w:eastAsia="zh-CN"/>
        </w:rPr>
        <w:t>图2.1用户需求分析用例图</w:t>
      </w:r>
    </w:p>
    <w:p w14:paraId="0CBE0D15">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48CEA4D5">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结构设计</w:t>
      </w:r>
    </w:p>
    <w:p w14:paraId="420F260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系统采用“联盟链核心+微服务中台+Web3前端”的混合架构。区块链信任层（Hyperledger Fabric）：由多个组织（品牌方、鉴定机构、拍卖行、平台方）共同维护的联盟链网络，是系统的信任基石。在此层部署核心链码：资产链码（管理NFT的生命周期）、拍卖链码（执行拍卖逻辑）、权限链码（管理成员身份与访问控制）。通过通道隔离不同拍卖场或业务线。业务中台层（微服务集群）：构建于区块链之上，处理复杂业务逻辑与链下协作。包括：用户服务、拍品服务（管理拍品元数据、AI鉴定接口）、拍卖管理服务（管理拍卖会话、定时任务）、支付服务、事件监听服务（监听链上事件并更新业务状态）等。这些服务通过API网关对外提供统一接口。数据与存储层：采用混合存储。链上：存储NFT核心哈希、所有权变更、关键事件等轻量级高价值数据。链下：使用关系型数据库（如PostgreSQL）存储丰富的拍品描述、用户资料；使用IPFS/分布式存储 存储高清媒体文件；使用Redis 缓存热点数据（如正在进行中的拍卖状态）。前端表现层：提供Web应用和移动端适配，使用React等框架开发。集成专用钱包组件，用于管理用户的联盟链数字身份证书（而非以太坊公私钥），提供无缝的登录与交易签名体验。</w:t>
      </w:r>
    </w:p>
    <w:p w14:paraId="0E6A908E">
      <w:pPr>
        <w:bidi w:val="0"/>
        <w:rPr>
          <w:rFonts w:ascii="Calibri" w:hAnsi="Calibri" w:eastAsia="宋体" w:cs="Times New Roman"/>
        </w:rPr>
      </w:pPr>
      <w:r>
        <w:rPr>
          <w:rFonts w:ascii="Calibri" w:hAnsi="Calibri" w:eastAsia="宋体" w:cs="Times New Roman"/>
        </w:rPr>
        <w:drawing>
          <wp:inline distT="0" distB="0" distL="0" distR="0">
            <wp:extent cx="5274310" cy="2548890"/>
            <wp:effectExtent l="0" t="0" r="2540" b="3810"/>
            <wp:docPr id="83546400"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6400" name="图片 1" descr="图形用户界面, 网站&#10;&#10;描述已自动生成"/>
                    <pic:cNvPicPr>
                      <a:picLocks noChangeAspect="1"/>
                    </pic:cNvPicPr>
                  </pic:nvPicPr>
                  <pic:blipFill>
                    <a:blip r:embed="rId329"/>
                    <a:stretch>
                      <a:fillRect/>
                    </a:stretch>
                  </pic:blipFill>
                  <pic:spPr>
                    <a:xfrm>
                      <a:off x="0" y="0"/>
                      <a:ext cx="5274310" cy="2548890"/>
                    </a:xfrm>
                    <a:prstGeom prst="rect">
                      <a:avLst/>
                    </a:prstGeom>
                  </pic:spPr>
                </pic:pic>
              </a:graphicData>
            </a:graphic>
          </wp:inline>
        </w:drawing>
      </w:r>
    </w:p>
    <w:p w14:paraId="6A3FBE68">
      <w:pPr>
        <w:jc w:val="center"/>
        <w:rPr>
          <w:rFonts w:hint="default" w:ascii="Calibri" w:hAnsi="Calibri" w:eastAsia="宋体" w:cs="Times New Roman"/>
          <w:lang w:val="en-US" w:eastAsia="zh-CN"/>
        </w:rPr>
      </w:pPr>
      <w:r>
        <w:rPr>
          <w:rFonts w:hint="eastAsia" w:ascii="Calibri" w:hAnsi="Calibri" w:eastAsia="宋体" w:cs="Times New Roman"/>
          <w:lang w:val="en-US" w:eastAsia="zh-CN"/>
        </w:rPr>
        <w:t>图4.1 系统首页</w:t>
      </w:r>
    </w:p>
    <w:p w14:paraId="531152C2">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405AD63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数字身份（NFT）管理模块：核心模块，提供NFT的铸造（Mint）、查询（Query）、转移（Transfer）及销毁（Burn）接口。每个NFT对应一个结构体，包含唯一ID、物主地址、元数据URI（指向IPFS上的详细信息）、鉴定记录数组、交易历史哈希等。</w:t>
      </w:r>
    </w:p>
    <w:p w14:paraId="165397A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拍卖智能合约模块：包含多个可配置的拍卖合约模板。主要函数有：`createAuction`（创建拍卖）、`placeBid`（出价）、`endAuction`（结束拍卖并结算）、`cancelAuction`（流拍处理）。合约自动处理保证金锁定、最高价更新、倒计时及获胜者判定。</w:t>
      </w:r>
    </w:p>
    <w:p w14:paraId="7E01C5B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权威鉴定与验证模块：提供标准化接口供合作鉴定机构接入。鉴定师使用其数字证书对鉴定结果签名，该签名与结果一起上链，成为NFT不可分割的一部分。前端提供验证工具，可一键验证NFT对应实物的鉴定真伪。</w:t>
      </w:r>
    </w:p>
    <w:p w14:paraId="693A9A3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动态权限管理模块：基于Fabric MSP和链码级别的属性基础访问控制（ABAC）。定义如`品牌方`、`高级鉴定师`、`认证买家`等属性，控制其对特定频道、链码函数甚至数据的访问权限。</w:t>
      </w:r>
    </w:p>
    <w:p w14:paraId="1718609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交易支付与结算模块：对接银行支付网关或合规的数字货币支付服务。当智能合约判定交易完成后，该模块自动执行法币划转或链上资产转移，并生成电子凭证。支持自动分润，将款项分给卖家、平台、拍卖行等。</w:t>
      </w:r>
    </w:p>
    <w:p w14:paraId="1A6D359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数据查询与分析看板：为不同角色提供定制化数据视图。普通用户可查询拍品历史；拍卖行可分析市场热度、价格趋势；品牌方可追踪其商品流通路径；监管机构可获得透明的审计线索。</w:t>
      </w:r>
    </w:p>
    <w:p w14:paraId="1AC7CC7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数字身份（NFT）管理模块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作为系统核心模块，负责NFT的全生命周期管理，实现实物资产数字身份的创建、查询、转移及销毁，是其他模块的基础依赖。</w:t>
      </w:r>
    </w:p>
    <w:p w14:paraId="75C46F59">
      <w:pPr>
        <w:spacing w:line="440" w:lineRule="exact"/>
        <w:ind w:firstLine="480" w:firstLineChars="200"/>
        <w:rPr>
          <w:rFonts w:hint="eastAsia" w:ascii="Calibri" w:hAnsi="Calibri" w:eastAsia="宋体" w:cs="Times New Roman"/>
          <w:sz w:val="24"/>
          <w:szCs w:val="24"/>
          <w:lang w:eastAsia="zh-CN"/>
        </w:rPr>
      </w:pPr>
      <w:r>
        <w:rPr>
          <w:rFonts w:hint="eastAsia" w:ascii="Calibri" w:hAnsi="Calibri" w:eastAsia="宋体" w:cs="Times New Roman"/>
          <w:sz w:val="24"/>
          <w:szCs w:val="24"/>
        </w:rPr>
        <w:t>核心数据结构</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定义NFT结构体（NFTInfo），存储NFT核心信息</w:t>
      </w:r>
      <w:r>
        <w:rPr>
          <w:rFonts w:hint="eastAsia" w:ascii="Calibri" w:hAnsi="Calibri" w:eastAsia="宋体" w:cs="Times New Roman"/>
          <w:sz w:val="24"/>
          <w:szCs w:val="24"/>
          <w:lang w:eastAsia="zh-CN"/>
        </w:rPr>
        <w:t>。</w:t>
      </w:r>
    </w:p>
    <w:tbl>
      <w:tblPr>
        <w:tblStyle w:val="35"/>
        <w:tblW w:w="0" w:type="auto"/>
        <w:tblInd w:w="135"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45"/>
      </w:tblGrid>
      <w:tr w14:paraId="1D023E9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45" w:type="dxa"/>
            <w:shd w:val="clear" w:color="auto" w:fill="F5F6F7"/>
            <w:tcMar>
              <w:top w:w="60" w:type="dxa"/>
              <w:left w:w="120" w:type="dxa"/>
              <w:bottom w:w="30" w:type="dxa"/>
              <w:right w:w="120" w:type="dxa"/>
            </w:tcMar>
          </w:tcPr>
          <w:p w14:paraId="12BB514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 NFTInfo NFT核心结构体（链上存储）</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NFTInfo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NFTID          string   `json:"nftId"`          // NFT唯一ID，由系统自动生成（格式：NFT-时间戳-随机数）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OwnerAddress   string   `json:"ownerAddress"`   // 物主区块链地址</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MetadataURI    string   `json:"metadataURI"`    // 元数据URI，指向IPFS上存储的实物详细信息（名称、规格、产地、图片等）</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CertificationRecords []CertRecord `json:"certificationRecords"` // 鉴定记录数组</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TransactionHistoryHashes []string `json:"transactionHistoryHashes"` // 交易历史哈希，关联链上交易记录</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CreateTime     int64    `json:"createTime"`     // 铸造时间（时间戳）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Status         int      `json:"status"`         // 状态：0-正常，1-已销毁，2-冻结（拍卖中）</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r>
              <w:rPr>
                <w:rFonts w:hint="eastAsia" w:ascii="Calibri" w:hAnsi="Calibri" w:eastAsia="宋体" w:cs="Times New Roman"/>
                <w:sz w:val="24"/>
                <w:szCs w:val="24"/>
              </w:rPr>
              <w:br w:type="textWrapping"/>
            </w:r>
            <w:r>
              <w:rPr>
                <w:rFonts w:hint="eastAsia" w:ascii="Calibri" w:hAnsi="Calibri" w:eastAsia="宋体" w:cs="Times New Roman"/>
                <w:sz w:val="24"/>
                <w:szCs w:val="24"/>
              </w:rPr>
              <w:br w:type="textWrapping"/>
            </w:r>
            <w:r>
              <w:rPr>
                <w:rFonts w:hint="eastAsia" w:ascii="Calibri" w:hAnsi="Calibri" w:eastAsia="宋体" w:cs="Times New Roman"/>
                <w:sz w:val="24"/>
                <w:szCs w:val="24"/>
              </w:rPr>
              <w:t>// CertRecord 鉴定记录结构体</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CertRecord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CertID        string `json:"certID"`        // 鉴定记录ID</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CertOrg       string `json:"certOrg"`       // 鉴定机构名称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Certifier     string `json:"certifier"`     // 鉴定师数字证书地址</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CertResult    string `json:"certResult"`    // 鉴定结果（如：真品、仿品、修复品）</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CertSignature string `json:"certSignature"` // 鉴定师签名（基于数字证书）</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CertTime      int64  `json:"certTime"`      // 鉴定时间（时间戳）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44C379B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核心接口设计</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模块提供链码接口与API接口，链码接口实现核心业务逻辑，API接口供前端应用调用：</w:t>
      </w:r>
    </w:p>
    <w:p w14:paraId="3CA65F7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链码接口</w:t>
      </w:r>
    </w:p>
    <w:p w14:paraId="6AC9AA21">
      <w:pPr>
        <w:spacing w:line="440" w:lineRule="exact"/>
        <w:ind w:left="479" w:leftChars="228" w:firstLine="0" w:firstLineChars="0"/>
        <w:rPr>
          <w:rFonts w:hint="eastAsia" w:ascii="Calibri" w:hAnsi="Calibri" w:eastAsia="宋体" w:cs="Times New Roman"/>
          <w:sz w:val="24"/>
          <w:szCs w:val="24"/>
        </w:rPr>
      </w:pPr>
      <w:r>
        <w:rPr>
          <w:rFonts w:hint="eastAsia" w:ascii="Calibri" w:hAnsi="Calibri" w:eastAsia="宋体" w:cs="Times New Roman"/>
          <w:sz w:val="24"/>
          <w:szCs w:val="24"/>
        </w:rPr>
        <w:t>MintNFT：NFT铸造接口</w:t>
      </w:r>
      <w:r>
        <w:rPr>
          <w:rFonts w:hint="eastAsia" w:ascii="Calibri" w:hAnsi="Calibri" w:eastAsia="宋体" w:cs="Times New Roman"/>
          <w:sz w:val="24"/>
          <w:szCs w:val="24"/>
        </w:rPr>
        <w:br w:type="textWrapping"/>
      </w:r>
      <w:r>
        <w:rPr>
          <w:rFonts w:hint="eastAsia" w:ascii="Calibri" w:hAnsi="Calibri" w:eastAsia="宋体" w:cs="Times New Roman"/>
          <w:sz w:val="24"/>
          <w:szCs w:val="24"/>
        </w:rPr>
        <w:t>功能：接收实物资产信息，上传元数据至IPFS，生成NFT并上链；</w:t>
      </w:r>
    </w:p>
    <w:p w14:paraId="32B7DFA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参数：ownerAddress（物主地址）、metadata（实物元数据）、creatorAddress（铸造者地址）；</w:t>
      </w:r>
    </w:p>
    <w:p w14:paraId="4F0E118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返回：NFTID、metadataURI、创建时间；</w:t>
      </w:r>
    </w:p>
    <w:p w14:paraId="06C0BEA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权限：仅品牌方、认证机构可调用。</w:t>
      </w:r>
    </w:p>
    <w:p w14:paraId="69CA8E24">
      <w:pPr>
        <w:spacing w:line="440" w:lineRule="exact"/>
        <w:ind w:left="479" w:leftChars="228" w:firstLine="0" w:firstLineChars="0"/>
        <w:rPr>
          <w:rFonts w:hint="eastAsia" w:ascii="Calibri" w:hAnsi="Calibri" w:eastAsia="宋体" w:cs="Times New Roman"/>
          <w:sz w:val="24"/>
          <w:szCs w:val="24"/>
        </w:rPr>
      </w:pPr>
      <w:r>
        <w:rPr>
          <w:rFonts w:hint="eastAsia" w:ascii="Calibri" w:hAnsi="Calibri" w:eastAsia="宋体" w:cs="Times New Roman"/>
          <w:sz w:val="24"/>
          <w:szCs w:val="24"/>
        </w:rPr>
        <w:t>QueryNFT：NFT查询接口</w:t>
      </w:r>
      <w:r>
        <w:rPr>
          <w:rFonts w:hint="eastAsia" w:ascii="Calibri" w:hAnsi="Calibri" w:eastAsia="宋体" w:cs="Times New Roman"/>
          <w:sz w:val="24"/>
          <w:szCs w:val="24"/>
        </w:rPr>
        <w:br w:type="textWrapping"/>
      </w:r>
      <w:r>
        <w:rPr>
          <w:rFonts w:hint="eastAsia" w:ascii="Calibri" w:hAnsi="Calibri" w:eastAsia="宋体" w:cs="Times New Roman"/>
          <w:sz w:val="24"/>
          <w:szCs w:val="24"/>
        </w:rPr>
        <w:t>功能：根据NFTID或物主地址查询NFT详细信息；</w:t>
      </w:r>
    </w:p>
    <w:p w14:paraId="3024713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参数：queryType（查询类型：1-按NFTID，2-按物主地址）、queryValue（查询值）；</w:t>
      </w:r>
    </w:p>
    <w:p w14:paraId="164A83A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返回：NFTInfo结构体或NFT列表；</w:t>
      </w:r>
    </w:p>
    <w:p w14:paraId="3124446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权限：所有已认证用户均可调用。</w:t>
      </w:r>
    </w:p>
    <w:p w14:paraId="3153485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TransferNFT：NFT转移接口</w:t>
      </w:r>
    </w:p>
    <w:p w14:paraId="776B7BE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功能：实现NFT所有权的转移，更新链上NFTInfo的OwnerAddress字段；</w:t>
      </w:r>
    </w:p>
    <w:p w14:paraId="71A1AFC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参数：nftId（NFTID）、fromAddress（转出地址）、toAddress（转入地址）、signature（转出方签名）；</w:t>
      </w:r>
    </w:p>
    <w:p w14:paraId="07F3719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返回：转移结果（成功/失败）、交易哈希；</w:t>
      </w:r>
    </w:p>
    <w:p w14:paraId="1225BC6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权限：仅NFT当前所有者或授权第三方可调用。</w:t>
      </w:r>
    </w:p>
    <w:p w14:paraId="4FD89CB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BurnNFT：NFT销毁接口</w:t>
      </w:r>
    </w:p>
    <w:p w14:paraId="5687D40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功能：将NFT状态设置为“已销毁”，使其数字身份失效；</w:t>
      </w:r>
    </w:p>
    <w:p w14:paraId="698AA5E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参数：nftId（NFTID）、ownerAddress（所有者地址）、signature（所有者签名）；</w:t>
      </w:r>
    </w:p>
    <w:p w14:paraId="4FD3478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返回：销毁结果（成功/失败）；</w:t>
      </w:r>
    </w:p>
    <w:p w14:paraId="6CB31E0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权限：仅NFT所有者、品牌方或监管机构可调用。</w:t>
      </w:r>
    </w:p>
    <w:p w14:paraId="0B5EB459">
      <w:pPr>
        <w:spacing w:line="440" w:lineRule="exact"/>
        <w:ind w:firstLine="480" w:firstLineChars="200"/>
        <w:rPr>
          <w:rFonts w:hint="eastAsia" w:ascii="Calibri" w:hAnsi="Calibri" w:eastAsia="宋体" w:cs="Times New Roman"/>
          <w:sz w:val="24"/>
          <w:szCs w:val="24"/>
          <w:lang w:eastAsia="zh-CN"/>
        </w:rPr>
      </w:pPr>
      <w:r>
        <w:rPr>
          <w:rFonts w:hint="eastAsia" w:ascii="Calibri" w:hAnsi="Calibri" w:eastAsia="宋体" w:cs="Times New Roman"/>
          <w:sz w:val="24"/>
          <w:szCs w:val="24"/>
        </w:rPr>
        <w:t>API接口基于RESTful规范设计，通过网关对接链码接口</w:t>
      </w:r>
      <w:r>
        <w:rPr>
          <w:rFonts w:hint="eastAsia" w:ascii="Calibri" w:hAnsi="Calibri" w:eastAsia="宋体" w:cs="Times New Roman"/>
          <w:sz w:val="24"/>
          <w:szCs w:val="24"/>
          <w:lang w:eastAsia="zh-CN"/>
        </w:rPr>
        <w:t>。</w:t>
      </w:r>
    </w:p>
    <w:p w14:paraId="306176B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POST /api/v1/nft/mint：NFT铸造API，接收前端传递的实物信息，调用MintNFT链码接口；</w:t>
      </w:r>
    </w:p>
    <w:p w14:paraId="6FC77B8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GET /api/v1/nft/query：NFT查询API，支持按NFTID或物主地址查询；</w:t>
      </w:r>
    </w:p>
    <w:p w14:paraId="1C988E2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POST /api/v1/nft/transfer：NFT转移API，接收转移双方地址、NFTID等参数，调用TransferNFT链码接口；</w:t>
      </w:r>
    </w:p>
    <w:p w14:paraId="4CDDB31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POST /api/v1/nft/burn：NFT销毁API，接收NFTID、所有者签名等参数，调用BurnNFT链码接口。</w:t>
      </w:r>
    </w:p>
    <w:p w14:paraId="7A1090C7">
      <w:pPr>
        <w:spacing w:line="440" w:lineRule="exact"/>
        <w:ind w:firstLine="480" w:firstLineChars="200"/>
        <w:rPr>
          <w:rFonts w:hint="eastAsia" w:ascii="Calibri" w:hAnsi="Calibri" w:eastAsia="宋体" w:cs="Times New Roman"/>
          <w:sz w:val="24"/>
          <w:szCs w:val="24"/>
          <w:lang w:eastAsia="zh-CN"/>
        </w:rPr>
      </w:pPr>
      <w:r>
        <w:rPr>
          <w:rFonts w:hint="eastAsia" w:ascii="Calibri" w:hAnsi="Calibri" w:eastAsia="宋体" w:cs="Times New Roman"/>
          <w:sz w:val="24"/>
          <w:szCs w:val="24"/>
        </w:rPr>
        <w:t>拍卖智能合约模块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提供可配置的拍卖合约模板，支持NFT资产的拍卖交易，实现拍卖创建、出价、结束、流拍处理等全流程自动化，保障拍卖过程的透明、公平、公正。定义拍卖信息结构体（AuctionInfo），存储拍卖核心信息</w:t>
      </w:r>
      <w:r>
        <w:rPr>
          <w:rFonts w:hint="eastAsia" w:ascii="Calibri" w:hAnsi="Calibri" w:eastAsia="宋体" w:cs="Times New Roman"/>
          <w:sz w:val="24"/>
          <w:szCs w:val="24"/>
          <w:lang w:eastAsia="zh-CN"/>
        </w:rPr>
        <w:t>。</w:t>
      </w:r>
    </w:p>
    <w:tbl>
      <w:tblPr>
        <w:tblStyle w:val="35"/>
        <w:tblW w:w="0" w:type="auto"/>
        <w:tblInd w:w="153"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8127"/>
      </w:tblGrid>
      <w:tr w14:paraId="2097CB8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127" w:type="dxa"/>
            <w:shd w:val="clear" w:color="auto" w:fill="F5F6F7"/>
            <w:tcMar>
              <w:top w:w="60" w:type="dxa"/>
              <w:left w:w="120" w:type="dxa"/>
              <w:bottom w:w="30" w:type="dxa"/>
              <w:right w:w="120" w:type="dxa"/>
            </w:tcMar>
          </w:tcPr>
          <w:p w14:paraId="512A581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go</w:t>
            </w:r>
            <w:r>
              <w:rPr>
                <w:rFonts w:hint="eastAsia" w:ascii="Calibri" w:hAnsi="Calibri" w:eastAsia="宋体" w:cs="Times New Roman"/>
                <w:sz w:val="24"/>
                <w:szCs w:val="24"/>
              </w:rPr>
              <w:br w:type="textWrapping"/>
            </w:r>
            <w:r>
              <w:rPr>
                <w:rFonts w:hint="eastAsia" w:ascii="Calibri" w:hAnsi="Calibri" w:eastAsia="宋体" w:cs="Times New Roman"/>
                <w:sz w:val="24"/>
                <w:szCs w:val="24"/>
              </w:rPr>
              <w:t>// AuctionInfo 拍卖信息结构体（链上存储）</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AuctionInfo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AuctionID     string  `json:"auctionID"`     // 拍卖ID，自动生成（格式：AUCTION-时间戳-随机数）</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NFTID         string  `json:"nftID"`         // 拍卖NFTID，关联NFTInfo</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SellerAddress string  `json:"sellerAddress"` // 卖家地址</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BasePrice     float64 `json:"basePrice"`     // 起拍价（单位：元）</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CurrentHighestPrice float64 `json:"currentHighestPrice"` // 当前最高价</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CurrentWinner string  `json:"currentWinner"` // 当前最高价出价者地址</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DepositAmount float64 `json:"depositAmount"` // 保证金金额</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StartTime     int64   `json:"startTime"`     // 拍卖开始时间（时间戳）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EndTime       int64   `json:"endTime"`       // 拍卖结束时间（时间戳）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Status        int     `json:"status"`        // 状态：0-未开始，1-进行中，2-已结束，3-已取消（流拍）</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BidRecords    []BidRecord `json:"bidRecords"` // 出价记录</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r>
              <w:rPr>
                <w:rFonts w:hint="eastAsia" w:ascii="Calibri" w:hAnsi="Calibri" w:eastAsia="宋体" w:cs="Times New Roman"/>
                <w:sz w:val="24"/>
                <w:szCs w:val="24"/>
              </w:rPr>
              <w:br w:type="textWrapping"/>
            </w:r>
            <w:r>
              <w:rPr>
                <w:rFonts w:hint="eastAsia" w:ascii="Calibri" w:hAnsi="Calibri" w:eastAsia="宋体" w:cs="Times New Roman"/>
                <w:sz w:val="24"/>
                <w:szCs w:val="24"/>
              </w:rPr>
              <w:br w:type="textWrapping"/>
            </w:r>
            <w:r>
              <w:rPr>
                <w:rFonts w:hint="eastAsia" w:ascii="Calibri" w:hAnsi="Calibri" w:eastAsia="宋体" w:cs="Times New Roman"/>
                <w:sz w:val="24"/>
                <w:szCs w:val="24"/>
              </w:rPr>
              <w:t>// BidRecord 出价记录结构体</w:t>
            </w:r>
            <w:r>
              <w:rPr>
                <w:rFonts w:hint="eastAsia" w:ascii="Calibri" w:hAnsi="Calibri" w:eastAsia="宋体" w:cs="Times New Roman"/>
                <w:sz w:val="24"/>
                <w:szCs w:val="24"/>
              </w:rPr>
              <w:br w:type="textWrapping"/>
            </w:r>
            <w:r>
              <w:rPr>
                <w:rFonts w:hint="eastAsia" w:ascii="Calibri" w:hAnsi="Calibri" w:eastAsia="宋体" w:cs="Times New Roman"/>
                <w:sz w:val="24"/>
                <w:szCs w:val="24"/>
              </w:rPr>
              <w:t>type BidRecord struct {</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BidderAddress string  `json:"bidderAddress"` // 出价者地址</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BidPrice      float64 `json:"bidPrice"`      // 出价金额</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BidTime       int64   `json:"bidTime"`       // 出价时间（时间戳）</w:t>
            </w:r>
            <w:r>
              <w:rPr>
                <w:rFonts w:hint="eastAsia" w:ascii="Calibri" w:hAnsi="Calibri" w:eastAsia="宋体" w:cs="Times New Roman"/>
                <w:sz w:val="24"/>
                <w:szCs w:val="24"/>
              </w:rPr>
              <w:br w:type="textWrapping"/>
            </w:r>
            <w:r>
              <w:rPr>
                <w:rFonts w:hint="eastAsia" w:ascii="Calibri" w:hAnsi="Calibri" w:eastAsia="宋体" w:cs="Times New Roman"/>
                <w:sz w:val="24"/>
                <w:szCs w:val="24"/>
              </w:rPr>
              <w:t xml:space="preserve">    DepositStatus int     `json:"depositStatus"` // 保证金状态：0-已锁定，1-已退还，2-已抵扣</w:t>
            </w:r>
            <w:r>
              <w:rPr>
                <w:rFonts w:hint="eastAsia" w:ascii="Calibri" w:hAnsi="Calibri" w:eastAsia="宋体" w:cs="Times New Roman"/>
                <w:sz w:val="24"/>
                <w:szCs w:val="24"/>
              </w:rPr>
              <w:br w:type="textWrapping"/>
            </w:r>
            <w:r>
              <w:rPr>
                <w:rFonts w:hint="eastAsia" w:ascii="Calibri" w:hAnsi="Calibri" w:eastAsia="宋体" w:cs="Times New Roman"/>
                <w:sz w:val="24"/>
                <w:szCs w:val="24"/>
              </w:rPr>
              <w:t>}</w:t>
            </w:r>
          </w:p>
        </w:tc>
      </w:tr>
    </w:tbl>
    <w:p w14:paraId="6181142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核心函数设计</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模块核心功能通过智能合约函数实现，支持拍卖全流程自动化处理：</w:t>
      </w:r>
    </w:p>
    <w:p w14:paraId="0EDD1F7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createAuction：创建拍卖</w:t>
      </w:r>
    </w:p>
    <w:p w14:paraId="54AB52E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功能：初始化拍卖信息，锁定拍卖NFT（设置NFT状态为“冻结”），扣取卖家保证金；</w:t>
      </w:r>
    </w:p>
    <w:p w14:paraId="03FF306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参数：nftId（NFTID）、basePrice（起拍价）、depositAmount（保证金金额）、startTime（开始时间）、endTime（结束时间）、sellerSignature（卖家签名）；</w:t>
      </w:r>
    </w:p>
    <w:p w14:paraId="0179484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返回：auctionID（拍卖ID）、创建结果；</w:t>
      </w:r>
    </w:p>
    <w:p w14:paraId="7B5375A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权限：仅NFT当前所有者可调用。</w:t>
      </w:r>
    </w:p>
    <w:p w14:paraId="1FA5340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placeBid：出价</w:t>
      </w:r>
    </w:p>
    <w:p w14:paraId="4ED8B9E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功能：接收买家出价，验证出价金额（需高于当前最高价），锁定买家保证金，更新当前最高价与获胜者；</w:t>
      </w:r>
    </w:p>
    <w:p w14:paraId="709E967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参数：auctionID（拍卖ID）、bidPrice（出价金额）、bidderAddress（出价者地址）、bidderSignature（出价者签名）；</w:t>
      </w:r>
    </w:p>
    <w:p w14:paraId="0FA9BFF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返回：出价结果、当前最高价；</w:t>
      </w:r>
    </w:p>
    <w:p w14:paraId="06831BE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权限：所有已认证买家可调用（需完成保证金缴纳）。</w:t>
      </w:r>
    </w:p>
    <w:p w14:paraId="1094AC8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endAuction：结束拍卖并结算</w:t>
      </w:r>
    </w:p>
    <w:p w14:paraId="4DF4C66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功能：验证拍卖是否已结束，若有获胜者，执行NFT转移（从卖家到获胜者）、保证金抵扣与退还、资金分润；若无数，标记为流拍；</w:t>
      </w:r>
    </w:p>
    <w:p w14:paraId="6777A03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参数：auctionID（拍卖ID）；</w:t>
      </w:r>
    </w:p>
    <w:p w14:paraId="565E9E3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返回：结算结果、交易哈希；</w:t>
      </w:r>
    </w:p>
    <w:p w14:paraId="04CA383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权限：任何人可调用（触发自动结算逻辑）。</w:t>
      </w:r>
    </w:p>
    <w:p w14:paraId="3C464B3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cancelAuction：流拍处理</w:t>
      </w:r>
    </w:p>
    <w:p w14:paraId="46E82D6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功能：处理流拍场景，解锁NFT（恢复状态为“正常”），退还卖家与所有买家的保证金；</w:t>
      </w:r>
    </w:p>
    <w:p w14:paraId="1291C10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参数：auctionID（拍卖ID）、sellerAddress（卖家地址）；</w:t>
      </w:r>
    </w:p>
    <w:p w14:paraId="0265758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返回：流拍处理结果；</w:t>
      </w:r>
    </w:p>
    <w:p w14:paraId="525F366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权限：仅卖家或系统管理员可调用（需在拍卖结束后且无数获胜者时）。</w:t>
      </w:r>
    </w:p>
    <w:p w14:paraId="357FF0C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权威鉴定与验证模块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构建标准化的鉴定体系，支持合作鉴定机构接入，实现NFT对应实物资产的权威鉴定，同时提供前端验证工具，保障NFT的真实性与可信度。</w:t>
      </w:r>
    </w:p>
    <w:p w14:paraId="7595237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鉴定机构接入流程</w:t>
      </w:r>
    </w:p>
    <w:p w14:paraId="2155488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鉴定机构提交资质材料（营业执照、鉴定资质证书等）至系统审核；</w:t>
      </w:r>
    </w:p>
    <w:p w14:paraId="18F7E5B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审核通过后，系统为机构分配唯一标识，为鉴定师签发数字证书；</w:t>
      </w:r>
    </w:p>
    <w:p w14:paraId="48568F5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鉴定机构通过标准化接口接入系统，实现鉴定结果的上传与签名上链。</w:t>
      </w:r>
    </w:p>
    <w:p w14:paraId="71A3E83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鉴定流程</w:t>
      </w:r>
    </w:p>
    <w:p w14:paraId="7CC49EB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用户发起鉴定申请，提交NFTID及实物资产相关信息；</w:t>
      </w:r>
    </w:p>
    <w:p w14:paraId="4C838EA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鉴定机构接收申请，安排鉴定师对实物进行鉴定；</w:t>
      </w:r>
    </w:p>
    <w:p w14:paraId="4227C8C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鉴定师完成鉴定后，生成鉴定结果，使用个人数字证书对结果签名；</w:t>
      </w:r>
    </w:p>
    <w:p w14:paraId="5EE642E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系统调用NFT管理模块接口，将鉴定记录（含签名）写入对应NFT的CertificationRecords数组；</w:t>
      </w:r>
    </w:p>
    <w:p w14:paraId="2AEC5EF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鉴定完成，系统向用户推送鉴定结果通知。</w:t>
      </w:r>
    </w:p>
    <w:p w14:paraId="376F8FE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验证工具设计</w:t>
      </w:r>
    </w:p>
    <w:p w14:paraId="7760D12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前端提供一键验证功能，核心逻辑如下：</w:t>
      </w:r>
    </w:p>
    <w:p w14:paraId="73F1C3D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用户输入NFTID或扫描NFT对应二维码；</w:t>
      </w:r>
    </w:p>
    <w:p w14:paraId="58570D2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系统查询链上NFT的CertificationRecords数组，获取鉴定记录及鉴定师签名；</w:t>
      </w:r>
    </w:p>
    <w:p w14:paraId="5740FBF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通过鉴定机构的公钥验证签名有效性；</w:t>
      </w:r>
    </w:p>
    <w:p w14:paraId="5021D15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展示验证结果（鉴定机构、鉴定师、鉴定结果、签名有效性）。</w:t>
      </w:r>
    </w:p>
    <w:p w14:paraId="2D4C1D6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核心接口设计</w:t>
      </w:r>
    </w:p>
    <w:p w14:paraId="0640EC2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submitCertApplication：提交鉴定申请API；</w:t>
      </w:r>
    </w:p>
    <w:p w14:paraId="31388DA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uploadCertResult：上传鉴定结果API（鉴定机构专用）；</w:t>
      </w:r>
    </w:p>
    <w:p w14:paraId="6E372F1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verifyCert：鉴定结果验证API（前端验证工具调用）；</w:t>
      </w:r>
    </w:p>
    <w:p w14:paraId="00B535F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queryCertRecords：查询鉴定记录API。</w:t>
      </w:r>
    </w:p>
    <w:p w14:paraId="4B6C4C3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动态权限管理模块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基于Hyperledger Fabric MSP与ABAC模型，实现精细化的权限管控，定义不同角色的属性与权限范围，保障系统资源的安全访问。</w:t>
      </w:r>
    </w:p>
    <w:p w14:paraId="257F89B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角色与属性定义</w:t>
      </w:r>
    </w:p>
    <w:p w14:paraId="402833C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系统定义以下核心角色及对应属性：</w:t>
      </w:r>
    </w:p>
    <w:p w14:paraId="1279857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品牌方：属性包括brandID（品牌ID）、brandName（品牌名称）、authorized（是否授权）；</w:t>
      </w:r>
    </w:p>
    <w:p w14:paraId="661A557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高级鉴定师：属性包括certOrg（所属鉴定机构）、certLevel（鉴定等级：高级）、certValid（证书有效性）；</w:t>
      </w:r>
    </w:p>
    <w:p w14:paraId="2F1E8E7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认证买家：属性包括buyerID（买家ID）、certified（是否认证）、creditScore（信用分）；</w:t>
      </w:r>
    </w:p>
    <w:p w14:paraId="6BE25FB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拍卖行：属性包括auctionHouseID（拍卖行ID）、auctionHouseName（拍卖行名称）、qualified（是否具备资质）；</w:t>
      </w:r>
    </w:p>
    <w:p w14:paraId="191F26F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监管机构：属性包括regOrg（监管机构名称）、regPermission（监管权限范围）。</w:t>
      </w:r>
    </w:p>
    <w:p w14:paraId="206EE8D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权限控制逻辑</w:t>
      </w:r>
    </w:p>
    <w:p w14:paraId="3CCD5FB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基于ABAC模型，通过“主体属性-资源-操作”的三元组实现权限控制：</w:t>
      </w:r>
    </w:p>
    <w:p w14:paraId="070C7A1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主体：系统用户，携带自身属性（如角色、所属机构等）；</w:t>
      </w:r>
    </w:p>
    <w:p w14:paraId="1C070956">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资源：系统资源，包括频道（Channel）、链码（Chaincode）、函数（Function）、数据（如NFT信息、拍卖信息）；</w:t>
      </w:r>
    </w:p>
    <w:p w14:paraId="6622AE4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操作：对资源的操作（如调用链码函数、查询数据、修改数据）。</w:t>
      </w:r>
    </w:p>
    <w:p w14:paraId="4F3D891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权限判定流程：当用户发起操作请求时，系统提取用户属性、操作类型及目标资源，匹配预设的权限规则，判定是否允许操作。</w:t>
      </w:r>
    </w:p>
    <w:p w14:paraId="4012E205">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权限规则示例</w:t>
      </w:r>
    </w:p>
    <w:p w14:paraId="4A69CB6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仅品牌方可调用MintNFT函数铸造NFT；</w:t>
      </w:r>
    </w:p>
    <w:p w14:paraId="70597FAD">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仅高级鉴定师可上传鉴定结果并签名；</w:t>
      </w:r>
    </w:p>
    <w:p w14:paraId="3F98AFC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认证买家可参与拍卖出价，信用分低于60分的买家禁止出价；</w:t>
      </w:r>
    </w:p>
    <w:p w14:paraId="73CCD3F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监管机构可查询所有NFT交易记录与拍卖记录，不可修改数据；</w:t>
      </w:r>
    </w:p>
    <w:p w14:paraId="493F68E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拍卖行仅可查询自身创建的拍卖记录，不可查询其他拍卖行的记录。</w:t>
      </w:r>
    </w:p>
    <w:p w14:paraId="04713D4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交易支付与结算模块</w:t>
      </w:r>
      <w:r>
        <w:rPr>
          <w:rFonts w:hint="eastAsia" w:ascii="Calibri" w:hAnsi="Calibri" w:eastAsia="宋体" w:cs="Times New Roman"/>
          <w:sz w:val="24"/>
          <w:szCs w:val="24"/>
          <w:lang w:eastAsia="zh-CN"/>
        </w:rPr>
        <w:t>，</w:t>
      </w:r>
      <w:r>
        <w:rPr>
          <w:rFonts w:hint="eastAsia" w:ascii="Calibri" w:hAnsi="Calibri" w:eastAsia="宋体" w:cs="Times New Roman"/>
          <w:sz w:val="24"/>
          <w:szCs w:val="24"/>
        </w:rPr>
        <w:t>对接合规支付渠道，实现拍卖交易、直接交易等场景的资金流转，支持自动分润与电子凭证生成，保障资金安全与交易合规。</w:t>
      </w:r>
    </w:p>
    <w:p w14:paraId="5D136080">
      <w:pPr>
        <w:spacing w:line="440" w:lineRule="exact"/>
        <w:ind w:firstLine="480" w:firstLineChars="200"/>
        <w:rPr>
          <w:rFonts w:hint="eastAsia" w:ascii="Calibri" w:hAnsi="Calibri" w:eastAsia="宋体" w:cs="Times New Roman"/>
          <w:sz w:val="24"/>
          <w:szCs w:val="24"/>
        </w:rPr>
      </w:pPr>
      <w:bookmarkStart w:id="798" w:name="heading_35"/>
      <w:r>
        <w:rPr>
          <w:rFonts w:hint="eastAsia" w:ascii="Calibri" w:hAnsi="Calibri" w:eastAsia="宋体" w:cs="Times New Roman"/>
          <w:sz w:val="24"/>
          <w:szCs w:val="24"/>
        </w:rPr>
        <w:t>支付渠道对接</w:t>
      </w:r>
      <w:bookmarkEnd w:id="798"/>
    </w:p>
    <w:p w14:paraId="6A471347">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模块支持两种支付方式，确保支付合规性：</w:t>
      </w:r>
    </w:p>
    <w:p w14:paraId="6E1C9258">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银行支付网关：对接主流银行的企业支付接口，支持法币（人民币）支付；</w:t>
      </w:r>
    </w:p>
    <w:p w14:paraId="325E63CE">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合规数字货币支付服务：对接经监管批准的数字货币支付机构，支持合规数字货币支付。</w:t>
      </w:r>
    </w:p>
    <w:p w14:paraId="669D8CBD">
      <w:pPr>
        <w:spacing w:line="440" w:lineRule="exact"/>
        <w:ind w:firstLine="480" w:firstLineChars="200"/>
        <w:rPr>
          <w:rFonts w:hint="eastAsia" w:ascii="Calibri" w:hAnsi="Calibri" w:eastAsia="宋体" w:cs="Times New Roman"/>
          <w:sz w:val="24"/>
          <w:szCs w:val="24"/>
        </w:rPr>
      </w:pPr>
      <w:bookmarkStart w:id="799" w:name="heading_36"/>
      <w:r>
        <w:rPr>
          <w:rFonts w:hint="eastAsia" w:ascii="Calibri" w:hAnsi="Calibri" w:eastAsia="宋体" w:cs="Times New Roman"/>
          <w:sz w:val="24"/>
          <w:szCs w:val="24"/>
        </w:rPr>
        <w:t>结算流程</w:t>
      </w:r>
      <w:bookmarkEnd w:id="799"/>
    </w:p>
    <w:p w14:paraId="23D4F12F">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以拍卖交易结算为例，流程如下：</w:t>
      </w:r>
    </w:p>
    <w:p w14:paraId="2DB3E16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拍卖结束后，endAuction函数触发结算逻辑；</w:t>
      </w:r>
    </w:p>
    <w:p w14:paraId="46C4DC1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系统验证获胜者的保证金状态，将保证金抵扣部分成交款；</w:t>
      </w:r>
    </w:p>
    <w:p w14:paraId="33F4966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获胜者通过支付渠道支付剩余成交款；</w:t>
      </w:r>
    </w:p>
    <w:p w14:paraId="3118F18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系统按预设分润比例，将款项分润给卖家、平台、拍卖行（如：卖家90%、平台5%、拍卖行5%）；</w:t>
      </w:r>
    </w:p>
    <w:p w14:paraId="555B80A0">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分润完成后，生成电子凭证（含交易信息、分润信息、签名），上链存储；</w:t>
      </w:r>
    </w:p>
    <w:p w14:paraId="1485D441">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退还未获胜者的保证金，向所有相关方推送结算完成通知。</w:t>
      </w:r>
    </w:p>
    <w:p w14:paraId="249E4280">
      <w:pPr>
        <w:spacing w:line="440" w:lineRule="exact"/>
        <w:ind w:firstLine="480" w:firstLineChars="200"/>
        <w:rPr>
          <w:rFonts w:hint="eastAsia" w:ascii="Calibri" w:hAnsi="Calibri" w:eastAsia="宋体" w:cs="Times New Roman"/>
          <w:sz w:val="24"/>
          <w:szCs w:val="24"/>
        </w:rPr>
      </w:pPr>
      <w:bookmarkStart w:id="800" w:name="heading_37"/>
      <w:r>
        <w:rPr>
          <w:rFonts w:hint="eastAsia" w:ascii="Calibri" w:hAnsi="Calibri" w:eastAsia="宋体" w:cs="Times New Roman"/>
          <w:sz w:val="24"/>
          <w:szCs w:val="24"/>
        </w:rPr>
        <w:t>分润规则配置</w:t>
      </w:r>
      <w:bookmarkEnd w:id="800"/>
    </w:p>
    <w:p w14:paraId="6C54D492">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系统支持分润规则的灵活配置，可按交易类型、NFT品类、拍卖行等级等维度设置不同分润比例，分润规则存储在链上，确保透明不可篡改。</w:t>
      </w:r>
    </w:p>
    <w:p w14:paraId="70C1E3C3">
      <w:pPr>
        <w:spacing w:line="440" w:lineRule="exact"/>
        <w:ind w:firstLine="480" w:firstLineChars="200"/>
        <w:rPr>
          <w:rFonts w:hint="eastAsia" w:ascii="Calibri" w:hAnsi="Calibri" w:eastAsia="宋体" w:cs="Times New Roman"/>
          <w:sz w:val="24"/>
          <w:szCs w:val="24"/>
        </w:rPr>
      </w:pPr>
      <w:bookmarkStart w:id="801" w:name="heading_38"/>
      <w:r>
        <w:rPr>
          <w:rFonts w:hint="eastAsia" w:ascii="Calibri" w:hAnsi="Calibri" w:eastAsia="宋体" w:cs="Times New Roman"/>
          <w:sz w:val="24"/>
          <w:szCs w:val="24"/>
        </w:rPr>
        <w:t>核心接口设计</w:t>
      </w:r>
      <w:bookmarkEnd w:id="801"/>
    </w:p>
    <w:p w14:paraId="592E9DCA">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submitPayment：提交支付API，接收支付方式、金额、交易ID等参数；</w:t>
      </w:r>
    </w:p>
    <w:p w14:paraId="75D9F6EC">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settleTransaction：交易结算API，触发分润与电子凭证生成；</w:t>
      </w:r>
    </w:p>
    <w:p w14:paraId="02567743">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querySettlementRecord：查询结算记录API；</w:t>
      </w:r>
    </w:p>
    <w:p w14:paraId="1D00E72B">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generateElectronicVoucher：生成电子凭证API。</w:t>
      </w:r>
    </w:p>
    <w:p w14:paraId="1FA699DD">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60784306">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NFT资产合约设计：遵循ERC-721标准，根据业务要求扩展方法。关键状态包括从`NFT_ID`到`NFT_Asset`结构体的映射。转移函数需校验调用者权限并发射`Transfer`事件。</w:t>
      </w:r>
    </w:p>
    <w:p w14:paraId="35E36A4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拍卖合约状态机：拍卖具有明确的状态流转：`Pending`（待开始）-&gt; `Active`（进行中）-&gt; `Ended`（结束，等待结算）-&gt; `Settled`（已结算）或 `Canceled`（已取消）。智能合约严格管理状态转换条件。</w:t>
      </w:r>
    </w:p>
    <w:p w14:paraId="6418C77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隐私保护设计：竞价金额在拍卖结束前可通过私有数据集合仅对拍卖参与方和拍卖师可见，落槌后关键结果再写入公共账本。拍品的真实底价（保留价）也可作为私有数据，仅在未达底价流拍时向卖家证明。</w:t>
      </w:r>
    </w:p>
    <w:p w14:paraId="4175708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链上链下数据同步：设计可靠的事件监听器（Event Listener）。当链码发射出`BidPlaced`、`AuctionEnded`等事件时，业务中台的事件监听服务捕获这些事件，触发更新数据库中的拍卖状态、发送通知等后续操作，保证链上链下状态最终一致。</w:t>
      </w:r>
    </w:p>
    <w:p w14:paraId="7BC3F4F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I鉴定集成：拍品初次上传图片时，后端服务调用AI模型进行初步图像特征提取与比对（与品牌官方图库或已知赝品库），生成辅助鉴定报告。该报告的哈希可作为元数据的一部分存入NFT，但明确标注为“AI辅助结果，仅供参考”，最终权威性仍来自合作鉴定机构的手动签名确认。</w:t>
      </w:r>
    </w:p>
    <w:p w14:paraId="3784BF0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设计基于NFT资产合约（遵循ERC-721标准）、拍卖合约状态机、隐私保护、链上链下数据同步及AI鉴定集成等核心业务需求，旨在实现NFT资产信息、拍卖流程、竞价数据、鉴定结果及链下业务状态的规范化存储与高效关联。设计核心目标包括：支撑拍卖全生命周期状态管理、保障隐私数据分级存储、实现链上事件与链下数据的一致性同步、留存AI及人工鉴定全流程痕迹，为NFT拍卖业务的合规运营、高效协同提供数据支撑。</w:t>
      </w:r>
    </w:p>
    <w:p w14:paraId="65077386">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核心实体及关系</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核心实体包括：NFT资产信息实体、拍卖活动实体、竞价记录实体、鉴定报告实体、用户信息实体、链上事件同步实体。各实体间核心关系如下：1个NFT资产可关联多个拍卖活动（历史+当前），1个拍卖活动仅关联1个NFT资产；1个拍卖活动可包含多个竞价记录，1条竞价记录仅归属1个拍卖活动；1个NFT资产对应1份鉴定报告（含AI辅助结果+人工确认结果），1份鉴定报告仅绑定1个NFT资产；1个用户可作为拍卖师、卖家或买家参与多个拍卖活动，1个拍卖活动关联1个拍卖师、1个卖家和多个潜在买家；1个拍卖活动关联多条链上事件同步记录，1条链上事件同步记录仅对应1个拍卖活动的某个状态节点。</w:t>
      </w:r>
    </w:p>
    <w:p w14:paraId="7191E28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详细表结构设计</w:t>
      </w:r>
    </w:p>
    <w:p w14:paraId="5DABBE9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NFT资产信息表（nft_asset）</w:t>
      </w:r>
    </w:p>
    <w:p w14:paraId="75E16FBE">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功能：存储NFT资产核心信息，映射链上NFT_ID与NFT_Asset结构体数据，关联对应的鉴定报告，支撑NFT资产全生命周期追溯。</w:t>
      </w:r>
    </w:p>
    <w:p w14:paraId="066201A3">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表3.1资产信息表</w:t>
      </w:r>
    </w:p>
    <w:tbl>
      <w:tblPr>
        <w:tblStyle w:val="35"/>
        <w:tblW w:w="0" w:type="auto"/>
        <w:tblInd w:w="135"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515"/>
        <w:gridCol w:w="1716"/>
        <w:gridCol w:w="1584"/>
        <w:gridCol w:w="3191"/>
      </w:tblGrid>
      <w:tr w14:paraId="4FAD8D5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4214B2C1">
            <w:pPr>
              <w:spacing w:line="440" w:lineRule="exact"/>
              <w:jc w:val="center"/>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716" w:type="dxa"/>
            <w:tcMar>
              <w:top w:w="60" w:type="dxa"/>
              <w:left w:w="120" w:type="dxa"/>
              <w:bottom w:w="30" w:type="dxa"/>
              <w:right w:w="120" w:type="dxa"/>
            </w:tcMar>
          </w:tcPr>
          <w:p w14:paraId="4F83FD86">
            <w:pPr>
              <w:spacing w:line="440" w:lineRule="exact"/>
              <w:jc w:val="center"/>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584" w:type="dxa"/>
            <w:tcMar>
              <w:top w:w="60" w:type="dxa"/>
              <w:left w:w="120" w:type="dxa"/>
              <w:bottom w:w="30" w:type="dxa"/>
              <w:right w:w="120" w:type="dxa"/>
            </w:tcMar>
          </w:tcPr>
          <w:p w14:paraId="747F7AE3">
            <w:pPr>
              <w:spacing w:line="440" w:lineRule="exact"/>
              <w:jc w:val="center"/>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191" w:type="dxa"/>
            <w:tcMar>
              <w:top w:w="60" w:type="dxa"/>
              <w:left w:w="120" w:type="dxa"/>
              <w:bottom w:w="30" w:type="dxa"/>
              <w:right w:w="120" w:type="dxa"/>
            </w:tcMar>
          </w:tcPr>
          <w:p w14:paraId="2FFD4500">
            <w:pPr>
              <w:spacing w:line="440" w:lineRule="exact"/>
              <w:jc w:val="center"/>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0D99DE8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368255D2">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716" w:type="dxa"/>
            <w:tcMar>
              <w:top w:w="60" w:type="dxa"/>
              <w:left w:w="120" w:type="dxa"/>
              <w:bottom w:w="30" w:type="dxa"/>
              <w:right w:w="120" w:type="dxa"/>
            </w:tcMar>
          </w:tcPr>
          <w:p w14:paraId="63D35583">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584" w:type="dxa"/>
            <w:tcMar>
              <w:top w:w="60" w:type="dxa"/>
              <w:left w:w="120" w:type="dxa"/>
              <w:bottom w:w="30" w:type="dxa"/>
              <w:right w:w="120" w:type="dxa"/>
            </w:tcMar>
          </w:tcPr>
          <w:p w14:paraId="6ED60E0D">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191" w:type="dxa"/>
            <w:tcMar>
              <w:top w:w="60" w:type="dxa"/>
              <w:left w:w="120" w:type="dxa"/>
              <w:bottom w:w="30" w:type="dxa"/>
              <w:right w:w="120" w:type="dxa"/>
            </w:tcMar>
          </w:tcPr>
          <w:p w14:paraId="0814D9FA">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链下唯一标识ID</w:t>
            </w:r>
          </w:p>
        </w:tc>
      </w:tr>
      <w:tr w14:paraId="28E42E3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50AF4D20">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nft_id</w:t>
            </w:r>
          </w:p>
        </w:tc>
        <w:tc>
          <w:tcPr>
            <w:tcW w:w="1716" w:type="dxa"/>
            <w:tcMar>
              <w:top w:w="60" w:type="dxa"/>
              <w:left w:w="120" w:type="dxa"/>
              <w:bottom w:w="30" w:type="dxa"/>
              <w:right w:w="120" w:type="dxa"/>
            </w:tcMar>
          </w:tcPr>
          <w:p w14:paraId="0703D3A5">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584" w:type="dxa"/>
            <w:tcMar>
              <w:top w:w="60" w:type="dxa"/>
              <w:left w:w="120" w:type="dxa"/>
              <w:bottom w:w="30" w:type="dxa"/>
              <w:right w:w="120" w:type="dxa"/>
            </w:tcMar>
          </w:tcPr>
          <w:p w14:paraId="33966B10">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7F508C1C">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链上NFT唯一标识，对应ERC-721标准的tokenId</w:t>
            </w:r>
          </w:p>
        </w:tc>
      </w:tr>
      <w:tr w14:paraId="40EFA5A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6BE21250">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contract_address</w:t>
            </w:r>
          </w:p>
        </w:tc>
        <w:tc>
          <w:tcPr>
            <w:tcW w:w="1716" w:type="dxa"/>
            <w:tcMar>
              <w:top w:w="60" w:type="dxa"/>
              <w:left w:w="120" w:type="dxa"/>
              <w:bottom w:w="30" w:type="dxa"/>
              <w:right w:w="120" w:type="dxa"/>
            </w:tcMar>
          </w:tcPr>
          <w:p w14:paraId="45A47775">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584" w:type="dxa"/>
            <w:tcMar>
              <w:top w:w="60" w:type="dxa"/>
              <w:left w:w="120" w:type="dxa"/>
              <w:bottom w:w="30" w:type="dxa"/>
              <w:right w:w="120" w:type="dxa"/>
            </w:tcMar>
          </w:tcPr>
          <w:p w14:paraId="33BCC2E3">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69A2B74D">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NFT资产合约地址，遵循ERC-721标准</w:t>
            </w:r>
          </w:p>
        </w:tc>
      </w:tr>
      <w:tr w14:paraId="309B4A2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694FA809">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asset_name</w:t>
            </w:r>
          </w:p>
        </w:tc>
        <w:tc>
          <w:tcPr>
            <w:tcW w:w="1716" w:type="dxa"/>
            <w:tcMar>
              <w:top w:w="60" w:type="dxa"/>
              <w:left w:w="120" w:type="dxa"/>
              <w:bottom w:w="30" w:type="dxa"/>
              <w:right w:w="120" w:type="dxa"/>
            </w:tcMar>
          </w:tcPr>
          <w:p w14:paraId="48054545">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VARCHAR(128)</w:t>
            </w:r>
          </w:p>
        </w:tc>
        <w:tc>
          <w:tcPr>
            <w:tcW w:w="1584" w:type="dxa"/>
            <w:tcMar>
              <w:top w:w="60" w:type="dxa"/>
              <w:left w:w="120" w:type="dxa"/>
              <w:bottom w:w="30" w:type="dxa"/>
              <w:right w:w="120" w:type="dxa"/>
            </w:tcMar>
          </w:tcPr>
          <w:p w14:paraId="3070D650">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1D7C10EF">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NFT资产名称（如：某品牌限量艺术品）</w:t>
            </w:r>
          </w:p>
        </w:tc>
      </w:tr>
      <w:tr w14:paraId="7FD309D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5EA07158">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asset_desc</w:t>
            </w:r>
          </w:p>
        </w:tc>
        <w:tc>
          <w:tcPr>
            <w:tcW w:w="1716" w:type="dxa"/>
            <w:tcMar>
              <w:top w:w="60" w:type="dxa"/>
              <w:left w:w="120" w:type="dxa"/>
              <w:bottom w:w="30" w:type="dxa"/>
              <w:right w:w="120" w:type="dxa"/>
            </w:tcMar>
          </w:tcPr>
          <w:p w14:paraId="4C35275E">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TEXT</w:t>
            </w:r>
          </w:p>
        </w:tc>
        <w:tc>
          <w:tcPr>
            <w:tcW w:w="1584" w:type="dxa"/>
            <w:tcMar>
              <w:top w:w="60" w:type="dxa"/>
              <w:left w:w="120" w:type="dxa"/>
              <w:bottom w:w="30" w:type="dxa"/>
              <w:right w:w="120" w:type="dxa"/>
            </w:tcMar>
          </w:tcPr>
          <w:p w14:paraId="16116946">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7F1C4FD9">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NFT资产详细描述</w:t>
            </w:r>
          </w:p>
        </w:tc>
      </w:tr>
      <w:tr w14:paraId="7282B4C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22E83EC6">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metadata_hash</w:t>
            </w:r>
          </w:p>
        </w:tc>
        <w:tc>
          <w:tcPr>
            <w:tcW w:w="1716" w:type="dxa"/>
            <w:tcMar>
              <w:top w:w="60" w:type="dxa"/>
              <w:left w:w="120" w:type="dxa"/>
              <w:bottom w:w="30" w:type="dxa"/>
              <w:right w:w="120" w:type="dxa"/>
            </w:tcMar>
          </w:tcPr>
          <w:p w14:paraId="3B3FEB61">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584" w:type="dxa"/>
            <w:tcMar>
              <w:top w:w="60" w:type="dxa"/>
              <w:left w:w="120" w:type="dxa"/>
              <w:bottom w:w="30" w:type="dxa"/>
              <w:right w:w="120" w:type="dxa"/>
            </w:tcMar>
          </w:tcPr>
          <w:p w14:paraId="428D9C1F">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630040F3">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NFT元数据哈希，含AI鉴定报告哈希，对应链上存储内容</w:t>
            </w:r>
          </w:p>
        </w:tc>
      </w:tr>
      <w:tr w14:paraId="217162A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754009FE">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owner_address</w:t>
            </w:r>
          </w:p>
        </w:tc>
        <w:tc>
          <w:tcPr>
            <w:tcW w:w="1716" w:type="dxa"/>
            <w:tcMar>
              <w:top w:w="60" w:type="dxa"/>
              <w:left w:w="120" w:type="dxa"/>
              <w:bottom w:w="30" w:type="dxa"/>
              <w:right w:w="120" w:type="dxa"/>
            </w:tcMar>
          </w:tcPr>
          <w:p w14:paraId="5C1DE107">
            <w:pPr>
              <w:spacing w:line="440" w:lineRule="exact"/>
              <w:ind w:firstLine="420" w:firstLineChars="200"/>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584" w:type="dxa"/>
            <w:tcMar>
              <w:top w:w="60" w:type="dxa"/>
              <w:left w:w="120" w:type="dxa"/>
              <w:bottom w:w="30" w:type="dxa"/>
              <w:right w:w="120" w:type="dxa"/>
            </w:tcMar>
          </w:tcPr>
          <w:p w14:paraId="6D3670CD">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1BD9317C">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当前NFT资产所有者链上地址</w:t>
            </w:r>
          </w:p>
        </w:tc>
      </w:tr>
      <w:tr w14:paraId="756D225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376A6122">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appraisal_report_id</w:t>
            </w:r>
          </w:p>
        </w:tc>
        <w:tc>
          <w:tcPr>
            <w:tcW w:w="1716" w:type="dxa"/>
            <w:tcMar>
              <w:top w:w="60" w:type="dxa"/>
              <w:left w:w="120" w:type="dxa"/>
              <w:bottom w:w="30" w:type="dxa"/>
              <w:right w:w="120" w:type="dxa"/>
            </w:tcMar>
          </w:tcPr>
          <w:p w14:paraId="3155EBFD">
            <w:pPr>
              <w:spacing w:line="440" w:lineRule="exact"/>
              <w:ind w:firstLine="420" w:firstLineChars="200"/>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584" w:type="dxa"/>
            <w:tcMar>
              <w:top w:w="60" w:type="dxa"/>
              <w:left w:w="120" w:type="dxa"/>
              <w:bottom w:w="30" w:type="dxa"/>
              <w:right w:w="120" w:type="dxa"/>
            </w:tcMar>
          </w:tcPr>
          <w:p w14:paraId="4404B4B0">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191" w:type="dxa"/>
            <w:tcMar>
              <w:top w:w="60" w:type="dxa"/>
              <w:left w:w="120" w:type="dxa"/>
              <w:bottom w:w="30" w:type="dxa"/>
              <w:right w:w="120" w:type="dxa"/>
            </w:tcMar>
          </w:tcPr>
          <w:p w14:paraId="575F4FD3">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关联鉴定报告表主键，外键</w:t>
            </w:r>
          </w:p>
        </w:tc>
      </w:tr>
      <w:tr w14:paraId="399C61B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7D041A56">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create_time</w:t>
            </w:r>
          </w:p>
        </w:tc>
        <w:tc>
          <w:tcPr>
            <w:tcW w:w="1716" w:type="dxa"/>
            <w:tcMar>
              <w:top w:w="60" w:type="dxa"/>
              <w:left w:w="120" w:type="dxa"/>
              <w:bottom w:w="30" w:type="dxa"/>
              <w:right w:w="120" w:type="dxa"/>
            </w:tcMar>
          </w:tcPr>
          <w:p w14:paraId="0F8C1095">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584" w:type="dxa"/>
            <w:tcMar>
              <w:top w:w="60" w:type="dxa"/>
              <w:left w:w="120" w:type="dxa"/>
              <w:bottom w:w="30" w:type="dxa"/>
              <w:right w:w="120" w:type="dxa"/>
            </w:tcMar>
          </w:tcPr>
          <w:p w14:paraId="68E6B6E2">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w:t>
            </w:r>
          </w:p>
        </w:tc>
        <w:tc>
          <w:tcPr>
            <w:tcW w:w="3191" w:type="dxa"/>
            <w:tcMar>
              <w:top w:w="60" w:type="dxa"/>
              <w:left w:w="120" w:type="dxa"/>
              <w:bottom w:w="30" w:type="dxa"/>
              <w:right w:w="120" w:type="dxa"/>
            </w:tcMar>
          </w:tcPr>
          <w:p w14:paraId="40C6EEE3">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资产创建时间（链下录入时间）</w:t>
            </w:r>
          </w:p>
        </w:tc>
      </w:tr>
      <w:tr w14:paraId="5CF180F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515" w:type="dxa"/>
            <w:tcMar>
              <w:top w:w="60" w:type="dxa"/>
              <w:left w:w="120" w:type="dxa"/>
              <w:bottom w:w="30" w:type="dxa"/>
              <w:right w:w="120" w:type="dxa"/>
            </w:tcMar>
          </w:tcPr>
          <w:p w14:paraId="721A7A6D">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update_time</w:t>
            </w:r>
          </w:p>
        </w:tc>
        <w:tc>
          <w:tcPr>
            <w:tcW w:w="1716" w:type="dxa"/>
            <w:tcMar>
              <w:top w:w="60" w:type="dxa"/>
              <w:left w:w="120" w:type="dxa"/>
              <w:bottom w:w="30" w:type="dxa"/>
              <w:right w:w="120" w:type="dxa"/>
            </w:tcMar>
          </w:tcPr>
          <w:p w14:paraId="6A7C288A">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584" w:type="dxa"/>
            <w:tcMar>
              <w:top w:w="60" w:type="dxa"/>
              <w:left w:w="120" w:type="dxa"/>
              <w:bottom w:w="30" w:type="dxa"/>
              <w:right w:w="120" w:type="dxa"/>
            </w:tcMar>
          </w:tcPr>
          <w:p w14:paraId="24737C88">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 ON UPDATE CURRENT_TIMESTAMP</w:t>
            </w:r>
          </w:p>
        </w:tc>
        <w:tc>
          <w:tcPr>
            <w:tcW w:w="3191" w:type="dxa"/>
            <w:tcMar>
              <w:top w:w="60" w:type="dxa"/>
              <w:left w:w="120" w:type="dxa"/>
              <w:bottom w:w="30" w:type="dxa"/>
              <w:right w:w="120" w:type="dxa"/>
            </w:tcMar>
          </w:tcPr>
          <w:p w14:paraId="662A93E7">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资产信息更新时间</w:t>
            </w:r>
          </w:p>
        </w:tc>
      </w:tr>
    </w:tbl>
    <w:p w14:paraId="69286AD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拍卖活动表（auction_activity）</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存储拍卖全生命周期信息，严格映射拍卖合约状态机流转规则，关联对应的NFT资产与关键参与方，支撑拍卖状态的精准管控。</w:t>
      </w:r>
    </w:p>
    <w:p w14:paraId="2D529752">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表3.2拍卖活动表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632"/>
        <w:gridCol w:w="1858"/>
        <w:gridCol w:w="1184"/>
        <w:gridCol w:w="3674"/>
      </w:tblGrid>
      <w:tr w14:paraId="5955D46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4E86DDDD">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858" w:type="dxa"/>
            <w:tcMar>
              <w:top w:w="60" w:type="dxa"/>
              <w:left w:w="120" w:type="dxa"/>
              <w:bottom w:w="30" w:type="dxa"/>
              <w:right w:w="120" w:type="dxa"/>
            </w:tcMar>
          </w:tcPr>
          <w:p w14:paraId="07A5A7C9">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184" w:type="dxa"/>
            <w:tcMar>
              <w:top w:w="60" w:type="dxa"/>
              <w:left w:w="120" w:type="dxa"/>
              <w:bottom w:w="30" w:type="dxa"/>
              <w:right w:w="120" w:type="dxa"/>
            </w:tcMar>
          </w:tcPr>
          <w:p w14:paraId="32AFC00C">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674" w:type="dxa"/>
            <w:tcMar>
              <w:top w:w="60" w:type="dxa"/>
              <w:left w:w="120" w:type="dxa"/>
              <w:bottom w:w="30" w:type="dxa"/>
              <w:right w:w="120" w:type="dxa"/>
            </w:tcMar>
          </w:tcPr>
          <w:p w14:paraId="1A9D7945">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240D02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78D13C2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858" w:type="dxa"/>
            <w:tcMar>
              <w:top w:w="60" w:type="dxa"/>
              <w:left w:w="120" w:type="dxa"/>
              <w:bottom w:w="30" w:type="dxa"/>
              <w:right w:w="120" w:type="dxa"/>
            </w:tcMar>
          </w:tcPr>
          <w:p w14:paraId="3FDBD9A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184" w:type="dxa"/>
            <w:tcMar>
              <w:top w:w="60" w:type="dxa"/>
              <w:left w:w="120" w:type="dxa"/>
              <w:bottom w:w="30" w:type="dxa"/>
              <w:right w:w="120" w:type="dxa"/>
            </w:tcMar>
          </w:tcPr>
          <w:p w14:paraId="1517F62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674" w:type="dxa"/>
            <w:tcMar>
              <w:top w:w="60" w:type="dxa"/>
              <w:left w:w="120" w:type="dxa"/>
              <w:bottom w:w="30" w:type="dxa"/>
              <w:right w:w="120" w:type="dxa"/>
            </w:tcMar>
          </w:tcPr>
          <w:p w14:paraId="14526F2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拍卖活动链下唯一标识</w:t>
            </w:r>
          </w:p>
        </w:tc>
      </w:tr>
      <w:tr w14:paraId="7263932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01D3211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auction_id</w:t>
            </w:r>
          </w:p>
        </w:tc>
        <w:tc>
          <w:tcPr>
            <w:tcW w:w="1858" w:type="dxa"/>
            <w:tcMar>
              <w:top w:w="60" w:type="dxa"/>
              <w:left w:w="120" w:type="dxa"/>
              <w:bottom w:w="30" w:type="dxa"/>
              <w:right w:w="120" w:type="dxa"/>
            </w:tcMar>
          </w:tcPr>
          <w:p w14:paraId="67ADC06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184" w:type="dxa"/>
            <w:tcMar>
              <w:top w:w="60" w:type="dxa"/>
              <w:left w:w="120" w:type="dxa"/>
              <w:bottom w:w="30" w:type="dxa"/>
              <w:right w:w="120" w:type="dxa"/>
            </w:tcMar>
          </w:tcPr>
          <w:p w14:paraId="3ECDAA7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17F38FC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链上拍卖合约唯一标识</w:t>
            </w:r>
          </w:p>
        </w:tc>
      </w:tr>
      <w:tr w14:paraId="79359C1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45F151B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nft_asset_id</w:t>
            </w:r>
          </w:p>
        </w:tc>
        <w:tc>
          <w:tcPr>
            <w:tcW w:w="1858" w:type="dxa"/>
            <w:tcMar>
              <w:top w:w="60" w:type="dxa"/>
              <w:left w:w="120" w:type="dxa"/>
              <w:bottom w:w="30" w:type="dxa"/>
              <w:right w:w="120" w:type="dxa"/>
            </w:tcMar>
          </w:tcPr>
          <w:p w14:paraId="2F5DB6A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184" w:type="dxa"/>
            <w:tcMar>
              <w:top w:w="60" w:type="dxa"/>
              <w:left w:w="120" w:type="dxa"/>
              <w:bottom w:w="30" w:type="dxa"/>
              <w:right w:w="120" w:type="dxa"/>
            </w:tcMar>
          </w:tcPr>
          <w:p w14:paraId="10F7763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25DE074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关联NFT资产表主键，外键；对应拍卖的NFT资产</w:t>
            </w:r>
          </w:p>
        </w:tc>
      </w:tr>
      <w:tr w14:paraId="7431336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56C4A17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auctioneer_id</w:t>
            </w:r>
          </w:p>
        </w:tc>
        <w:tc>
          <w:tcPr>
            <w:tcW w:w="1858" w:type="dxa"/>
            <w:tcMar>
              <w:top w:w="60" w:type="dxa"/>
              <w:left w:w="120" w:type="dxa"/>
              <w:bottom w:w="30" w:type="dxa"/>
              <w:right w:w="120" w:type="dxa"/>
            </w:tcMar>
          </w:tcPr>
          <w:p w14:paraId="21620D3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184" w:type="dxa"/>
            <w:tcMar>
              <w:top w:w="60" w:type="dxa"/>
              <w:left w:w="120" w:type="dxa"/>
              <w:bottom w:w="30" w:type="dxa"/>
              <w:right w:w="120" w:type="dxa"/>
            </w:tcMar>
          </w:tcPr>
          <w:p w14:paraId="3907300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22FA0AC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关联用户表主键，外键；拍卖师ID</w:t>
            </w:r>
          </w:p>
        </w:tc>
      </w:tr>
      <w:tr w14:paraId="0BBDCA2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00F0CB9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seller_id</w:t>
            </w:r>
          </w:p>
        </w:tc>
        <w:tc>
          <w:tcPr>
            <w:tcW w:w="1858" w:type="dxa"/>
            <w:tcMar>
              <w:top w:w="60" w:type="dxa"/>
              <w:left w:w="120" w:type="dxa"/>
              <w:bottom w:w="30" w:type="dxa"/>
              <w:right w:w="120" w:type="dxa"/>
            </w:tcMar>
          </w:tcPr>
          <w:p w14:paraId="78D4DFE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184" w:type="dxa"/>
            <w:tcMar>
              <w:top w:w="60" w:type="dxa"/>
              <w:left w:w="120" w:type="dxa"/>
              <w:bottom w:w="30" w:type="dxa"/>
              <w:right w:w="120" w:type="dxa"/>
            </w:tcMar>
          </w:tcPr>
          <w:p w14:paraId="497AC78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1EB16D6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关联用户表主键，外键；卖家ID（NFT原所有者）</w:t>
            </w:r>
          </w:p>
        </w:tc>
      </w:tr>
      <w:tr w14:paraId="112B896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1289EF5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reserve_price</w:t>
            </w:r>
          </w:p>
        </w:tc>
        <w:tc>
          <w:tcPr>
            <w:tcW w:w="1858" w:type="dxa"/>
            <w:tcMar>
              <w:top w:w="60" w:type="dxa"/>
              <w:left w:w="120" w:type="dxa"/>
              <w:bottom w:w="30" w:type="dxa"/>
              <w:right w:w="120" w:type="dxa"/>
            </w:tcMar>
          </w:tcPr>
          <w:p w14:paraId="583DD4E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DECIMAL(30,18)</w:t>
            </w:r>
          </w:p>
        </w:tc>
        <w:tc>
          <w:tcPr>
            <w:tcW w:w="1184" w:type="dxa"/>
            <w:tcMar>
              <w:top w:w="60" w:type="dxa"/>
              <w:left w:w="120" w:type="dxa"/>
              <w:bottom w:w="30" w:type="dxa"/>
              <w:right w:w="120" w:type="dxa"/>
            </w:tcMar>
          </w:tcPr>
          <w:p w14:paraId="59BA15A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26EC74E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拍卖保留价（真实底价），隐私数据；仅卖家和拍卖师可见</w:t>
            </w:r>
          </w:p>
        </w:tc>
      </w:tr>
      <w:tr w14:paraId="00929C2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5614289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start_time</w:t>
            </w:r>
          </w:p>
        </w:tc>
        <w:tc>
          <w:tcPr>
            <w:tcW w:w="1858" w:type="dxa"/>
            <w:tcMar>
              <w:top w:w="60" w:type="dxa"/>
              <w:left w:w="120" w:type="dxa"/>
              <w:bottom w:w="30" w:type="dxa"/>
              <w:right w:w="120" w:type="dxa"/>
            </w:tcMar>
          </w:tcPr>
          <w:p w14:paraId="2218BC0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7270FE7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4AE4729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拍卖计划开始时间</w:t>
            </w:r>
          </w:p>
        </w:tc>
      </w:tr>
      <w:tr w14:paraId="4BA39E0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2E0B48F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end_time</w:t>
            </w:r>
          </w:p>
        </w:tc>
        <w:tc>
          <w:tcPr>
            <w:tcW w:w="1858" w:type="dxa"/>
            <w:tcMar>
              <w:top w:w="60" w:type="dxa"/>
              <w:left w:w="120" w:type="dxa"/>
              <w:bottom w:w="30" w:type="dxa"/>
              <w:right w:w="120" w:type="dxa"/>
            </w:tcMar>
          </w:tcPr>
          <w:p w14:paraId="172E5E1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3EFA019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7C343CA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拍卖计划结束时间</w:t>
            </w:r>
          </w:p>
        </w:tc>
      </w:tr>
      <w:tr w14:paraId="1818B88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59D5775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status</w:t>
            </w:r>
          </w:p>
        </w:tc>
        <w:tc>
          <w:tcPr>
            <w:tcW w:w="1858" w:type="dxa"/>
            <w:tcMar>
              <w:top w:w="60" w:type="dxa"/>
              <w:left w:w="120" w:type="dxa"/>
              <w:bottom w:w="30" w:type="dxa"/>
              <w:right w:w="120" w:type="dxa"/>
            </w:tcMar>
          </w:tcPr>
          <w:p w14:paraId="6BCA016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184" w:type="dxa"/>
            <w:tcMar>
              <w:top w:w="60" w:type="dxa"/>
              <w:left w:w="120" w:type="dxa"/>
              <w:bottom w:w="30" w:type="dxa"/>
              <w:right w:w="120" w:type="dxa"/>
            </w:tcMar>
          </w:tcPr>
          <w:p w14:paraId="2A7D992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Pending</w:t>
            </w:r>
          </w:p>
        </w:tc>
        <w:tc>
          <w:tcPr>
            <w:tcW w:w="3674" w:type="dxa"/>
            <w:tcMar>
              <w:top w:w="60" w:type="dxa"/>
              <w:left w:w="120" w:type="dxa"/>
              <w:bottom w:w="30" w:type="dxa"/>
              <w:right w:w="120" w:type="dxa"/>
            </w:tcMar>
          </w:tcPr>
          <w:p w14:paraId="665C6D0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拍卖状态，严格遵循状态机：Pending（待开始）、Active（进行中）、Ended（结束，等待结算）、Settled（已结算）、Canceled（已取消）</w:t>
            </w:r>
          </w:p>
        </w:tc>
      </w:tr>
      <w:tr w14:paraId="5355C65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202F535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highest_bid_amount</w:t>
            </w:r>
          </w:p>
        </w:tc>
        <w:tc>
          <w:tcPr>
            <w:tcW w:w="1858" w:type="dxa"/>
            <w:tcMar>
              <w:top w:w="60" w:type="dxa"/>
              <w:left w:w="120" w:type="dxa"/>
              <w:bottom w:w="30" w:type="dxa"/>
              <w:right w:w="120" w:type="dxa"/>
            </w:tcMar>
          </w:tcPr>
          <w:p w14:paraId="6AD7DB9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DECIMAL(30,18)</w:t>
            </w:r>
          </w:p>
        </w:tc>
        <w:tc>
          <w:tcPr>
            <w:tcW w:w="1184" w:type="dxa"/>
            <w:tcMar>
              <w:top w:w="60" w:type="dxa"/>
              <w:left w:w="120" w:type="dxa"/>
              <w:bottom w:w="30" w:type="dxa"/>
              <w:right w:w="120" w:type="dxa"/>
            </w:tcMar>
          </w:tcPr>
          <w:p w14:paraId="2ED8CAE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0</w:t>
            </w:r>
          </w:p>
        </w:tc>
        <w:tc>
          <w:tcPr>
            <w:tcW w:w="3674" w:type="dxa"/>
            <w:tcMar>
              <w:top w:w="60" w:type="dxa"/>
              <w:left w:w="120" w:type="dxa"/>
              <w:bottom w:w="30" w:type="dxa"/>
              <w:right w:w="120" w:type="dxa"/>
            </w:tcMar>
          </w:tcPr>
          <w:p w14:paraId="208E834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当前最高竞价金额；拍卖结束前为隐私数据，仅参与方和拍卖师可见</w:t>
            </w:r>
          </w:p>
        </w:tc>
      </w:tr>
      <w:tr w14:paraId="49336FB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697AB9C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highest_bidder_id</w:t>
            </w:r>
          </w:p>
        </w:tc>
        <w:tc>
          <w:tcPr>
            <w:tcW w:w="1858" w:type="dxa"/>
            <w:tcMar>
              <w:top w:w="60" w:type="dxa"/>
              <w:left w:w="120" w:type="dxa"/>
              <w:bottom w:w="30" w:type="dxa"/>
              <w:right w:w="120" w:type="dxa"/>
            </w:tcMar>
          </w:tcPr>
          <w:p w14:paraId="71E74CD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184" w:type="dxa"/>
            <w:tcMar>
              <w:top w:w="60" w:type="dxa"/>
              <w:left w:w="120" w:type="dxa"/>
              <w:bottom w:w="30" w:type="dxa"/>
              <w:right w:w="120" w:type="dxa"/>
            </w:tcMar>
          </w:tcPr>
          <w:p w14:paraId="6DE62AB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2695707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当前最高竞价者ID；拍卖结束前为隐私数据，仅参与方和拍卖师可见</w:t>
            </w:r>
          </w:p>
        </w:tc>
      </w:tr>
      <w:tr w14:paraId="70859B7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6455A3C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settlement_time</w:t>
            </w:r>
          </w:p>
        </w:tc>
        <w:tc>
          <w:tcPr>
            <w:tcW w:w="1858" w:type="dxa"/>
            <w:tcMar>
              <w:top w:w="60" w:type="dxa"/>
              <w:left w:w="120" w:type="dxa"/>
              <w:bottom w:w="30" w:type="dxa"/>
              <w:right w:w="120" w:type="dxa"/>
            </w:tcMar>
          </w:tcPr>
          <w:p w14:paraId="2343D83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3736E9E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10EA9A1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拍卖结算时间（状态转为Settled时记录）</w:t>
            </w:r>
          </w:p>
        </w:tc>
      </w:tr>
      <w:tr w14:paraId="04C302A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792FDA6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cancel_time</w:t>
            </w:r>
          </w:p>
        </w:tc>
        <w:tc>
          <w:tcPr>
            <w:tcW w:w="1858" w:type="dxa"/>
            <w:tcMar>
              <w:top w:w="60" w:type="dxa"/>
              <w:left w:w="120" w:type="dxa"/>
              <w:bottom w:w="30" w:type="dxa"/>
              <w:right w:w="120" w:type="dxa"/>
            </w:tcMar>
          </w:tcPr>
          <w:p w14:paraId="7135C52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6F43A76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674" w:type="dxa"/>
            <w:tcMar>
              <w:top w:w="60" w:type="dxa"/>
              <w:left w:w="120" w:type="dxa"/>
              <w:bottom w:w="30" w:type="dxa"/>
              <w:right w:w="120" w:type="dxa"/>
            </w:tcMar>
          </w:tcPr>
          <w:p w14:paraId="354D716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拍卖取消时间（状态转为Canceled时记录）</w:t>
            </w:r>
          </w:p>
        </w:tc>
      </w:tr>
      <w:tr w14:paraId="5FC7668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3A4FD76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create_time</w:t>
            </w:r>
          </w:p>
        </w:tc>
        <w:tc>
          <w:tcPr>
            <w:tcW w:w="1858" w:type="dxa"/>
            <w:tcMar>
              <w:top w:w="60" w:type="dxa"/>
              <w:left w:w="120" w:type="dxa"/>
              <w:bottom w:w="30" w:type="dxa"/>
              <w:right w:w="120" w:type="dxa"/>
            </w:tcMar>
          </w:tcPr>
          <w:p w14:paraId="440909B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7EEB72A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w:t>
            </w:r>
          </w:p>
        </w:tc>
        <w:tc>
          <w:tcPr>
            <w:tcW w:w="3674" w:type="dxa"/>
            <w:tcMar>
              <w:top w:w="60" w:type="dxa"/>
              <w:left w:w="120" w:type="dxa"/>
              <w:bottom w:w="30" w:type="dxa"/>
              <w:right w:w="120" w:type="dxa"/>
            </w:tcMar>
          </w:tcPr>
          <w:p w14:paraId="7E83BC8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拍卖活动创建时间</w:t>
            </w:r>
          </w:p>
        </w:tc>
      </w:tr>
      <w:tr w14:paraId="26FDA7D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32" w:type="dxa"/>
            <w:tcMar>
              <w:top w:w="60" w:type="dxa"/>
              <w:left w:w="120" w:type="dxa"/>
              <w:bottom w:w="30" w:type="dxa"/>
              <w:right w:w="120" w:type="dxa"/>
            </w:tcMar>
          </w:tcPr>
          <w:p w14:paraId="2010B74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update_time</w:t>
            </w:r>
          </w:p>
        </w:tc>
        <w:tc>
          <w:tcPr>
            <w:tcW w:w="1858" w:type="dxa"/>
            <w:tcMar>
              <w:top w:w="60" w:type="dxa"/>
              <w:left w:w="120" w:type="dxa"/>
              <w:bottom w:w="30" w:type="dxa"/>
              <w:right w:w="120" w:type="dxa"/>
            </w:tcMar>
          </w:tcPr>
          <w:p w14:paraId="53F0054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184" w:type="dxa"/>
            <w:tcMar>
              <w:top w:w="60" w:type="dxa"/>
              <w:left w:w="120" w:type="dxa"/>
              <w:bottom w:w="30" w:type="dxa"/>
              <w:right w:w="120" w:type="dxa"/>
            </w:tcMar>
          </w:tcPr>
          <w:p w14:paraId="29B68C0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 ON UPDATE CURRENT_TIMESTAMP</w:t>
            </w:r>
          </w:p>
        </w:tc>
        <w:tc>
          <w:tcPr>
            <w:tcW w:w="3674" w:type="dxa"/>
            <w:tcMar>
              <w:top w:w="60" w:type="dxa"/>
              <w:left w:w="120" w:type="dxa"/>
              <w:bottom w:w="30" w:type="dxa"/>
              <w:right w:w="120" w:type="dxa"/>
            </w:tcMar>
          </w:tcPr>
          <w:p w14:paraId="23E037D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拍卖活动信息更新时间（状态变更时同步更新）</w:t>
            </w:r>
          </w:p>
        </w:tc>
      </w:tr>
    </w:tbl>
    <w:p w14:paraId="41F7B70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竞价记录表（auction_bid）</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存储拍卖过程中的所有竞价记录，保障竞价数据的可追溯性，同时落实隐私保护要求，控制数据可见范围。</w:t>
      </w:r>
    </w:p>
    <w:p w14:paraId="1C21F800">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表3.3竞价记录表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650"/>
        <w:gridCol w:w="1650"/>
        <w:gridCol w:w="1650"/>
        <w:gridCol w:w="3452"/>
      </w:tblGrid>
      <w:tr w14:paraId="485F137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622" w:hRule="atLeast"/>
        </w:trPr>
        <w:tc>
          <w:tcPr>
            <w:tcW w:w="1650" w:type="dxa"/>
            <w:tcMar>
              <w:top w:w="60" w:type="dxa"/>
              <w:left w:w="120" w:type="dxa"/>
              <w:bottom w:w="30" w:type="dxa"/>
              <w:right w:w="120" w:type="dxa"/>
            </w:tcMar>
          </w:tcPr>
          <w:p w14:paraId="21BA5BED">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650" w:type="dxa"/>
            <w:tcMar>
              <w:top w:w="60" w:type="dxa"/>
              <w:left w:w="120" w:type="dxa"/>
              <w:bottom w:w="30" w:type="dxa"/>
              <w:right w:w="120" w:type="dxa"/>
            </w:tcMar>
          </w:tcPr>
          <w:p w14:paraId="55D70A22">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650" w:type="dxa"/>
            <w:tcMar>
              <w:top w:w="60" w:type="dxa"/>
              <w:left w:w="120" w:type="dxa"/>
              <w:bottom w:w="30" w:type="dxa"/>
              <w:right w:w="120" w:type="dxa"/>
            </w:tcMar>
          </w:tcPr>
          <w:p w14:paraId="01D6DD6F">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452" w:type="dxa"/>
            <w:tcMar>
              <w:top w:w="60" w:type="dxa"/>
              <w:left w:w="120" w:type="dxa"/>
              <w:bottom w:w="30" w:type="dxa"/>
              <w:right w:w="120" w:type="dxa"/>
            </w:tcMar>
          </w:tcPr>
          <w:p w14:paraId="374ED365">
            <w:pPr>
              <w:spacing w:line="440" w:lineRule="exact"/>
              <w:jc w:val="lef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5F634EA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49E4E42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650" w:type="dxa"/>
            <w:tcMar>
              <w:top w:w="60" w:type="dxa"/>
              <w:left w:w="120" w:type="dxa"/>
              <w:bottom w:w="30" w:type="dxa"/>
              <w:right w:w="120" w:type="dxa"/>
            </w:tcMar>
          </w:tcPr>
          <w:p w14:paraId="47AD7C1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650" w:type="dxa"/>
            <w:tcMar>
              <w:top w:w="60" w:type="dxa"/>
              <w:left w:w="120" w:type="dxa"/>
              <w:bottom w:w="30" w:type="dxa"/>
              <w:right w:w="120" w:type="dxa"/>
            </w:tcMar>
          </w:tcPr>
          <w:p w14:paraId="3E3B48F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452" w:type="dxa"/>
            <w:tcMar>
              <w:top w:w="60" w:type="dxa"/>
              <w:left w:w="120" w:type="dxa"/>
              <w:bottom w:w="30" w:type="dxa"/>
              <w:right w:w="120" w:type="dxa"/>
            </w:tcMar>
          </w:tcPr>
          <w:p w14:paraId="4B06406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竞价记录唯一标识</w:t>
            </w:r>
          </w:p>
        </w:tc>
      </w:tr>
      <w:tr w14:paraId="12ECFD8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202235A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auction_id</w:t>
            </w:r>
          </w:p>
        </w:tc>
        <w:tc>
          <w:tcPr>
            <w:tcW w:w="1650" w:type="dxa"/>
            <w:tcMar>
              <w:top w:w="60" w:type="dxa"/>
              <w:left w:w="120" w:type="dxa"/>
              <w:bottom w:w="30" w:type="dxa"/>
              <w:right w:w="120" w:type="dxa"/>
            </w:tcMar>
          </w:tcPr>
          <w:p w14:paraId="72C4061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650" w:type="dxa"/>
            <w:tcMar>
              <w:top w:w="60" w:type="dxa"/>
              <w:left w:w="120" w:type="dxa"/>
              <w:bottom w:w="30" w:type="dxa"/>
              <w:right w:w="120" w:type="dxa"/>
            </w:tcMar>
          </w:tcPr>
          <w:p w14:paraId="3D8A70B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4CE4050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关联拍卖活动表主键，外键；对应所属拍卖活动</w:t>
            </w:r>
          </w:p>
        </w:tc>
      </w:tr>
      <w:tr w14:paraId="0F1229A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2549BAD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bidder_id</w:t>
            </w:r>
          </w:p>
        </w:tc>
        <w:tc>
          <w:tcPr>
            <w:tcW w:w="1650" w:type="dxa"/>
            <w:tcMar>
              <w:top w:w="60" w:type="dxa"/>
              <w:left w:w="120" w:type="dxa"/>
              <w:bottom w:w="30" w:type="dxa"/>
              <w:right w:w="120" w:type="dxa"/>
            </w:tcMar>
          </w:tcPr>
          <w:p w14:paraId="6A0544F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650" w:type="dxa"/>
            <w:tcMar>
              <w:top w:w="60" w:type="dxa"/>
              <w:left w:w="120" w:type="dxa"/>
              <w:bottom w:w="30" w:type="dxa"/>
              <w:right w:w="120" w:type="dxa"/>
            </w:tcMar>
          </w:tcPr>
          <w:p w14:paraId="0D74046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0A91741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关联用户表主键，外键；竞价者ID</w:t>
            </w:r>
          </w:p>
        </w:tc>
      </w:tr>
      <w:tr w14:paraId="53BC431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43EBBE0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bid_amount</w:t>
            </w:r>
          </w:p>
        </w:tc>
        <w:tc>
          <w:tcPr>
            <w:tcW w:w="1650" w:type="dxa"/>
            <w:tcMar>
              <w:top w:w="60" w:type="dxa"/>
              <w:left w:w="120" w:type="dxa"/>
              <w:bottom w:w="30" w:type="dxa"/>
              <w:right w:w="120" w:type="dxa"/>
            </w:tcMar>
          </w:tcPr>
          <w:p w14:paraId="08BE06A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DECIMAL(30,18)</w:t>
            </w:r>
          </w:p>
        </w:tc>
        <w:tc>
          <w:tcPr>
            <w:tcW w:w="1650" w:type="dxa"/>
            <w:tcMar>
              <w:top w:w="60" w:type="dxa"/>
              <w:left w:w="120" w:type="dxa"/>
              <w:bottom w:w="30" w:type="dxa"/>
              <w:right w:w="120" w:type="dxa"/>
            </w:tcMar>
          </w:tcPr>
          <w:p w14:paraId="2EAD190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6F6D1CB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竞价金额；拍卖结束前为隐私数据，仅参与方和拍卖师可见</w:t>
            </w:r>
          </w:p>
        </w:tc>
      </w:tr>
      <w:tr w14:paraId="1B26F32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7F552FE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bid_time</w:t>
            </w:r>
          </w:p>
        </w:tc>
        <w:tc>
          <w:tcPr>
            <w:tcW w:w="1650" w:type="dxa"/>
            <w:tcMar>
              <w:top w:w="60" w:type="dxa"/>
              <w:left w:w="120" w:type="dxa"/>
              <w:bottom w:w="30" w:type="dxa"/>
              <w:right w:w="120" w:type="dxa"/>
            </w:tcMar>
          </w:tcPr>
          <w:p w14:paraId="51D9BEB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650" w:type="dxa"/>
            <w:tcMar>
              <w:top w:w="60" w:type="dxa"/>
              <w:left w:w="120" w:type="dxa"/>
              <w:bottom w:w="30" w:type="dxa"/>
              <w:right w:w="120" w:type="dxa"/>
            </w:tcMar>
          </w:tcPr>
          <w:p w14:paraId="0F35565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w:t>
            </w:r>
          </w:p>
        </w:tc>
        <w:tc>
          <w:tcPr>
            <w:tcW w:w="3452" w:type="dxa"/>
            <w:tcMar>
              <w:top w:w="60" w:type="dxa"/>
              <w:left w:w="120" w:type="dxa"/>
              <w:bottom w:w="30" w:type="dxa"/>
              <w:right w:w="120" w:type="dxa"/>
            </w:tcMar>
          </w:tcPr>
          <w:p w14:paraId="17B7773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竞价提交时间</w:t>
            </w:r>
          </w:p>
        </w:tc>
      </w:tr>
      <w:tr w14:paraId="403361F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1E9279F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bid_status</w:t>
            </w:r>
          </w:p>
        </w:tc>
        <w:tc>
          <w:tcPr>
            <w:tcW w:w="1650" w:type="dxa"/>
            <w:tcMar>
              <w:top w:w="60" w:type="dxa"/>
              <w:left w:w="120" w:type="dxa"/>
              <w:bottom w:w="30" w:type="dxa"/>
              <w:right w:w="120" w:type="dxa"/>
            </w:tcMar>
          </w:tcPr>
          <w:p w14:paraId="57291C0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650" w:type="dxa"/>
            <w:tcMar>
              <w:top w:w="60" w:type="dxa"/>
              <w:left w:w="120" w:type="dxa"/>
              <w:bottom w:w="30" w:type="dxa"/>
              <w:right w:w="120" w:type="dxa"/>
            </w:tcMar>
          </w:tcPr>
          <w:p w14:paraId="3C39011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Valid</w:t>
            </w:r>
          </w:p>
        </w:tc>
        <w:tc>
          <w:tcPr>
            <w:tcW w:w="3452" w:type="dxa"/>
            <w:tcMar>
              <w:top w:w="60" w:type="dxa"/>
              <w:left w:w="120" w:type="dxa"/>
              <w:bottom w:w="30" w:type="dxa"/>
              <w:right w:w="120" w:type="dxa"/>
            </w:tcMar>
          </w:tcPr>
          <w:p w14:paraId="2FB04FD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竞价状态：Valid（有效）、Invalid（无效，如被更高价覆盖）</w:t>
            </w:r>
          </w:p>
        </w:tc>
      </w:tr>
      <w:tr w14:paraId="28E332B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2900CB3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chain_event_hash</w:t>
            </w:r>
          </w:p>
        </w:tc>
        <w:tc>
          <w:tcPr>
            <w:tcW w:w="1650" w:type="dxa"/>
            <w:tcMar>
              <w:top w:w="60" w:type="dxa"/>
              <w:left w:w="120" w:type="dxa"/>
              <w:bottom w:w="30" w:type="dxa"/>
              <w:right w:w="120" w:type="dxa"/>
            </w:tcMar>
          </w:tcPr>
          <w:p w14:paraId="25CCC94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650" w:type="dxa"/>
            <w:tcMar>
              <w:top w:w="60" w:type="dxa"/>
              <w:left w:w="120" w:type="dxa"/>
              <w:bottom w:w="30" w:type="dxa"/>
              <w:right w:w="120" w:type="dxa"/>
            </w:tcMar>
          </w:tcPr>
          <w:p w14:paraId="135C137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0A59F7C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关联链上BidPlaced事件哈希，用于链上链下数据一致性校验</w:t>
            </w:r>
          </w:p>
        </w:tc>
      </w:tr>
    </w:tbl>
    <w:p w14:paraId="59641C1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鉴定报告表（appraisal_report）</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存储NFT资产的AI辅助鉴定结果与人工确认结果，留存鉴定全流程痕迹，支撑鉴定结果的可追溯性与权威性。</w:t>
      </w:r>
    </w:p>
    <w:p w14:paraId="2381A9A9">
      <w:pPr>
        <w:spacing w:line="44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表3.4</w:t>
      </w:r>
      <w:r>
        <w:rPr>
          <w:rFonts w:hint="default" w:ascii="宋体" w:hAnsi="宋体" w:eastAsia="宋体" w:cs="宋体"/>
          <w:sz w:val="21"/>
          <w:szCs w:val="21"/>
          <w:lang w:val="en-US" w:eastAsia="zh-CN"/>
        </w:rPr>
        <w:t>鉴定报告表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2011"/>
        <w:gridCol w:w="1497"/>
        <w:gridCol w:w="1442"/>
        <w:gridCol w:w="3410"/>
      </w:tblGrid>
      <w:tr w14:paraId="391798C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34DC08B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497" w:type="dxa"/>
            <w:tcMar>
              <w:top w:w="60" w:type="dxa"/>
              <w:left w:w="120" w:type="dxa"/>
              <w:bottom w:w="30" w:type="dxa"/>
              <w:right w:w="120" w:type="dxa"/>
            </w:tcMar>
          </w:tcPr>
          <w:p w14:paraId="3141C2D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442" w:type="dxa"/>
            <w:tcMar>
              <w:top w:w="60" w:type="dxa"/>
              <w:left w:w="120" w:type="dxa"/>
              <w:bottom w:w="30" w:type="dxa"/>
              <w:right w:w="120" w:type="dxa"/>
            </w:tcMar>
          </w:tcPr>
          <w:p w14:paraId="55E07EF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410" w:type="dxa"/>
            <w:tcMar>
              <w:top w:w="60" w:type="dxa"/>
              <w:left w:w="120" w:type="dxa"/>
              <w:bottom w:w="30" w:type="dxa"/>
              <w:right w:w="120" w:type="dxa"/>
            </w:tcMar>
          </w:tcPr>
          <w:p w14:paraId="1977B3C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0EBA763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76340CC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497" w:type="dxa"/>
            <w:tcMar>
              <w:top w:w="60" w:type="dxa"/>
              <w:left w:w="120" w:type="dxa"/>
              <w:bottom w:w="30" w:type="dxa"/>
              <w:right w:w="120" w:type="dxa"/>
            </w:tcMar>
          </w:tcPr>
          <w:p w14:paraId="2AA7280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442" w:type="dxa"/>
            <w:tcMar>
              <w:top w:w="60" w:type="dxa"/>
              <w:left w:w="120" w:type="dxa"/>
              <w:bottom w:w="30" w:type="dxa"/>
              <w:right w:w="120" w:type="dxa"/>
            </w:tcMar>
          </w:tcPr>
          <w:p w14:paraId="2D3C5D5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410" w:type="dxa"/>
            <w:tcMar>
              <w:top w:w="60" w:type="dxa"/>
              <w:left w:w="120" w:type="dxa"/>
              <w:bottom w:w="30" w:type="dxa"/>
              <w:right w:w="120" w:type="dxa"/>
            </w:tcMar>
          </w:tcPr>
          <w:p w14:paraId="1475608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鉴定报告唯一标识</w:t>
            </w:r>
          </w:p>
        </w:tc>
      </w:tr>
      <w:tr w14:paraId="4355676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5566755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nft_asset_id</w:t>
            </w:r>
          </w:p>
        </w:tc>
        <w:tc>
          <w:tcPr>
            <w:tcW w:w="1497" w:type="dxa"/>
            <w:tcMar>
              <w:top w:w="60" w:type="dxa"/>
              <w:left w:w="120" w:type="dxa"/>
              <w:bottom w:w="30" w:type="dxa"/>
              <w:right w:w="120" w:type="dxa"/>
            </w:tcMar>
          </w:tcPr>
          <w:p w14:paraId="59D1939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442" w:type="dxa"/>
            <w:tcMar>
              <w:top w:w="60" w:type="dxa"/>
              <w:left w:w="120" w:type="dxa"/>
              <w:bottom w:w="30" w:type="dxa"/>
              <w:right w:w="120" w:type="dxa"/>
            </w:tcMar>
          </w:tcPr>
          <w:p w14:paraId="5B55A738">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40DC380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关联NFT资产表主键，外键；对应鉴定的NFT资产</w:t>
            </w:r>
          </w:p>
        </w:tc>
      </w:tr>
      <w:tr w14:paraId="4F1274C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3B78B5C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ai_appraisal_result</w:t>
            </w:r>
          </w:p>
        </w:tc>
        <w:tc>
          <w:tcPr>
            <w:tcW w:w="1497" w:type="dxa"/>
            <w:tcMar>
              <w:top w:w="60" w:type="dxa"/>
              <w:left w:w="120" w:type="dxa"/>
              <w:bottom w:w="30" w:type="dxa"/>
              <w:right w:w="120" w:type="dxa"/>
            </w:tcMar>
          </w:tcPr>
          <w:p w14:paraId="1144EEB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TEXT</w:t>
            </w:r>
          </w:p>
        </w:tc>
        <w:tc>
          <w:tcPr>
            <w:tcW w:w="1442" w:type="dxa"/>
            <w:tcMar>
              <w:top w:w="60" w:type="dxa"/>
              <w:left w:w="120" w:type="dxa"/>
              <w:bottom w:w="30" w:type="dxa"/>
              <w:right w:w="120" w:type="dxa"/>
            </w:tcMar>
          </w:tcPr>
          <w:p w14:paraId="060BF7BD">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4EA7DF4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AI辅助鉴定结果：含图像特征提取信息、与品牌官方图库/赝品库比对结果、真伪初步判断</w:t>
            </w:r>
          </w:p>
        </w:tc>
      </w:tr>
      <w:tr w14:paraId="08FBD3D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4E36216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ai_appraisal_hash</w:t>
            </w:r>
          </w:p>
        </w:tc>
        <w:tc>
          <w:tcPr>
            <w:tcW w:w="1497" w:type="dxa"/>
            <w:tcMar>
              <w:top w:w="60" w:type="dxa"/>
              <w:left w:w="120" w:type="dxa"/>
              <w:bottom w:w="30" w:type="dxa"/>
              <w:right w:w="120" w:type="dxa"/>
            </w:tcMar>
          </w:tcPr>
          <w:p w14:paraId="583661E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442" w:type="dxa"/>
            <w:tcMar>
              <w:top w:w="60" w:type="dxa"/>
              <w:left w:w="120" w:type="dxa"/>
              <w:bottom w:w="30" w:type="dxa"/>
              <w:right w:w="120" w:type="dxa"/>
            </w:tcMar>
          </w:tcPr>
          <w:p w14:paraId="2B536026">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5A4AB13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AI辅助鉴定报告哈希，将存入NFT元数据</w:t>
            </w:r>
          </w:p>
        </w:tc>
      </w:tr>
      <w:tr w14:paraId="22BDF69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2D60871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ai_appraisal_time</w:t>
            </w:r>
          </w:p>
        </w:tc>
        <w:tc>
          <w:tcPr>
            <w:tcW w:w="1497" w:type="dxa"/>
            <w:tcMar>
              <w:top w:w="60" w:type="dxa"/>
              <w:left w:w="120" w:type="dxa"/>
              <w:bottom w:w="30" w:type="dxa"/>
              <w:right w:w="120" w:type="dxa"/>
            </w:tcMar>
          </w:tcPr>
          <w:p w14:paraId="36233F5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442" w:type="dxa"/>
            <w:tcMar>
              <w:top w:w="60" w:type="dxa"/>
              <w:left w:w="120" w:type="dxa"/>
              <w:bottom w:w="30" w:type="dxa"/>
              <w:right w:w="120" w:type="dxa"/>
            </w:tcMar>
          </w:tcPr>
          <w:p w14:paraId="3AE31375">
            <w:pPr>
              <w:spacing w:line="440" w:lineRule="exact"/>
              <w:jc w:val="both"/>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1DC4756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AI辅助鉴定完成时间</w:t>
            </w:r>
          </w:p>
        </w:tc>
      </w:tr>
      <w:tr w14:paraId="6E271A9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0FF1DFF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manual_appraisal_result</w:t>
            </w:r>
          </w:p>
        </w:tc>
        <w:tc>
          <w:tcPr>
            <w:tcW w:w="1497" w:type="dxa"/>
            <w:tcMar>
              <w:top w:w="60" w:type="dxa"/>
              <w:left w:w="120" w:type="dxa"/>
              <w:bottom w:w="30" w:type="dxa"/>
              <w:right w:w="120" w:type="dxa"/>
            </w:tcMar>
          </w:tcPr>
          <w:p w14:paraId="15D3236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TEXT</w:t>
            </w:r>
          </w:p>
        </w:tc>
        <w:tc>
          <w:tcPr>
            <w:tcW w:w="1442" w:type="dxa"/>
            <w:tcMar>
              <w:top w:w="60" w:type="dxa"/>
              <w:left w:w="120" w:type="dxa"/>
              <w:bottom w:w="30" w:type="dxa"/>
              <w:right w:w="120" w:type="dxa"/>
            </w:tcMar>
          </w:tcPr>
          <w:p w14:paraId="3CAB51F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422FAA8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合作鉴定机构人工确认结果（权威结果）</w:t>
            </w:r>
          </w:p>
        </w:tc>
      </w:tr>
      <w:tr w14:paraId="3CAF714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4B01A09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appraiser_id</w:t>
            </w:r>
          </w:p>
        </w:tc>
        <w:tc>
          <w:tcPr>
            <w:tcW w:w="1497" w:type="dxa"/>
            <w:tcMar>
              <w:top w:w="60" w:type="dxa"/>
              <w:left w:w="120" w:type="dxa"/>
              <w:bottom w:w="30" w:type="dxa"/>
              <w:right w:w="120" w:type="dxa"/>
            </w:tcMar>
          </w:tcPr>
          <w:p w14:paraId="2286B79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442" w:type="dxa"/>
            <w:tcMar>
              <w:top w:w="60" w:type="dxa"/>
              <w:left w:w="120" w:type="dxa"/>
              <w:bottom w:w="30" w:type="dxa"/>
              <w:right w:w="120" w:type="dxa"/>
            </w:tcMar>
          </w:tcPr>
          <w:p w14:paraId="723378D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770B482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人工鉴定师ID，关联用户表主键，外键</w:t>
            </w:r>
          </w:p>
        </w:tc>
      </w:tr>
      <w:tr w14:paraId="1D0DB08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3AF2FC7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appraisal_signature</w:t>
            </w:r>
          </w:p>
        </w:tc>
        <w:tc>
          <w:tcPr>
            <w:tcW w:w="1497" w:type="dxa"/>
            <w:tcMar>
              <w:top w:w="60" w:type="dxa"/>
              <w:left w:w="120" w:type="dxa"/>
              <w:bottom w:w="30" w:type="dxa"/>
              <w:right w:w="120" w:type="dxa"/>
            </w:tcMar>
          </w:tcPr>
          <w:p w14:paraId="1607797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VARCHAR(128)</w:t>
            </w:r>
          </w:p>
        </w:tc>
        <w:tc>
          <w:tcPr>
            <w:tcW w:w="1442" w:type="dxa"/>
            <w:tcMar>
              <w:top w:w="60" w:type="dxa"/>
              <w:left w:w="120" w:type="dxa"/>
              <w:bottom w:w="30" w:type="dxa"/>
              <w:right w:w="120" w:type="dxa"/>
            </w:tcMar>
          </w:tcPr>
          <w:p w14:paraId="6BCD445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110A99E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人工鉴定师签名（可为数字签名），保障结果权威性</w:t>
            </w:r>
          </w:p>
        </w:tc>
      </w:tr>
      <w:tr w14:paraId="3BD6B6E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5E78464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manual_appraisal_time</w:t>
            </w:r>
          </w:p>
        </w:tc>
        <w:tc>
          <w:tcPr>
            <w:tcW w:w="1497" w:type="dxa"/>
            <w:tcMar>
              <w:top w:w="60" w:type="dxa"/>
              <w:left w:w="120" w:type="dxa"/>
              <w:bottom w:w="30" w:type="dxa"/>
              <w:right w:w="120" w:type="dxa"/>
            </w:tcMar>
          </w:tcPr>
          <w:p w14:paraId="60E2D06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442" w:type="dxa"/>
            <w:tcMar>
              <w:top w:w="60" w:type="dxa"/>
              <w:left w:w="120" w:type="dxa"/>
              <w:bottom w:w="30" w:type="dxa"/>
              <w:right w:w="120" w:type="dxa"/>
            </w:tcMar>
          </w:tcPr>
          <w:p w14:paraId="609F26A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48F6D2D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人工鉴定完成时间</w:t>
            </w:r>
          </w:p>
        </w:tc>
      </w:tr>
      <w:tr w14:paraId="2A6F5C2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2E601D3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appraisal_status</w:t>
            </w:r>
          </w:p>
        </w:tc>
        <w:tc>
          <w:tcPr>
            <w:tcW w:w="1497" w:type="dxa"/>
            <w:tcMar>
              <w:top w:w="60" w:type="dxa"/>
              <w:left w:w="120" w:type="dxa"/>
              <w:bottom w:w="30" w:type="dxa"/>
              <w:right w:w="120" w:type="dxa"/>
            </w:tcMar>
          </w:tcPr>
          <w:p w14:paraId="676C592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442" w:type="dxa"/>
            <w:tcMar>
              <w:top w:w="60" w:type="dxa"/>
              <w:left w:w="120" w:type="dxa"/>
              <w:bottom w:w="30" w:type="dxa"/>
              <w:right w:w="120" w:type="dxa"/>
            </w:tcMar>
          </w:tcPr>
          <w:p w14:paraId="7FF61EE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AI_Completed</w:t>
            </w:r>
          </w:p>
        </w:tc>
        <w:tc>
          <w:tcPr>
            <w:tcW w:w="3410" w:type="dxa"/>
            <w:tcMar>
              <w:top w:w="60" w:type="dxa"/>
              <w:left w:w="120" w:type="dxa"/>
              <w:bottom w:w="30" w:type="dxa"/>
              <w:right w:w="120" w:type="dxa"/>
            </w:tcMar>
          </w:tcPr>
          <w:p w14:paraId="7C1BA95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鉴定状态：AI_Completed（AI鉴定完成）、Manual_Completed（人工鉴定完成）</w:t>
            </w:r>
          </w:p>
        </w:tc>
      </w:tr>
      <w:tr w14:paraId="4206523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2011" w:type="dxa"/>
            <w:tcMar>
              <w:top w:w="60" w:type="dxa"/>
              <w:left w:w="120" w:type="dxa"/>
              <w:bottom w:w="30" w:type="dxa"/>
              <w:right w:w="120" w:type="dxa"/>
            </w:tcMar>
          </w:tcPr>
          <w:p w14:paraId="31F24FA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remark</w:t>
            </w:r>
          </w:p>
        </w:tc>
        <w:tc>
          <w:tcPr>
            <w:tcW w:w="1497" w:type="dxa"/>
            <w:tcMar>
              <w:top w:w="60" w:type="dxa"/>
              <w:left w:w="120" w:type="dxa"/>
              <w:bottom w:w="30" w:type="dxa"/>
              <w:right w:w="120" w:type="dxa"/>
            </w:tcMar>
          </w:tcPr>
          <w:p w14:paraId="3575B56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VARCHAR(255)</w:t>
            </w:r>
          </w:p>
        </w:tc>
        <w:tc>
          <w:tcPr>
            <w:tcW w:w="1442" w:type="dxa"/>
            <w:tcMar>
              <w:top w:w="60" w:type="dxa"/>
              <w:left w:w="120" w:type="dxa"/>
              <w:bottom w:w="30" w:type="dxa"/>
              <w:right w:w="120" w:type="dxa"/>
            </w:tcMar>
          </w:tcPr>
          <w:p w14:paraId="6576BE6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10" w:type="dxa"/>
            <w:tcMar>
              <w:top w:w="60" w:type="dxa"/>
              <w:left w:w="120" w:type="dxa"/>
              <w:bottom w:w="30" w:type="dxa"/>
              <w:right w:w="120" w:type="dxa"/>
            </w:tcMar>
          </w:tcPr>
          <w:p w14:paraId="7C636B6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备注：需明确标注“AI辅助结果，仅供参考”</w:t>
            </w:r>
          </w:p>
        </w:tc>
      </w:tr>
    </w:tbl>
    <w:p w14:paraId="4F6939E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用户信息表（user_info）</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存储参与NFT拍卖业务的各类用户信息，包括拍卖师、卖家、买家、鉴定师等，支撑用户身份认证与权限管控。</w:t>
      </w:r>
    </w:p>
    <w:p w14:paraId="223A285D">
      <w:pPr>
        <w:spacing w:line="440" w:lineRule="exact"/>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表3.5用户信息</w:t>
      </w:r>
      <w:r>
        <w:rPr>
          <w:rFonts w:hint="default" w:ascii="宋体" w:hAnsi="宋体" w:eastAsia="宋体" w:cs="宋体"/>
          <w:sz w:val="21"/>
          <w:szCs w:val="21"/>
          <w:lang w:val="en-US" w:eastAsia="zh-CN"/>
        </w:rPr>
        <w:t>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650"/>
        <w:gridCol w:w="1650"/>
        <w:gridCol w:w="1650"/>
        <w:gridCol w:w="3446"/>
      </w:tblGrid>
      <w:tr w14:paraId="4E2FBDF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5BE2E00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650" w:type="dxa"/>
            <w:tcMar>
              <w:top w:w="60" w:type="dxa"/>
              <w:left w:w="120" w:type="dxa"/>
              <w:bottom w:w="30" w:type="dxa"/>
              <w:right w:w="120" w:type="dxa"/>
            </w:tcMar>
          </w:tcPr>
          <w:p w14:paraId="6A2513E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650" w:type="dxa"/>
            <w:tcMar>
              <w:top w:w="60" w:type="dxa"/>
              <w:left w:w="120" w:type="dxa"/>
              <w:bottom w:w="30" w:type="dxa"/>
              <w:right w:w="120" w:type="dxa"/>
            </w:tcMar>
          </w:tcPr>
          <w:p w14:paraId="2D1D173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446" w:type="dxa"/>
            <w:tcMar>
              <w:top w:w="60" w:type="dxa"/>
              <w:left w:w="120" w:type="dxa"/>
              <w:bottom w:w="30" w:type="dxa"/>
              <w:right w:w="120" w:type="dxa"/>
            </w:tcMar>
          </w:tcPr>
          <w:p w14:paraId="6F93CF0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7854DBE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6FD9FC7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650" w:type="dxa"/>
            <w:tcMar>
              <w:top w:w="60" w:type="dxa"/>
              <w:left w:w="120" w:type="dxa"/>
              <w:bottom w:w="30" w:type="dxa"/>
              <w:right w:w="120" w:type="dxa"/>
            </w:tcMar>
          </w:tcPr>
          <w:p w14:paraId="44261CC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650" w:type="dxa"/>
            <w:tcMar>
              <w:top w:w="60" w:type="dxa"/>
              <w:left w:w="120" w:type="dxa"/>
              <w:bottom w:w="30" w:type="dxa"/>
              <w:right w:w="120" w:type="dxa"/>
            </w:tcMar>
          </w:tcPr>
          <w:p w14:paraId="2C0C1C89">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446" w:type="dxa"/>
            <w:tcMar>
              <w:top w:w="60" w:type="dxa"/>
              <w:left w:w="120" w:type="dxa"/>
              <w:bottom w:w="30" w:type="dxa"/>
              <w:right w:w="120" w:type="dxa"/>
            </w:tcMar>
          </w:tcPr>
          <w:p w14:paraId="373B5BB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用户唯一标识</w:t>
            </w:r>
          </w:p>
        </w:tc>
      </w:tr>
      <w:tr w14:paraId="2F9E554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144C717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user_name</w:t>
            </w:r>
          </w:p>
        </w:tc>
        <w:tc>
          <w:tcPr>
            <w:tcW w:w="1650" w:type="dxa"/>
            <w:tcMar>
              <w:top w:w="60" w:type="dxa"/>
              <w:left w:w="120" w:type="dxa"/>
              <w:bottom w:w="30" w:type="dxa"/>
              <w:right w:w="120" w:type="dxa"/>
            </w:tcMar>
          </w:tcPr>
          <w:p w14:paraId="7BB5EFD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650" w:type="dxa"/>
            <w:tcMar>
              <w:top w:w="60" w:type="dxa"/>
              <w:left w:w="120" w:type="dxa"/>
              <w:bottom w:w="30" w:type="dxa"/>
              <w:right w:w="120" w:type="dxa"/>
            </w:tcMar>
          </w:tcPr>
          <w:p w14:paraId="66F7211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46" w:type="dxa"/>
            <w:tcMar>
              <w:top w:w="60" w:type="dxa"/>
              <w:left w:w="120" w:type="dxa"/>
              <w:bottom w:w="30" w:type="dxa"/>
              <w:right w:w="120" w:type="dxa"/>
            </w:tcMar>
          </w:tcPr>
          <w:p w14:paraId="621E136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用户名（唯一）</w:t>
            </w:r>
          </w:p>
        </w:tc>
      </w:tr>
      <w:tr w14:paraId="2079604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79DDA77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user_type</w:t>
            </w:r>
          </w:p>
        </w:tc>
        <w:tc>
          <w:tcPr>
            <w:tcW w:w="1650" w:type="dxa"/>
            <w:tcMar>
              <w:top w:w="60" w:type="dxa"/>
              <w:left w:w="120" w:type="dxa"/>
              <w:bottom w:w="30" w:type="dxa"/>
              <w:right w:w="120" w:type="dxa"/>
            </w:tcMar>
          </w:tcPr>
          <w:p w14:paraId="3022D63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650" w:type="dxa"/>
            <w:tcMar>
              <w:top w:w="60" w:type="dxa"/>
              <w:left w:w="120" w:type="dxa"/>
              <w:bottom w:w="30" w:type="dxa"/>
              <w:right w:w="120" w:type="dxa"/>
            </w:tcMar>
          </w:tcPr>
          <w:p w14:paraId="221A59C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46" w:type="dxa"/>
            <w:tcMar>
              <w:top w:w="60" w:type="dxa"/>
              <w:left w:w="120" w:type="dxa"/>
              <w:bottom w:w="30" w:type="dxa"/>
              <w:right w:w="120" w:type="dxa"/>
            </w:tcMar>
          </w:tcPr>
          <w:p w14:paraId="32E6EB2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用户类型：Auctioneer（拍卖师）、Seller（卖家）、Buyer（买家）、Appraiser（鉴定师）、Admin（管理员）</w:t>
            </w:r>
          </w:p>
        </w:tc>
      </w:tr>
      <w:tr w14:paraId="3414828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336C126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chain_address</w:t>
            </w:r>
          </w:p>
        </w:tc>
        <w:tc>
          <w:tcPr>
            <w:tcW w:w="1650" w:type="dxa"/>
            <w:tcMar>
              <w:top w:w="60" w:type="dxa"/>
              <w:left w:w="120" w:type="dxa"/>
              <w:bottom w:w="30" w:type="dxa"/>
              <w:right w:w="120" w:type="dxa"/>
            </w:tcMar>
          </w:tcPr>
          <w:p w14:paraId="7F7A580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650" w:type="dxa"/>
            <w:tcMar>
              <w:top w:w="60" w:type="dxa"/>
              <w:left w:w="120" w:type="dxa"/>
              <w:bottom w:w="30" w:type="dxa"/>
              <w:right w:w="120" w:type="dxa"/>
            </w:tcMar>
          </w:tcPr>
          <w:p w14:paraId="6509D6B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46" w:type="dxa"/>
            <w:tcMar>
              <w:top w:w="60" w:type="dxa"/>
              <w:left w:w="120" w:type="dxa"/>
              <w:bottom w:w="30" w:type="dxa"/>
              <w:right w:w="120" w:type="dxa"/>
            </w:tcMar>
          </w:tcPr>
          <w:p w14:paraId="5C20FE4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用户链上地址（唯一），用于关联NFT资产所有权、竞价权限等</w:t>
            </w:r>
          </w:p>
        </w:tc>
      </w:tr>
      <w:tr w14:paraId="1CAC381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7F19B21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real_name</w:t>
            </w:r>
          </w:p>
        </w:tc>
        <w:tc>
          <w:tcPr>
            <w:tcW w:w="1650" w:type="dxa"/>
            <w:tcMar>
              <w:top w:w="60" w:type="dxa"/>
              <w:left w:w="120" w:type="dxa"/>
              <w:bottom w:w="30" w:type="dxa"/>
              <w:right w:w="120" w:type="dxa"/>
            </w:tcMar>
          </w:tcPr>
          <w:p w14:paraId="21A4D58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650" w:type="dxa"/>
            <w:tcMar>
              <w:top w:w="60" w:type="dxa"/>
              <w:left w:w="120" w:type="dxa"/>
              <w:bottom w:w="30" w:type="dxa"/>
              <w:right w:w="120" w:type="dxa"/>
            </w:tcMar>
          </w:tcPr>
          <w:p w14:paraId="0546602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46" w:type="dxa"/>
            <w:tcMar>
              <w:top w:w="60" w:type="dxa"/>
              <w:left w:w="120" w:type="dxa"/>
              <w:bottom w:w="30" w:type="dxa"/>
              <w:right w:w="120" w:type="dxa"/>
            </w:tcMar>
          </w:tcPr>
          <w:p w14:paraId="7AA2E17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真实姓名（鉴定师、拍卖师需实名认证）</w:t>
            </w:r>
          </w:p>
        </w:tc>
      </w:tr>
      <w:tr w14:paraId="4CD1B2F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279E21E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certification_status</w:t>
            </w:r>
          </w:p>
        </w:tc>
        <w:tc>
          <w:tcPr>
            <w:tcW w:w="1650" w:type="dxa"/>
            <w:tcMar>
              <w:top w:w="60" w:type="dxa"/>
              <w:left w:w="120" w:type="dxa"/>
              <w:bottom w:w="30" w:type="dxa"/>
              <w:right w:w="120" w:type="dxa"/>
            </w:tcMar>
          </w:tcPr>
          <w:p w14:paraId="7B927DC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650" w:type="dxa"/>
            <w:tcMar>
              <w:top w:w="60" w:type="dxa"/>
              <w:left w:w="120" w:type="dxa"/>
              <w:bottom w:w="30" w:type="dxa"/>
              <w:right w:w="120" w:type="dxa"/>
            </w:tcMar>
          </w:tcPr>
          <w:p w14:paraId="3E104D36">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Uncertified</w:t>
            </w:r>
          </w:p>
        </w:tc>
        <w:tc>
          <w:tcPr>
            <w:tcW w:w="3446" w:type="dxa"/>
            <w:tcMar>
              <w:top w:w="60" w:type="dxa"/>
              <w:left w:w="120" w:type="dxa"/>
              <w:bottom w:w="30" w:type="dxa"/>
              <w:right w:w="120" w:type="dxa"/>
            </w:tcMar>
          </w:tcPr>
          <w:p w14:paraId="7097252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认证状态：Uncertified（未认证）、Certified（已认证）；拍卖师、鉴定师需完成认证</w:t>
            </w:r>
          </w:p>
        </w:tc>
      </w:tr>
      <w:tr w14:paraId="7D18774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7BD1439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create_time</w:t>
            </w:r>
          </w:p>
        </w:tc>
        <w:tc>
          <w:tcPr>
            <w:tcW w:w="1650" w:type="dxa"/>
            <w:tcMar>
              <w:top w:w="60" w:type="dxa"/>
              <w:left w:w="120" w:type="dxa"/>
              <w:bottom w:w="30" w:type="dxa"/>
              <w:right w:w="120" w:type="dxa"/>
            </w:tcMar>
          </w:tcPr>
          <w:p w14:paraId="1DA8272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650" w:type="dxa"/>
            <w:tcMar>
              <w:top w:w="60" w:type="dxa"/>
              <w:left w:w="120" w:type="dxa"/>
              <w:bottom w:w="30" w:type="dxa"/>
              <w:right w:w="120" w:type="dxa"/>
            </w:tcMar>
          </w:tcPr>
          <w:p w14:paraId="4CDA6F9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w:t>
            </w:r>
          </w:p>
        </w:tc>
        <w:tc>
          <w:tcPr>
            <w:tcW w:w="3446" w:type="dxa"/>
            <w:tcMar>
              <w:top w:w="60" w:type="dxa"/>
              <w:left w:w="120" w:type="dxa"/>
              <w:bottom w:w="30" w:type="dxa"/>
              <w:right w:w="120" w:type="dxa"/>
            </w:tcMar>
          </w:tcPr>
          <w:p w14:paraId="70DA312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用户账号创建时间</w:t>
            </w:r>
          </w:p>
        </w:tc>
      </w:tr>
      <w:tr w14:paraId="52505EC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650" w:type="dxa"/>
            <w:tcMar>
              <w:top w:w="60" w:type="dxa"/>
              <w:left w:w="120" w:type="dxa"/>
              <w:bottom w:w="30" w:type="dxa"/>
              <w:right w:w="120" w:type="dxa"/>
            </w:tcMar>
          </w:tcPr>
          <w:p w14:paraId="0787A5F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update_time</w:t>
            </w:r>
          </w:p>
        </w:tc>
        <w:tc>
          <w:tcPr>
            <w:tcW w:w="1650" w:type="dxa"/>
            <w:tcMar>
              <w:top w:w="60" w:type="dxa"/>
              <w:left w:w="120" w:type="dxa"/>
              <w:bottom w:w="30" w:type="dxa"/>
              <w:right w:w="120" w:type="dxa"/>
            </w:tcMar>
          </w:tcPr>
          <w:p w14:paraId="4332C9C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650" w:type="dxa"/>
            <w:tcMar>
              <w:top w:w="60" w:type="dxa"/>
              <w:left w:w="120" w:type="dxa"/>
              <w:bottom w:w="30" w:type="dxa"/>
              <w:right w:w="120" w:type="dxa"/>
            </w:tcMar>
          </w:tcPr>
          <w:p w14:paraId="378485A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 ON UPDATE CURRENT_TIMESTAMP</w:t>
            </w:r>
          </w:p>
        </w:tc>
        <w:tc>
          <w:tcPr>
            <w:tcW w:w="3446" w:type="dxa"/>
            <w:tcMar>
              <w:top w:w="60" w:type="dxa"/>
              <w:left w:w="120" w:type="dxa"/>
              <w:bottom w:w="30" w:type="dxa"/>
              <w:right w:w="120" w:type="dxa"/>
            </w:tcMar>
          </w:tcPr>
          <w:p w14:paraId="50AEBB0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用户信息更新时间</w:t>
            </w:r>
          </w:p>
        </w:tc>
      </w:tr>
    </w:tbl>
    <w:p w14:paraId="651C1DC2">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链上事件同步表（chain_event_sync）</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存储链上智能合约发射的关键事件数据，支撑链上链下数据一致性校验，记录事件监听与后续业务处理痕迹。</w:t>
      </w:r>
    </w:p>
    <w:p w14:paraId="0E1CDBBF">
      <w:pPr>
        <w:spacing w:line="440" w:lineRule="exact"/>
        <w:jc w:val="center"/>
        <w:rPr>
          <w:rFonts w:hint="eastAsia" w:ascii="宋体" w:hAnsi="宋体" w:eastAsia="宋体" w:cs="宋体"/>
          <w:sz w:val="21"/>
          <w:szCs w:val="21"/>
          <w:lang w:val="en-US" w:eastAsia="zh-CN"/>
        </w:rPr>
      </w:pPr>
    </w:p>
    <w:p w14:paraId="3F23B309">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表3.6事件同步表</w:t>
      </w:r>
    </w:p>
    <w:tbl>
      <w:tblPr>
        <w:tblStyle w:val="35"/>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745"/>
        <w:gridCol w:w="1947"/>
        <w:gridCol w:w="1258"/>
        <w:gridCol w:w="3452"/>
      </w:tblGrid>
      <w:tr w14:paraId="7B3313E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745" w:type="dxa"/>
            <w:tcMar>
              <w:top w:w="60" w:type="dxa"/>
              <w:left w:w="120" w:type="dxa"/>
              <w:bottom w:w="30" w:type="dxa"/>
              <w:right w:w="120" w:type="dxa"/>
            </w:tcMar>
          </w:tcPr>
          <w:p w14:paraId="4621685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字段名</w:t>
            </w:r>
          </w:p>
        </w:tc>
        <w:tc>
          <w:tcPr>
            <w:tcW w:w="1947" w:type="dxa"/>
            <w:tcMar>
              <w:top w:w="60" w:type="dxa"/>
              <w:left w:w="120" w:type="dxa"/>
              <w:bottom w:w="30" w:type="dxa"/>
              <w:right w:w="120" w:type="dxa"/>
            </w:tcMar>
          </w:tcPr>
          <w:p w14:paraId="6DC6796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数据类型</w:t>
            </w:r>
          </w:p>
        </w:tc>
        <w:tc>
          <w:tcPr>
            <w:tcW w:w="1258" w:type="dxa"/>
            <w:tcMar>
              <w:top w:w="60" w:type="dxa"/>
              <w:left w:w="120" w:type="dxa"/>
              <w:bottom w:w="30" w:type="dxa"/>
              <w:right w:w="120" w:type="dxa"/>
            </w:tcMar>
          </w:tcPr>
          <w:p w14:paraId="6CFB67A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默认值</w:t>
            </w:r>
          </w:p>
        </w:tc>
        <w:tc>
          <w:tcPr>
            <w:tcW w:w="3452" w:type="dxa"/>
            <w:tcMar>
              <w:top w:w="60" w:type="dxa"/>
              <w:left w:w="120" w:type="dxa"/>
              <w:bottom w:w="30" w:type="dxa"/>
              <w:right w:w="120" w:type="dxa"/>
            </w:tcMar>
          </w:tcPr>
          <w:p w14:paraId="493A9A3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备注</w:t>
            </w:r>
          </w:p>
        </w:tc>
      </w:tr>
      <w:tr w14:paraId="6257F7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100A99E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id</w:t>
            </w:r>
          </w:p>
        </w:tc>
        <w:tc>
          <w:tcPr>
            <w:tcW w:w="1947" w:type="dxa"/>
            <w:tcMar>
              <w:top w:w="60" w:type="dxa"/>
              <w:left w:w="120" w:type="dxa"/>
              <w:bottom w:w="30" w:type="dxa"/>
              <w:right w:w="120" w:type="dxa"/>
            </w:tcMar>
          </w:tcPr>
          <w:p w14:paraId="143F826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258" w:type="dxa"/>
            <w:tcMar>
              <w:top w:w="60" w:type="dxa"/>
              <w:left w:w="120" w:type="dxa"/>
              <w:bottom w:w="30" w:type="dxa"/>
              <w:right w:w="120" w:type="dxa"/>
            </w:tcMar>
          </w:tcPr>
          <w:p w14:paraId="3558776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自增</w:t>
            </w:r>
          </w:p>
        </w:tc>
        <w:tc>
          <w:tcPr>
            <w:tcW w:w="3452" w:type="dxa"/>
            <w:tcMar>
              <w:top w:w="60" w:type="dxa"/>
              <w:left w:w="120" w:type="dxa"/>
              <w:bottom w:w="30" w:type="dxa"/>
              <w:right w:w="120" w:type="dxa"/>
            </w:tcMar>
          </w:tcPr>
          <w:p w14:paraId="6FBA473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事件同步记录唯一标识</w:t>
            </w:r>
          </w:p>
        </w:tc>
      </w:tr>
      <w:tr w14:paraId="59CEC31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1CC2FBD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event_hash</w:t>
            </w:r>
          </w:p>
        </w:tc>
        <w:tc>
          <w:tcPr>
            <w:tcW w:w="1947" w:type="dxa"/>
            <w:tcMar>
              <w:top w:w="60" w:type="dxa"/>
              <w:left w:w="120" w:type="dxa"/>
              <w:bottom w:w="30" w:type="dxa"/>
              <w:right w:w="120" w:type="dxa"/>
            </w:tcMar>
          </w:tcPr>
          <w:p w14:paraId="3D2A158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258" w:type="dxa"/>
            <w:tcMar>
              <w:top w:w="60" w:type="dxa"/>
              <w:left w:w="120" w:type="dxa"/>
              <w:bottom w:w="30" w:type="dxa"/>
              <w:right w:w="120" w:type="dxa"/>
            </w:tcMar>
          </w:tcPr>
          <w:p w14:paraId="7D06747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5472230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链上事件唯一哈希（唯一），用于数据唯一性校验</w:t>
            </w:r>
          </w:p>
        </w:tc>
      </w:tr>
      <w:tr w14:paraId="14662F0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5C165C8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event_type</w:t>
            </w:r>
          </w:p>
        </w:tc>
        <w:tc>
          <w:tcPr>
            <w:tcW w:w="1947" w:type="dxa"/>
            <w:tcMar>
              <w:top w:w="60" w:type="dxa"/>
              <w:left w:w="120" w:type="dxa"/>
              <w:bottom w:w="30" w:type="dxa"/>
              <w:right w:w="120" w:type="dxa"/>
            </w:tcMar>
          </w:tcPr>
          <w:p w14:paraId="437F503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VARCHAR(30)</w:t>
            </w:r>
          </w:p>
        </w:tc>
        <w:tc>
          <w:tcPr>
            <w:tcW w:w="1258" w:type="dxa"/>
            <w:tcMar>
              <w:top w:w="60" w:type="dxa"/>
              <w:left w:w="120" w:type="dxa"/>
              <w:bottom w:w="30" w:type="dxa"/>
              <w:right w:w="120" w:type="dxa"/>
            </w:tcMar>
          </w:tcPr>
          <w:p w14:paraId="28C4AC3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52C978A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事件类型：Transfer（NFT转移）、BidPlaced（竞价提交）、AuctionEnded（拍卖结束）、AuctionCanceled（拍卖取消）、AuctionSettled（拍卖结算）</w:t>
            </w:r>
          </w:p>
        </w:tc>
      </w:tr>
      <w:tr w14:paraId="2D2EE4A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235AC90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auction_id</w:t>
            </w:r>
          </w:p>
        </w:tc>
        <w:tc>
          <w:tcPr>
            <w:tcW w:w="1947" w:type="dxa"/>
            <w:tcMar>
              <w:top w:w="60" w:type="dxa"/>
              <w:left w:w="120" w:type="dxa"/>
              <w:bottom w:w="30" w:type="dxa"/>
              <w:right w:w="120" w:type="dxa"/>
            </w:tcMar>
          </w:tcPr>
          <w:p w14:paraId="48F94452">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BIGINT</w:t>
            </w:r>
          </w:p>
        </w:tc>
        <w:tc>
          <w:tcPr>
            <w:tcW w:w="1258" w:type="dxa"/>
            <w:tcMar>
              <w:top w:w="60" w:type="dxa"/>
              <w:left w:w="120" w:type="dxa"/>
              <w:bottom w:w="30" w:type="dxa"/>
              <w:right w:w="120" w:type="dxa"/>
            </w:tcMar>
          </w:tcPr>
          <w:p w14:paraId="4822230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4B55E301">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关联拍卖活动表主键，外键；对应事件所属拍卖活动（Transfer事件关联NFT资产所属拍卖活动）</w:t>
            </w:r>
          </w:p>
        </w:tc>
      </w:tr>
      <w:tr w14:paraId="48CE395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35B2978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nft_id</w:t>
            </w:r>
          </w:p>
        </w:tc>
        <w:tc>
          <w:tcPr>
            <w:tcW w:w="1947" w:type="dxa"/>
            <w:tcMar>
              <w:top w:w="60" w:type="dxa"/>
              <w:left w:w="120" w:type="dxa"/>
              <w:bottom w:w="30" w:type="dxa"/>
              <w:right w:w="120" w:type="dxa"/>
            </w:tcMar>
          </w:tcPr>
          <w:p w14:paraId="4FF2544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VARCHAR(64)</w:t>
            </w:r>
          </w:p>
        </w:tc>
        <w:tc>
          <w:tcPr>
            <w:tcW w:w="1258" w:type="dxa"/>
            <w:tcMar>
              <w:top w:w="60" w:type="dxa"/>
              <w:left w:w="120" w:type="dxa"/>
              <w:bottom w:w="30" w:type="dxa"/>
              <w:right w:w="120" w:type="dxa"/>
            </w:tcMar>
          </w:tcPr>
          <w:p w14:paraId="23625B6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37E2198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链上NFT唯一标识（Transfer事件必填）</w:t>
            </w:r>
          </w:p>
        </w:tc>
      </w:tr>
      <w:tr w14:paraId="750EE6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1D871CCE">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event_data</w:t>
            </w:r>
          </w:p>
        </w:tc>
        <w:tc>
          <w:tcPr>
            <w:tcW w:w="1947" w:type="dxa"/>
            <w:tcMar>
              <w:top w:w="60" w:type="dxa"/>
              <w:left w:w="120" w:type="dxa"/>
              <w:bottom w:w="30" w:type="dxa"/>
              <w:right w:w="120" w:type="dxa"/>
            </w:tcMar>
          </w:tcPr>
          <w:p w14:paraId="20A45FED">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TEXT</w:t>
            </w:r>
          </w:p>
        </w:tc>
        <w:tc>
          <w:tcPr>
            <w:tcW w:w="1258" w:type="dxa"/>
            <w:tcMar>
              <w:top w:w="60" w:type="dxa"/>
              <w:left w:w="120" w:type="dxa"/>
              <w:bottom w:w="30" w:type="dxa"/>
              <w:right w:w="120" w:type="dxa"/>
            </w:tcMar>
          </w:tcPr>
          <w:p w14:paraId="7789C50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5C4AABD8">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链上事件原始数据（JSON格式），含事件相关参数（如转移双方地址、竞价金额、事件发生时间等）</w:t>
            </w:r>
          </w:p>
        </w:tc>
      </w:tr>
      <w:tr w14:paraId="719DD89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461CCA2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listen_time</w:t>
            </w:r>
          </w:p>
        </w:tc>
        <w:tc>
          <w:tcPr>
            <w:tcW w:w="1947" w:type="dxa"/>
            <w:tcMar>
              <w:top w:w="60" w:type="dxa"/>
              <w:left w:w="120" w:type="dxa"/>
              <w:bottom w:w="30" w:type="dxa"/>
              <w:right w:w="120" w:type="dxa"/>
            </w:tcMar>
          </w:tcPr>
          <w:p w14:paraId="7E570CDF">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258" w:type="dxa"/>
            <w:tcMar>
              <w:top w:w="60" w:type="dxa"/>
              <w:left w:w="120" w:type="dxa"/>
              <w:bottom w:w="30" w:type="dxa"/>
              <w:right w:w="120" w:type="dxa"/>
            </w:tcMar>
          </w:tcPr>
          <w:p w14:paraId="4DFBC8C3">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CURRENT_TIMESTAMP</w:t>
            </w:r>
          </w:p>
        </w:tc>
        <w:tc>
          <w:tcPr>
            <w:tcW w:w="3452" w:type="dxa"/>
            <w:tcMar>
              <w:top w:w="60" w:type="dxa"/>
              <w:left w:w="120" w:type="dxa"/>
              <w:bottom w:w="30" w:type="dxa"/>
              <w:right w:w="120" w:type="dxa"/>
            </w:tcMar>
          </w:tcPr>
          <w:p w14:paraId="43E3648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业务中台事件监听服务捕获事件的时间</w:t>
            </w:r>
          </w:p>
        </w:tc>
      </w:tr>
      <w:tr w14:paraId="2FE3E71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59FE7C6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process_status</w:t>
            </w:r>
          </w:p>
        </w:tc>
        <w:tc>
          <w:tcPr>
            <w:tcW w:w="1947" w:type="dxa"/>
            <w:tcMar>
              <w:top w:w="60" w:type="dxa"/>
              <w:left w:w="120" w:type="dxa"/>
              <w:bottom w:w="30" w:type="dxa"/>
              <w:right w:w="120" w:type="dxa"/>
            </w:tcMar>
          </w:tcPr>
          <w:p w14:paraId="4A92384A">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VARCHAR(20)</w:t>
            </w:r>
          </w:p>
        </w:tc>
        <w:tc>
          <w:tcPr>
            <w:tcW w:w="1258" w:type="dxa"/>
            <w:tcMar>
              <w:top w:w="60" w:type="dxa"/>
              <w:left w:w="120" w:type="dxa"/>
              <w:bottom w:w="30" w:type="dxa"/>
              <w:right w:w="120" w:type="dxa"/>
            </w:tcMar>
          </w:tcPr>
          <w:p w14:paraId="0283FCF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Pending</w:t>
            </w:r>
          </w:p>
        </w:tc>
        <w:tc>
          <w:tcPr>
            <w:tcW w:w="3452" w:type="dxa"/>
            <w:tcMar>
              <w:top w:w="60" w:type="dxa"/>
              <w:left w:w="120" w:type="dxa"/>
              <w:bottom w:w="30" w:type="dxa"/>
              <w:right w:w="120" w:type="dxa"/>
            </w:tcMar>
          </w:tcPr>
          <w:p w14:paraId="0FDF62E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事件处理状态：Pending（待处理）、Processing（处理中）、Completed（处理完成）、Failed（处理失败）</w:t>
            </w:r>
          </w:p>
        </w:tc>
      </w:tr>
      <w:tr w14:paraId="20C2435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4D8FC20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process_result</w:t>
            </w:r>
          </w:p>
        </w:tc>
        <w:tc>
          <w:tcPr>
            <w:tcW w:w="1947" w:type="dxa"/>
            <w:tcMar>
              <w:top w:w="60" w:type="dxa"/>
              <w:left w:w="120" w:type="dxa"/>
              <w:bottom w:w="30" w:type="dxa"/>
              <w:right w:w="120" w:type="dxa"/>
            </w:tcMar>
          </w:tcPr>
          <w:p w14:paraId="3E0C23D5">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TEXT</w:t>
            </w:r>
          </w:p>
        </w:tc>
        <w:tc>
          <w:tcPr>
            <w:tcW w:w="1258" w:type="dxa"/>
            <w:tcMar>
              <w:top w:w="60" w:type="dxa"/>
              <w:left w:w="120" w:type="dxa"/>
              <w:bottom w:w="30" w:type="dxa"/>
              <w:right w:w="120" w:type="dxa"/>
            </w:tcMar>
          </w:tcPr>
          <w:p w14:paraId="4CC61DE4">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6A4930FB">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事件处理结果：含数据库状态更新情况、通知发送结果等</w:t>
            </w:r>
          </w:p>
        </w:tc>
      </w:tr>
      <w:tr w14:paraId="3C7BB13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745" w:type="dxa"/>
            <w:tcMar>
              <w:top w:w="60" w:type="dxa"/>
              <w:left w:w="120" w:type="dxa"/>
              <w:bottom w:w="30" w:type="dxa"/>
              <w:right w:w="120" w:type="dxa"/>
            </w:tcMar>
          </w:tcPr>
          <w:p w14:paraId="258DB72C">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process_time</w:t>
            </w:r>
          </w:p>
        </w:tc>
        <w:tc>
          <w:tcPr>
            <w:tcW w:w="1947" w:type="dxa"/>
            <w:tcMar>
              <w:top w:w="60" w:type="dxa"/>
              <w:left w:w="120" w:type="dxa"/>
              <w:bottom w:w="30" w:type="dxa"/>
              <w:right w:w="120" w:type="dxa"/>
            </w:tcMar>
          </w:tcPr>
          <w:p w14:paraId="015C453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DATETIME</w:t>
            </w:r>
          </w:p>
        </w:tc>
        <w:tc>
          <w:tcPr>
            <w:tcW w:w="1258" w:type="dxa"/>
            <w:tcMar>
              <w:top w:w="60" w:type="dxa"/>
              <w:left w:w="120" w:type="dxa"/>
              <w:bottom w:w="30" w:type="dxa"/>
              <w:right w:w="120" w:type="dxa"/>
            </w:tcMar>
          </w:tcPr>
          <w:p w14:paraId="76ED7280">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无</w:t>
            </w:r>
          </w:p>
        </w:tc>
        <w:tc>
          <w:tcPr>
            <w:tcW w:w="3452" w:type="dxa"/>
            <w:tcMar>
              <w:top w:w="60" w:type="dxa"/>
              <w:left w:w="120" w:type="dxa"/>
              <w:bottom w:w="30" w:type="dxa"/>
              <w:right w:w="120" w:type="dxa"/>
            </w:tcMar>
          </w:tcPr>
          <w:p w14:paraId="39D25357">
            <w:pPr>
              <w:spacing w:line="440" w:lineRule="exact"/>
              <w:rPr>
                <w:rFonts w:hint="default" w:ascii="Calibri" w:hAnsi="Calibri" w:eastAsia="宋体" w:cs="Times New Roman"/>
                <w:sz w:val="21"/>
                <w:szCs w:val="21"/>
                <w:lang w:val="en-US" w:eastAsia="zh-CN"/>
              </w:rPr>
            </w:pPr>
            <w:r>
              <w:rPr>
                <w:rFonts w:hint="default" w:ascii="Calibri" w:hAnsi="Calibri" w:eastAsia="宋体" w:cs="Times New Roman"/>
                <w:sz w:val="21"/>
                <w:szCs w:val="21"/>
                <w:lang w:val="en-US" w:eastAsia="zh-CN"/>
              </w:rPr>
              <w:t>事件处理完成/失败时间</w:t>
            </w:r>
          </w:p>
        </w:tc>
      </w:tr>
    </w:tbl>
    <w:p w14:paraId="13200B2C">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数据</w:t>
      </w:r>
      <w:r>
        <w:rPr>
          <w:rFonts w:hint="default" w:ascii="Calibri" w:hAnsi="Calibri" w:eastAsia="宋体" w:cs="Times New Roman"/>
          <w:sz w:val="24"/>
          <w:szCs w:val="24"/>
          <w:lang w:val="en-US" w:eastAsia="zh-CN"/>
        </w:rPr>
        <w:t>约束</w:t>
      </w:r>
      <w:r>
        <w:rPr>
          <w:rFonts w:hint="eastAsia" w:ascii="Calibri" w:hAnsi="Calibri" w:eastAsia="宋体" w:cs="Times New Roman"/>
          <w:sz w:val="24"/>
          <w:szCs w:val="24"/>
          <w:lang w:val="en-US" w:eastAsia="zh-CN"/>
        </w:rPr>
        <w:t>设计说明</w:t>
      </w:r>
    </w:p>
    <w:p w14:paraId="64F69D4C">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隐私保护设计落地</w:t>
      </w:r>
    </w:p>
    <w:p w14:paraId="46D2019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分级存储隐私数据：拍卖保留价（reserve_price）、竞价金额（bid_amount）、最高竞价者ID（highest_bidder_id）等隐私数据，在表结构中明确标注可见范围，通过业务层权限控制实现“拍卖结束前仅拍卖参与方和拍卖师可见，落槌后关键结果写入公共账本（同步更新数据库可见范围）”的需求；</w:t>
      </w:r>
    </w:p>
    <w:p w14:paraId="59177AC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数据隔离：隐私数据与公开数据在表中分类存储，避免混淆，同时通过数据库访问控制策略（如行级权限、视图隔离）进一步保障隐私数据安全。</w:t>
      </w:r>
    </w:p>
    <w:p w14:paraId="1E356AE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拍卖状态机流转约束</w:t>
      </w:r>
    </w:p>
    <w:p w14:paraId="35B34FF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数据库层面通过枚举值约束拍卖状态（status字段），仅允许存储Pending、Active、Ended、Settled、Canceled五种状态；</w:t>
      </w:r>
    </w:p>
    <w:p w14:paraId="7C87974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业务层通过触发器或事务控制状态转换条件，确保状态流转符合“Pending-&gt;Active-&gt;Ended-&gt;Settled”或“Pending/Active-&gt;Canceled”的规则，例如：仅当拍卖时间达到start_time且未被取消时，可从Pending转为Active；仅当拍卖时间达到end_time且未被取消时，可从Active转为Ended等。</w:t>
      </w:r>
    </w:p>
    <w:p w14:paraId="7049304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链上链下数据一致性保障</w:t>
      </w:r>
    </w:p>
    <w:p w14:paraId="30A714B6">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通过chain_event_sync表记录链上事件全量数据，关联对应的拍卖活动ID和NFT ID，实现链上事件与链下业务数据的精准映射；</w:t>
      </w:r>
    </w:p>
    <w:p w14:paraId="3EDB98D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事件处理状态（process_status）字段实时跟踪业务处理进度，对于处理失败的事件，支持重试机制，确保链上链下状态最终一致；</w:t>
      </w:r>
    </w:p>
    <w:p w14:paraId="766BF0F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 采用事件哈希（event_hash）作为唯一标识，避免重复处理同一链上事件。</w:t>
      </w:r>
    </w:p>
    <w:p w14:paraId="44EE88A7">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AI鉴定集成设计</w:t>
      </w:r>
    </w:p>
    <w:p w14:paraId="10E31336">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鉴定报告表中分离AI辅助鉴定结果与人工鉴定结果，明确两者的权责边界，通过remark字段强制标注“AI辅助结果，仅供参考”；</w:t>
      </w:r>
    </w:p>
    <w:p w14:paraId="27A2A681">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存储AI鉴定报告哈希（ai_appraisal_hash），与NFT元数据哈希（metadata_hash）关联，确保AI鉴定结果可追溯、不可篡改；</w:t>
      </w:r>
    </w:p>
    <w:p w14:paraId="7ADB5A34">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 鉴定状态（appraisal_status）字段跟踪鉴定流程进度，确保人工鉴定完成后，方可启动NFT拍卖活动。</w:t>
      </w:r>
    </w:p>
    <w:p w14:paraId="63D3FCA0">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索引设计</w:t>
      </w:r>
      <w:r>
        <w:rPr>
          <w:rFonts w:hint="eastAsia" w:ascii="Calibri" w:hAnsi="Calibri" w:eastAsia="宋体" w:cs="Times New Roman"/>
          <w:sz w:val="24"/>
          <w:szCs w:val="24"/>
          <w:lang w:val="en-US" w:eastAsia="zh-CN"/>
        </w:rPr>
        <w:t>说明，</w:t>
      </w:r>
      <w:r>
        <w:rPr>
          <w:rFonts w:hint="default" w:ascii="Calibri" w:hAnsi="Calibri" w:eastAsia="宋体" w:cs="Times New Roman"/>
          <w:sz w:val="24"/>
          <w:szCs w:val="24"/>
          <w:lang w:val="en-US" w:eastAsia="zh-CN"/>
        </w:rPr>
        <w:t>为提升查询效率，针对核心查询场景设计以下索引</w:t>
      </w:r>
      <w:r>
        <w:rPr>
          <w:rFonts w:hint="eastAsia" w:ascii="Calibri" w:hAnsi="Calibri" w:eastAsia="宋体" w:cs="Times New Roman"/>
          <w:sz w:val="24"/>
          <w:szCs w:val="24"/>
          <w:lang w:val="en-US" w:eastAsia="zh-CN"/>
        </w:rPr>
        <w:t>。</w:t>
      </w:r>
    </w:p>
    <w:p w14:paraId="3F4B5D1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 NFT资产表：索引nft_id、contract_address、owner_address、appraisal_report_id，支撑NFT资产快速查询与关联查询；</w:t>
      </w:r>
    </w:p>
    <w:p w14:paraId="34462333">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 拍卖活动表：索引nft_asset_id、auctioneer_id、seller_id、status、start_time、end_time，支撑拍卖活动按状态、时间、参与方等维度的快速筛选；</w:t>
      </w:r>
    </w:p>
    <w:p w14:paraId="1B2FB75A">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 竞价记录表：索引auction_id、bidder_id、bid_time，支撑拍卖竞价记录的快速查询与排序；</w:t>
      </w:r>
    </w:p>
    <w:p w14:paraId="05D3E82D">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4. 链上事件同步表：索引event_hash、event_type、auction_id、process_status，支撑链上事件的快速查询、去重与处理状态跟踪。</w:t>
      </w:r>
    </w:p>
    <w:p w14:paraId="23651D79">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797CFB59">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卖家/委托方流程：1) 提交委托：登录平台，填写拍品信息，上传多角度高清图片/视频，预约线下鉴定。2) 鉴定上链：实物经鉴定机构查验后，平台生成该拍品的NFT数字身份证，并初始化所有权。3) 设置拍卖：在“我的NFT”中选择拍品，设置拍卖参数并确认。4) 交割收款：拍卖成功后，按智能合约约定自动收到款项。</w:t>
      </w:r>
    </w:p>
    <w:p w14:paraId="48096811">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798528" behindDoc="0" locked="0" layoutInCell="1" allowOverlap="1">
            <wp:simplePos x="0" y="0"/>
            <wp:positionH relativeFrom="column">
              <wp:posOffset>229870</wp:posOffset>
            </wp:positionH>
            <wp:positionV relativeFrom="paragraph">
              <wp:posOffset>145415</wp:posOffset>
            </wp:positionV>
            <wp:extent cx="4975860" cy="1558925"/>
            <wp:effectExtent l="0" t="0" r="15240" b="3175"/>
            <wp:wrapNone/>
            <wp:docPr id="21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2"/>
                    <pic:cNvPicPr>
                      <a:picLocks noChangeAspect="1"/>
                    </pic:cNvPicPr>
                  </pic:nvPicPr>
                  <pic:blipFill>
                    <a:blip r:embed="rId330"/>
                    <a:stretch>
                      <a:fillRect/>
                    </a:stretch>
                  </pic:blipFill>
                  <pic:spPr>
                    <a:xfrm>
                      <a:off x="0" y="0"/>
                      <a:ext cx="4975860" cy="1558925"/>
                    </a:xfrm>
                    <a:prstGeom prst="rect">
                      <a:avLst/>
                    </a:prstGeom>
                    <a:noFill/>
                    <a:ln>
                      <a:noFill/>
                    </a:ln>
                  </pic:spPr>
                </pic:pic>
              </a:graphicData>
            </a:graphic>
          </wp:anchor>
        </w:drawing>
      </w:r>
    </w:p>
    <w:p w14:paraId="4EB38F0B">
      <w:pPr>
        <w:spacing w:line="440" w:lineRule="exact"/>
        <w:ind w:firstLine="480" w:firstLineChars="200"/>
        <w:rPr>
          <w:rFonts w:hint="eastAsia" w:ascii="Calibri" w:hAnsi="Calibri" w:eastAsia="宋体" w:cs="Times New Roman"/>
          <w:sz w:val="24"/>
          <w:szCs w:val="24"/>
          <w:lang w:val="en-US" w:eastAsia="zh-CN"/>
        </w:rPr>
      </w:pPr>
    </w:p>
    <w:p w14:paraId="37170B03">
      <w:pPr>
        <w:spacing w:line="440" w:lineRule="exact"/>
        <w:ind w:firstLine="480" w:firstLineChars="200"/>
        <w:rPr>
          <w:rFonts w:hint="eastAsia" w:ascii="Calibri" w:hAnsi="Calibri" w:eastAsia="宋体" w:cs="Times New Roman"/>
          <w:sz w:val="24"/>
          <w:szCs w:val="24"/>
          <w:lang w:val="en-US" w:eastAsia="zh-CN"/>
        </w:rPr>
      </w:pPr>
    </w:p>
    <w:p w14:paraId="55AE46A6">
      <w:pPr>
        <w:spacing w:line="440" w:lineRule="exact"/>
        <w:ind w:firstLine="480" w:firstLineChars="200"/>
        <w:rPr>
          <w:rFonts w:hint="eastAsia" w:ascii="Calibri" w:hAnsi="Calibri" w:eastAsia="宋体" w:cs="Times New Roman"/>
          <w:sz w:val="24"/>
          <w:szCs w:val="24"/>
          <w:lang w:val="en-US" w:eastAsia="zh-CN"/>
        </w:rPr>
      </w:pPr>
    </w:p>
    <w:p w14:paraId="2F5E64C7">
      <w:pPr>
        <w:spacing w:line="440" w:lineRule="exact"/>
        <w:ind w:firstLine="480" w:firstLineChars="200"/>
        <w:rPr>
          <w:rFonts w:hint="eastAsia" w:ascii="Calibri" w:hAnsi="Calibri" w:eastAsia="宋体" w:cs="Times New Roman"/>
          <w:sz w:val="24"/>
          <w:szCs w:val="24"/>
          <w:lang w:val="en-US" w:eastAsia="zh-CN"/>
        </w:rPr>
      </w:pPr>
    </w:p>
    <w:p w14:paraId="2FC74DCD">
      <w:pPr>
        <w:spacing w:line="440" w:lineRule="exact"/>
        <w:ind w:firstLine="480" w:firstLineChars="200"/>
        <w:rPr>
          <w:rFonts w:hint="eastAsia" w:ascii="Calibri" w:hAnsi="Calibri" w:eastAsia="宋体" w:cs="Times New Roman"/>
          <w:sz w:val="24"/>
          <w:szCs w:val="24"/>
          <w:lang w:val="en-US" w:eastAsia="zh-CN"/>
        </w:rPr>
      </w:pPr>
    </w:p>
    <w:p w14:paraId="538B10DF">
      <w:pPr>
        <w:spacing w:line="440" w:lineRule="exact"/>
        <w:ind w:firstLine="420" w:firstLineChars="20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图4.1 卖家流程</w:t>
      </w:r>
    </w:p>
    <w:p w14:paraId="53428170">
      <w:pPr>
        <w:spacing w:line="440" w:lineRule="exact"/>
        <w:ind w:firstLine="480" w:firstLineChars="200"/>
        <w:rPr>
          <w:rFonts w:hint="eastAsia" w:ascii="Calibri" w:hAnsi="Calibri" w:eastAsia="宋体" w:cs="Times New Roman"/>
          <w:sz w:val="24"/>
          <w:szCs w:val="24"/>
          <w:lang w:val="en-US" w:eastAsia="zh-CN"/>
        </w:rPr>
      </w:pPr>
    </w:p>
    <w:p w14:paraId="20081A25">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登录主页</w:t>
      </w:r>
    </w:p>
    <w:p w14:paraId="1D497548">
      <w:pPr>
        <w:spacing w:line="440" w:lineRule="exact"/>
        <w:ind w:firstLine="480" w:firstLineChars="200"/>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797504" behindDoc="0" locked="0" layoutInCell="1" allowOverlap="1">
            <wp:simplePos x="0" y="0"/>
            <wp:positionH relativeFrom="column">
              <wp:posOffset>-15240</wp:posOffset>
            </wp:positionH>
            <wp:positionV relativeFrom="paragraph">
              <wp:posOffset>121920</wp:posOffset>
            </wp:positionV>
            <wp:extent cx="5269865" cy="2738755"/>
            <wp:effectExtent l="0" t="0" r="6985" b="4445"/>
            <wp:wrapNone/>
            <wp:docPr id="22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74"/>
                    <pic:cNvPicPr>
                      <a:picLocks noChangeAspect="1"/>
                    </pic:cNvPicPr>
                  </pic:nvPicPr>
                  <pic:blipFill>
                    <a:blip r:embed="rId331"/>
                    <a:stretch>
                      <a:fillRect/>
                    </a:stretch>
                  </pic:blipFill>
                  <pic:spPr>
                    <a:xfrm>
                      <a:off x="0" y="0"/>
                      <a:ext cx="5269865" cy="2738755"/>
                    </a:xfrm>
                    <a:prstGeom prst="rect">
                      <a:avLst/>
                    </a:prstGeom>
                    <a:noFill/>
                    <a:ln>
                      <a:noFill/>
                    </a:ln>
                  </pic:spPr>
                </pic:pic>
              </a:graphicData>
            </a:graphic>
          </wp:anchor>
        </w:drawing>
      </w:r>
    </w:p>
    <w:p w14:paraId="5EF5481A">
      <w:pPr>
        <w:spacing w:line="440" w:lineRule="exact"/>
        <w:ind w:firstLine="480" w:firstLineChars="200"/>
        <w:rPr>
          <w:rFonts w:hint="eastAsia" w:ascii="Calibri" w:hAnsi="Calibri" w:eastAsia="宋体" w:cs="Times New Roman"/>
          <w:sz w:val="24"/>
          <w:szCs w:val="24"/>
          <w:lang w:val="en-US" w:eastAsia="zh-CN"/>
        </w:rPr>
      </w:pPr>
    </w:p>
    <w:p w14:paraId="5BF9CDD7">
      <w:pPr>
        <w:spacing w:line="440" w:lineRule="exact"/>
        <w:ind w:firstLine="480" w:firstLineChars="200"/>
        <w:rPr>
          <w:rFonts w:hint="eastAsia" w:ascii="Calibri" w:hAnsi="Calibri" w:eastAsia="宋体" w:cs="Times New Roman"/>
          <w:sz w:val="24"/>
          <w:szCs w:val="24"/>
          <w:lang w:val="en-US" w:eastAsia="zh-CN"/>
        </w:rPr>
      </w:pPr>
    </w:p>
    <w:p w14:paraId="37AAC528">
      <w:pPr>
        <w:spacing w:line="440" w:lineRule="exact"/>
        <w:ind w:firstLine="480" w:firstLineChars="200"/>
        <w:rPr>
          <w:rFonts w:hint="eastAsia" w:ascii="Calibri" w:hAnsi="Calibri" w:eastAsia="宋体" w:cs="Times New Roman"/>
          <w:sz w:val="24"/>
          <w:szCs w:val="24"/>
          <w:lang w:val="en-US" w:eastAsia="zh-CN"/>
        </w:rPr>
      </w:pPr>
    </w:p>
    <w:p w14:paraId="65867EF3">
      <w:pPr>
        <w:spacing w:line="440" w:lineRule="exact"/>
        <w:ind w:firstLine="480" w:firstLineChars="200"/>
        <w:rPr>
          <w:rFonts w:hint="eastAsia" w:ascii="Calibri" w:hAnsi="Calibri" w:eastAsia="宋体" w:cs="Times New Roman"/>
          <w:sz w:val="24"/>
          <w:szCs w:val="24"/>
          <w:lang w:val="en-US" w:eastAsia="zh-CN"/>
        </w:rPr>
      </w:pPr>
    </w:p>
    <w:p w14:paraId="56AC223C">
      <w:pPr>
        <w:spacing w:line="440" w:lineRule="exact"/>
        <w:ind w:firstLine="480" w:firstLineChars="200"/>
        <w:rPr>
          <w:rFonts w:hint="eastAsia" w:ascii="Calibri" w:hAnsi="Calibri" w:eastAsia="宋体" w:cs="Times New Roman"/>
          <w:sz w:val="24"/>
          <w:szCs w:val="24"/>
          <w:lang w:val="en-US" w:eastAsia="zh-CN"/>
        </w:rPr>
      </w:pPr>
    </w:p>
    <w:p w14:paraId="0B9BCF41">
      <w:pPr>
        <w:spacing w:line="440" w:lineRule="exact"/>
        <w:ind w:firstLine="480" w:firstLineChars="200"/>
        <w:rPr>
          <w:rFonts w:hint="eastAsia" w:ascii="Calibri" w:hAnsi="Calibri" w:eastAsia="宋体" w:cs="Times New Roman"/>
          <w:sz w:val="24"/>
          <w:szCs w:val="24"/>
          <w:lang w:val="en-US" w:eastAsia="zh-CN"/>
        </w:rPr>
      </w:pPr>
    </w:p>
    <w:p w14:paraId="26EE867E">
      <w:pPr>
        <w:spacing w:line="440" w:lineRule="exact"/>
        <w:ind w:firstLine="480" w:firstLineChars="200"/>
        <w:rPr>
          <w:rFonts w:hint="eastAsia" w:ascii="Calibri" w:hAnsi="Calibri" w:eastAsia="宋体" w:cs="Times New Roman"/>
          <w:sz w:val="24"/>
          <w:szCs w:val="24"/>
          <w:lang w:val="en-US" w:eastAsia="zh-CN"/>
        </w:rPr>
      </w:pPr>
    </w:p>
    <w:p w14:paraId="4A804E8E">
      <w:pPr>
        <w:spacing w:line="440" w:lineRule="exact"/>
        <w:ind w:firstLine="480" w:firstLineChars="200"/>
        <w:rPr>
          <w:rFonts w:hint="eastAsia" w:ascii="Calibri" w:hAnsi="Calibri" w:eastAsia="宋体" w:cs="Times New Roman"/>
          <w:sz w:val="24"/>
          <w:szCs w:val="24"/>
          <w:lang w:val="en-US" w:eastAsia="zh-CN"/>
        </w:rPr>
      </w:pPr>
    </w:p>
    <w:p w14:paraId="2AF5B659">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创建NFT</w:t>
      </w:r>
    </w:p>
    <w:p w14:paraId="50E62E7A">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799552" behindDoc="0" locked="0" layoutInCell="1" allowOverlap="1">
            <wp:simplePos x="0" y="0"/>
            <wp:positionH relativeFrom="column">
              <wp:posOffset>35560</wp:posOffset>
            </wp:positionH>
            <wp:positionV relativeFrom="paragraph">
              <wp:posOffset>74930</wp:posOffset>
            </wp:positionV>
            <wp:extent cx="5269230" cy="2472055"/>
            <wp:effectExtent l="0" t="0" r="7620" b="4445"/>
            <wp:wrapNone/>
            <wp:docPr id="22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84"/>
                    <pic:cNvPicPr>
                      <a:picLocks noChangeAspect="1"/>
                    </pic:cNvPicPr>
                  </pic:nvPicPr>
                  <pic:blipFill>
                    <a:blip r:embed="rId332"/>
                    <a:stretch>
                      <a:fillRect/>
                    </a:stretch>
                  </pic:blipFill>
                  <pic:spPr>
                    <a:xfrm>
                      <a:off x="0" y="0"/>
                      <a:ext cx="5269230" cy="2472055"/>
                    </a:xfrm>
                    <a:prstGeom prst="rect">
                      <a:avLst/>
                    </a:prstGeom>
                    <a:noFill/>
                    <a:ln>
                      <a:noFill/>
                    </a:ln>
                  </pic:spPr>
                </pic:pic>
              </a:graphicData>
            </a:graphic>
          </wp:anchor>
        </w:drawing>
      </w:r>
    </w:p>
    <w:p w14:paraId="2B4F853E">
      <w:pPr>
        <w:spacing w:line="440" w:lineRule="exact"/>
        <w:ind w:firstLine="480" w:firstLineChars="200"/>
        <w:rPr>
          <w:rFonts w:hint="eastAsia" w:ascii="Calibri" w:hAnsi="Calibri" w:eastAsia="宋体" w:cs="Times New Roman"/>
          <w:sz w:val="24"/>
          <w:szCs w:val="24"/>
          <w:lang w:val="en-US" w:eastAsia="zh-CN"/>
        </w:rPr>
      </w:pPr>
    </w:p>
    <w:p w14:paraId="143A7358">
      <w:pPr>
        <w:spacing w:line="440" w:lineRule="exact"/>
        <w:ind w:firstLine="480" w:firstLineChars="200"/>
        <w:rPr>
          <w:rFonts w:hint="eastAsia" w:ascii="Calibri" w:hAnsi="Calibri" w:eastAsia="宋体" w:cs="Times New Roman"/>
          <w:sz w:val="24"/>
          <w:szCs w:val="24"/>
          <w:lang w:val="en-US" w:eastAsia="zh-CN"/>
        </w:rPr>
      </w:pPr>
    </w:p>
    <w:p w14:paraId="2BBC25EB">
      <w:pPr>
        <w:spacing w:line="440" w:lineRule="exact"/>
        <w:ind w:firstLine="480" w:firstLineChars="200"/>
        <w:rPr>
          <w:rFonts w:hint="eastAsia" w:ascii="Calibri" w:hAnsi="Calibri" w:eastAsia="宋体" w:cs="Times New Roman"/>
          <w:sz w:val="24"/>
          <w:szCs w:val="24"/>
          <w:lang w:val="en-US" w:eastAsia="zh-CN"/>
        </w:rPr>
      </w:pPr>
    </w:p>
    <w:p w14:paraId="782A5FA6">
      <w:pPr>
        <w:spacing w:line="440" w:lineRule="exact"/>
        <w:ind w:firstLine="480" w:firstLineChars="200"/>
        <w:rPr>
          <w:rFonts w:hint="eastAsia" w:ascii="Calibri" w:hAnsi="Calibri" w:eastAsia="宋体" w:cs="Times New Roman"/>
          <w:sz w:val="24"/>
          <w:szCs w:val="24"/>
          <w:lang w:val="en-US" w:eastAsia="zh-CN"/>
        </w:rPr>
      </w:pPr>
    </w:p>
    <w:p w14:paraId="695D7532">
      <w:pPr>
        <w:spacing w:line="440" w:lineRule="exact"/>
        <w:ind w:firstLine="480" w:firstLineChars="200"/>
        <w:rPr>
          <w:rFonts w:hint="eastAsia" w:ascii="Calibri" w:hAnsi="Calibri" w:eastAsia="宋体" w:cs="Times New Roman"/>
          <w:sz w:val="24"/>
          <w:szCs w:val="24"/>
          <w:lang w:val="en-US" w:eastAsia="zh-CN"/>
        </w:rPr>
      </w:pPr>
    </w:p>
    <w:p w14:paraId="6A1B8ED3">
      <w:pPr>
        <w:spacing w:line="440" w:lineRule="exact"/>
        <w:ind w:firstLine="480" w:firstLineChars="200"/>
        <w:rPr>
          <w:rFonts w:hint="eastAsia" w:ascii="Calibri" w:hAnsi="Calibri" w:eastAsia="宋体" w:cs="Times New Roman"/>
          <w:sz w:val="24"/>
          <w:szCs w:val="24"/>
          <w:lang w:val="en-US" w:eastAsia="zh-CN"/>
        </w:rPr>
      </w:pPr>
    </w:p>
    <w:p w14:paraId="3D90ACED">
      <w:pPr>
        <w:spacing w:line="440" w:lineRule="exact"/>
        <w:ind w:firstLine="480" w:firstLineChars="200"/>
        <w:rPr>
          <w:rFonts w:hint="eastAsia" w:ascii="Calibri" w:hAnsi="Calibri" w:eastAsia="宋体" w:cs="Times New Roman"/>
          <w:sz w:val="24"/>
          <w:szCs w:val="24"/>
          <w:lang w:val="en-US" w:eastAsia="zh-CN"/>
        </w:rPr>
      </w:pPr>
    </w:p>
    <w:p w14:paraId="4E0AB4F7">
      <w:pPr>
        <w:spacing w:line="440" w:lineRule="exact"/>
        <w:ind w:firstLine="480" w:firstLineChars="200"/>
        <w:rPr>
          <w:rFonts w:hint="eastAsia" w:ascii="Calibri" w:hAnsi="Calibri" w:eastAsia="宋体" w:cs="Times New Roman"/>
          <w:sz w:val="24"/>
          <w:szCs w:val="24"/>
          <w:lang w:val="en-US" w:eastAsia="zh-CN"/>
        </w:rPr>
      </w:pPr>
    </w:p>
    <w:p w14:paraId="608AA185">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创建拍卖</w:t>
      </w:r>
    </w:p>
    <w:p w14:paraId="0C6CCBA1">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800576" behindDoc="0" locked="0" layoutInCell="1" allowOverlap="1">
            <wp:simplePos x="0" y="0"/>
            <wp:positionH relativeFrom="column">
              <wp:posOffset>106045</wp:posOffset>
            </wp:positionH>
            <wp:positionV relativeFrom="paragraph">
              <wp:posOffset>191135</wp:posOffset>
            </wp:positionV>
            <wp:extent cx="5266690" cy="1831340"/>
            <wp:effectExtent l="0" t="0" r="10160" b="16510"/>
            <wp:wrapNone/>
            <wp:docPr id="22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85"/>
                    <pic:cNvPicPr>
                      <a:picLocks noChangeAspect="1"/>
                    </pic:cNvPicPr>
                  </pic:nvPicPr>
                  <pic:blipFill>
                    <a:blip r:embed="rId333"/>
                    <a:stretch>
                      <a:fillRect/>
                    </a:stretch>
                  </pic:blipFill>
                  <pic:spPr>
                    <a:xfrm>
                      <a:off x="0" y="0"/>
                      <a:ext cx="5266690" cy="1831340"/>
                    </a:xfrm>
                    <a:prstGeom prst="rect">
                      <a:avLst/>
                    </a:prstGeom>
                    <a:noFill/>
                    <a:ln>
                      <a:noFill/>
                    </a:ln>
                  </pic:spPr>
                </pic:pic>
              </a:graphicData>
            </a:graphic>
          </wp:anchor>
        </w:drawing>
      </w:r>
    </w:p>
    <w:p w14:paraId="7CA11597">
      <w:pPr>
        <w:spacing w:line="440" w:lineRule="exact"/>
        <w:ind w:firstLine="480" w:firstLineChars="200"/>
        <w:rPr>
          <w:rFonts w:hint="eastAsia" w:ascii="Calibri" w:hAnsi="Calibri" w:eastAsia="宋体" w:cs="Times New Roman"/>
          <w:sz w:val="24"/>
          <w:szCs w:val="24"/>
          <w:lang w:val="en-US" w:eastAsia="zh-CN"/>
        </w:rPr>
      </w:pPr>
    </w:p>
    <w:p w14:paraId="741ED426">
      <w:pPr>
        <w:spacing w:line="440" w:lineRule="exact"/>
        <w:ind w:firstLine="480" w:firstLineChars="200"/>
        <w:rPr>
          <w:rFonts w:hint="eastAsia" w:ascii="Calibri" w:hAnsi="Calibri" w:eastAsia="宋体" w:cs="Times New Roman"/>
          <w:sz w:val="24"/>
          <w:szCs w:val="24"/>
          <w:lang w:val="en-US" w:eastAsia="zh-CN"/>
        </w:rPr>
      </w:pPr>
    </w:p>
    <w:p w14:paraId="28FBCC29">
      <w:pPr>
        <w:spacing w:line="440" w:lineRule="exact"/>
        <w:ind w:firstLine="480" w:firstLineChars="200"/>
        <w:rPr>
          <w:rFonts w:hint="eastAsia" w:ascii="Calibri" w:hAnsi="Calibri" w:eastAsia="宋体" w:cs="Times New Roman"/>
          <w:sz w:val="24"/>
          <w:szCs w:val="24"/>
          <w:lang w:val="en-US" w:eastAsia="zh-CN"/>
        </w:rPr>
      </w:pPr>
    </w:p>
    <w:p w14:paraId="3E1FEFFF">
      <w:pPr>
        <w:spacing w:line="440" w:lineRule="exact"/>
        <w:ind w:firstLine="480" w:firstLineChars="200"/>
        <w:rPr>
          <w:rFonts w:hint="eastAsia" w:ascii="Calibri" w:hAnsi="Calibri" w:eastAsia="宋体" w:cs="Times New Roman"/>
          <w:sz w:val="24"/>
          <w:szCs w:val="24"/>
          <w:lang w:val="en-US" w:eastAsia="zh-CN"/>
        </w:rPr>
      </w:pPr>
    </w:p>
    <w:p w14:paraId="42458A07">
      <w:pPr>
        <w:spacing w:line="440" w:lineRule="exact"/>
        <w:ind w:firstLine="480" w:firstLineChars="200"/>
        <w:rPr>
          <w:rFonts w:hint="eastAsia" w:ascii="Calibri" w:hAnsi="Calibri" w:eastAsia="宋体" w:cs="Times New Roman"/>
          <w:sz w:val="24"/>
          <w:szCs w:val="24"/>
          <w:lang w:val="en-US" w:eastAsia="zh-CN"/>
        </w:rPr>
      </w:pPr>
    </w:p>
    <w:p w14:paraId="70DB3CBD">
      <w:pPr>
        <w:spacing w:line="440" w:lineRule="exact"/>
        <w:ind w:firstLine="480" w:firstLineChars="200"/>
        <w:rPr>
          <w:rFonts w:hint="eastAsia" w:ascii="Calibri" w:hAnsi="Calibri" w:eastAsia="宋体" w:cs="Times New Roman"/>
          <w:sz w:val="24"/>
          <w:szCs w:val="24"/>
          <w:lang w:val="en-US" w:eastAsia="zh-CN"/>
        </w:rPr>
      </w:pPr>
    </w:p>
    <w:p w14:paraId="3496B98B">
      <w:pPr>
        <w:spacing w:line="440" w:lineRule="exact"/>
        <w:rPr>
          <w:rFonts w:hint="eastAsia" w:ascii="Calibri" w:hAnsi="Calibri" w:eastAsia="宋体" w:cs="Times New Roman"/>
          <w:sz w:val="24"/>
          <w:szCs w:val="24"/>
          <w:lang w:val="en-US" w:eastAsia="zh-CN"/>
        </w:rPr>
      </w:pPr>
    </w:p>
    <w:p w14:paraId="708849F4">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转换权属</w:t>
      </w:r>
    </w:p>
    <w:p w14:paraId="46E0E38E">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802624" behindDoc="0" locked="0" layoutInCell="1" allowOverlap="1">
            <wp:simplePos x="0" y="0"/>
            <wp:positionH relativeFrom="column">
              <wp:posOffset>60960</wp:posOffset>
            </wp:positionH>
            <wp:positionV relativeFrom="paragraph">
              <wp:posOffset>127635</wp:posOffset>
            </wp:positionV>
            <wp:extent cx="5267960" cy="1995170"/>
            <wp:effectExtent l="0" t="0" r="8890" b="5080"/>
            <wp:wrapNone/>
            <wp:docPr id="22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87"/>
                    <pic:cNvPicPr>
                      <a:picLocks noChangeAspect="1"/>
                    </pic:cNvPicPr>
                  </pic:nvPicPr>
                  <pic:blipFill>
                    <a:blip r:embed="rId334"/>
                    <a:stretch>
                      <a:fillRect/>
                    </a:stretch>
                  </pic:blipFill>
                  <pic:spPr>
                    <a:xfrm>
                      <a:off x="0" y="0"/>
                      <a:ext cx="5267960" cy="1995170"/>
                    </a:xfrm>
                    <a:prstGeom prst="rect">
                      <a:avLst/>
                    </a:prstGeom>
                    <a:noFill/>
                    <a:ln>
                      <a:noFill/>
                    </a:ln>
                  </pic:spPr>
                </pic:pic>
              </a:graphicData>
            </a:graphic>
          </wp:anchor>
        </w:drawing>
      </w:r>
    </w:p>
    <w:p w14:paraId="37B1119A">
      <w:pPr>
        <w:spacing w:line="440" w:lineRule="exact"/>
        <w:ind w:firstLine="480" w:firstLineChars="200"/>
        <w:rPr>
          <w:rFonts w:hint="eastAsia" w:ascii="Calibri" w:hAnsi="Calibri" w:eastAsia="宋体" w:cs="Times New Roman"/>
          <w:sz w:val="24"/>
          <w:szCs w:val="24"/>
          <w:lang w:val="en-US" w:eastAsia="zh-CN"/>
        </w:rPr>
      </w:pPr>
    </w:p>
    <w:p w14:paraId="35A8ACBD">
      <w:pPr>
        <w:spacing w:line="440" w:lineRule="exact"/>
        <w:ind w:firstLine="480" w:firstLineChars="200"/>
        <w:rPr>
          <w:rFonts w:hint="default" w:ascii="Calibri" w:hAnsi="Calibri" w:eastAsia="宋体" w:cs="Times New Roman"/>
          <w:sz w:val="24"/>
          <w:szCs w:val="24"/>
          <w:lang w:val="en-US" w:eastAsia="zh-CN"/>
        </w:rPr>
      </w:pPr>
    </w:p>
    <w:p w14:paraId="76543DC1">
      <w:pPr>
        <w:spacing w:line="440" w:lineRule="exact"/>
        <w:ind w:firstLine="480" w:firstLineChars="200"/>
        <w:rPr>
          <w:rFonts w:hint="default" w:ascii="Calibri" w:hAnsi="Calibri" w:eastAsia="宋体" w:cs="Times New Roman"/>
          <w:sz w:val="24"/>
          <w:szCs w:val="24"/>
          <w:lang w:val="en-US" w:eastAsia="zh-CN"/>
        </w:rPr>
      </w:pPr>
    </w:p>
    <w:p w14:paraId="5F796A5E">
      <w:pPr>
        <w:spacing w:line="440" w:lineRule="exact"/>
        <w:ind w:firstLine="480" w:firstLineChars="200"/>
        <w:rPr>
          <w:rFonts w:hint="default" w:ascii="Calibri" w:hAnsi="Calibri" w:eastAsia="宋体" w:cs="Times New Roman"/>
          <w:sz w:val="24"/>
          <w:szCs w:val="24"/>
          <w:lang w:val="en-US" w:eastAsia="zh-CN"/>
        </w:rPr>
      </w:pPr>
    </w:p>
    <w:p w14:paraId="571CA566">
      <w:pPr>
        <w:spacing w:line="440" w:lineRule="exact"/>
        <w:ind w:firstLine="480" w:firstLineChars="200"/>
        <w:rPr>
          <w:rFonts w:hint="default" w:ascii="Calibri" w:hAnsi="Calibri" w:eastAsia="宋体" w:cs="Times New Roman"/>
          <w:sz w:val="24"/>
          <w:szCs w:val="24"/>
          <w:lang w:val="en-US" w:eastAsia="zh-CN"/>
        </w:rPr>
      </w:pPr>
    </w:p>
    <w:p w14:paraId="72FF7232">
      <w:pPr>
        <w:spacing w:line="440" w:lineRule="exact"/>
        <w:ind w:firstLine="480" w:firstLineChars="200"/>
        <w:rPr>
          <w:rFonts w:hint="default" w:ascii="Calibri" w:hAnsi="Calibri" w:eastAsia="宋体" w:cs="Times New Roman"/>
          <w:sz w:val="24"/>
          <w:szCs w:val="24"/>
          <w:lang w:val="en-US" w:eastAsia="zh-CN"/>
        </w:rPr>
      </w:pPr>
    </w:p>
    <w:p w14:paraId="12E99938">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drawing>
          <wp:anchor distT="0" distB="0" distL="114300" distR="114300" simplePos="0" relativeHeight="251801600" behindDoc="0" locked="0" layoutInCell="1" allowOverlap="1">
            <wp:simplePos x="0" y="0"/>
            <wp:positionH relativeFrom="column">
              <wp:posOffset>121920</wp:posOffset>
            </wp:positionH>
            <wp:positionV relativeFrom="paragraph">
              <wp:posOffset>200660</wp:posOffset>
            </wp:positionV>
            <wp:extent cx="5267960" cy="1971675"/>
            <wp:effectExtent l="0" t="0" r="8890" b="9525"/>
            <wp:wrapNone/>
            <wp:docPr id="22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86"/>
                    <pic:cNvPicPr>
                      <a:picLocks noChangeAspect="1"/>
                    </pic:cNvPicPr>
                  </pic:nvPicPr>
                  <pic:blipFill>
                    <a:blip r:embed="rId334"/>
                    <a:stretch>
                      <a:fillRect/>
                    </a:stretch>
                  </pic:blipFill>
                  <pic:spPr>
                    <a:xfrm>
                      <a:off x="0" y="0"/>
                      <a:ext cx="5267960" cy="1971675"/>
                    </a:xfrm>
                    <a:prstGeom prst="rect">
                      <a:avLst/>
                    </a:prstGeom>
                    <a:noFill/>
                    <a:ln>
                      <a:noFill/>
                    </a:ln>
                  </pic:spPr>
                </pic:pic>
              </a:graphicData>
            </a:graphic>
          </wp:anchor>
        </w:drawing>
      </w:r>
    </w:p>
    <w:p w14:paraId="27D7F8B6">
      <w:pPr>
        <w:spacing w:line="440" w:lineRule="exact"/>
        <w:ind w:firstLine="480" w:firstLineChars="200"/>
        <w:rPr>
          <w:rFonts w:hint="default" w:ascii="Calibri" w:hAnsi="Calibri" w:eastAsia="宋体" w:cs="Times New Roman"/>
          <w:sz w:val="24"/>
          <w:szCs w:val="24"/>
          <w:lang w:val="en-US" w:eastAsia="zh-CN"/>
        </w:rPr>
      </w:pPr>
    </w:p>
    <w:p w14:paraId="506C6FBC">
      <w:pPr>
        <w:spacing w:line="440" w:lineRule="exact"/>
        <w:ind w:firstLine="480" w:firstLineChars="200"/>
        <w:rPr>
          <w:rFonts w:hint="default" w:ascii="Calibri" w:hAnsi="Calibri" w:eastAsia="宋体" w:cs="Times New Roman"/>
          <w:sz w:val="24"/>
          <w:szCs w:val="24"/>
          <w:lang w:val="en-US" w:eastAsia="zh-CN"/>
        </w:rPr>
      </w:pPr>
    </w:p>
    <w:p w14:paraId="5271C3E1">
      <w:pPr>
        <w:spacing w:line="440" w:lineRule="exact"/>
        <w:ind w:firstLine="480" w:firstLineChars="200"/>
        <w:rPr>
          <w:rFonts w:hint="default" w:ascii="Calibri" w:hAnsi="Calibri" w:eastAsia="宋体" w:cs="Times New Roman"/>
          <w:sz w:val="24"/>
          <w:szCs w:val="24"/>
          <w:lang w:val="en-US" w:eastAsia="zh-CN"/>
        </w:rPr>
      </w:pPr>
    </w:p>
    <w:p w14:paraId="20D95349">
      <w:pPr>
        <w:spacing w:line="440" w:lineRule="exact"/>
        <w:ind w:firstLine="480" w:firstLineChars="200"/>
        <w:rPr>
          <w:rFonts w:hint="default" w:ascii="Calibri" w:hAnsi="Calibri" w:eastAsia="宋体" w:cs="Times New Roman"/>
          <w:sz w:val="24"/>
          <w:szCs w:val="24"/>
          <w:lang w:val="en-US" w:eastAsia="zh-CN"/>
        </w:rPr>
      </w:pPr>
    </w:p>
    <w:p w14:paraId="4E449535">
      <w:pPr>
        <w:spacing w:line="440" w:lineRule="exact"/>
        <w:ind w:firstLine="480" w:firstLineChars="200"/>
        <w:rPr>
          <w:rFonts w:hint="default" w:ascii="Calibri" w:hAnsi="Calibri" w:eastAsia="宋体" w:cs="Times New Roman"/>
          <w:sz w:val="24"/>
          <w:szCs w:val="24"/>
          <w:lang w:val="en-US" w:eastAsia="zh-CN"/>
        </w:rPr>
      </w:pPr>
    </w:p>
    <w:p w14:paraId="05EAFD82">
      <w:pPr>
        <w:spacing w:line="440" w:lineRule="exact"/>
        <w:ind w:firstLine="480" w:firstLineChars="200"/>
        <w:rPr>
          <w:rFonts w:hint="default" w:ascii="Calibri" w:hAnsi="Calibri" w:eastAsia="宋体" w:cs="Times New Roman"/>
          <w:sz w:val="24"/>
          <w:szCs w:val="24"/>
          <w:lang w:val="en-US" w:eastAsia="zh-CN"/>
        </w:rPr>
      </w:pPr>
    </w:p>
    <w:p w14:paraId="00F8ACD7">
      <w:pPr>
        <w:spacing w:line="440" w:lineRule="exact"/>
        <w:rPr>
          <w:rFonts w:hint="eastAsia" w:ascii="Calibri" w:hAnsi="Calibri" w:eastAsia="宋体" w:cs="Times New Roman"/>
          <w:sz w:val="24"/>
          <w:szCs w:val="24"/>
          <w:lang w:val="en-US" w:eastAsia="zh-CN"/>
        </w:rPr>
      </w:pPr>
    </w:p>
    <w:p w14:paraId="502F3B2B">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3648" behindDoc="0" locked="0" layoutInCell="1" allowOverlap="1">
            <wp:simplePos x="0" y="0"/>
            <wp:positionH relativeFrom="column">
              <wp:posOffset>241300</wp:posOffset>
            </wp:positionH>
            <wp:positionV relativeFrom="paragraph">
              <wp:posOffset>252730</wp:posOffset>
            </wp:positionV>
            <wp:extent cx="5244465" cy="1890395"/>
            <wp:effectExtent l="0" t="0" r="13335" b="14605"/>
            <wp:wrapNone/>
            <wp:docPr id="22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88"/>
                    <pic:cNvPicPr>
                      <a:picLocks noChangeAspect="1"/>
                    </pic:cNvPicPr>
                  </pic:nvPicPr>
                  <pic:blipFill>
                    <a:blip r:embed="rId335"/>
                    <a:stretch>
                      <a:fillRect/>
                    </a:stretch>
                  </pic:blipFill>
                  <pic:spPr>
                    <a:xfrm>
                      <a:off x="0" y="0"/>
                      <a:ext cx="5244465" cy="1890395"/>
                    </a:xfrm>
                    <a:prstGeom prst="rect">
                      <a:avLst/>
                    </a:prstGeom>
                    <a:noFill/>
                    <a:ln>
                      <a:noFill/>
                    </a:ln>
                  </pic:spPr>
                </pic:pic>
              </a:graphicData>
            </a:graphic>
          </wp:anchor>
        </w:drawing>
      </w:r>
      <w:r>
        <w:rPr>
          <w:rFonts w:hint="eastAsia" w:ascii="Calibri" w:hAnsi="Calibri" w:eastAsia="宋体" w:cs="Times New Roman"/>
          <w:sz w:val="24"/>
          <w:szCs w:val="24"/>
          <w:lang w:val="en-US" w:eastAsia="zh-CN"/>
        </w:rPr>
        <w:t>拍卖参数配置</w:t>
      </w:r>
    </w:p>
    <w:p w14:paraId="3741D034">
      <w:pPr>
        <w:spacing w:line="440" w:lineRule="exact"/>
        <w:ind w:firstLine="480" w:firstLineChars="200"/>
        <w:rPr>
          <w:rFonts w:hint="default" w:ascii="Calibri" w:hAnsi="Calibri" w:eastAsia="宋体" w:cs="Times New Roman"/>
          <w:sz w:val="24"/>
          <w:szCs w:val="24"/>
          <w:lang w:val="en-US" w:eastAsia="zh-CN"/>
        </w:rPr>
      </w:pPr>
    </w:p>
    <w:p w14:paraId="40765450">
      <w:pPr>
        <w:spacing w:line="440" w:lineRule="exact"/>
        <w:ind w:firstLine="480" w:firstLineChars="200"/>
        <w:rPr>
          <w:rFonts w:hint="default" w:ascii="Calibri" w:hAnsi="Calibri" w:eastAsia="宋体" w:cs="Times New Roman"/>
          <w:sz w:val="24"/>
          <w:szCs w:val="24"/>
          <w:lang w:val="en-US" w:eastAsia="zh-CN"/>
        </w:rPr>
      </w:pPr>
    </w:p>
    <w:p w14:paraId="5A299B2D">
      <w:pPr>
        <w:spacing w:line="440" w:lineRule="exact"/>
        <w:ind w:firstLine="480" w:firstLineChars="200"/>
        <w:rPr>
          <w:rFonts w:hint="default" w:ascii="Calibri" w:hAnsi="Calibri" w:eastAsia="宋体" w:cs="Times New Roman"/>
          <w:sz w:val="24"/>
          <w:szCs w:val="24"/>
          <w:lang w:val="en-US" w:eastAsia="zh-CN"/>
        </w:rPr>
      </w:pPr>
    </w:p>
    <w:p w14:paraId="375B8B32">
      <w:pPr>
        <w:spacing w:line="440" w:lineRule="exact"/>
        <w:ind w:firstLine="480" w:firstLineChars="200"/>
        <w:rPr>
          <w:rFonts w:hint="default" w:ascii="Calibri" w:hAnsi="Calibri" w:eastAsia="宋体" w:cs="Times New Roman"/>
          <w:sz w:val="24"/>
          <w:szCs w:val="24"/>
          <w:lang w:val="en-US" w:eastAsia="zh-CN"/>
        </w:rPr>
      </w:pPr>
    </w:p>
    <w:p w14:paraId="0F6FEE54">
      <w:pPr>
        <w:spacing w:line="440" w:lineRule="exact"/>
        <w:ind w:firstLine="480" w:firstLineChars="200"/>
        <w:rPr>
          <w:rFonts w:hint="default" w:ascii="Calibri" w:hAnsi="Calibri" w:eastAsia="宋体" w:cs="Times New Roman"/>
          <w:sz w:val="24"/>
          <w:szCs w:val="24"/>
          <w:lang w:val="en-US" w:eastAsia="zh-CN"/>
        </w:rPr>
      </w:pPr>
    </w:p>
    <w:p w14:paraId="2863DC61">
      <w:pPr>
        <w:spacing w:line="440" w:lineRule="exact"/>
        <w:ind w:firstLine="480" w:firstLineChars="200"/>
        <w:rPr>
          <w:rFonts w:hint="default" w:ascii="Calibri" w:hAnsi="Calibri" w:eastAsia="宋体" w:cs="Times New Roman"/>
          <w:sz w:val="24"/>
          <w:szCs w:val="24"/>
          <w:lang w:val="en-US" w:eastAsia="zh-CN"/>
        </w:rPr>
      </w:pPr>
    </w:p>
    <w:p w14:paraId="13598575">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4672" behindDoc="0" locked="0" layoutInCell="1" allowOverlap="1">
            <wp:simplePos x="0" y="0"/>
            <wp:positionH relativeFrom="column">
              <wp:posOffset>-10160</wp:posOffset>
            </wp:positionH>
            <wp:positionV relativeFrom="paragraph">
              <wp:posOffset>1905</wp:posOffset>
            </wp:positionV>
            <wp:extent cx="5261610" cy="2985135"/>
            <wp:effectExtent l="0" t="0" r="15240" b="5715"/>
            <wp:wrapNone/>
            <wp:docPr id="22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89"/>
                    <pic:cNvPicPr>
                      <a:picLocks noChangeAspect="1"/>
                    </pic:cNvPicPr>
                  </pic:nvPicPr>
                  <pic:blipFill>
                    <a:blip r:embed="rId336"/>
                    <a:stretch>
                      <a:fillRect/>
                    </a:stretch>
                  </pic:blipFill>
                  <pic:spPr>
                    <a:xfrm>
                      <a:off x="0" y="0"/>
                      <a:ext cx="5261610" cy="2985135"/>
                    </a:xfrm>
                    <a:prstGeom prst="rect">
                      <a:avLst/>
                    </a:prstGeom>
                    <a:noFill/>
                    <a:ln>
                      <a:noFill/>
                    </a:ln>
                  </pic:spPr>
                </pic:pic>
              </a:graphicData>
            </a:graphic>
          </wp:anchor>
        </w:drawing>
      </w:r>
    </w:p>
    <w:p w14:paraId="2DB07B32">
      <w:pPr>
        <w:spacing w:line="440" w:lineRule="exact"/>
        <w:ind w:firstLine="480" w:firstLineChars="200"/>
        <w:rPr>
          <w:rFonts w:hint="default" w:ascii="Calibri" w:hAnsi="Calibri" w:eastAsia="宋体" w:cs="Times New Roman"/>
          <w:sz w:val="24"/>
          <w:szCs w:val="24"/>
          <w:lang w:val="en-US" w:eastAsia="zh-CN"/>
        </w:rPr>
      </w:pPr>
    </w:p>
    <w:p w14:paraId="49B154BD">
      <w:pPr>
        <w:spacing w:line="440" w:lineRule="exact"/>
        <w:ind w:firstLine="480" w:firstLineChars="200"/>
        <w:rPr>
          <w:rFonts w:hint="default" w:ascii="Calibri" w:hAnsi="Calibri" w:eastAsia="宋体" w:cs="Times New Roman"/>
          <w:sz w:val="24"/>
          <w:szCs w:val="24"/>
          <w:lang w:val="en-US" w:eastAsia="zh-CN"/>
        </w:rPr>
      </w:pPr>
    </w:p>
    <w:p w14:paraId="4FBA1C01">
      <w:pPr>
        <w:spacing w:line="440" w:lineRule="exact"/>
        <w:ind w:firstLine="480" w:firstLineChars="200"/>
        <w:rPr>
          <w:rFonts w:hint="eastAsia" w:ascii="Calibri" w:hAnsi="Calibri" w:eastAsia="宋体" w:cs="Times New Roman"/>
          <w:sz w:val="24"/>
          <w:szCs w:val="24"/>
          <w:lang w:val="en-US" w:eastAsia="zh-CN"/>
        </w:rPr>
      </w:pPr>
    </w:p>
    <w:p w14:paraId="70736D67">
      <w:pPr>
        <w:spacing w:line="440" w:lineRule="exact"/>
        <w:ind w:firstLine="480" w:firstLineChars="200"/>
        <w:rPr>
          <w:rFonts w:hint="eastAsia" w:ascii="Calibri" w:hAnsi="Calibri" w:eastAsia="宋体" w:cs="Times New Roman"/>
          <w:sz w:val="24"/>
          <w:szCs w:val="24"/>
          <w:lang w:val="en-US" w:eastAsia="zh-CN"/>
        </w:rPr>
      </w:pPr>
    </w:p>
    <w:p w14:paraId="0728193A">
      <w:pPr>
        <w:spacing w:line="440" w:lineRule="exact"/>
        <w:ind w:firstLine="480" w:firstLineChars="200"/>
        <w:rPr>
          <w:rFonts w:hint="eastAsia" w:ascii="Calibri" w:hAnsi="Calibri" w:eastAsia="宋体" w:cs="Times New Roman"/>
          <w:sz w:val="24"/>
          <w:szCs w:val="24"/>
          <w:lang w:val="en-US" w:eastAsia="zh-CN"/>
        </w:rPr>
      </w:pPr>
    </w:p>
    <w:p w14:paraId="3031305F">
      <w:pPr>
        <w:spacing w:line="440" w:lineRule="exact"/>
        <w:ind w:firstLine="480" w:firstLineChars="200"/>
        <w:rPr>
          <w:rFonts w:hint="eastAsia" w:ascii="Calibri" w:hAnsi="Calibri" w:eastAsia="宋体" w:cs="Times New Roman"/>
          <w:sz w:val="24"/>
          <w:szCs w:val="24"/>
          <w:lang w:val="en-US" w:eastAsia="zh-CN"/>
        </w:rPr>
      </w:pPr>
    </w:p>
    <w:p w14:paraId="390B6228">
      <w:pPr>
        <w:spacing w:line="440" w:lineRule="exact"/>
        <w:ind w:firstLine="480" w:firstLineChars="200"/>
        <w:rPr>
          <w:rFonts w:hint="eastAsia" w:ascii="Calibri" w:hAnsi="Calibri" w:eastAsia="宋体" w:cs="Times New Roman"/>
          <w:sz w:val="24"/>
          <w:szCs w:val="24"/>
          <w:lang w:val="en-US" w:eastAsia="zh-CN"/>
        </w:rPr>
      </w:pPr>
    </w:p>
    <w:p w14:paraId="283C5806">
      <w:pPr>
        <w:spacing w:line="440" w:lineRule="exact"/>
        <w:ind w:firstLine="480" w:firstLineChars="200"/>
        <w:rPr>
          <w:rFonts w:hint="eastAsia" w:ascii="Calibri" w:hAnsi="Calibri" w:eastAsia="宋体" w:cs="Times New Roman"/>
          <w:sz w:val="24"/>
          <w:szCs w:val="24"/>
          <w:lang w:val="en-US" w:eastAsia="zh-CN"/>
        </w:rPr>
      </w:pPr>
    </w:p>
    <w:p w14:paraId="1C64F473">
      <w:pPr>
        <w:spacing w:line="440" w:lineRule="exact"/>
        <w:ind w:firstLine="480" w:firstLineChars="200"/>
        <w:rPr>
          <w:rFonts w:hint="eastAsia" w:ascii="Calibri" w:hAnsi="Calibri" w:eastAsia="宋体" w:cs="Times New Roman"/>
          <w:sz w:val="24"/>
          <w:szCs w:val="24"/>
          <w:lang w:val="en-US" w:eastAsia="zh-CN"/>
        </w:rPr>
      </w:pPr>
    </w:p>
    <w:p w14:paraId="2929D9A4">
      <w:pPr>
        <w:spacing w:line="440" w:lineRule="exact"/>
        <w:ind w:firstLine="480" w:firstLineChars="200"/>
        <w:rPr>
          <w:rFonts w:hint="eastAsia" w:ascii="Calibri" w:hAnsi="Calibri" w:eastAsia="宋体" w:cs="Times New Roman"/>
          <w:sz w:val="24"/>
          <w:szCs w:val="24"/>
          <w:lang w:val="en-US" w:eastAsia="zh-CN"/>
        </w:rPr>
      </w:pPr>
    </w:p>
    <w:p w14:paraId="534E960F">
      <w:pPr>
        <w:spacing w:line="440" w:lineRule="exact"/>
        <w:ind w:firstLine="480" w:firstLineChars="200"/>
        <w:rPr>
          <w:rFonts w:hint="eastAsia" w:ascii="Calibri" w:hAnsi="Calibri" w:eastAsia="宋体" w:cs="Times New Roman"/>
          <w:sz w:val="24"/>
          <w:szCs w:val="24"/>
          <w:lang w:val="en-US" w:eastAsia="zh-CN"/>
        </w:rPr>
      </w:pPr>
    </w:p>
    <w:p w14:paraId="7EB2617E">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完成拍卖操作</w:t>
      </w:r>
    </w:p>
    <w:p w14:paraId="5EEE4C8A">
      <w:pPr>
        <w:spacing w:line="440" w:lineRule="exact"/>
        <w:ind w:firstLine="480" w:firstLineChars="200"/>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5696" behindDoc="0" locked="0" layoutInCell="1" allowOverlap="1">
            <wp:simplePos x="0" y="0"/>
            <wp:positionH relativeFrom="column">
              <wp:posOffset>64770</wp:posOffset>
            </wp:positionH>
            <wp:positionV relativeFrom="paragraph">
              <wp:posOffset>50800</wp:posOffset>
            </wp:positionV>
            <wp:extent cx="5175250" cy="2682240"/>
            <wp:effectExtent l="0" t="0" r="6350" b="3810"/>
            <wp:wrapNone/>
            <wp:docPr id="22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90"/>
                    <pic:cNvPicPr>
                      <a:picLocks noChangeAspect="1"/>
                    </pic:cNvPicPr>
                  </pic:nvPicPr>
                  <pic:blipFill>
                    <a:blip r:embed="rId337"/>
                    <a:stretch>
                      <a:fillRect/>
                    </a:stretch>
                  </pic:blipFill>
                  <pic:spPr>
                    <a:xfrm>
                      <a:off x="0" y="0"/>
                      <a:ext cx="5175250" cy="2682240"/>
                    </a:xfrm>
                    <a:prstGeom prst="rect">
                      <a:avLst/>
                    </a:prstGeom>
                    <a:noFill/>
                    <a:ln>
                      <a:noFill/>
                    </a:ln>
                  </pic:spPr>
                </pic:pic>
              </a:graphicData>
            </a:graphic>
          </wp:anchor>
        </w:drawing>
      </w:r>
    </w:p>
    <w:p w14:paraId="2F8A3DC5">
      <w:pPr>
        <w:spacing w:line="440" w:lineRule="exact"/>
        <w:ind w:firstLine="480" w:firstLineChars="200"/>
        <w:rPr>
          <w:rFonts w:hint="eastAsia" w:ascii="Calibri" w:hAnsi="Calibri" w:eastAsia="宋体" w:cs="Times New Roman"/>
          <w:sz w:val="24"/>
          <w:szCs w:val="24"/>
          <w:lang w:val="en-US" w:eastAsia="zh-CN"/>
        </w:rPr>
      </w:pPr>
    </w:p>
    <w:p w14:paraId="661B0095">
      <w:pPr>
        <w:spacing w:line="440" w:lineRule="exact"/>
        <w:ind w:firstLine="480" w:firstLineChars="200"/>
        <w:rPr>
          <w:rFonts w:hint="default" w:ascii="Calibri" w:hAnsi="Calibri" w:eastAsia="宋体" w:cs="Times New Roman"/>
          <w:sz w:val="24"/>
          <w:szCs w:val="24"/>
          <w:lang w:val="en-US" w:eastAsia="zh-CN"/>
        </w:rPr>
      </w:pPr>
    </w:p>
    <w:p w14:paraId="5FD6DAAA">
      <w:pPr>
        <w:spacing w:line="440" w:lineRule="exact"/>
        <w:ind w:firstLine="480" w:firstLineChars="200"/>
        <w:rPr>
          <w:rFonts w:hint="default" w:ascii="Calibri" w:hAnsi="Calibri" w:eastAsia="宋体" w:cs="Times New Roman"/>
          <w:sz w:val="24"/>
          <w:szCs w:val="24"/>
          <w:lang w:val="en-US" w:eastAsia="zh-CN"/>
        </w:rPr>
      </w:pPr>
    </w:p>
    <w:p w14:paraId="2CBBF3BD">
      <w:pPr>
        <w:spacing w:line="440" w:lineRule="exact"/>
        <w:ind w:firstLine="480" w:firstLineChars="200"/>
        <w:rPr>
          <w:rFonts w:hint="default" w:ascii="Calibri" w:hAnsi="Calibri" w:eastAsia="宋体" w:cs="Times New Roman"/>
          <w:sz w:val="24"/>
          <w:szCs w:val="24"/>
          <w:lang w:val="en-US" w:eastAsia="zh-CN"/>
        </w:rPr>
      </w:pPr>
    </w:p>
    <w:p w14:paraId="196780D5">
      <w:pPr>
        <w:spacing w:line="440" w:lineRule="exact"/>
        <w:ind w:firstLine="480" w:firstLineChars="200"/>
        <w:rPr>
          <w:rFonts w:hint="default" w:ascii="Calibri" w:hAnsi="Calibri" w:eastAsia="宋体" w:cs="Times New Roman"/>
          <w:sz w:val="24"/>
          <w:szCs w:val="24"/>
          <w:lang w:val="en-US" w:eastAsia="zh-CN"/>
        </w:rPr>
      </w:pPr>
    </w:p>
    <w:p w14:paraId="2A5B214C">
      <w:pPr>
        <w:spacing w:line="440" w:lineRule="exact"/>
        <w:ind w:firstLine="480" w:firstLineChars="200"/>
        <w:rPr>
          <w:rFonts w:hint="default" w:ascii="Calibri" w:hAnsi="Calibri" w:eastAsia="宋体" w:cs="Times New Roman"/>
          <w:sz w:val="24"/>
          <w:szCs w:val="24"/>
          <w:lang w:val="en-US" w:eastAsia="zh-CN"/>
        </w:rPr>
      </w:pPr>
    </w:p>
    <w:p w14:paraId="5852B64E">
      <w:pPr>
        <w:spacing w:line="440" w:lineRule="exact"/>
        <w:rPr>
          <w:rFonts w:hint="default" w:ascii="Calibri" w:hAnsi="Calibri" w:eastAsia="宋体" w:cs="Times New Roman"/>
          <w:sz w:val="24"/>
          <w:szCs w:val="24"/>
          <w:lang w:val="en-US" w:eastAsia="zh-CN"/>
        </w:rPr>
      </w:pPr>
    </w:p>
    <w:p w14:paraId="65F1B4B4">
      <w:pPr>
        <w:spacing w:line="440" w:lineRule="exact"/>
        <w:rPr>
          <w:rFonts w:hint="default" w:ascii="Calibri" w:hAnsi="Calibri" w:eastAsia="宋体" w:cs="Times New Roman"/>
          <w:sz w:val="24"/>
          <w:szCs w:val="24"/>
          <w:lang w:val="en-US" w:eastAsia="zh-CN"/>
        </w:rPr>
      </w:pPr>
    </w:p>
    <w:p w14:paraId="78699147">
      <w:pPr>
        <w:spacing w:line="440" w:lineRule="exact"/>
        <w:rPr>
          <w:rFonts w:hint="default" w:ascii="Calibri" w:hAnsi="Calibri" w:eastAsia="宋体" w:cs="Times New Roman"/>
          <w:sz w:val="24"/>
          <w:szCs w:val="24"/>
          <w:lang w:val="en-US" w:eastAsia="zh-CN"/>
        </w:rPr>
      </w:pPr>
    </w:p>
    <w:p w14:paraId="6408F95F">
      <w:pPr>
        <w:spacing w:line="440" w:lineRule="exact"/>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买家/竞拍者流程：1) 注册认证：完成实名认证（KYC）并获取平台颁发的数字身份证书。2) 参与竞拍：浏览拍卖大厅，对感兴趣的拍品缴纳保证金后即可出价。出价时使用数字证书签名，报价实时上链。3) 支付提货：若获胜，在规定时间内支付尾款。NFT所有权将自动转移至其名下。可凭链上所有权记录安排实物交割或进行下一次转让。鉴定机构/拍卖行流程：使用具有特殊权限的账户登录。鉴定师可对线下查验的拍品进行数字签名并提交上链。拍卖师可管理拍卖会场，监控竞价过程，并在必要时（如出现争议）介入处理，所有操作留痕。监管机构：可被授予只读权限的节点身份，实时访问区块链数据，对交易进行合规审计与反洗钱监控。</w:t>
      </w:r>
    </w:p>
    <w:p w14:paraId="036939B9">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竞拍</w:t>
      </w:r>
    </w:p>
    <w:p w14:paraId="1845F93D">
      <w:pPr>
        <w:spacing w:line="440" w:lineRule="exact"/>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6720" behindDoc="0" locked="0" layoutInCell="1" allowOverlap="1">
            <wp:simplePos x="0" y="0"/>
            <wp:positionH relativeFrom="column">
              <wp:posOffset>-26035</wp:posOffset>
            </wp:positionH>
            <wp:positionV relativeFrom="paragraph">
              <wp:posOffset>165735</wp:posOffset>
            </wp:positionV>
            <wp:extent cx="5273040" cy="2492375"/>
            <wp:effectExtent l="0" t="0" r="3810" b="3175"/>
            <wp:wrapNone/>
            <wp:docPr id="2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91"/>
                    <pic:cNvPicPr>
                      <a:picLocks noChangeAspect="1"/>
                    </pic:cNvPicPr>
                  </pic:nvPicPr>
                  <pic:blipFill>
                    <a:blip r:embed="rId338"/>
                    <a:stretch>
                      <a:fillRect/>
                    </a:stretch>
                  </pic:blipFill>
                  <pic:spPr>
                    <a:xfrm>
                      <a:off x="0" y="0"/>
                      <a:ext cx="5273040" cy="2492375"/>
                    </a:xfrm>
                    <a:prstGeom prst="rect">
                      <a:avLst/>
                    </a:prstGeom>
                    <a:noFill/>
                    <a:ln>
                      <a:noFill/>
                    </a:ln>
                  </pic:spPr>
                </pic:pic>
              </a:graphicData>
            </a:graphic>
          </wp:anchor>
        </w:drawing>
      </w:r>
    </w:p>
    <w:p w14:paraId="333E53B7">
      <w:pPr>
        <w:spacing w:line="440" w:lineRule="exact"/>
        <w:rPr>
          <w:rFonts w:hint="default" w:ascii="Calibri" w:hAnsi="Calibri" w:eastAsia="宋体" w:cs="Times New Roman"/>
          <w:sz w:val="24"/>
          <w:szCs w:val="24"/>
          <w:lang w:val="en-US" w:eastAsia="zh-CN"/>
        </w:rPr>
      </w:pPr>
    </w:p>
    <w:p w14:paraId="563511F3">
      <w:pPr>
        <w:spacing w:line="440" w:lineRule="exact"/>
        <w:rPr>
          <w:rFonts w:hint="default" w:ascii="Calibri" w:hAnsi="Calibri" w:eastAsia="宋体" w:cs="Times New Roman"/>
          <w:sz w:val="24"/>
          <w:szCs w:val="24"/>
          <w:lang w:val="en-US" w:eastAsia="zh-CN"/>
        </w:rPr>
      </w:pPr>
    </w:p>
    <w:p w14:paraId="3A513A33">
      <w:pPr>
        <w:spacing w:line="440" w:lineRule="exact"/>
        <w:rPr>
          <w:rFonts w:hint="default" w:ascii="Calibri" w:hAnsi="Calibri" w:eastAsia="宋体" w:cs="Times New Roman"/>
          <w:sz w:val="24"/>
          <w:szCs w:val="24"/>
          <w:lang w:val="en-US" w:eastAsia="zh-CN"/>
        </w:rPr>
      </w:pPr>
    </w:p>
    <w:p w14:paraId="2AEED1C3">
      <w:pPr>
        <w:spacing w:line="440" w:lineRule="exact"/>
        <w:rPr>
          <w:rFonts w:hint="default" w:ascii="Calibri" w:hAnsi="Calibri" w:eastAsia="宋体" w:cs="Times New Roman"/>
          <w:sz w:val="24"/>
          <w:szCs w:val="24"/>
          <w:lang w:val="en-US" w:eastAsia="zh-CN"/>
        </w:rPr>
      </w:pPr>
    </w:p>
    <w:p w14:paraId="3BA2A913">
      <w:pPr>
        <w:spacing w:line="440" w:lineRule="exact"/>
        <w:rPr>
          <w:rFonts w:hint="default" w:ascii="Calibri" w:hAnsi="Calibri" w:eastAsia="宋体" w:cs="Times New Roman"/>
          <w:sz w:val="24"/>
          <w:szCs w:val="24"/>
          <w:lang w:val="en-US" w:eastAsia="zh-CN"/>
        </w:rPr>
      </w:pPr>
    </w:p>
    <w:p w14:paraId="4054A301">
      <w:pPr>
        <w:spacing w:line="440" w:lineRule="exact"/>
        <w:rPr>
          <w:rFonts w:hint="default" w:ascii="Calibri" w:hAnsi="Calibri" w:eastAsia="宋体" w:cs="Times New Roman"/>
          <w:sz w:val="24"/>
          <w:szCs w:val="24"/>
          <w:lang w:val="en-US" w:eastAsia="zh-CN"/>
        </w:rPr>
      </w:pPr>
    </w:p>
    <w:p w14:paraId="4F855702">
      <w:pPr>
        <w:spacing w:line="440" w:lineRule="exact"/>
        <w:rPr>
          <w:rFonts w:hint="default" w:ascii="Calibri" w:hAnsi="Calibri" w:eastAsia="宋体" w:cs="Times New Roman"/>
          <w:sz w:val="24"/>
          <w:szCs w:val="24"/>
          <w:lang w:val="en-US" w:eastAsia="zh-CN"/>
        </w:rPr>
      </w:pPr>
    </w:p>
    <w:p w14:paraId="26466964">
      <w:pPr>
        <w:spacing w:line="440" w:lineRule="exact"/>
        <w:rPr>
          <w:rFonts w:hint="default" w:ascii="Calibri" w:hAnsi="Calibri" w:eastAsia="宋体" w:cs="Times New Roman"/>
          <w:sz w:val="24"/>
          <w:szCs w:val="24"/>
          <w:lang w:val="en-US" w:eastAsia="zh-CN"/>
        </w:rPr>
      </w:pPr>
    </w:p>
    <w:p w14:paraId="22A0DD3C">
      <w:pPr>
        <w:spacing w:line="440" w:lineRule="exact"/>
        <w:rPr>
          <w:rFonts w:hint="default" w:ascii="Calibri" w:hAnsi="Calibri" w:eastAsia="宋体" w:cs="Times New Roman"/>
          <w:sz w:val="24"/>
          <w:szCs w:val="24"/>
          <w:lang w:val="en-US" w:eastAsia="zh-CN"/>
        </w:rPr>
      </w:pPr>
    </w:p>
    <w:p w14:paraId="1A660E7F">
      <w:pPr>
        <w:spacing w:line="440" w:lineRule="exact"/>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7744" behindDoc="0" locked="0" layoutInCell="1" allowOverlap="1">
            <wp:simplePos x="0" y="0"/>
            <wp:positionH relativeFrom="column">
              <wp:posOffset>-5715</wp:posOffset>
            </wp:positionH>
            <wp:positionV relativeFrom="paragraph">
              <wp:posOffset>40640</wp:posOffset>
            </wp:positionV>
            <wp:extent cx="5255895" cy="2757170"/>
            <wp:effectExtent l="0" t="0" r="1905" b="5080"/>
            <wp:wrapNone/>
            <wp:docPr id="22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92"/>
                    <pic:cNvPicPr>
                      <a:picLocks noChangeAspect="1"/>
                    </pic:cNvPicPr>
                  </pic:nvPicPr>
                  <pic:blipFill>
                    <a:blip r:embed="rId339"/>
                    <a:stretch>
                      <a:fillRect/>
                    </a:stretch>
                  </pic:blipFill>
                  <pic:spPr>
                    <a:xfrm>
                      <a:off x="0" y="0"/>
                      <a:ext cx="5255895" cy="2757170"/>
                    </a:xfrm>
                    <a:prstGeom prst="rect">
                      <a:avLst/>
                    </a:prstGeom>
                    <a:noFill/>
                    <a:ln>
                      <a:noFill/>
                    </a:ln>
                  </pic:spPr>
                </pic:pic>
              </a:graphicData>
            </a:graphic>
          </wp:anchor>
        </w:drawing>
      </w:r>
    </w:p>
    <w:p w14:paraId="63D4D23F">
      <w:pPr>
        <w:spacing w:line="440" w:lineRule="exact"/>
        <w:rPr>
          <w:rFonts w:hint="default" w:ascii="Calibri" w:hAnsi="Calibri" w:eastAsia="宋体" w:cs="Times New Roman"/>
          <w:sz w:val="24"/>
          <w:szCs w:val="24"/>
          <w:lang w:val="en-US" w:eastAsia="zh-CN"/>
        </w:rPr>
      </w:pPr>
    </w:p>
    <w:p w14:paraId="10B813AB">
      <w:pPr>
        <w:spacing w:line="440" w:lineRule="exact"/>
        <w:rPr>
          <w:rFonts w:hint="default" w:ascii="Calibri" w:hAnsi="Calibri" w:eastAsia="宋体" w:cs="Times New Roman"/>
          <w:sz w:val="24"/>
          <w:szCs w:val="24"/>
          <w:lang w:val="en-US" w:eastAsia="zh-CN"/>
        </w:rPr>
      </w:pPr>
    </w:p>
    <w:p w14:paraId="20428E30">
      <w:pPr>
        <w:spacing w:line="440" w:lineRule="exact"/>
        <w:rPr>
          <w:rFonts w:hint="default" w:ascii="Calibri" w:hAnsi="Calibri" w:eastAsia="宋体" w:cs="Times New Roman"/>
          <w:sz w:val="24"/>
          <w:szCs w:val="24"/>
          <w:lang w:val="en-US" w:eastAsia="zh-CN"/>
        </w:rPr>
      </w:pPr>
    </w:p>
    <w:p w14:paraId="601FB7C3">
      <w:pPr>
        <w:spacing w:line="440" w:lineRule="exact"/>
        <w:rPr>
          <w:rFonts w:hint="default" w:ascii="Calibri" w:hAnsi="Calibri" w:eastAsia="宋体" w:cs="Times New Roman"/>
          <w:sz w:val="24"/>
          <w:szCs w:val="24"/>
          <w:lang w:val="en-US" w:eastAsia="zh-CN"/>
        </w:rPr>
      </w:pPr>
    </w:p>
    <w:p w14:paraId="46F017B5">
      <w:pPr>
        <w:spacing w:line="440" w:lineRule="exact"/>
        <w:rPr>
          <w:rFonts w:hint="default" w:ascii="Calibri" w:hAnsi="Calibri" w:eastAsia="宋体" w:cs="Times New Roman"/>
          <w:sz w:val="24"/>
          <w:szCs w:val="24"/>
          <w:lang w:val="en-US" w:eastAsia="zh-CN"/>
        </w:rPr>
      </w:pPr>
    </w:p>
    <w:p w14:paraId="6D821F70">
      <w:pPr>
        <w:spacing w:line="440" w:lineRule="exact"/>
        <w:rPr>
          <w:rFonts w:hint="default" w:ascii="Calibri" w:hAnsi="Calibri" w:eastAsia="宋体" w:cs="Times New Roman"/>
          <w:sz w:val="24"/>
          <w:szCs w:val="24"/>
          <w:lang w:val="en-US" w:eastAsia="zh-CN"/>
        </w:rPr>
      </w:pPr>
    </w:p>
    <w:p w14:paraId="227BED42">
      <w:pPr>
        <w:spacing w:line="440" w:lineRule="exact"/>
        <w:rPr>
          <w:rFonts w:hint="default" w:ascii="Calibri" w:hAnsi="Calibri" w:eastAsia="宋体" w:cs="Times New Roman"/>
          <w:sz w:val="24"/>
          <w:szCs w:val="24"/>
          <w:lang w:val="en-US" w:eastAsia="zh-CN"/>
        </w:rPr>
      </w:pPr>
    </w:p>
    <w:p w14:paraId="3793CF78">
      <w:pPr>
        <w:spacing w:line="440" w:lineRule="exact"/>
        <w:rPr>
          <w:rFonts w:hint="default" w:ascii="Calibri" w:hAnsi="Calibri" w:eastAsia="宋体" w:cs="Times New Roman"/>
          <w:sz w:val="24"/>
          <w:szCs w:val="24"/>
          <w:lang w:val="en-US" w:eastAsia="zh-CN"/>
        </w:rPr>
      </w:pPr>
    </w:p>
    <w:p w14:paraId="28A8C349">
      <w:pPr>
        <w:spacing w:line="440" w:lineRule="exact"/>
        <w:rPr>
          <w:rFonts w:hint="default" w:ascii="Calibri" w:hAnsi="Calibri" w:eastAsia="宋体" w:cs="Times New Roman"/>
          <w:sz w:val="24"/>
          <w:szCs w:val="24"/>
          <w:lang w:val="en-US" w:eastAsia="zh-CN"/>
        </w:rPr>
      </w:pPr>
    </w:p>
    <w:p w14:paraId="32D0CF70">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完成拍卖</w:t>
      </w:r>
    </w:p>
    <w:p w14:paraId="2FE7BC2E">
      <w:pPr>
        <w:spacing w:line="440" w:lineRule="exact"/>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8768" behindDoc="0" locked="0" layoutInCell="1" allowOverlap="1">
            <wp:simplePos x="0" y="0"/>
            <wp:positionH relativeFrom="column">
              <wp:posOffset>22225</wp:posOffset>
            </wp:positionH>
            <wp:positionV relativeFrom="paragraph">
              <wp:posOffset>45085</wp:posOffset>
            </wp:positionV>
            <wp:extent cx="5261610" cy="2663190"/>
            <wp:effectExtent l="0" t="0" r="15240" b="3810"/>
            <wp:wrapNone/>
            <wp:docPr id="23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93"/>
                    <pic:cNvPicPr>
                      <a:picLocks noChangeAspect="1"/>
                    </pic:cNvPicPr>
                  </pic:nvPicPr>
                  <pic:blipFill>
                    <a:blip r:embed="rId340"/>
                    <a:stretch>
                      <a:fillRect/>
                    </a:stretch>
                  </pic:blipFill>
                  <pic:spPr>
                    <a:xfrm>
                      <a:off x="0" y="0"/>
                      <a:ext cx="5261610" cy="2663190"/>
                    </a:xfrm>
                    <a:prstGeom prst="rect">
                      <a:avLst/>
                    </a:prstGeom>
                    <a:noFill/>
                    <a:ln>
                      <a:noFill/>
                    </a:ln>
                  </pic:spPr>
                </pic:pic>
              </a:graphicData>
            </a:graphic>
          </wp:anchor>
        </w:drawing>
      </w:r>
    </w:p>
    <w:p w14:paraId="39137EF2">
      <w:pPr>
        <w:spacing w:line="440" w:lineRule="exact"/>
        <w:rPr>
          <w:rFonts w:hint="default" w:ascii="Calibri" w:hAnsi="Calibri" w:eastAsia="宋体" w:cs="Times New Roman"/>
          <w:sz w:val="24"/>
          <w:szCs w:val="24"/>
          <w:lang w:val="en-US" w:eastAsia="zh-CN"/>
        </w:rPr>
      </w:pPr>
    </w:p>
    <w:p w14:paraId="4DD8C32B">
      <w:pPr>
        <w:spacing w:line="440" w:lineRule="exact"/>
        <w:rPr>
          <w:rFonts w:hint="default" w:ascii="Calibri" w:hAnsi="Calibri" w:eastAsia="宋体" w:cs="Times New Roman"/>
          <w:sz w:val="24"/>
          <w:szCs w:val="24"/>
          <w:lang w:val="en-US" w:eastAsia="zh-CN"/>
        </w:rPr>
      </w:pPr>
    </w:p>
    <w:p w14:paraId="36D27623">
      <w:pPr>
        <w:spacing w:line="440" w:lineRule="exact"/>
        <w:rPr>
          <w:rFonts w:hint="default" w:ascii="Calibri" w:hAnsi="Calibri" w:eastAsia="宋体" w:cs="Times New Roman"/>
          <w:sz w:val="24"/>
          <w:szCs w:val="24"/>
          <w:lang w:val="en-US" w:eastAsia="zh-CN"/>
        </w:rPr>
      </w:pPr>
    </w:p>
    <w:p w14:paraId="1981925E">
      <w:pPr>
        <w:spacing w:line="440" w:lineRule="exact"/>
        <w:rPr>
          <w:rFonts w:hint="default" w:ascii="Calibri" w:hAnsi="Calibri" w:eastAsia="宋体" w:cs="Times New Roman"/>
          <w:sz w:val="24"/>
          <w:szCs w:val="24"/>
          <w:lang w:val="en-US" w:eastAsia="zh-CN"/>
        </w:rPr>
      </w:pPr>
    </w:p>
    <w:p w14:paraId="3FF1BB66">
      <w:pPr>
        <w:spacing w:line="440" w:lineRule="exact"/>
        <w:rPr>
          <w:rFonts w:hint="default" w:ascii="Calibri" w:hAnsi="Calibri" w:eastAsia="宋体" w:cs="Times New Roman"/>
          <w:sz w:val="24"/>
          <w:szCs w:val="24"/>
          <w:lang w:val="en-US" w:eastAsia="zh-CN"/>
        </w:rPr>
      </w:pPr>
    </w:p>
    <w:p w14:paraId="00B0B784">
      <w:pPr>
        <w:spacing w:line="440" w:lineRule="exact"/>
        <w:rPr>
          <w:rFonts w:hint="default" w:ascii="Calibri" w:hAnsi="Calibri" w:eastAsia="宋体" w:cs="Times New Roman"/>
          <w:sz w:val="24"/>
          <w:szCs w:val="24"/>
          <w:lang w:val="en-US" w:eastAsia="zh-CN"/>
        </w:rPr>
      </w:pPr>
    </w:p>
    <w:p w14:paraId="52D31CC8">
      <w:pPr>
        <w:spacing w:line="440" w:lineRule="exact"/>
        <w:rPr>
          <w:rFonts w:hint="eastAsia" w:ascii="Calibri" w:hAnsi="Calibri" w:eastAsia="宋体" w:cs="Times New Roman"/>
          <w:sz w:val="24"/>
          <w:szCs w:val="24"/>
          <w:lang w:val="en-US" w:eastAsia="zh-CN"/>
        </w:rPr>
      </w:pPr>
    </w:p>
    <w:p w14:paraId="5DFD471B">
      <w:pPr>
        <w:spacing w:line="440" w:lineRule="exact"/>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取消拍卖</w:t>
      </w:r>
    </w:p>
    <w:p w14:paraId="6211A759">
      <w:pPr>
        <w:spacing w:line="440" w:lineRule="exact"/>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drawing>
          <wp:anchor distT="0" distB="0" distL="114300" distR="114300" simplePos="0" relativeHeight="251809792" behindDoc="0" locked="0" layoutInCell="1" allowOverlap="1">
            <wp:simplePos x="0" y="0"/>
            <wp:positionH relativeFrom="column">
              <wp:posOffset>-8890</wp:posOffset>
            </wp:positionH>
            <wp:positionV relativeFrom="paragraph">
              <wp:posOffset>59690</wp:posOffset>
            </wp:positionV>
            <wp:extent cx="5259705" cy="2831465"/>
            <wp:effectExtent l="0" t="0" r="17145" b="6985"/>
            <wp:wrapNone/>
            <wp:docPr id="23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94"/>
                    <pic:cNvPicPr>
                      <a:picLocks noChangeAspect="1"/>
                    </pic:cNvPicPr>
                  </pic:nvPicPr>
                  <pic:blipFill>
                    <a:blip r:embed="rId341"/>
                    <a:stretch>
                      <a:fillRect/>
                    </a:stretch>
                  </pic:blipFill>
                  <pic:spPr>
                    <a:xfrm>
                      <a:off x="0" y="0"/>
                      <a:ext cx="5259705" cy="2831465"/>
                    </a:xfrm>
                    <a:prstGeom prst="rect">
                      <a:avLst/>
                    </a:prstGeom>
                    <a:noFill/>
                    <a:ln>
                      <a:noFill/>
                    </a:ln>
                  </pic:spPr>
                </pic:pic>
              </a:graphicData>
            </a:graphic>
          </wp:anchor>
        </w:drawing>
      </w:r>
    </w:p>
    <w:p w14:paraId="3FB962BE">
      <w:pPr>
        <w:spacing w:line="440" w:lineRule="exact"/>
        <w:rPr>
          <w:rFonts w:hint="default" w:ascii="Calibri" w:hAnsi="Calibri" w:eastAsia="宋体" w:cs="Times New Roman"/>
          <w:sz w:val="24"/>
          <w:szCs w:val="24"/>
          <w:lang w:val="en-US" w:eastAsia="zh-CN"/>
        </w:rPr>
      </w:pPr>
    </w:p>
    <w:p w14:paraId="38923979">
      <w:pPr>
        <w:spacing w:line="440" w:lineRule="exact"/>
        <w:rPr>
          <w:rFonts w:hint="default" w:ascii="Calibri" w:hAnsi="Calibri" w:eastAsia="宋体" w:cs="Times New Roman"/>
          <w:sz w:val="24"/>
          <w:szCs w:val="24"/>
          <w:lang w:val="en-US" w:eastAsia="zh-CN"/>
        </w:rPr>
      </w:pPr>
    </w:p>
    <w:p w14:paraId="61A74A7D">
      <w:pPr>
        <w:spacing w:line="440" w:lineRule="exact"/>
        <w:rPr>
          <w:rFonts w:hint="default" w:ascii="Calibri" w:hAnsi="Calibri" w:eastAsia="宋体" w:cs="Times New Roman"/>
          <w:sz w:val="24"/>
          <w:szCs w:val="24"/>
          <w:lang w:val="en-US" w:eastAsia="zh-CN"/>
        </w:rPr>
      </w:pPr>
    </w:p>
    <w:p w14:paraId="2C5479C5">
      <w:pPr>
        <w:spacing w:line="440" w:lineRule="exact"/>
        <w:rPr>
          <w:rFonts w:hint="default" w:ascii="Calibri" w:hAnsi="Calibri" w:eastAsia="宋体" w:cs="Times New Roman"/>
          <w:sz w:val="24"/>
          <w:szCs w:val="24"/>
          <w:lang w:val="en-US" w:eastAsia="zh-CN"/>
        </w:rPr>
      </w:pPr>
    </w:p>
    <w:p w14:paraId="5424770E">
      <w:pPr>
        <w:spacing w:line="440" w:lineRule="exact"/>
        <w:rPr>
          <w:rFonts w:hint="default" w:ascii="Calibri" w:hAnsi="Calibri" w:eastAsia="宋体" w:cs="Times New Roman"/>
          <w:sz w:val="24"/>
          <w:szCs w:val="24"/>
          <w:lang w:val="en-US" w:eastAsia="zh-CN"/>
        </w:rPr>
      </w:pPr>
    </w:p>
    <w:p w14:paraId="4F2F1FCF">
      <w:pPr>
        <w:spacing w:line="440" w:lineRule="exact"/>
        <w:rPr>
          <w:rFonts w:hint="default" w:ascii="Calibri" w:hAnsi="Calibri" w:eastAsia="宋体" w:cs="Times New Roman"/>
          <w:sz w:val="24"/>
          <w:szCs w:val="24"/>
          <w:lang w:val="en-US" w:eastAsia="zh-CN"/>
        </w:rPr>
      </w:pPr>
    </w:p>
    <w:p w14:paraId="1771F5DC">
      <w:pPr>
        <w:spacing w:line="440" w:lineRule="exact"/>
        <w:rPr>
          <w:rFonts w:hint="default" w:ascii="Calibri" w:hAnsi="Calibri" w:eastAsia="宋体" w:cs="Times New Roman"/>
          <w:sz w:val="24"/>
          <w:szCs w:val="24"/>
          <w:lang w:val="en-US" w:eastAsia="zh-CN"/>
        </w:rPr>
      </w:pPr>
    </w:p>
    <w:p w14:paraId="6750D651">
      <w:pPr>
        <w:spacing w:line="440" w:lineRule="exact"/>
        <w:rPr>
          <w:rFonts w:hint="default" w:ascii="Calibri" w:hAnsi="Calibri" w:eastAsia="宋体" w:cs="Times New Roman"/>
          <w:sz w:val="24"/>
          <w:szCs w:val="24"/>
          <w:lang w:val="en-US" w:eastAsia="zh-CN"/>
        </w:rPr>
      </w:pPr>
    </w:p>
    <w:p w14:paraId="12FD631F">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drawing>
          <wp:anchor distT="0" distB="0" distL="114300" distR="114300" simplePos="0" relativeHeight="251810816" behindDoc="0" locked="0" layoutInCell="1" allowOverlap="1">
            <wp:simplePos x="0" y="0"/>
            <wp:positionH relativeFrom="column">
              <wp:posOffset>-45085</wp:posOffset>
            </wp:positionH>
            <wp:positionV relativeFrom="paragraph">
              <wp:posOffset>160020</wp:posOffset>
            </wp:positionV>
            <wp:extent cx="5256530" cy="2580640"/>
            <wp:effectExtent l="0" t="0" r="1270" b="10160"/>
            <wp:wrapNone/>
            <wp:docPr id="23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95"/>
                    <pic:cNvPicPr>
                      <a:picLocks noChangeAspect="1"/>
                    </pic:cNvPicPr>
                  </pic:nvPicPr>
                  <pic:blipFill>
                    <a:blip r:embed="rId342"/>
                    <a:stretch>
                      <a:fillRect/>
                    </a:stretch>
                  </pic:blipFill>
                  <pic:spPr>
                    <a:xfrm>
                      <a:off x="0" y="0"/>
                      <a:ext cx="5256530" cy="2580640"/>
                    </a:xfrm>
                    <a:prstGeom prst="rect">
                      <a:avLst/>
                    </a:prstGeom>
                    <a:noFill/>
                    <a:ln>
                      <a:noFill/>
                    </a:ln>
                  </pic:spPr>
                </pic:pic>
              </a:graphicData>
            </a:graphic>
          </wp:anchor>
        </w:drawing>
      </w:r>
    </w:p>
    <w:p w14:paraId="42F5AD44">
      <w:pPr>
        <w:spacing w:line="440" w:lineRule="exact"/>
        <w:rPr>
          <w:rFonts w:hint="eastAsia" w:ascii="Calibri" w:hAnsi="Calibri" w:eastAsia="宋体" w:cs="Times New Roman"/>
          <w:b/>
          <w:bCs/>
          <w:sz w:val="28"/>
          <w:szCs w:val="28"/>
        </w:rPr>
      </w:pPr>
    </w:p>
    <w:p w14:paraId="790D7F60">
      <w:pPr>
        <w:spacing w:line="440" w:lineRule="exact"/>
        <w:rPr>
          <w:rFonts w:hint="eastAsia" w:ascii="Calibri" w:hAnsi="Calibri" w:eastAsia="宋体" w:cs="Times New Roman"/>
          <w:b/>
          <w:bCs/>
          <w:sz w:val="28"/>
          <w:szCs w:val="28"/>
        </w:rPr>
      </w:pPr>
    </w:p>
    <w:p w14:paraId="4DA2AD86">
      <w:pPr>
        <w:spacing w:line="440" w:lineRule="exact"/>
        <w:rPr>
          <w:rFonts w:hint="eastAsia" w:ascii="Calibri" w:hAnsi="Calibri" w:eastAsia="宋体" w:cs="Times New Roman"/>
          <w:b/>
          <w:bCs/>
          <w:sz w:val="28"/>
          <w:szCs w:val="28"/>
        </w:rPr>
      </w:pPr>
    </w:p>
    <w:p w14:paraId="4507CD77">
      <w:pPr>
        <w:spacing w:line="440" w:lineRule="exact"/>
        <w:rPr>
          <w:rFonts w:hint="eastAsia" w:ascii="Calibri" w:hAnsi="Calibri" w:eastAsia="宋体" w:cs="Times New Roman"/>
          <w:b/>
          <w:bCs/>
          <w:sz w:val="28"/>
          <w:szCs w:val="28"/>
        </w:rPr>
      </w:pPr>
    </w:p>
    <w:p w14:paraId="164FFD75">
      <w:pPr>
        <w:spacing w:line="440" w:lineRule="exact"/>
        <w:rPr>
          <w:rFonts w:hint="eastAsia" w:ascii="Calibri" w:hAnsi="Calibri" w:eastAsia="宋体" w:cs="Times New Roman"/>
          <w:b/>
          <w:bCs/>
          <w:sz w:val="28"/>
          <w:szCs w:val="28"/>
        </w:rPr>
      </w:pPr>
    </w:p>
    <w:p w14:paraId="6C0DE0C2">
      <w:pPr>
        <w:spacing w:line="440" w:lineRule="exact"/>
        <w:rPr>
          <w:rFonts w:hint="eastAsia" w:ascii="Calibri" w:hAnsi="Calibri" w:eastAsia="宋体" w:cs="Times New Roman"/>
          <w:b/>
          <w:bCs/>
          <w:sz w:val="28"/>
          <w:szCs w:val="28"/>
        </w:rPr>
      </w:pPr>
    </w:p>
    <w:p w14:paraId="0932EE43">
      <w:pPr>
        <w:spacing w:line="440" w:lineRule="exact"/>
        <w:rPr>
          <w:rFonts w:hint="eastAsia" w:ascii="Calibri" w:hAnsi="Calibri" w:eastAsia="宋体" w:cs="Times New Roman"/>
          <w:b/>
          <w:bCs/>
          <w:sz w:val="28"/>
          <w:szCs w:val="28"/>
        </w:rPr>
      </w:pPr>
    </w:p>
    <w:p w14:paraId="0A8148D7">
      <w:pPr>
        <w:spacing w:line="440" w:lineRule="exact"/>
        <w:rPr>
          <w:rFonts w:hint="eastAsia" w:ascii="Calibri" w:hAnsi="Calibri" w:eastAsia="宋体" w:cs="Times New Roman"/>
          <w:b/>
          <w:bCs/>
          <w:sz w:val="28"/>
          <w:szCs w:val="28"/>
        </w:rPr>
      </w:pPr>
    </w:p>
    <w:p w14:paraId="6CEE6C7A">
      <w:pPr>
        <w:spacing w:line="440" w:lineRule="exact"/>
        <w:rPr>
          <w:rFonts w:hint="eastAsia" w:ascii="Calibri" w:hAnsi="Calibri" w:eastAsia="宋体" w:cs="Times New Roman"/>
          <w:b/>
          <w:bCs/>
          <w:sz w:val="28"/>
          <w:szCs w:val="28"/>
        </w:rPr>
      </w:pPr>
    </w:p>
    <w:p w14:paraId="46BE8FB3">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5 系统测试</w:t>
      </w:r>
    </w:p>
    <w:p w14:paraId="7B99DAEF">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实施分层测试策略：智能合约测试：使用Go测试框架和Fabric模拟环境，对链码进行全面的单元测试和集成测试，重点测试拍卖逻辑的正确性、边界条件及安全性（如重入攻击防范）。后端API测试：使用Postman或自动化脚本测试所有RESTful API，确保业务逻辑与区块链交互的准确性。前后端集成与E2E测试：使用Cypress等工具模拟用户完整操作流程，从注册、浏览、出价到结算。性能与压力测试：模拟高并发竞价场景，测试区块链网络的TPS（每秒交易数）、延迟以及后端服务的响应能力。安全与渗透测试：包括对智能合约的专项安全审计、对Web应用的漏洞扫描、以及对联盟链网络本身的权限提升测试。</w:t>
      </w:r>
    </w:p>
    <w:p w14:paraId="0263FBCC">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37BBFC2A">
      <w:pPr>
        <w:spacing w:line="440" w:lineRule="exact"/>
        <w:ind w:firstLine="480" w:firstLineChars="200"/>
        <w:rPr>
          <w:rFonts w:hint="eastAsia" w:ascii="Calibri" w:hAnsi="Calibri" w:eastAsia="宋体" w:cs="Times New Roman"/>
          <w:b/>
          <w:bCs/>
          <w:sz w:val="28"/>
          <w:szCs w:val="28"/>
        </w:rPr>
      </w:pPr>
      <w:r>
        <w:rPr>
          <w:rFonts w:hint="eastAsia" w:ascii="Calibri" w:hAnsi="Calibri" w:eastAsia="宋体" w:cs="Times New Roman"/>
          <w:sz w:val="24"/>
          <w:szCs w:val="24"/>
          <w:lang w:val="en-US" w:eastAsia="zh-CN"/>
        </w:rPr>
        <w:t>本项目成功地将 Hyperledger Fabric联盟链的受控可信环境与NFT的数字稀缺性及所有权表达能力相结合，为奢侈品拍卖这一高价值、高信任需求的场景提供了一个创新性的解决方案。通过为实体资产创建可验证的数字孪生（NFT），并利用智能合约自动化执行复杂的拍卖规则，平台构建了一个去中心化、防篡改、流程透明的交易生态系统。它不仅解决了真伪与溯源的核心痛点，还通过引入AI、动态权限等先进技术，显著提升了运营效率与用户体验。项目设计充分考虑了企业级应用对性能、隐私、合规与可扩展性的要求，采用了混合架构平衡了区块链的去中心化优势与传统系统的效率。本平台的实施，有望重塑奢侈品市场的信任基础，降低交易成本，并为高端资产的数字化流通与管理树立新的行业标准，有力推动时尚产业与收藏品市场的数字化转型。</w:t>
      </w:r>
    </w:p>
    <w:p w14:paraId="2EF0448F">
      <w:pPr>
        <w:sectPr>
          <w:headerReference r:id="rId29" w:type="default"/>
          <w:footerReference r:id="rId3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FE8BA54">
      <w:pPr>
        <w:pStyle w:val="3"/>
        <w:bidi w:val="0"/>
        <w:rPr>
          <w:rFonts w:hint="eastAsia"/>
          <w:lang w:val="en-US" w:eastAsia="zh-CN"/>
        </w:rPr>
      </w:pPr>
      <w:bookmarkStart w:id="802" w:name="_Toc5716"/>
      <w:bookmarkStart w:id="803" w:name="_Toc28868"/>
      <w:r>
        <w:rPr>
          <w:rFonts w:hint="eastAsia"/>
          <w:lang w:val="en-US" w:eastAsia="zh-CN"/>
        </w:rPr>
        <w:t>8.互拍平台</w:t>
      </w:r>
      <w:bookmarkEnd w:id="802"/>
      <w:bookmarkEnd w:id="803"/>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6D46C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089F163">
            <w:pPr>
              <w:jc w:val="left"/>
              <w:outlineLvl w:val="0"/>
              <w:rPr>
                <w:rFonts w:hint="eastAsia" w:ascii="Calibri" w:hAnsi="Calibri" w:eastAsia="黑体" w:cs="Times New Roman"/>
                <w:szCs w:val="21"/>
                <w:lang w:val="en-US" w:eastAsia="zh-CN"/>
              </w:rPr>
            </w:pPr>
            <w:bookmarkStart w:id="804" w:name="_Toc21040"/>
            <w:bookmarkStart w:id="805" w:name="_Toc23907"/>
            <w:r>
              <w:rPr>
                <w:rFonts w:hint="eastAsia" w:ascii="Calibri" w:hAnsi="Calibri" w:eastAsia="黑体" w:cs="Times New Roman"/>
                <w:sz w:val="24"/>
                <w:lang w:val="en-US" w:eastAsia="zh-CN"/>
              </w:rPr>
              <w:t>项目</w:t>
            </w:r>
            <w:r>
              <w:rPr>
                <w:rFonts w:hint="eastAsia" w:ascii="Calibri" w:hAnsi="Calibri" w:eastAsia="黑体" w:cs="Times New Roman"/>
                <w:sz w:val="24"/>
              </w:rPr>
              <w:t>主题：</w:t>
            </w:r>
            <w:r>
              <w:rPr>
                <w:rFonts w:hint="eastAsia" w:ascii="Calibri" w:hAnsi="Calibri" w:eastAsia="黑体" w:cs="Times New Roman"/>
                <w:sz w:val="24"/>
                <w:lang w:val="en-US" w:eastAsia="zh-CN"/>
              </w:rPr>
              <w:t>互拍平台</w:t>
            </w:r>
            <w:bookmarkEnd w:id="804"/>
            <w:bookmarkEnd w:id="805"/>
          </w:p>
        </w:tc>
      </w:tr>
      <w:tr w14:paraId="660D7D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7B5DF0C">
            <w:pPr>
              <w:jc w:val="left"/>
              <w:rPr>
                <w:rFonts w:ascii="Calibri" w:hAnsi="Calibri" w:eastAsia="黑体" w:cs="Times New Roman"/>
                <w:sz w:val="24"/>
              </w:rPr>
            </w:pPr>
            <w:r>
              <w:rPr>
                <w:rFonts w:hint="eastAsia" w:ascii="Calibri" w:hAnsi="Calibri" w:eastAsia="黑体" w:cs="Times New Roman"/>
                <w:sz w:val="24"/>
              </w:rPr>
              <w:t>班    级：</w:t>
            </w:r>
            <w:r>
              <w:rPr>
                <w:rFonts w:hint="eastAsia" w:ascii="Calibri" w:hAnsi="Calibri" w:eastAsia="黑体" w:cs="Times New Roman"/>
                <w:sz w:val="24"/>
                <w:lang w:val="en-US" w:eastAsia="zh-CN"/>
              </w:rPr>
              <w:t>23级区块链工程</w:t>
            </w:r>
            <w:r>
              <w:rPr>
                <w:rFonts w:hint="eastAsia" w:ascii="Calibri" w:hAnsi="Calibri" w:eastAsia="黑体" w:cs="Times New Roman"/>
                <w:sz w:val="24"/>
              </w:rPr>
              <w:t>本科1班</w:t>
            </w:r>
          </w:p>
        </w:tc>
      </w:tr>
      <w:tr w14:paraId="62D55B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6D91572">
            <w:pPr>
              <w:jc w:val="left"/>
              <w:rPr>
                <w:rFonts w:hint="default" w:ascii="Calibri" w:hAnsi="Calibri" w:eastAsia="黑体" w:cs="Times New Roman"/>
                <w:szCs w:val="21"/>
                <w:lang w:val="en-US"/>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万诗哲</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曾磊</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杨皋羽</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钟子安</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 xml:space="preserve">刘俊喆       </w:t>
            </w:r>
            <w:r>
              <w:rPr>
                <w:rFonts w:hint="eastAsia" w:ascii="Calibri" w:hAnsi="Calibri" w:eastAsia="黑体" w:cs="Times New Roman"/>
                <w:sz w:val="24"/>
              </w:rPr>
              <w:t>指导教师：</w:t>
            </w:r>
            <w:r>
              <w:rPr>
                <w:rFonts w:hint="eastAsia" w:ascii="Calibri" w:hAnsi="Calibri" w:eastAsia="黑体" w:cs="Times New Roman"/>
                <w:sz w:val="21"/>
                <w:szCs w:val="21"/>
                <w:lang w:val="en-US" w:eastAsia="zh-CN"/>
              </w:rPr>
              <w:t>翟剑锟</w:t>
            </w:r>
          </w:p>
        </w:tc>
      </w:tr>
    </w:tbl>
    <w:p w14:paraId="60B5A814">
      <w:pPr>
        <w:spacing w:line="440" w:lineRule="exact"/>
        <w:rPr>
          <w:rFonts w:hint="default" w:ascii="Calibri" w:hAnsi="Calibri" w:eastAsia="宋体" w:cs="Times New Roman"/>
          <w:b/>
          <w:bCs/>
          <w:sz w:val="28"/>
          <w:szCs w:val="28"/>
          <w:lang w:val="en-US"/>
        </w:rPr>
      </w:pPr>
      <w:r>
        <w:rPr>
          <w:rFonts w:hint="eastAsia" w:ascii="Calibri" w:hAnsi="Calibri" w:eastAsia="宋体" w:cs="Times New Roman"/>
          <w:b/>
          <w:bCs/>
          <w:sz w:val="28"/>
          <w:szCs w:val="28"/>
        </w:rPr>
        <w:t xml:space="preserve">1 </w:t>
      </w:r>
      <w:r>
        <w:rPr>
          <w:rFonts w:hint="eastAsia" w:ascii="Calibri" w:hAnsi="Calibri" w:eastAsia="宋体" w:cs="Times New Roman"/>
          <w:b/>
          <w:bCs/>
          <w:sz w:val="28"/>
          <w:szCs w:val="28"/>
          <w:lang w:val="en-US" w:eastAsia="zh-CN"/>
        </w:rPr>
        <w:t>项目概述</w:t>
      </w:r>
    </w:p>
    <w:p w14:paraId="716494E8">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 项目介绍</w:t>
      </w:r>
    </w:p>
    <w:p w14:paraId="09A1EAF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是一款基于区块链技术的去中心化众筹平台，旨在彻底解决传统众筹行业存在的监管滞后、资金管理混乱、信息不透明等核心痛点。平台通过智能合约实现从项目创建、资金募集到收益分配的全流程自动化执行，确保资金完全由用户自主控制，所有交易记录公开可查且不可篡改。系统采用Vue3构建现代化前端界面，结合Solidity智能合约技术，通过MetaMask钱包实现用户与区块链的无缝交互。平台致力于构建一个无需信任第三方、完全透明公正的众筹环境，让每个参与者都能在去中心化的信任机制下平等参与，真正实现"人人参与、信任为本"的众筹初心，推动众筹行业向更加安全、高效、民主的方向发展。</w:t>
      </w:r>
    </w:p>
    <w:p w14:paraId="1FD12BD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25152" behindDoc="0" locked="0" layoutInCell="1" allowOverlap="1">
            <wp:simplePos x="0" y="0"/>
            <wp:positionH relativeFrom="column">
              <wp:posOffset>55245</wp:posOffset>
            </wp:positionH>
            <wp:positionV relativeFrom="paragraph">
              <wp:posOffset>153035</wp:posOffset>
            </wp:positionV>
            <wp:extent cx="5264150" cy="1911985"/>
            <wp:effectExtent l="0" t="0" r="12700" b="12065"/>
            <wp:wrapTopAndBottom/>
            <wp:docPr id="23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97"/>
                    <pic:cNvPicPr>
                      <a:picLocks noChangeAspect="1"/>
                    </pic:cNvPicPr>
                  </pic:nvPicPr>
                  <pic:blipFill>
                    <a:blip r:embed="rId343"/>
                    <a:stretch>
                      <a:fillRect/>
                    </a:stretch>
                  </pic:blipFill>
                  <pic:spPr>
                    <a:xfrm>
                      <a:off x="0" y="0"/>
                      <a:ext cx="5264150" cy="1911985"/>
                    </a:xfrm>
                    <a:prstGeom prst="rect">
                      <a:avLst/>
                    </a:prstGeom>
                    <a:noFill/>
                    <a:ln>
                      <a:noFill/>
                    </a:ln>
                  </pic:spPr>
                </pic:pic>
              </a:graphicData>
            </a:graphic>
          </wp:anchor>
        </w:drawing>
      </w:r>
      <w:r>
        <w:rPr>
          <w:rFonts w:hint="eastAsia" w:ascii="宋体" w:hAnsi="宋体" w:eastAsia="宋体" w:cs="宋体"/>
          <w:sz w:val="21"/>
          <w:szCs w:val="21"/>
          <w:lang w:val="en-US" w:eastAsia="zh-CN"/>
        </w:rPr>
        <w:t>图1.1 众筹平台主页</w:t>
      </w:r>
    </w:p>
    <w:p w14:paraId="5B3502DC">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 项目开发环境</w:t>
      </w:r>
    </w:p>
    <w:p w14:paraId="50AD9561">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本项目采用完整的技术栈构建去中心化应用开发环境。区块链开发环境基于以太坊生态系统，使用Solidity 0.8.x版本编写智能合约，Hardhat作为主要开发框架，配合Ganache搭建本地测试链，并集成Slither、MythX等安全分析工具确保合约安全性。前端开发环境采用Vue 3.0配合Composition API，使用Pinia进行状态管理，Element Plus作为UI组件库，Vite作为构建工具，确保开发效率和性能优化。钱包交互层集成MetaMask浏览器插件，通过web3.js 1.7.x或ethers.js 5.x实现与区块链的通信，支持Infura/Alchemy节点服务确保网络连接稳定性。后端服务采用Node.js配合Express框架，PostgreSQL存储链下用户信息和项目元数据，IPFS处理大文件存储，Redis作为缓存服务，RabbitMQ处理异步任务。开发运维方面使用Docker容器化部署，GitHub Actions实现持续集成，Grafana+Prometheus进行系统监控，形成从开发到部署的完整流水线。</w:t>
      </w:r>
    </w:p>
    <w:p w14:paraId="1E424E82">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default" w:ascii="Calibri" w:hAnsi="Calibri" w:eastAsia="宋体" w:cs="Times New Roman"/>
          <w:sz w:val="24"/>
          <w:szCs w:val="24"/>
          <w:lang w:val="en-US" w:eastAsia="zh-CN"/>
        </w:rPr>
      </w:pPr>
      <w:r>
        <w:rPr>
          <w:rFonts w:hint="eastAsia" w:ascii="宋体" w:hAnsi="宋体" w:eastAsia="宋体" w:cs="宋体"/>
          <w:sz w:val="21"/>
          <w:szCs w:val="21"/>
        </w:rPr>
        <w:drawing>
          <wp:anchor distT="0" distB="0" distL="114300" distR="114300" simplePos="0" relativeHeight="251827200" behindDoc="0" locked="0" layoutInCell="1" allowOverlap="1">
            <wp:simplePos x="0" y="0"/>
            <wp:positionH relativeFrom="column">
              <wp:posOffset>455295</wp:posOffset>
            </wp:positionH>
            <wp:positionV relativeFrom="paragraph">
              <wp:posOffset>6985</wp:posOffset>
            </wp:positionV>
            <wp:extent cx="4495800" cy="4429125"/>
            <wp:effectExtent l="0" t="0" r="0" b="9525"/>
            <wp:wrapTopAndBottom/>
            <wp:docPr id="2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0"/>
                    <pic:cNvPicPr>
                      <a:picLocks noChangeAspect="1"/>
                    </pic:cNvPicPr>
                  </pic:nvPicPr>
                  <pic:blipFill>
                    <a:blip r:embed="rId252"/>
                    <a:stretch>
                      <a:fillRect/>
                    </a:stretch>
                  </pic:blipFill>
                  <pic:spPr>
                    <a:xfrm>
                      <a:off x="0" y="0"/>
                      <a:ext cx="4496427" cy="4429743"/>
                    </a:xfrm>
                    <a:prstGeom prst="rect">
                      <a:avLst/>
                    </a:prstGeom>
                  </pic:spPr>
                </pic:pic>
              </a:graphicData>
            </a:graphic>
          </wp:anchor>
        </w:drawing>
      </w:r>
      <w:r>
        <w:rPr>
          <w:rFonts w:hint="eastAsia" w:ascii="宋体" w:hAnsi="宋体" w:eastAsia="宋体" w:cs="宋体"/>
          <w:sz w:val="21"/>
          <w:szCs w:val="21"/>
          <w:lang w:val="en-US" w:eastAsia="zh-CN"/>
        </w:rPr>
        <w:t>图1.2 技术架构图</w:t>
      </w:r>
    </w:p>
    <w:p w14:paraId="089FD10E">
      <w:pPr>
        <w:spacing w:line="440" w:lineRule="exact"/>
        <w:ind w:firstLine="480" w:firstLineChars="200"/>
        <w:rPr>
          <w:rFonts w:ascii="宋体" w:hAnsi="宋体" w:eastAsia="宋体" w:cs="宋体"/>
          <w:sz w:val="24"/>
          <w:szCs w:val="24"/>
        </w:rPr>
      </w:pPr>
      <w:r>
        <w:rPr>
          <w:rFonts w:hint="eastAsia" w:ascii="宋体" w:hAnsi="宋体" w:eastAsia="宋体" w:cs="宋体"/>
          <w:sz w:val="24"/>
          <w:szCs w:val="24"/>
        </w:rPr>
        <w:t>1.3</w:t>
      </w:r>
      <w:r>
        <w:rPr>
          <w:rFonts w:hint="eastAsia" w:ascii="Calibri" w:hAnsi="Calibri" w:eastAsia="宋体" w:cs="Times New Roman"/>
          <w:sz w:val="28"/>
          <w:szCs w:val="28"/>
        </w:rPr>
        <w:t xml:space="preserve"> </w:t>
      </w:r>
      <w:r>
        <w:rPr>
          <w:rFonts w:hint="eastAsia" w:ascii="宋体" w:hAnsi="宋体" w:eastAsia="宋体" w:cs="宋体"/>
          <w:sz w:val="24"/>
          <w:szCs w:val="24"/>
          <w:lang w:val="en-US" w:eastAsia="zh-CN"/>
        </w:rPr>
        <w:t>小组</w:t>
      </w:r>
      <w:r>
        <w:rPr>
          <w:rFonts w:ascii="宋体" w:hAnsi="宋体" w:eastAsia="宋体" w:cs="宋体"/>
          <w:sz w:val="24"/>
          <w:szCs w:val="24"/>
        </w:rPr>
        <w:t>人员及分工</w:t>
      </w:r>
    </w:p>
    <w:p w14:paraId="055D0E44">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项目团队由5名专业人员组成，分工明确、协作高效。区块链开发工程师负责智能合约的架构设计、编码实现和安全审计，确保核心业务逻辑的链上安全执行，并编写完整的技术文档。前端开发团队由主程和副程组成，主程负责整体架构设计和核心功能开发，副程专注于UI组件和用户体验优化，两人协同完成Vue3应用的开发及与钱包的深度集成。全栈开发工程师负责后端服务的开发维护，包括API网关设计、与区块链的交互接口实现、数据库和文件存储系统的管理。测试与运维工程师负责全面的质量保障体系，包括智能合约的单元集成测试、前端功能性能测试、环境搭建维护以及生产系统的部署监控，确保平台稳定可靠运行。团队成员通过敏捷开发模式，定期进行代码评审和知识分享，确保项目高质量推进。</w:t>
      </w:r>
    </w:p>
    <w:p w14:paraId="04B87CC3">
      <w:pPr>
        <w:spacing w:line="440" w:lineRule="exact"/>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20032" behindDoc="0" locked="0" layoutInCell="1" allowOverlap="1">
            <wp:simplePos x="0" y="0"/>
            <wp:positionH relativeFrom="column">
              <wp:posOffset>-6985</wp:posOffset>
            </wp:positionH>
            <wp:positionV relativeFrom="paragraph">
              <wp:posOffset>79375</wp:posOffset>
            </wp:positionV>
            <wp:extent cx="5176520" cy="1952625"/>
            <wp:effectExtent l="0" t="0" r="5080" b="9525"/>
            <wp:wrapTopAndBottom/>
            <wp:docPr id="2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
                    <pic:cNvPicPr>
                      <a:picLocks noChangeAspect="1"/>
                    </pic:cNvPicPr>
                  </pic:nvPicPr>
                  <pic:blipFill>
                    <a:blip r:embed="rId344"/>
                    <a:stretch>
                      <a:fillRect/>
                    </a:stretch>
                  </pic:blipFill>
                  <pic:spPr>
                    <a:xfrm>
                      <a:off x="0" y="0"/>
                      <a:ext cx="5176520" cy="1952625"/>
                    </a:xfrm>
                    <a:prstGeom prst="rect">
                      <a:avLst/>
                    </a:prstGeom>
                    <a:noFill/>
                    <a:ln>
                      <a:noFill/>
                    </a:ln>
                  </pic:spPr>
                </pic:pic>
              </a:graphicData>
            </a:graphic>
          </wp:anchor>
        </w:drawing>
      </w:r>
      <w:r>
        <w:rPr>
          <w:rFonts w:hint="eastAsia" w:ascii="宋体" w:hAnsi="宋体" w:eastAsia="宋体" w:cs="宋体"/>
          <w:sz w:val="21"/>
          <w:szCs w:val="21"/>
          <w:lang w:val="en-US" w:eastAsia="zh-CN"/>
        </w:rPr>
        <w:t>图1.3组织结构图</w:t>
      </w:r>
    </w:p>
    <w:p w14:paraId="6A8B63B2">
      <w:pPr>
        <w:spacing w:line="440" w:lineRule="exact"/>
        <w:rPr>
          <w:rFonts w:ascii="Calibri" w:hAnsi="Calibri" w:eastAsia="宋体" w:cs="Times New Roman"/>
          <w:b/>
          <w:bCs/>
          <w:sz w:val="28"/>
          <w:szCs w:val="28"/>
        </w:rPr>
      </w:pPr>
      <w:r>
        <w:rPr>
          <w:rFonts w:hint="eastAsia" w:ascii="Calibri" w:hAnsi="Calibri" w:eastAsia="宋体" w:cs="Times New Roman"/>
          <w:b/>
          <w:bCs/>
          <w:sz w:val="28"/>
          <w:szCs w:val="28"/>
        </w:rPr>
        <w:t>2 需求分析</w:t>
      </w:r>
    </w:p>
    <w:p w14:paraId="3B7AC1AA">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 系统需求分析</w:t>
      </w:r>
    </w:p>
    <w:p w14:paraId="2D01243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本系统需要满足去中心化众筹平台的核心业务需求，包括功能性需求和非功能性需求两大部分。功能性需求涵盖用户管理模块，要求支持Web3钱包登录、用户身份信息管理、信誉评分系统和投资历史记录；项目管理模块需要实现项目创建、分类标签、进度更新和讨论功能；资金管理模块要求多币种支持、智能合约资金托管、筹款目标设定和资金释放机制；投资管理模块需提供完整的投资流程、NFT化投资凭证、回报发放机制和二级市场转让支持；争议解决模块要建立社区投票和仲裁机制；数据分析模块要提供项目统计、风险评估和市场洞察功能。非功能性需求中，安全性是首要考虑，智能合约必须经过严格审计，用户私钥和资产安全需要多重保障；性能方面要支持高并发交易处理，页面加载时间控制在3秒内，Gas费用需要优化；可用性要求界面简洁直观、操作流程简单明了；可扩展性要求支持多链部署和模块化设计；兼容性要求适配主流Web3钱包和浏览器，支持响应式设计满足移动端访问需求。这些需求共同构成了一个安全、高效、易用的去中心化众筹平台的基础框架。</w:t>
      </w:r>
    </w:p>
    <w:p w14:paraId="4A2F05E7">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eastAsia" w:ascii="宋体" w:hAnsi="宋体" w:eastAsia="宋体" w:cs="宋体"/>
          <w:sz w:val="21"/>
          <w:szCs w:val="21"/>
          <w:lang w:val="en-US"/>
        </w:rPr>
      </w:pPr>
      <w:r>
        <w:rPr>
          <w:rFonts w:hint="eastAsia" w:ascii="宋体" w:hAnsi="宋体" w:eastAsia="宋体" w:cs="宋体"/>
          <w:sz w:val="21"/>
          <w:szCs w:val="21"/>
          <w:lang w:val="en-US" w:eastAsia="zh-CN"/>
        </w:rPr>
        <w:drawing>
          <wp:anchor distT="0" distB="0" distL="114300" distR="114300" simplePos="0" relativeHeight="251828224" behindDoc="0" locked="0" layoutInCell="1" allowOverlap="1">
            <wp:simplePos x="0" y="0"/>
            <wp:positionH relativeFrom="column">
              <wp:posOffset>878205</wp:posOffset>
            </wp:positionH>
            <wp:positionV relativeFrom="paragraph">
              <wp:posOffset>133985</wp:posOffset>
            </wp:positionV>
            <wp:extent cx="3591560" cy="1847215"/>
            <wp:effectExtent l="0" t="0" r="8890" b="635"/>
            <wp:wrapTopAndBottom/>
            <wp:docPr id="2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
                    <pic:cNvPicPr>
                      <a:picLocks noChangeAspect="1"/>
                    </pic:cNvPicPr>
                  </pic:nvPicPr>
                  <pic:blipFill>
                    <a:blip r:embed="rId345"/>
                    <a:stretch>
                      <a:fillRect/>
                    </a:stretch>
                  </pic:blipFill>
                  <pic:spPr>
                    <a:xfrm>
                      <a:off x="0" y="0"/>
                      <a:ext cx="3591560" cy="1847215"/>
                    </a:xfrm>
                    <a:prstGeom prst="rect">
                      <a:avLst/>
                    </a:prstGeom>
                  </pic:spPr>
                </pic:pic>
              </a:graphicData>
            </a:graphic>
          </wp:anchor>
        </w:drawing>
      </w:r>
      <w:r>
        <w:rPr>
          <w:rFonts w:hint="eastAsia" w:ascii="宋体" w:hAnsi="宋体" w:eastAsia="宋体" w:cs="宋体"/>
          <w:sz w:val="21"/>
          <w:szCs w:val="21"/>
          <w:lang w:val="en-US" w:eastAsia="zh-CN"/>
        </w:rPr>
        <w:t>图1.4 系统架构图</w:t>
      </w:r>
    </w:p>
    <w:p w14:paraId="3A1F8763">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 可行性分析</w:t>
      </w:r>
    </w:p>
    <w:p w14:paraId="16DCA41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rPr>
      </w:pPr>
      <w:r>
        <w:rPr>
          <w:rFonts w:hint="eastAsia" w:ascii="Calibri" w:hAnsi="Calibri" w:eastAsia="宋体" w:cs="Times New Roman"/>
          <w:sz w:val="24"/>
          <w:szCs w:val="24"/>
        </w:rPr>
        <w:t>本项目的可行性从技术、经济和法律三个维度进行全面评估。技术可行性方面，以太坊作为全球最大的智能合约平台，其技术生态已十分成熟，Solidity语言经过多年发展形成了完善的开发模式和最佳实践，Hardhat等开发框架大幅提升了开发效率，Vue3等现代前端框架能够很好地与区块链技术结合，现有的安全审计工具和Layer2解决方案为项目提供了坚实的技术基础。经济可行性分析显示，基于开源技术栈的开发模式主要成本集中在人力资源，去中心化架构显著降低了传统服务器的运维成本，平台可通过交易手续费、高级功能服务费等多元化方式实现可持续盈利，当前众筹市场规模巨大且对透明可信平台的需求明确，项目具备良好的市场前景和竞争优势。法律合规性方面，平台的去中心化特性降低了中心化管控的法律风险，智能合约的代码审计和形式化验证确保了合约合法性，通过实施KYC/AML流程符合监管要求，加密货币的采用避免了传统跨境支付的合规难题，同时建立链上争议解决机制也为法律执行提供了技术支撑。</w:t>
      </w:r>
    </w:p>
    <w:p w14:paraId="1FFDBB7C">
      <w:pPr>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2.3 用户需求分析</w:t>
      </w:r>
      <w:r>
        <w:rPr>
          <w:rFonts w:hint="eastAsia" w:ascii="宋体" w:hAnsi="宋体" w:eastAsia="宋体" w:cs="宋体"/>
          <w:sz w:val="24"/>
          <w:szCs w:val="24"/>
        </w:rPr>
        <w:t xml:space="preserve"> </w:t>
      </w:r>
    </w:p>
    <w:p w14:paraId="72B4D6CE">
      <w:pPr>
        <w:spacing w:line="440" w:lineRule="exact"/>
        <w:rPr>
          <w:rFonts w:hint="eastAsia" w:ascii="Calibri" w:hAnsi="Calibri" w:eastAsia="宋体" w:cs="Times New Roman"/>
          <w:sz w:val="24"/>
          <w:szCs w:val="24"/>
        </w:rPr>
      </w:pPr>
      <w:r>
        <w:rPr>
          <w:rFonts w:hint="eastAsia" w:ascii="Calibri" w:hAnsi="Calibri" w:eastAsia="宋体" w:cs="Times New Roman"/>
          <w:sz w:val="24"/>
          <w:szCs w:val="24"/>
        </w:rPr>
        <w:t>系统涉及四类核心用户角色，各自具有独特的业务流程和需求特征。项目发起人作为平台的供给侧，其业务流程始于项目创建，包括设置基本信息、筹款目标和回报方案，经过审核上链后进入筹款期，期间需要定期发布进展、与支持者互动，筹款成功后需按计划执行项目并按承诺发放回报，其核心需求是便捷的创建流程、透明的资金管理和有效的推广渠道。投资者作为需求侧，流程包括浏览筛选项目、进行投资决策、支付确认、获得NFT投资凭证，项目执行期间可监督进展、参与讨论，最终获得投资回报或参与争议解决，他们最关注投资安全性、信息透明度和合理的回报机制。平台管理员负责维护系统运行，流程涉及内容审核、用户管理、风险监控和系统配置，需要强大的管理工具和全面的数据洞察能力。审计员角色提供独立监督，通过访问链上数据和审计工具验证项目合规性、资金使用合理性和合约安全性。所有角色的交互都基于智能合约自动执行，资金流转通过多签托管机制保障安全，争议通过社区治理机制解决，形成了完整的去中心化众筹生态系统。</w:t>
      </w:r>
    </w:p>
    <w:p w14:paraId="177AD3CE">
      <w:pPr>
        <w:spacing w:line="440" w:lineRule="exact"/>
        <w:jc w:val="center"/>
        <w:rPr>
          <w:rFonts w:hint="default" w:ascii="Calibri" w:hAnsi="Calibri" w:eastAsia="宋体" w:cs="Times New Roman"/>
          <w:sz w:val="21"/>
          <w:szCs w:val="21"/>
          <w:lang w:val="en-US" w:eastAsia="zh-CN"/>
        </w:rPr>
      </w:pPr>
      <w:r>
        <w:rPr>
          <w:rFonts w:hint="eastAsia" w:ascii="Calibri" w:hAnsi="Calibri" w:eastAsia="宋体" w:cs="Times New Roman"/>
          <w:sz w:val="21"/>
          <w:szCs w:val="21"/>
        </w:rPr>
        <w:drawing>
          <wp:anchor distT="0" distB="0" distL="114300" distR="114300" simplePos="0" relativeHeight="251824128" behindDoc="0" locked="0" layoutInCell="1" allowOverlap="1">
            <wp:simplePos x="0" y="0"/>
            <wp:positionH relativeFrom="column">
              <wp:posOffset>705485</wp:posOffset>
            </wp:positionH>
            <wp:positionV relativeFrom="paragraph">
              <wp:posOffset>108585</wp:posOffset>
            </wp:positionV>
            <wp:extent cx="3659505" cy="2388235"/>
            <wp:effectExtent l="0" t="0" r="17145" b="12065"/>
            <wp:wrapTopAndBottom/>
            <wp:docPr id="2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6"/>
                    <pic:cNvPicPr>
                      <a:picLocks noChangeAspect="1"/>
                    </pic:cNvPicPr>
                  </pic:nvPicPr>
                  <pic:blipFill>
                    <a:blip r:embed="rId346"/>
                    <a:stretch>
                      <a:fillRect/>
                    </a:stretch>
                  </pic:blipFill>
                  <pic:spPr>
                    <a:xfrm>
                      <a:off x="0" y="0"/>
                      <a:ext cx="3660026" cy="2388757"/>
                    </a:xfrm>
                    <a:prstGeom prst="rect">
                      <a:avLst/>
                    </a:prstGeom>
                  </pic:spPr>
                </pic:pic>
              </a:graphicData>
            </a:graphic>
          </wp:anchor>
        </w:drawing>
      </w:r>
      <w:r>
        <w:rPr>
          <w:rFonts w:hint="eastAsia" w:ascii="Calibri" w:hAnsi="Calibri" w:eastAsia="宋体" w:cs="Times New Roman"/>
          <w:sz w:val="21"/>
          <w:szCs w:val="21"/>
          <w:lang w:val="en-US" w:eastAsia="zh-CN"/>
        </w:rPr>
        <w:t>图2.1用户需求用例图</w:t>
      </w:r>
    </w:p>
    <w:p w14:paraId="6335BA56">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3</w:t>
      </w:r>
      <w:r>
        <w:rPr>
          <w:rFonts w:hint="eastAsia" w:ascii="Calibri" w:hAnsi="Calibri" w:eastAsia="宋体" w:cs="Times New Roman"/>
          <w:b/>
          <w:bCs/>
          <w:sz w:val="28"/>
          <w:szCs w:val="28"/>
          <w:lang w:val="en-US" w:eastAsia="zh-CN"/>
        </w:rPr>
        <w:t>系统</w:t>
      </w:r>
      <w:r>
        <w:rPr>
          <w:rFonts w:hint="eastAsia" w:ascii="Calibri" w:hAnsi="Calibri" w:eastAsia="宋体" w:cs="Times New Roman"/>
          <w:b/>
          <w:bCs/>
          <w:sz w:val="28"/>
          <w:szCs w:val="28"/>
        </w:rPr>
        <w:t>设计</w:t>
      </w:r>
    </w:p>
    <w:p w14:paraId="476EDE4F">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3.1 </w:t>
      </w:r>
      <w:r>
        <w:rPr>
          <w:rFonts w:ascii="宋体" w:hAnsi="宋体" w:eastAsia="宋体" w:cs="宋体"/>
          <w:sz w:val="24"/>
          <w:szCs w:val="24"/>
        </w:rPr>
        <w:t>系统</w:t>
      </w:r>
      <w:r>
        <w:rPr>
          <w:rFonts w:hint="eastAsia" w:ascii="宋体" w:hAnsi="宋体" w:eastAsia="宋体" w:cs="宋体"/>
          <w:sz w:val="24"/>
          <w:szCs w:val="24"/>
          <w:lang w:val="en-US" w:eastAsia="zh-CN"/>
        </w:rPr>
        <w:t>结构设计</w:t>
      </w:r>
    </w:p>
    <w:p w14:paraId="0C57C4A9">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lang w:val="en-US" w:eastAsia="zh-CN"/>
        </w:rPr>
        <w:t>本平台采用分层架构设计，确保系统的高内聚、低耦合和可扩展性。用户交互层基于Vue3构建响应式Web应用，深度集成MetaMask等Web3钱包，提供直观的用户界面降低区块链使用门槛。业务逻辑层分为链上和链下两部分：链上通过智能合约实现核心业务逻辑，包括项目合约管理项目生命周期、资金合约处理托管发放、投票合约实现社区治理；链下通过微服务架构提供辅助服务，包括API网关统一接口、业务逻辑服务处理复杂计算、定时任务服务监听链上事件。数据存储层采用混合策略，区块链存储核心业务数据和交易记录确保不可篡改，PostgreSQL数据库存储用户资料和项目元数据支持高效查询，IPFS分布式存储处理大文件并通过内容寻址保证完整性。基础设施层构建在以太坊网络之上，借助Infura/Alchemy节点服务，配合云服务器集群和CDN网络优化确保稳定访问。安全与监控层贯穿系统始终，包括智能合约安全审计、系统运行状态监控、完整操作日志记录和灾难恢复机制。系统交互采用事件驱动模式，用户操作通过钱包签名后发送至区块链，智能合约执行后发射事件，后端服务监听事件更新链下状态，前端实时响应状态变化，形成完整的去中心化应用闭环。</w:t>
      </w:r>
    </w:p>
    <w:p w14:paraId="248E2CB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826176" behindDoc="0" locked="0" layoutInCell="1" allowOverlap="1">
            <wp:simplePos x="0" y="0"/>
            <wp:positionH relativeFrom="column">
              <wp:posOffset>-32385</wp:posOffset>
            </wp:positionH>
            <wp:positionV relativeFrom="paragraph">
              <wp:posOffset>95250</wp:posOffset>
            </wp:positionV>
            <wp:extent cx="5270500" cy="4417060"/>
            <wp:effectExtent l="0" t="0" r="6350" b="2540"/>
            <wp:wrapTopAndBottom/>
            <wp:docPr id="239" name="图片 1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06" descr="IMG_256"/>
                    <pic:cNvPicPr>
                      <a:picLocks noChangeAspect="1"/>
                    </pic:cNvPicPr>
                  </pic:nvPicPr>
                  <pic:blipFill>
                    <a:blip r:embed="rId347"/>
                    <a:stretch>
                      <a:fillRect/>
                    </a:stretch>
                  </pic:blipFill>
                  <pic:spPr>
                    <a:xfrm>
                      <a:off x="0" y="0"/>
                      <a:ext cx="5270500" cy="4417060"/>
                    </a:xfrm>
                    <a:prstGeom prst="rect">
                      <a:avLst/>
                    </a:prstGeom>
                    <a:noFill/>
                    <a:ln w="9525">
                      <a:noFill/>
                    </a:ln>
                  </pic:spPr>
                </pic:pic>
              </a:graphicData>
            </a:graphic>
          </wp:anchor>
        </w:drawing>
      </w:r>
      <w:r>
        <w:rPr>
          <w:rFonts w:hint="eastAsia" w:ascii="宋体" w:hAnsi="宋体" w:eastAsia="宋体" w:cs="宋体"/>
          <w:sz w:val="21"/>
          <w:szCs w:val="21"/>
          <w:lang w:val="en-US" w:eastAsia="zh-CN"/>
        </w:rPr>
        <w:t>图3.1 系统结构图</w:t>
      </w:r>
    </w:p>
    <w:p w14:paraId="5C927D70">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3.2 </w:t>
      </w:r>
      <w:r>
        <w:rPr>
          <w:rFonts w:hint="eastAsia" w:ascii="宋体" w:hAnsi="宋体" w:eastAsia="宋体" w:cs="宋体"/>
          <w:sz w:val="24"/>
          <w:szCs w:val="24"/>
          <w:lang w:val="en-US" w:eastAsia="zh-CN"/>
        </w:rPr>
        <w:t>系统功能模块设计</w:t>
      </w:r>
    </w:p>
    <w:p w14:paraId="7D39ED64">
      <w:pPr>
        <w:spacing w:line="440" w:lineRule="exact"/>
        <w:ind w:firstLine="480" w:firstLineChars="200"/>
        <w:rPr>
          <w:rFonts w:hint="eastAsia" w:ascii="Calibri" w:hAnsi="Calibri" w:eastAsia="宋体" w:cs="Times New Roman"/>
          <w:sz w:val="24"/>
          <w:szCs w:val="24"/>
        </w:rPr>
      </w:pPr>
      <w:r>
        <w:rPr>
          <w:rFonts w:hint="eastAsia" w:ascii="Calibri" w:hAnsi="Calibri" w:eastAsia="宋体" w:cs="Times New Roman"/>
          <w:sz w:val="24"/>
          <w:szCs w:val="24"/>
        </w:rPr>
        <w:t>系统功能划分为六大核心模块，每个模块内聚度高且接口清晰。用户管理模块实现Web3钱包登录、多重签名账户安全、信誉评分体系，通过数字身份验证和权限控制确保平台安全。项目管理模块支持项目创建展示、进度管理功能，提供从创意到执行的全周期管理工具，多媒体内容展示增强项目吸引力。资金管理模块通过智能合约实现多签托管、条件释放和财务管理，资金流转全程可追溯，自动分账机制减少人为干预。投资管理模块提供完整的投资流程、NFT凭证系统和回报管理，投资证明可验证可转让，回报发放自动化执行。社区治理模块建立投票系统、争议解决机制和互动平台，重要决策通过社区共识达成，争议处理遵循透明规则。数据分析模块提供统计报表、风险控制和市场洞察功能，基于链上数据分析项目成功率和投资回报，风险评估模型帮助用户决策。各模块通过定义良好的接口相互协作，智能合约作为信任基础确保业务规则不可篡改，链下服务提供丰富的用户体验，形成功能完备的去中心化众筹生态系统。</w:t>
      </w:r>
    </w:p>
    <w:p w14:paraId="35506568">
      <w:pPr>
        <w:spacing w:line="440" w:lineRule="exact"/>
        <w:ind w:firstLine="480" w:firstLineChars="200"/>
        <w:rPr>
          <w:rFonts w:hint="eastAsia" w:ascii="Calibri" w:hAnsi="Calibri" w:eastAsia="宋体" w:cs="Times New Roman"/>
          <w:sz w:val="24"/>
          <w:szCs w:val="24"/>
        </w:rPr>
      </w:pPr>
    </w:p>
    <w:p w14:paraId="2F97BD94">
      <w:pPr>
        <w:spacing w:line="440" w:lineRule="exact"/>
        <w:jc w:val="center"/>
        <w:rPr>
          <w:rFonts w:hint="eastAsia" w:ascii="宋体" w:hAnsi="宋体" w:eastAsia="宋体" w:cs="宋体"/>
          <w:sz w:val="21"/>
          <w:szCs w:val="21"/>
          <w:lang w:val="en-US"/>
        </w:rPr>
      </w:pPr>
      <w:r>
        <w:rPr>
          <w:rFonts w:hint="eastAsia" w:ascii="宋体" w:hAnsi="宋体" w:eastAsia="宋体" w:cs="宋体"/>
          <w:sz w:val="21"/>
          <w:szCs w:val="21"/>
        </w:rPr>
        <w:drawing>
          <wp:anchor distT="0" distB="0" distL="114300" distR="114300" simplePos="0" relativeHeight="251821056" behindDoc="0" locked="0" layoutInCell="1" allowOverlap="1">
            <wp:simplePos x="0" y="0"/>
            <wp:positionH relativeFrom="column">
              <wp:posOffset>415925</wp:posOffset>
            </wp:positionH>
            <wp:positionV relativeFrom="paragraph">
              <wp:posOffset>-90170</wp:posOffset>
            </wp:positionV>
            <wp:extent cx="4380865" cy="2757805"/>
            <wp:effectExtent l="0" t="0" r="635" b="4445"/>
            <wp:wrapTopAndBottom/>
            <wp:docPr id="2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
                    <pic:cNvPicPr>
                      <a:picLocks noChangeAspect="1"/>
                    </pic:cNvPicPr>
                  </pic:nvPicPr>
                  <pic:blipFill>
                    <a:blip r:embed="rId348"/>
                    <a:stretch>
                      <a:fillRect/>
                    </a:stretch>
                  </pic:blipFill>
                  <pic:spPr>
                    <a:xfrm>
                      <a:off x="0" y="0"/>
                      <a:ext cx="4380865" cy="2757805"/>
                    </a:xfrm>
                    <a:prstGeom prst="rect">
                      <a:avLst/>
                    </a:prstGeom>
                    <a:noFill/>
                    <a:ln>
                      <a:noFill/>
                    </a:ln>
                  </pic:spPr>
                </pic:pic>
              </a:graphicData>
            </a:graphic>
          </wp:anchor>
        </w:drawing>
      </w:r>
      <w:r>
        <w:rPr>
          <w:rFonts w:hint="eastAsia" w:ascii="宋体" w:hAnsi="宋体" w:eastAsia="宋体" w:cs="宋体"/>
          <w:sz w:val="21"/>
          <w:szCs w:val="21"/>
          <w:lang w:val="en-US" w:eastAsia="zh-CN"/>
        </w:rPr>
        <w:t>图3.2 系统功能结构图</w:t>
      </w:r>
    </w:p>
    <w:p w14:paraId="1C509832">
      <w:pPr>
        <w:spacing w:line="440" w:lineRule="exact"/>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3.3 </w:t>
      </w:r>
      <w:r>
        <w:rPr>
          <w:rFonts w:hint="eastAsia" w:ascii="宋体" w:hAnsi="宋体" w:eastAsia="宋体" w:cs="宋体"/>
          <w:sz w:val="24"/>
          <w:szCs w:val="24"/>
          <w:lang w:val="en-US" w:eastAsia="zh-CN"/>
        </w:rPr>
        <w:t>数据结构设计</w:t>
      </w:r>
    </w:p>
    <w:p w14:paraId="458C0FA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智能合约采用工厂模式设计，CrowdfundingFactory合约负责项目创建和管理，Project合约封装单个项目的完整生命周期，Escrow合约实现多签资金托管，Governance合约处理社区治理。Project合约定义项目状态机（Active、Successful、Failed、Canceled），包含投资、退款、提现等核心函数，通过checkGoalReached和getRemainingTime提供状态查询。Escrow合约采用多签管理结构，资金释放需达到预设条件和签名阈值，确保资金使用合规安全。安全机制设计全面防护各类攻击：通过Checks-Effects-Interactions模式防止重入攻击，使用SafeMath库或Solidity 0.8+内置检查避免整数溢出，基于角色的权限控制限制敏感操作访问，紧急停止机制在发现漏洞时暂停合约运行。合约采用模块化设计，核心逻辑与辅助功能分离，便于升级维护。事件系统完善，所有状态变更发射相应事件供前端监听。Gas优化方面，通过状态变量打包、减少存储操作、使用view/pure函数降低调用成本。合约部署前需通过形式化验证和多家安全公司审计，确保在极端条件下仍能正确执行，为平台提供坚实可靠的信任基础。</w:t>
      </w:r>
    </w:p>
    <w:p w14:paraId="0C5334A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用户表（sys_user）</w:t>
      </w:r>
      <w:r>
        <w:rPr>
          <w:rFonts w:hint="eastAsia" w:ascii="Calibri" w:hAnsi="Calibri" w:eastAsia="宋体" w:cs="Times New Roman"/>
          <w:sz w:val="24"/>
          <w:szCs w:val="24"/>
          <w:lang w:val="en-US" w:eastAsia="zh-CN"/>
        </w:rPr>
        <w:t>,</w:t>
      </w:r>
      <w:r>
        <w:rPr>
          <w:rFonts w:hint="default" w:ascii="Calibri" w:hAnsi="Calibri" w:eastAsia="宋体" w:cs="Times New Roman"/>
          <w:sz w:val="24"/>
          <w:szCs w:val="24"/>
          <w:lang w:val="en-US" w:eastAsia="zh-CN"/>
        </w:rPr>
        <w:t>存储用户基础信息与账户相关数据，支撑用户身份认证、权限区分及资金管理，保障用户相关操作合规可追溯。</w:t>
      </w:r>
    </w:p>
    <w:p w14:paraId="6714B14A">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表3.1 用户表</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967"/>
        <w:gridCol w:w="1727"/>
        <w:gridCol w:w="1189"/>
        <w:gridCol w:w="3411"/>
      </w:tblGrid>
      <w:tr w14:paraId="1DF3E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C2C3E2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字段名</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0C031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数据类型</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A2261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长度</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879507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描述</w:t>
            </w:r>
          </w:p>
        </w:tc>
      </w:tr>
      <w:tr w14:paraId="6D233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BB2C2E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id</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5D247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BIGINT</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35FBB8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9957D9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用户唯一 ID</w:t>
            </w:r>
          </w:p>
        </w:tc>
      </w:tr>
      <w:tr w14:paraId="67BE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4A96B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username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394A4B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61208C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50</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1958B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用户名（唯一）</w:t>
            </w:r>
          </w:p>
        </w:tc>
      </w:tr>
      <w:tr w14:paraId="0485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450FDA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phone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5DCCD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A50D69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20</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2599F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手机号（唯一）</w:t>
            </w:r>
          </w:p>
        </w:tc>
      </w:tr>
      <w:tr w14:paraId="506BF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C73F0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password</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8F162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973274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100</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1B55E2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加密后的密码（SHA-256）</w:t>
            </w:r>
          </w:p>
        </w:tc>
      </w:tr>
      <w:tr w14:paraId="7327D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ACFD74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eth_address</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AE744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8D8D9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100</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005B55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ETH 账户地址</w:t>
            </w:r>
          </w:p>
        </w:tc>
      </w:tr>
      <w:tr w14:paraId="1A2A3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EDEF7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balance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EEF29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DECIMAL</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BCE02D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18,6</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E9A5E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账户余额（ETH）</w:t>
            </w:r>
          </w:p>
        </w:tc>
      </w:tr>
      <w:tr w14:paraId="61320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4F55AD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user_type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1DC2DA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TINYINT</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C860CC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952043">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用户类型（1 - 发起人，2 - 支持者）</w:t>
            </w:r>
          </w:p>
        </w:tc>
      </w:tr>
      <w:tr w14:paraId="2AC92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4B106B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create_time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F84A93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3AE8E4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5ED28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创建时间</w:t>
            </w:r>
          </w:p>
        </w:tc>
      </w:tr>
      <w:tr w14:paraId="25BF0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196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D9F45A">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update_time</w:t>
            </w:r>
          </w:p>
        </w:tc>
        <w:tc>
          <w:tcPr>
            <w:tcW w:w="172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84B8F0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8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1D23E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1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4E06DC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更新时间</w:t>
            </w:r>
          </w:p>
        </w:tc>
      </w:tr>
    </w:tbl>
    <w:p w14:paraId="27584EC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众筹项目表（cf_project）记录众筹项目全量信息，跟踪项目状态流转，为项目展示、进度管控及审核上线提供数据支撑。</w:t>
      </w:r>
    </w:p>
    <w:p w14:paraId="546CD0C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表3.2 项目表</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132"/>
        <w:gridCol w:w="1659"/>
        <w:gridCol w:w="1147"/>
        <w:gridCol w:w="3336"/>
      </w:tblGrid>
      <w:tr w14:paraId="10C15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BD9450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字段名</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8F9268C">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数据类型</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44E634">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长度</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715B5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描述</w:t>
            </w:r>
          </w:p>
        </w:tc>
      </w:tr>
      <w:tr w14:paraId="3C2CD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FE362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F31F11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F84599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32</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FDCDB7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项目唯一 ID（UUID）</w:t>
            </w:r>
          </w:p>
        </w:tc>
      </w:tr>
      <w:tr w14:paraId="42902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E47FF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user_id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81DE4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BIGINT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8A77FF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22BF82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发起人 ID</w:t>
            </w:r>
          </w:p>
        </w:tc>
      </w:tr>
      <w:tr w14:paraId="523F9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779BC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title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DE0197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623E99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100</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F9C7B0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项目标题</w:t>
            </w:r>
          </w:p>
        </w:tc>
      </w:tr>
      <w:tr w14:paraId="7E48F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2B5D4A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category</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DFB686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F048D8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50</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4E1779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项目分类（如 “科技产品”）</w:t>
            </w:r>
          </w:p>
        </w:tc>
      </w:tr>
      <w:tr w14:paraId="604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219053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target_amount</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32C04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DECIMAL</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50C01C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18,6</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1DC9C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目标金额（ETH）</w:t>
            </w:r>
          </w:p>
        </w:tc>
      </w:tr>
      <w:tr w14:paraId="02458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70DA35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raised_amount</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8388C9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DECIMAL</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2E578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18,6</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DA9D7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已筹金额（ETH）</w:t>
            </w:r>
          </w:p>
        </w:tc>
      </w:tr>
      <w:tr w14:paraId="0B55B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A6510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end_time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B0773F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2EBA1B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06C45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筹款截止时间</w:t>
            </w:r>
          </w:p>
        </w:tc>
      </w:tr>
      <w:tr w14:paraId="2CB66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365E3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status</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37776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TINYINT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D1F70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95B93D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状态（0 - 待审核，1 - 正在众筹，2 - 众筹成功，3 - 众筹失败）</w:t>
            </w:r>
          </w:p>
        </w:tc>
      </w:tr>
      <w:tr w14:paraId="6D330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0B513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description</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6DDFAE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TEXT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E5526E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9F0B2D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项目描述</w:t>
            </w:r>
          </w:p>
        </w:tc>
      </w:tr>
      <w:tr w14:paraId="11B90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579A11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cover_url</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EFD68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06A3AE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255</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E7DD4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封面图 URL</w:t>
            </w:r>
          </w:p>
        </w:tc>
      </w:tr>
      <w:tr w14:paraId="79CF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CEB6B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detail_urls</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48741C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C1907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1000</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72FA1E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详情图 URL（逗号分隔）</w:t>
            </w:r>
          </w:p>
        </w:tc>
      </w:tr>
      <w:tr w14:paraId="3B97A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4AFD3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video_url</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3BC4D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CD376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255</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B435C3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视频 URL</w:t>
            </w:r>
          </w:p>
        </w:tc>
      </w:tr>
      <w:tr w14:paraId="79EE4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D7116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create_time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EF71E71">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6FF802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134C94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创建时间</w:t>
            </w:r>
          </w:p>
        </w:tc>
      </w:tr>
      <w:tr w14:paraId="673C2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31C2B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audit_time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E458F8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F77567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D05F9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审核时间</w:t>
            </w:r>
          </w:p>
        </w:tc>
      </w:tr>
      <w:tr w14:paraId="65B23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3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0F4658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online_time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3672BCA">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F2684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33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395182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left"/>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上线时间</w:t>
            </w:r>
          </w:p>
        </w:tc>
      </w:tr>
    </w:tbl>
    <w:p w14:paraId="68E6273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投资订单表（cf_invest_order）</w:t>
      </w:r>
      <w:r>
        <w:rPr>
          <w:rFonts w:hint="eastAsia" w:ascii="Calibri" w:hAnsi="Calibri" w:eastAsia="宋体" w:cs="Times New Roman"/>
          <w:sz w:val="24"/>
          <w:szCs w:val="24"/>
          <w:lang w:val="en-US" w:eastAsia="zh-CN"/>
        </w:rPr>
        <w:t>,留存投资交易明细，关联用户与项目，管控投资状态，保障投资流程可追溯与资金安全。</w:t>
      </w:r>
    </w:p>
    <w:p w14:paraId="1957695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表3.</w:t>
      </w:r>
      <w:r>
        <w:rPr>
          <w:rFonts w:hint="eastAsia" w:ascii="Calibri" w:hAnsi="Calibri" w:eastAsia="宋体" w:cs="Times New Roman"/>
          <w:sz w:val="24"/>
          <w:szCs w:val="24"/>
          <w:lang w:val="en-US" w:eastAsia="zh-CN"/>
        </w:rPr>
        <w:t>3</w:t>
      </w:r>
      <w:r>
        <w:rPr>
          <w:rFonts w:hint="default" w:ascii="Calibri" w:hAnsi="Calibri" w:eastAsia="宋体" w:cs="Times New Roman"/>
          <w:sz w:val="24"/>
          <w:szCs w:val="24"/>
          <w:lang w:val="en-US" w:eastAsia="zh-CN"/>
        </w:rPr>
        <w:t xml:space="preserve"> 订单表</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149"/>
        <w:gridCol w:w="1659"/>
        <w:gridCol w:w="1085"/>
        <w:gridCol w:w="3401"/>
      </w:tblGrid>
      <w:tr w14:paraId="39DAF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186E1A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字段名</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E0C4FC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数据类型</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B357F6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长度</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AAD1BD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描述</w:t>
            </w:r>
          </w:p>
        </w:tc>
      </w:tr>
      <w:tr w14:paraId="3FDE2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05D21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55D07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F0343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32</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DEF6DB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订单唯一 ID（UUID）</w:t>
            </w:r>
          </w:p>
        </w:tc>
      </w:tr>
      <w:tr w14:paraId="6BE2F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9713A7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user_id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333C97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BIGINT</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DCD13A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20AFF3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支持者 ID</w:t>
            </w:r>
          </w:p>
        </w:tc>
      </w:tr>
      <w:tr w14:paraId="5C7DE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739F2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project_id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765908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CAA17C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32</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DE16C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 ID</w:t>
            </w:r>
          </w:p>
        </w:tc>
      </w:tr>
      <w:tr w14:paraId="652B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8B9017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amount</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566CE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DECIMAL</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B940A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18,6</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1C50D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投资金额（ETH）</w:t>
            </w:r>
          </w:p>
        </w:tc>
      </w:tr>
      <w:tr w14:paraId="2B3E6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3A174C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pay_type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E3D29A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TINYINT</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63889C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0C28D7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支付方式（1 - 支付宝，2 - 微信，3 - 银行卡）</w:t>
            </w:r>
          </w:p>
        </w:tc>
      </w:tr>
      <w:tr w14:paraId="3CD5B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AA247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status</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123B43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TINYINT</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79A8E9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BC2FC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状态（0 - 待支付，1 - 已支付，2 - 已撤资，3 - 已退款）</w:t>
            </w:r>
          </w:p>
        </w:tc>
      </w:tr>
      <w:tr w14:paraId="5866C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23A7B4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pay_time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C4179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08A971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35007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支付时间</w:t>
            </w:r>
          </w:p>
        </w:tc>
      </w:tr>
      <w:tr w14:paraId="7C536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7AD7B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withdraw_time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80BD5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38F295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30FAC5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撤资时间</w:t>
            </w:r>
          </w:p>
        </w:tc>
      </w:tr>
      <w:tr w14:paraId="01ED6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80F2BF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refund_time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2A8CE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E08FFD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C09A87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退款时间</w:t>
            </w:r>
          </w:p>
        </w:tc>
      </w:tr>
      <w:tr w14:paraId="572E7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B21A21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certificate_url</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9BAB25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13D457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255</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B921A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电子凭证 URL</w:t>
            </w:r>
          </w:p>
        </w:tc>
      </w:tr>
      <w:tr w14:paraId="06B44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14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14935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create_time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574EB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085"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EFA44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01"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B7C4F2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创建时间</w:t>
            </w:r>
          </w:p>
        </w:tc>
      </w:tr>
    </w:tbl>
    <w:p w14:paraId="23C7958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资金使用申请表（cf_fund_apply）</w:t>
      </w:r>
      <w:r>
        <w:rPr>
          <w:rFonts w:hint="eastAsia" w:ascii="Calibri" w:hAnsi="Calibri" w:eastAsia="宋体" w:cs="Times New Roman"/>
          <w:sz w:val="24"/>
          <w:szCs w:val="24"/>
          <w:lang w:val="en-US" w:eastAsia="zh-CN"/>
        </w:rPr>
        <w:t>，存储项目资金使用申请信息，跟踪审核与拨款进度，规范资金用途管理，确保资金合规使用。</w:t>
      </w:r>
    </w:p>
    <w:p w14:paraId="253D025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表3.</w:t>
      </w:r>
      <w:r>
        <w:rPr>
          <w:rFonts w:hint="eastAsia" w:ascii="Calibri" w:hAnsi="Calibri" w:eastAsia="宋体" w:cs="Times New Roman"/>
          <w:sz w:val="24"/>
          <w:szCs w:val="24"/>
          <w:lang w:val="en-US" w:eastAsia="zh-CN"/>
        </w:rPr>
        <w:t>4</w:t>
      </w:r>
      <w:r>
        <w:rPr>
          <w:rFonts w:hint="default" w:ascii="Calibri" w:hAnsi="Calibri" w:eastAsia="宋体" w:cs="Times New Roman"/>
          <w:sz w:val="24"/>
          <w:szCs w:val="24"/>
          <w:lang w:val="en-US" w:eastAsia="zh-CN"/>
        </w:rPr>
        <w:t xml:space="preserve"> 资金使用申请表</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06"/>
        <w:gridCol w:w="1659"/>
        <w:gridCol w:w="1147"/>
        <w:gridCol w:w="3492"/>
      </w:tblGrid>
      <w:tr w14:paraId="3F37C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9B7192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字段名</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8D7AF2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数据类型</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20725C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长度</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0CCDA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描述</w:t>
            </w:r>
          </w:p>
        </w:tc>
      </w:tr>
      <w:tr w14:paraId="3FA62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5445D2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DFEDA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932D77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32</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690A8C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申请唯一 ID（UUID）</w:t>
            </w:r>
          </w:p>
        </w:tc>
      </w:tr>
      <w:tr w14:paraId="16C91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4AC33D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project_id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83A749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CD3D13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32</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C9F1AE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 ID</w:t>
            </w:r>
          </w:p>
        </w:tc>
      </w:tr>
      <w:tr w14:paraId="2CECF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DC664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user_id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8690A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BIGINT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7E32B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687009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发起人 ID</w:t>
            </w:r>
          </w:p>
        </w:tc>
      </w:tr>
      <w:tr w14:paraId="0F5D8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8CE046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amount</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DB3C7D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DECIMAL</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B3C4D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18,6</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05055F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申请金额（ETH）</w:t>
            </w:r>
          </w:p>
        </w:tc>
      </w:tr>
      <w:tr w14:paraId="7F98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71D23B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purpose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BFF1D0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2FF247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200</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4D10BC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资金用途</w:t>
            </w:r>
          </w:p>
        </w:tc>
      </w:tr>
      <w:tr w14:paraId="62AF3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61911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proof_urls</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FE4358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F6C820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1000</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46FC3E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证明文件 URL（逗号分隔）</w:t>
            </w:r>
          </w:p>
        </w:tc>
      </w:tr>
      <w:tr w14:paraId="0A2C8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EAE4A3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status</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C794D1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TINYINT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D26B68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4E9738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状态（0 - 待审核，1 - 已通过，2 - 已驳回）</w:t>
            </w:r>
          </w:p>
        </w:tc>
      </w:tr>
      <w:tr w14:paraId="3364A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1C40EA7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a</w:t>
            </w:r>
            <w:r>
              <w:rPr>
                <w:rFonts w:hint="default" w:ascii="Calibri" w:hAnsi="Calibri" w:eastAsia="宋体" w:cs="Times New Roman"/>
                <w:sz w:val="24"/>
                <w:szCs w:val="24"/>
                <w:lang w:val="en-US" w:eastAsia="zh-CN"/>
              </w:rPr>
              <w:t>udit_user_id</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0C266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BIGINT</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5485A5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DDFBA8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审核人员 ID</w:t>
            </w:r>
          </w:p>
        </w:tc>
      </w:tr>
      <w:tr w14:paraId="1C20E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B671FA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audit_time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F7D975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2E8EB2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7CFA51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审核时间</w:t>
            </w:r>
          </w:p>
        </w:tc>
      </w:tr>
      <w:tr w14:paraId="094EC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5E767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拨款_time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1BB8B3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8E8309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77A39D3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拨款时间</w:t>
            </w:r>
          </w:p>
        </w:tc>
      </w:tr>
      <w:tr w14:paraId="75C84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A5E802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reject_reason</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2C5FCB5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VARCHAR</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6B971CD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500</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4D405D6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驳回原因</w:t>
            </w:r>
          </w:p>
        </w:tc>
      </w:tr>
      <w:tr w14:paraId="5F183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06"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37C7CE4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create_time</w:t>
            </w:r>
          </w:p>
        </w:tc>
        <w:tc>
          <w:tcPr>
            <w:tcW w:w="1659"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2782FA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DATETIME</w:t>
            </w:r>
          </w:p>
        </w:tc>
        <w:tc>
          <w:tcPr>
            <w:tcW w:w="1147"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5CFB8AC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w:t>
            </w:r>
          </w:p>
        </w:tc>
        <w:tc>
          <w:tcPr>
            <w:tcW w:w="3492" w:type="dxa"/>
            <w:tcBorders>
              <w:top w:val="single" w:color="DEE0E3" w:sz="0" w:space="0"/>
              <w:left w:val="single" w:color="DEE0E3" w:sz="0" w:space="0"/>
              <w:bottom w:val="single" w:color="DEE0E3" w:sz="0" w:space="0"/>
              <w:right w:val="single" w:color="DEE0E3" w:sz="0" w:space="0"/>
            </w:tcBorders>
            <w:tcMar>
              <w:top w:w="60" w:type="dxa"/>
              <w:left w:w="120" w:type="dxa"/>
              <w:bottom w:w="30" w:type="dxa"/>
              <w:right w:w="120" w:type="dxa"/>
            </w:tcMar>
          </w:tcPr>
          <w:p w14:paraId="0BDA215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创建时间</w:t>
            </w:r>
          </w:p>
        </w:tc>
      </w:tr>
    </w:tbl>
    <w:p w14:paraId="1A10818D">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4 系统功能及使用说明</w:t>
      </w:r>
    </w:p>
    <w:p w14:paraId="45EA26F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平台提供完整的众筹全流程服务，用户通过MetaMask钱包连接平台并完善个人资料，项目发起人可创建项目并设置基本信息、筹款目标、回报方案，所有信息通过智能合约上链存证。投资者浏览项目时可通过筛选功能查找感兴趣方向，选择投资档位后通过钱包确认交易，获得NFT投资凭证作为权益证明。项目执行期间，发起人定期发布进展更新，重大资金使用需申请多签批准，投资者可监督进展并参与讨论。项目完成后，智能合约自动按预设规则发放回报，投资者可查询NFT状态获得相应权益。争议解决通过社区投票机制处理，争议方提交证据后由持有者投票决定，结果由合约自动执行。平台特色功能包括智能合约多签托管确保资金安全、NFT凭证支持二级市场流通、去中心化治理实现社区自治、跨链兼容降低参与成本、风险评估系统提供决策参考。使用注意事项强调钱包安全保管私钥助记词、交易前确认信息准确、投资需认识风险自负、遵守KYC合规要求、确保网络和Gas设置正确。平台通过简化操作流程、提供详细指引、响应式设计适配多设备，大幅降低区块链使用门槛，使普通用户也能轻松参与去中心化众筹。</w:t>
      </w:r>
    </w:p>
    <w:p w14:paraId="09092B0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登录平台主页</w:t>
      </w:r>
    </w:p>
    <w:p w14:paraId="4CE8383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用户首先需在浏览器中输入平台网址，访问众筹平台主页。在页面右上角找到并点击“登录”按钮，在弹出的登录对话框中，准确输入已注册的用户名/手机号及密码。点击“登录”后，系统将进行验证，成功则自动跳转至个人中心页面。在此页面，您可以总览您发起或支持的项目动态、账户余额及系统通知。</w:t>
      </w:r>
    </w:p>
    <w:p w14:paraId="382D7AA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1840" behindDoc="0" locked="0" layoutInCell="1" allowOverlap="1">
            <wp:simplePos x="0" y="0"/>
            <wp:positionH relativeFrom="column">
              <wp:posOffset>-31750</wp:posOffset>
            </wp:positionH>
            <wp:positionV relativeFrom="paragraph">
              <wp:posOffset>86360</wp:posOffset>
            </wp:positionV>
            <wp:extent cx="5271135" cy="2194560"/>
            <wp:effectExtent l="0" t="0" r="5715" b="15240"/>
            <wp:wrapTopAndBottom/>
            <wp:docPr id="24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96"/>
                    <pic:cNvPicPr>
                      <a:picLocks noChangeAspect="1"/>
                    </pic:cNvPicPr>
                  </pic:nvPicPr>
                  <pic:blipFill>
                    <a:blip r:embed="rId349"/>
                    <a:stretch>
                      <a:fillRect/>
                    </a:stretch>
                  </pic:blipFill>
                  <pic:spPr>
                    <a:xfrm>
                      <a:off x="0" y="0"/>
                      <a:ext cx="5271135" cy="2194560"/>
                    </a:xfrm>
                    <a:prstGeom prst="rect">
                      <a:avLst/>
                    </a:prstGeom>
                    <a:noFill/>
                    <a:ln>
                      <a:noFill/>
                    </a:ln>
                  </pic:spPr>
                </pic:pic>
              </a:graphicData>
            </a:graphic>
          </wp:anchor>
        </w:drawing>
      </w:r>
      <w:r>
        <w:rPr>
          <w:rFonts w:hint="eastAsia" w:ascii="宋体" w:hAnsi="宋体" w:eastAsia="宋体" w:cs="宋体"/>
          <w:sz w:val="21"/>
          <w:szCs w:val="21"/>
          <w:lang w:val="en-US" w:eastAsia="zh-CN"/>
        </w:rPr>
        <w:t>图4.1 登录主页</w:t>
      </w:r>
    </w:p>
    <w:p w14:paraId="677C84A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登录后的主页。</w:t>
      </w:r>
    </w:p>
    <w:p w14:paraId="35020C0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2864" behindDoc="0" locked="0" layoutInCell="1" allowOverlap="1">
            <wp:simplePos x="0" y="0"/>
            <wp:positionH relativeFrom="column">
              <wp:posOffset>40640</wp:posOffset>
            </wp:positionH>
            <wp:positionV relativeFrom="paragraph">
              <wp:posOffset>239395</wp:posOffset>
            </wp:positionV>
            <wp:extent cx="5264150" cy="1911985"/>
            <wp:effectExtent l="0" t="0" r="12700" b="12065"/>
            <wp:wrapTopAndBottom/>
            <wp:docPr id="24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97"/>
                    <pic:cNvPicPr>
                      <a:picLocks noChangeAspect="1"/>
                    </pic:cNvPicPr>
                  </pic:nvPicPr>
                  <pic:blipFill>
                    <a:blip r:embed="rId343"/>
                    <a:stretch>
                      <a:fillRect/>
                    </a:stretch>
                  </pic:blipFill>
                  <pic:spPr>
                    <a:xfrm>
                      <a:off x="0" y="0"/>
                      <a:ext cx="5264150" cy="1911985"/>
                    </a:xfrm>
                    <a:prstGeom prst="rect">
                      <a:avLst/>
                    </a:prstGeom>
                    <a:noFill/>
                    <a:ln>
                      <a:noFill/>
                    </a:ln>
                  </pic:spPr>
                </pic:pic>
              </a:graphicData>
            </a:graphic>
          </wp:anchor>
        </w:drawing>
      </w:r>
      <w:r>
        <w:rPr>
          <w:rFonts w:hint="eastAsia" w:ascii="宋体" w:hAnsi="宋体" w:eastAsia="宋体" w:cs="宋体"/>
          <w:sz w:val="21"/>
          <w:szCs w:val="21"/>
          <w:lang w:val="en-US" w:eastAsia="zh-CN"/>
        </w:rPr>
        <w:t>图4.2 主页详情</w:t>
      </w:r>
    </w:p>
    <w:p w14:paraId="7018150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创建众筹项目</w:t>
      </w:r>
    </w:p>
    <w:p w14:paraId="094FFAF8">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发起众筹</w:t>
      </w:r>
    </w:p>
    <w:p w14:paraId="1AC7EEE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登录后，用户个人中心页面，找到并点击“发起项目”或“创建众筹”按钮。您需要进入项目创建表单，依次填写项目基本信息，包括：吸引人的项目标题、清晰的项目分类、明确的筹款目标金额、合理的筹款截止日期。核心步骤是撰写详细的项目描述，说明创意来源、执行计划及资金用途，并上传高质量的封面图及详情图片或视频。所有信息确认无误后，提交平台进行审核，审核通过后项目即正式上线。</w:t>
      </w:r>
    </w:p>
    <w:p w14:paraId="24B384F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C80EA4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4912" behindDoc="0" locked="0" layoutInCell="1" allowOverlap="1">
            <wp:simplePos x="0" y="0"/>
            <wp:positionH relativeFrom="column">
              <wp:posOffset>-41275</wp:posOffset>
            </wp:positionH>
            <wp:positionV relativeFrom="paragraph">
              <wp:posOffset>126365</wp:posOffset>
            </wp:positionV>
            <wp:extent cx="5270500" cy="1483995"/>
            <wp:effectExtent l="0" t="0" r="6350" b="1905"/>
            <wp:wrapTopAndBottom/>
            <wp:docPr id="24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9"/>
                    <pic:cNvPicPr>
                      <a:picLocks noChangeAspect="1"/>
                    </pic:cNvPicPr>
                  </pic:nvPicPr>
                  <pic:blipFill>
                    <a:blip r:embed="rId350"/>
                    <a:stretch>
                      <a:fillRect/>
                    </a:stretch>
                  </pic:blipFill>
                  <pic:spPr>
                    <a:xfrm>
                      <a:off x="0" y="0"/>
                      <a:ext cx="5270500" cy="1483995"/>
                    </a:xfrm>
                    <a:prstGeom prst="rect">
                      <a:avLst/>
                    </a:prstGeom>
                    <a:noFill/>
                    <a:ln>
                      <a:noFill/>
                    </a:ln>
                  </pic:spPr>
                </pic:pic>
              </a:graphicData>
            </a:graphic>
          </wp:anchor>
        </w:drawing>
      </w:r>
      <w:r>
        <w:rPr>
          <w:rFonts w:hint="eastAsia" w:ascii="宋体" w:hAnsi="宋体" w:eastAsia="宋体" w:cs="宋体"/>
          <w:sz w:val="21"/>
          <w:szCs w:val="21"/>
          <w:lang w:val="en-US" w:eastAsia="zh-CN"/>
        </w:rPr>
        <w:t>图4.3 项目信息</w:t>
      </w:r>
    </w:p>
    <w:p w14:paraId="39DEEAD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查看众筹项目</w:t>
      </w:r>
    </w:p>
    <w:p w14:paraId="350D10A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上线后，您可以在“我的项目”或“项目管理”栏目中查看所有您发起的项目。列表会清晰展示每个项目的关键状态，如：当前已筹集金额、达成进度百分比、支持者总人数、剩余筹款时间等。点击任一项目可进入其管理后台，查看更详尽的数据分析、支持者列表及互动留言，随时掌握众筹项目信息</w:t>
      </w:r>
    </w:p>
    <w:p w14:paraId="6D83C5B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3888" behindDoc="0" locked="0" layoutInCell="1" allowOverlap="1">
            <wp:simplePos x="0" y="0"/>
            <wp:positionH relativeFrom="column">
              <wp:posOffset>55880</wp:posOffset>
            </wp:positionH>
            <wp:positionV relativeFrom="paragraph">
              <wp:posOffset>172085</wp:posOffset>
            </wp:positionV>
            <wp:extent cx="5100955" cy="1779905"/>
            <wp:effectExtent l="0" t="0" r="4445" b="10795"/>
            <wp:wrapTopAndBottom/>
            <wp:docPr id="24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98"/>
                    <pic:cNvPicPr>
                      <a:picLocks noChangeAspect="1"/>
                    </pic:cNvPicPr>
                  </pic:nvPicPr>
                  <pic:blipFill>
                    <a:blip r:embed="rId351"/>
                    <a:stretch>
                      <a:fillRect/>
                    </a:stretch>
                  </pic:blipFill>
                  <pic:spPr>
                    <a:xfrm>
                      <a:off x="0" y="0"/>
                      <a:ext cx="5100955" cy="1779905"/>
                    </a:xfrm>
                    <a:prstGeom prst="rect">
                      <a:avLst/>
                    </a:prstGeom>
                    <a:noFill/>
                    <a:ln>
                      <a:noFill/>
                    </a:ln>
                  </pic:spPr>
                </pic:pic>
              </a:graphicData>
            </a:graphic>
          </wp:anchor>
        </w:drawing>
      </w:r>
      <w:r>
        <w:rPr>
          <w:rFonts w:hint="eastAsia" w:ascii="宋体" w:hAnsi="宋体" w:eastAsia="宋体" w:cs="宋体"/>
          <w:sz w:val="21"/>
          <w:szCs w:val="21"/>
          <w:lang w:val="en-US" w:eastAsia="zh-CN"/>
        </w:rPr>
        <w:t>图4.4 发起众筹</w:t>
      </w:r>
    </w:p>
    <w:p w14:paraId="5FE4905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投资操作</w:t>
      </w:r>
    </w:p>
    <w:p w14:paraId="2F2592E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作为支持者，您可以在平台首页浏览或通过分类、搜索找到感兴趣的众筹项目。点击进入项目详情页，仔细阅读项目介绍与回报设置后，点击“支持此项目”或“立即投资”按钮。在弹出的页面中，选择您想要支持的资金档次及对应的回报（如有），然后选择支付方式（如支付宝、微信支付或银行卡）。确认支付信息无误后，完成付款操作，系统将生成电子凭证。</w:t>
      </w:r>
    </w:p>
    <w:p w14:paraId="7A8B59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7002F7CA">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7C85A2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D341F3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4585D0A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318FD7D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5936" behindDoc="0" locked="0" layoutInCell="1" allowOverlap="1">
            <wp:simplePos x="0" y="0"/>
            <wp:positionH relativeFrom="column">
              <wp:posOffset>38735</wp:posOffset>
            </wp:positionH>
            <wp:positionV relativeFrom="paragraph">
              <wp:posOffset>113665</wp:posOffset>
            </wp:positionV>
            <wp:extent cx="5251450" cy="2174875"/>
            <wp:effectExtent l="0" t="0" r="6350" b="15875"/>
            <wp:wrapTopAndBottom/>
            <wp:docPr id="24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00"/>
                    <pic:cNvPicPr>
                      <a:picLocks noChangeAspect="1"/>
                    </pic:cNvPicPr>
                  </pic:nvPicPr>
                  <pic:blipFill>
                    <a:blip r:embed="rId259"/>
                    <a:stretch>
                      <a:fillRect/>
                    </a:stretch>
                  </pic:blipFill>
                  <pic:spPr>
                    <a:xfrm>
                      <a:off x="0" y="0"/>
                      <a:ext cx="5251450" cy="2174875"/>
                    </a:xfrm>
                    <a:prstGeom prst="rect">
                      <a:avLst/>
                    </a:prstGeom>
                    <a:noFill/>
                    <a:ln>
                      <a:noFill/>
                    </a:ln>
                  </pic:spPr>
                </pic:pic>
              </a:graphicData>
            </a:graphic>
          </wp:anchor>
        </w:drawing>
      </w:r>
      <w:r>
        <w:rPr>
          <w:rFonts w:hint="eastAsia" w:ascii="宋体" w:hAnsi="宋体" w:eastAsia="宋体" w:cs="宋体"/>
          <w:sz w:val="21"/>
          <w:szCs w:val="21"/>
          <w:lang w:val="en-US" w:eastAsia="zh-CN"/>
        </w:rPr>
        <w:t>图4.5 配置参数</w:t>
      </w:r>
    </w:p>
    <w:p w14:paraId="52A194B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撤资操作</w:t>
      </w:r>
    </w:p>
    <w:p w14:paraId="718630D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在项目筹款周期内，若您需要撤销投资，请登录账户进入“我的支持”或“订单中心”。找到您要撤资的对应项目记录，点击“查看详情”或“撤资”按钮。系统会引导您确认撤资操作，并提示相关规则（如是否收取手续费）。请注意，一旦项目筹款成功或已过筹款期，通常将无法撤资。操作成功后，款项将按支付账户退回。</w:t>
      </w:r>
    </w:p>
    <w:p w14:paraId="53AD0DB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6960" behindDoc="0" locked="0" layoutInCell="1" allowOverlap="1">
            <wp:simplePos x="0" y="0"/>
            <wp:positionH relativeFrom="column">
              <wp:posOffset>66675</wp:posOffset>
            </wp:positionH>
            <wp:positionV relativeFrom="paragraph">
              <wp:posOffset>71120</wp:posOffset>
            </wp:positionV>
            <wp:extent cx="5253355" cy="2225675"/>
            <wp:effectExtent l="0" t="0" r="4445" b="3175"/>
            <wp:wrapTopAndBottom/>
            <wp:docPr id="24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01"/>
                    <pic:cNvPicPr>
                      <a:picLocks noChangeAspect="1"/>
                    </pic:cNvPicPr>
                  </pic:nvPicPr>
                  <pic:blipFill>
                    <a:blip r:embed="rId260"/>
                    <a:stretch>
                      <a:fillRect/>
                    </a:stretch>
                  </pic:blipFill>
                  <pic:spPr>
                    <a:xfrm>
                      <a:off x="0" y="0"/>
                      <a:ext cx="5253355" cy="2225675"/>
                    </a:xfrm>
                    <a:prstGeom prst="rect">
                      <a:avLst/>
                    </a:prstGeom>
                    <a:noFill/>
                    <a:ln>
                      <a:noFill/>
                    </a:ln>
                  </pic:spPr>
                </pic:pic>
              </a:graphicData>
            </a:graphic>
          </wp:anchor>
        </w:drawing>
      </w:r>
      <w:r>
        <w:rPr>
          <w:rFonts w:hint="eastAsia" w:ascii="宋体" w:hAnsi="宋体" w:eastAsia="宋体" w:cs="宋体"/>
          <w:sz w:val="21"/>
          <w:szCs w:val="21"/>
          <w:lang w:val="en-US" w:eastAsia="zh-CN"/>
        </w:rPr>
        <w:t>图4.6 完成众筹</w:t>
      </w:r>
    </w:p>
    <w:p w14:paraId="4C3EC60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众筹完成</w:t>
      </w:r>
    </w:p>
    <w:p w14:paraId="617C514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当项目在预设的筹款期限内达到或超过了设定的目标金额，即标志着众筹成功。系统会自动将项目状态更新为“众筹成功”，并向项目发起人和所有支持该项目的用户发送通知（站内信、短信或邮件）。发起人随后应开始准备履行项目承诺，而支持者则需关注发起人后续的项目进展更新。</w:t>
      </w:r>
    </w:p>
    <w:p w14:paraId="57C348D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7D4ED5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p>
    <w:p w14:paraId="1586DD52">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textAlignment w:val="auto"/>
        <w:rPr>
          <w:rFonts w:hint="default" w:ascii="Calibri" w:hAnsi="Calibri" w:eastAsia="宋体" w:cs="Times New Roman"/>
          <w:sz w:val="24"/>
          <w:szCs w:val="24"/>
          <w:lang w:val="en-US" w:eastAsia="zh-CN"/>
        </w:rPr>
      </w:pPr>
      <w:r>
        <w:rPr>
          <w:rFonts w:hint="eastAsia" w:ascii="宋体" w:hAnsi="宋体" w:eastAsia="宋体" w:cs="宋体"/>
          <w:sz w:val="21"/>
          <w:szCs w:val="21"/>
          <w:lang w:val="en-US" w:eastAsia="zh-CN"/>
        </w:rPr>
        <w:drawing>
          <wp:anchor distT="0" distB="0" distL="114300" distR="114300" simplePos="0" relativeHeight="251817984" behindDoc="0" locked="0" layoutInCell="1" allowOverlap="1">
            <wp:simplePos x="0" y="0"/>
            <wp:positionH relativeFrom="column">
              <wp:posOffset>35560</wp:posOffset>
            </wp:positionH>
            <wp:positionV relativeFrom="paragraph">
              <wp:posOffset>278130</wp:posOffset>
            </wp:positionV>
            <wp:extent cx="5267325" cy="2289175"/>
            <wp:effectExtent l="0" t="0" r="9525" b="15875"/>
            <wp:wrapTopAndBottom/>
            <wp:docPr id="24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02"/>
                    <pic:cNvPicPr>
                      <a:picLocks noChangeAspect="1"/>
                    </pic:cNvPicPr>
                  </pic:nvPicPr>
                  <pic:blipFill>
                    <a:blip r:embed="rId261"/>
                    <a:stretch>
                      <a:fillRect/>
                    </a:stretch>
                  </pic:blipFill>
                  <pic:spPr>
                    <a:xfrm>
                      <a:off x="0" y="0"/>
                      <a:ext cx="5267325" cy="2289175"/>
                    </a:xfrm>
                    <a:prstGeom prst="rect">
                      <a:avLst/>
                    </a:prstGeom>
                    <a:noFill/>
                    <a:ln>
                      <a:noFill/>
                    </a:ln>
                  </pic:spPr>
                </pic:pic>
              </a:graphicData>
            </a:graphic>
          </wp:anchor>
        </w:drawing>
      </w:r>
    </w:p>
    <w:p w14:paraId="415BFEC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图4.7众筹项目详情</w:t>
      </w:r>
    </w:p>
    <w:p w14:paraId="4F8AC21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众筹失败</w:t>
      </w:r>
    </w:p>
    <w:p w14:paraId="22A994D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若项目在设定的筹款期限结束时，仍未达到预定的目标金额，则本次众筹失败。平台系统会自动将项目状态更改为“未成功”，并启动自动退款流程。所有已支持该项目的款项（如有）将全额通过原支付渠道无息退还至支持者的账户中，整个过程无需支持者进行任何操作。</w:t>
      </w:r>
    </w:p>
    <w:p w14:paraId="519FFBF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19008" behindDoc="0" locked="0" layoutInCell="1" allowOverlap="1">
            <wp:simplePos x="0" y="0"/>
            <wp:positionH relativeFrom="column">
              <wp:posOffset>34925</wp:posOffset>
            </wp:positionH>
            <wp:positionV relativeFrom="paragraph">
              <wp:posOffset>185420</wp:posOffset>
            </wp:positionV>
            <wp:extent cx="5271770" cy="1961515"/>
            <wp:effectExtent l="0" t="0" r="5080" b="635"/>
            <wp:wrapTopAndBottom/>
            <wp:docPr id="24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03"/>
                    <pic:cNvPicPr>
                      <a:picLocks noChangeAspect="1"/>
                    </pic:cNvPicPr>
                  </pic:nvPicPr>
                  <pic:blipFill>
                    <a:blip r:embed="rId352"/>
                    <a:stretch>
                      <a:fillRect/>
                    </a:stretch>
                  </pic:blipFill>
                  <pic:spPr>
                    <a:xfrm>
                      <a:off x="0" y="0"/>
                      <a:ext cx="5271770" cy="1961515"/>
                    </a:xfrm>
                    <a:prstGeom prst="rect">
                      <a:avLst/>
                    </a:prstGeom>
                    <a:noFill/>
                    <a:ln>
                      <a:noFill/>
                    </a:ln>
                  </pic:spPr>
                </pic:pic>
              </a:graphicData>
            </a:graphic>
          </wp:anchor>
        </w:drawing>
      </w:r>
      <w:r>
        <w:rPr>
          <w:rFonts w:hint="eastAsia" w:ascii="宋体" w:hAnsi="宋体" w:eastAsia="宋体" w:cs="宋体"/>
          <w:sz w:val="21"/>
          <w:szCs w:val="21"/>
          <w:lang w:val="en-US" w:eastAsia="zh-CN"/>
        </w:rPr>
        <w:t>图4.7 众筹失败</w:t>
      </w:r>
    </w:p>
    <w:p w14:paraId="38C79F5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申请众筹资金使用</w:t>
      </w:r>
    </w:p>
    <w:p w14:paraId="53AAAF8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项目众筹成功后，发起人如需从筹得款项中支取资金用于项目执行，需在平台提交“资金使用申请”。申请中必须明确说明本次申请资金的数额、具体用途规划（如物料采购、生产制作、物流费用等），并按要求上传相关的证明文件，如合同、报价单或预算表，以确保资金使用的透明与合理。</w:t>
      </w:r>
    </w:p>
    <w:p w14:paraId="48FEAC34">
      <w:pPr>
        <w:keepNext w:val="0"/>
        <w:keepLines w:val="0"/>
        <w:pageBreakBefore w:val="0"/>
        <w:widowControl w:val="0"/>
        <w:kinsoku/>
        <w:wordWrap/>
        <w:overflowPunct/>
        <w:topLinePunct w:val="0"/>
        <w:autoSpaceDE/>
        <w:autoSpaceDN/>
        <w:bidi w:val="0"/>
        <w:adjustRightInd/>
        <w:snapToGrid/>
        <w:spacing w:line="440" w:lineRule="exact"/>
        <w:ind w:left="0" w:leftChars="0" w:firstLine="420" w:firstLineChars="20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22080" behindDoc="0" locked="0" layoutInCell="1" allowOverlap="1">
            <wp:simplePos x="0" y="0"/>
            <wp:positionH relativeFrom="column">
              <wp:posOffset>2540</wp:posOffset>
            </wp:positionH>
            <wp:positionV relativeFrom="paragraph">
              <wp:posOffset>46355</wp:posOffset>
            </wp:positionV>
            <wp:extent cx="5273040" cy="2082165"/>
            <wp:effectExtent l="0" t="0" r="3810" b="13335"/>
            <wp:wrapTopAndBottom/>
            <wp:docPr id="24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04"/>
                    <pic:cNvPicPr>
                      <a:picLocks noChangeAspect="1"/>
                    </pic:cNvPicPr>
                  </pic:nvPicPr>
                  <pic:blipFill>
                    <a:blip r:embed="rId263"/>
                    <a:stretch>
                      <a:fillRect/>
                    </a:stretch>
                  </pic:blipFill>
                  <pic:spPr>
                    <a:xfrm>
                      <a:off x="0" y="0"/>
                      <a:ext cx="5273040" cy="2082165"/>
                    </a:xfrm>
                    <a:prstGeom prst="rect">
                      <a:avLst/>
                    </a:prstGeom>
                    <a:noFill/>
                    <a:ln>
                      <a:noFill/>
                    </a:ln>
                  </pic:spPr>
                </pic:pic>
              </a:graphicData>
            </a:graphic>
          </wp:anchor>
        </w:drawing>
      </w:r>
      <w:r>
        <w:rPr>
          <w:rFonts w:hint="eastAsia" w:ascii="宋体" w:hAnsi="宋体" w:eastAsia="宋体" w:cs="宋体"/>
          <w:sz w:val="21"/>
          <w:szCs w:val="21"/>
          <w:lang w:val="en-US" w:eastAsia="zh-CN"/>
        </w:rPr>
        <w:t>图4.8申请资金</w:t>
      </w:r>
    </w:p>
    <w:p w14:paraId="6228993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同意使用众筹资金</w:t>
      </w:r>
    </w:p>
    <w:p w14:paraId="3FF15C3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平台在收到发起人提交的资金使用申请后，会进行合规性审核。审核人员将核对申请内容与项目承诺的一致性及凭证的真实性。审核通过后，平台会将申请款项划拨至发起人预先绑定的银行账户中。同时，该资金使用情况可能会对项目支持者进行公示，发起人负有按申请用途使用资金并接受监督的责任。</w:t>
      </w:r>
    </w:p>
    <w:p w14:paraId="611CF530">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Calibri" w:hAnsi="Calibri" w:eastAsia="宋体" w:cs="Times New Roman"/>
          <w:b/>
          <w:bCs/>
          <w:sz w:val="28"/>
          <w:szCs w:val="28"/>
        </w:rPr>
      </w:pPr>
    </w:p>
    <w:p w14:paraId="7533B7B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b/>
          <w:bCs/>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823104" behindDoc="0" locked="0" layoutInCell="1" allowOverlap="1">
            <wp:simplePos x="0" y="0"/>
            <wp:positionH relativeFrom="column">
              <wp:posOffset>16510</wp:posOffset>
            </wp:positionH>
            <wp:positionV relativeFrom="paragraph">
              <wp:posOffset>151130</wp:posOffset>
            </wp:positionV>
            <wp:extent cx="5264150" cy="2321560"/>
            <wp:effectExtent l="0" t="0" r="12700" b="2540"/>
            <wp:wrapTopAndBottom/>
            <wp:docPr id="25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05"/>
                    <pic:cNvPicPr>
                      <a:picLocks noChangeAspect="1"/>
                    </pic:cNvPicPr>
                  </pic:nvPicPr>
                  <pic:blipFill>
                    <a:blip r:embed="rId353"/>
                    <a:stretch>
                      <a:fillRect/>
                    </a:stretch>
                  </pic:blipFill>
                  <pic:spPr>
                    <a:xfrm>
                      <a:off x="0" y="0"/>
                      <a:ext cx="5264150" cy="2321560"/>
                    </a:xfrm>
                    <a:prstGeom prst="rect">
                      <a:avLst/>
                    </a:prstGeom>
                    <a:noFill/>
                    <a:ln>
                      <a:noFill/>
                    </a:ln>
                  </pic:spPr>
                </pic:pic>
              </a:graphicData>
            </a:graphic>
          </wp:anchor>
        </w:drawing>
      </w:r>
      <w:r>
        <w:rPr>
          <w:rFonts w:hint="eastAsia" w:ascii="宋体" w:hAnsi="宋体" w:eastAsia="宋体" w:cs="宋体"/>
          <w:sz w:val="21"/>
          <w:szCs w:val="21"/>
          <w:lang w:val="en-US" w:eastAsia="zh-CN"/>
        </w:rPr>
        <w:t>图4.9 同意申请</w:t>
      </w:r>
    </w:p>
    <w:p w14:paraId="6366D192">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Calibri" w:hAnsi="Calibri" w:eastAsia="宋体" w:cs="Times New Roman"/>
          <w:b/>
          <w:bCs/>
          <w:sz w:val="28"/>
          <w:szCs w:val="28"/>
          <w:lang w:val="en-US" w:eastAsia="zh-CN"/>
        </w:rPr>
      </w:pPr>
      <w:r>
        <w:rPr>
          <w:rFonts w:hint="eastAsia" w:ascii="Calibri" w:hAnsi="Calibri" w:eastAsia="宋体" w:cs="Times New Roman"/>
          <w:b/>
          <w:bCs/>
          <w:sz w:val="28"/>
          <w:szCs w:val="28"/>
          <w:lang w:val="en-US" w:eastAsia="zh-CN"/>
        </w:rPr>
        <w:t>5 系统测试</w:t>
      </w:r>
    </w:p>
    <w:p w14:paraId="315BE860">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测试工作采用分层策略全面保障系统质量。智能合约测试包括单元测试覆盖所有函数正常异常情况，集成测试验证合约间交互和复杂业务流程，安全测试通过静态分析、动态模糊测试和形式化验证确保无漏洞，Gas优化测试对比不同实现的效率成本。前端测试涵盖组件单元测试、集成测试验证交互逻辑、端到端测试模拟完整用户流程、性能测试优化加载速度和内存使用。后端测试重点验证API功能、数据库一致性和外部服务集成。系统整体测试通过压力测试模拟高并发场景评估极限性能，安全渗透测试发现潜在漏洞，可用性测试优化用户体验。测试用例设计详尽，如项目合约测试验证创建、投资、截止等场景，资金托管测试确保多签机制安全。测试环境搭建完整开发测试生产流水线，自动化测试集成CI/CD流程，监控系统实时追踪运行指标。安全审计由专业公司执行并出具报告，所有漏洞修复后需回归验证。性能基准测试确定系统容量规划，灾难恢复测试确保业务连续性。通过全面严格的测试体系，确保平台在上线前达到企业级质量标准，为用户提供安全可靠的服务。</w:t>
      </w:r>
    </w:p>
    <w:p w14:paraId="6E49C21A">
      <w:pPr>
        <w:spacing w:line="440" w:lineRule="exact"/>
        <w:rPr>
          <w:rFonts w:hint="eastAsia" w:ascii="Calibri" w:hAnsi="Calibri" w:eastAsia="宋体" w:cs="Times New Roman"/>
          <w:b/>
          <w:bCs/>
          <w:sz w:val="28"/>
          <w:szCs w:val="28"/>
        </w:rPr>
      </w:pPr>
      <w:r>
        <w:rPr>
          <w:rFonts w:hint="eastAsia" w:ascii="Calibri" w:hAnsi="Calibri" w:eastAsia="宋体" w:cs="Times New Roman"/>
          <w:b/>
          <w:bCs/>
          <w:sz w:val="28"/>
          <w:szCs w:val="28"/>
        </w:rPr>
        <w:t>6 总结</w:t>
      </w:r>
    </w:p>
    <w:p w14:paraId="3B76E0E9">
      <w:pPr>
        <w:spacing w:line="440" w:lineRule="exact"/>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本项目成功构建了一个基于区块链技术的去中心化众筹平台，通过智能合约实现全流程自动化执行，有效解决了传统众筹行业的信息不透明、资金管理混乱等核心痛点。平台采用先进的技术架构，Vue3前端提供优秀用户体验，Solidity智能合约确保业务逻辑安全可靠，多签托管机制保障资金安全，NFT投资凭证创新权益表现形式。系统设计充分考虑扩展性和兼容性，支持多链部署降低用户成本，模块化架构便于功能迭代。平台通过简化操作流程降低使用门槛，使区块链技术能够真正服务大众众筹需求。项目实施过程中，团队掌握了区块链应用开发的全套技能，积累了智能合约安全审计、去中心化系统设计、Web3应用开发等宝贵经验。平台不仅具有技术创新价值，更为众筹行业提供了可信基础设施，有望改变行业信任模式，推动更加公平高效的资源配置。未来可探索与DeFi协议集成实现流动性挖矿，引入预言机提供链外数据，扩展至更多资产类别，通过DAO治理实现完全社区自治，持续推动去中心化众筹生态发展。</w:t>
      </w:r>
    </w:p>
    <w:p w14:paraId="6135B87A">
      <w:pPr>
        <w:sectPr>
          <w:headerReference r:id="rId31" w:type="default"/>
          <w:footerReference r:id="rId3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0A29280">
      <w:pPr>
        <w:pStyle w:val="3"/>
        <w:bidi w:val="0"/>
        <w:rPr>
          <w:rFonts w:hint="eastAsia"/>
        </w:rPr>
      </w:pPr>
      <w:bookmarkStart w:id="806" w:name="一班1组"/>
      <w:bookmarkEnd w:id="806"/>
      <w:bookmarkStart w:id="807" w:name="_Toc6899"/>
      <w:bookmarkStart w:id="808" w:name="_Toc6208"/>
      <w:r>
        <w:rPr>
          <w:rFonts w:hint="eastAsia"/>
          <w:lang w:val="en-US" w:eastAsia="zh-CN"/>
        </w:rPr>
        <w:t>9.新能源汽车销量分析的设计与实现</w:t>
      </w:r>
      <w:bookmarkEnd w:id="807"/>
      <w:bookmarkEnd w:id="808"/>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2A002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0E2ECA6">
            <w:pPr>
              <w:jc w:val="left"/>
              <w:outlineLvl w:val="0"/>
              <w:rPr>
                <w:rFonts w:hint="eastAsia" w:ascii="Calibri" w:hAnsi="Calibri" w:eastAsia="黑体" w:cs="Times New Roman"/>
                <w:sz w:val="24"/>
                <w:lang w:val="en-US" w:eastAsia="zh-CN"/>
              </w:rPr>
            </w:pPr>
            <w:bookmarkStart w:id="809" w:name="_Toc9220"/>
            <w:bookmarkStart w:id="810" w:name="_Toc22458"/>
            <w:r>
              <w:rPr>
                <w:rFonts w:hint="eastAsia" w:ascii="Calibri" w:hAnsi="Calibri" w:eastAsia="黑体" w:cs="Times New Roman"/>
                <w:sz w:val="24"/>
              </w:rPr>
              <w:t>项目主题：</w:t>
            </w:r>
            <w:r>
              <w:rPr>
                <w:rFonts w:hint="eastAsia" w:ascii="Calibri" w:hAnsi="Calibri" w:eastAsia="黑体" w:cs="Times New Roman"/>
                <w:sz w:val="24"/>
                <w:lang w:val="en-US" w:eastAsia="zh-CN"/>
              </w:rPr>
              <w:t>新能源汽车销量分析的设计与实现</w:t>
            </w:r>
            <w:bookmarkEnd w:id="809"/>
            <w:bookmarkEnd w:id="810"/>
            <w:bookmarkStart w:id="811" w:name="一班2组"/>
            <w:bookmarkEnd w:id="811"/>
          </w:p>
          <w:p w14:paraId="3DB7FE80">
            <w:pPr>
              <w:jc w:val="left"/>
              <w:outlineLvl w:val="0"/>
              <w:rPr>
                <w:rFonts w:hint="eastAsia" w:ascii="Calibri" w:hAnsi="Calibri" w:eastAsia="黑体" w:cs="Times New Roman"/>
                <w:szCs w:val="21"/>
                <w:lang w:val="en-US" w:eastAsia="zh-CN"/>
              </w:rPr>
            </w:pPr>
          </w:p>
        </w:tc>
      </w:tr>
      <w:tr w14:paraId="51A3DD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416394C">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数据与科学本科1班</w:t>
            </w:r>
          </w:p>
        </w:tc>
      </w:tr>
      <w:tr w14:paraId="65DC9F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82DB4D3">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学生姓名：颜培旭、许志尧、丁越、孙子康、张豫西     指导教师：</w:t>
            </w:r>
            <w:r>
              <w:rPr>
                <w:rFonts w:hint="eastAsia" w:ascii="Calibri" w:hAnsi="Calibri" w:eastAsia="黑体" w:cs="Times New Roman"/>
                <w:sz w:val="24"/>
                <w:lang w:val="en-US" w:eastAsia="zh-CN"/>
              </w:rPr>
              <w:t>马梵毓</w:t>
            </w:r>
          </w:p>
        </w:tc>
      </w:tr>
    </w:tbl>
    <w:p w14:paraId="260F8B1F">
      <w:pPr>
        <w:keepNext w:val="0"/>
        <w:keepLines w:val="0"/>
        <w:pageBreakBefore w:val="0"/>
        <w:kinsoku/>
        <w:wordWrap/>
        <w:overflowPunct/>
        <w:topLinePunct w:val="0"/>
        <w:autoSpaceDE/>
        <w:autoSpaceDN/>
        <w:bidi w:val="0"/>
        <w:adjustRightInd/>
        <w:spacing w:beforeAutospacing="0" w:afterAutospacing="0" w:line="440" w:lineRule="exact"/>
        <w:textAlignment w:val="auto"/>
        <w:outlineLvl w:val="9"/>
        <w:rPr>
          <w:rFonts w:hint="default" w:ascii="Times New Roman" w:hAnsi="Times New Roman" w:cs="Times New Roman"/>
          <w:b/>
          <w:bCs/>
          <w:sz w:val="28"/>
          <w:szCs w:val="28"/>
          <w:lang w:val="en-US" w:eastAsia="zh-CN"/>
        </w:rPr>
      </w:pPr>
      <w:bookmarkStart w:id="812" w:name="_Toc10378"/>
      <w:bookmarkStart w:id="813" w:name="_Toc7668"/>
      <w:r>
        <w:rPr>
          <w:rFonts w:hint="default" w:ascii="Times New Roman" w:hAnsi="Times New Roman" w:cs="Times New Roman"/>
          <w:b/>
          <w:bCs/>
          <w:sz w:val="28"/>
          <w:szCs w:val="28"/>
          <w:lang w:val="en-US" w:eastAsia="zh-CN"/>
        </w:rPr>
        <w:t>1项目概述</w:t>
      </w:r>
      <w:bookmarkEnd w:id="812"/>
      <w:bookmarkEnd w:id="813"/>
    </w:p>
    <w:p w14:paraId="1929FA58">
      <w:pPr>
        <w:keepNext w:val="0"/>
        <w:keepLines w:val="0"/>
        <w:pageBreakBefore w:val="0"/>
        <w:numPr>
          <w:ilvl w:val="0"/>
          <w:numId w:val="0"/>
        </w:numPr>
        <w:kinsoku/>
        <w:wordWrap/>
        <w:overflowPunct/>
        <w:topLinePunct w:val="0"/>
        <w:autoSpaceDE/>
        <w:autoSpaceDN/>
        <w:bidi w:val="0"/>
        <w:adjustRightInd/>
        <w:spacing w:beforeAutospacing="0" w:afterAutospacing="0" w:line="440" w:lineRule="exact"/>
        <w:ind w:leftChars="0" w:firstLine="480" w:firstLineChars="200"/>
        <w:textAlignment w:val="auto"/>
        <w:outlineLvl w:val="9"/>
        <w:rPr>
          <w:rFonts w:hint="default" w:ascii="Times New Roman" w:hAnsi="Times New Roman" w:cs="Times New Roman"/>
          <w:sz w:val="24"/>
          <w:szCs w:val="24"/>
        </w:rPr>
      </w:pPr>
      <w:bookmarkStart w:id="814" w:name="_Toc9338"/>
      <w:bookmarkStart w:id="815" w:name="_Toc28252"/>
      <w:r>
        <w:rPr>
          <w:rFonts w:hint="eastAsia" w:ascii="Times New Roman" w:hAnsi="Times New Roman" w:cs="Times New Roman"/>
          <w:sz w:val="24"/>
          <w:szCs w:val="24"/>
          <w:lang w:val="en-US" w:eastAsia="zh-CN"/>
        </w:rPr>
        <w:t>1.1</w:t>
      </w:r>
      <w:r>
        <w:rPr>
          <w:rFonts w:hint="default" w:ascii="Times New Roman" w:hAnsi="Times New Roman" w:cs="Times New Roman"/>
          <w:sz w:val="24"/>
          <w:szCs w:val="24"/>
        </w:rPr>
        <w:t>项目介绍</w:t>
      </w:r>
      <w:bookmarkEnd w:id="814"/>
      <w:bookmarkEnd w:id="815"/>
    </w:p>
    <w:p w14:paraId="3FF12D46">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lang w:val="en-US" w:eastAsia="zh-CN"/>
        </w:rPr>
        <w:t>1.1.1</w:t>
      </w:r>
      <w:r>
        <w:rPr>
          <w:rFonts w:hint="default" w:ascii="Times New Roman" w:hAnsi="Times New Roman" w:cs="Times New Roman"/>
          <w:b w:val="0"/>
          <w:bCs w:val="0"/>
          <w:sz w:val="24"/>
          <w:szCs w:val="24"/>
        </w:rPr>
        <w:t>项目背景</w:t>
      </w:r>
    </w:p>
    <w:p w14:paraId="63B8E103">
      <w:pPr>
        <w:pStyle w:val="3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rPr>
      </w:pPr>
      <w:r>
        <w:rPr>
          <w:rFonts w:hint="default" w:ascii="Times New Roman" w:hAnsi="Times New Roman" w:cs="Times New Roman" w:eastAsiaTheme="minorEastAsia"/>
          <w:b w:val="0"/>
          <w:bCs w:val="0"/>
          <w:sz w:val="24"/>
          <w:szCs w:val="24"/>
        </w:rPr>
        <w:t>英国食品标准局负责运行食品卫生评级体系，对餐饮与食品经营场所开展卫生检查，并公开发布0–5的卫生评级结果以及相关扣分项与基础信息。该公开数据具备典型的“真实业务数据”特征：</w:t>
      </w:r>
      <w:r>
        <w:rPr>
          <w:rFonts w:hint="default" w:ascii="Times New Roman" w:hAnsi="Times New Roman" w:cs="Times New Roman" w:eastAsiaTheme="minorEastAsia"/>
          <w:b w:val="0"/>
          <w:bCs w:val="0"/>
          <w:sz w:val="24"/>
          <w:szCs w:val="24"/>
        </w:rPr>
        <w:br w:type="textWrapping"/>
      </w:r>
      <w:r>
        <w:rPr>
          <w:rFonts w:hint="default" w:ascii="Times New Roman" w:hAnsi="Times New Roman" w:cs="Times New Roman" w:eastAsiaTheme="minorEastAsia"/>
          <w:b w:val="0"/>
          <w:bCs w:val="0"/>
          <w:sz w:val="24"/>
          <w:szCs w:val="24"/>
        </w:rPr>
        <w:t>1）</w:t>
      </w:r>
      <w:r>
        <w:rPr>
          <w:rStyle w:val="38"/>
          <w:rFonts w:hint="default" w:ascii="Times New Roman" w:hAnsi="Times New Roman" w:cs="Times New Roman" w:eastAsiaTheme="minorEastAsia"/>
          <w:b w:val="0"/>
          <w:bCs w:val="0"/>
          <w:sz w:val="24"/>
          <w:szCs w:val="24"/>
        </w:rPr>
        <w:t>字段结构化且维度丰富</w:t>
      </w:r>
      <w:r>
        <w:rPr>
          <w:rFonts w:hint="default" w:ascii="Times New Roman" w:hAnsi="Times New Roman" w:cs="Times New Roman" w:eastAsiaTheme="minorEastAsia"/>
          <w:b w:val="0"/>
          <w:bCs w:val="0"/>
          <w:sz w:val="24"/>
          <w:szCs w:val="24"/>
        </w:rPr>
        <w:t>：除评级外还包含卫生、结构、管理等维度的扣分项，以及地区、地址与经纬度信息，适合开展多维统计、风险评估与空间分析；</w:t>
      </w:r>
      <w:r>
        <w:rPr>
          <w:rFonts w:hint="default" w:ascii="Times New Roman" w:hAnsi="Times New Roman" w:cs="Times New Roman" w:eastAsiaTheme="minorEastAsia"/>
          <w:b w:val="0"/>
          <w:bCs w:val="0"/>
          <w:sz w:val="24"/>
          <w:szCs w:val="24"/>
        </w:rPr>
        <w:br w:type="textWrapping"/>
      </w:r>
      <w:r>
        <w:rPr>
          <w:rFonts w:hint="default" w:ascii="Times New Roman" w:hAnsi="Times New Roman" w:cs="Times New Roman" w:eastAsiaTheme="minorEastAsia"/>
          <w:b w:val="0"/>
          <w:bCs w:val="0"/>
          <w:sz w:val="24"/>
          <w:szCs w:val="24"/>
        </w:rPr>
        <w:t>2）</w:t>
      </w:r>
      <w:r>
        <w:rPr>
          <w:rStyle w:val="38"/>
          <w:rFonts w:hint="default" w:ascii="Times New Roman" w:hAnsi="Times New Roman" w:cs="Times New Roman" w:eastAsiaTheme="minorEastAsia"/>
          <w:b w:val="0"/>
          <w:bCs w:val="0"/>
          <w:sz w:val="24"/>
          <w:szCs w:val="24"/>
        </w:rPr>
        <w:t>数据规模大且持续更新</w:t>
      </w:r>
      <w:r>
        <w:rPr>
          <w:rFonts w:hint="default" w:ascii="Times New Roman" w:hAnsi="Times New Roman" w:cs="Times New Roman" w:eastAsiaTheme="minorEastAsia"/>
          <w:b w:val="0"/>
          <w:bCs w:val="0"/>
          <w:sz w:val="24"/>
          <w:szCs w:val="24"/>
        </w:rPr>
        <w:t>：能够满足课程对“有效数据量充足、可做分析建模”的要求；</w:t>
      </w:r>
      <w:r>
        <w:rPr>
          <w:rFonts w:hint="default" w:ascii="Times New Roman" w:hAnsi="Times New Roman" w:cs="Times New Roman" w:eastAsiaTheme="minorEastAsia"/>
          <w:b w:val="0"/>
          <w:bCs w:val="0"/>
          <w:sz w:val="24"/>
          <w:szCs w:val="24"/>
        </w:rPr>
        <w:br w:type="textWrapping"/>
      </w:r>
      <w:r>
        <w:rPr>
          <w:rFonts w:hint="default" w:ascii="Times New Roman" w:hAnsi="Times New Roman" w:cs="Times New Roman" w:eastAsiaTheme="minorEastAsia"/>
          <w:b w:val="0"/>
          <w:bCs w:val="0"/>
          <w:sz w:val="24"/>
          <w:szCs w:val="24"/>
        </w:rPr>
        <w:t>3）</w:t>
      </w:r>
      <w:r>
        <w:rPr>
          <w:rStyle w:val="38"/>
          <w:rFonts w:hint="default" w:ascii="Times New Roman" w:hAnsi="Times New Roman" w:cs="Times New Roman" w:eastAsiaTheme="minorEastAsia"/>
          <w:b w:val="0"/>
          <w:bCs w:val="0"/>
          <w:sz w:val="24"/>
          <w:szCs w:val="24"/>
        </w:rPr>
        <w:t>开放接口可直接爬取</w:t>
      </w:r>
      <w:r>
        <w:rPr>
          <w:rFonts w:hint="default" w:ascii="Times New Roman" w:hAnsi="Times New Roman" w:cs="Times New Roman" w:eastAsiaTheme="minorEastAsia"/>
          <w:b w:val="0"/>
          <w:bCs w:val="0"/>
          <w:sz w:val="24"/>
          <w:szCs w:val="24"/>
        </w:rPr>
        <w:t>：可通过官方接口实现合规采集，满足本课程“必须包含爬取流程”的硬性要求。</w:t>
      </w:r>
    </w:p>
    <w:p w14:paraId="635E462F">
      <w:pPr>
        <w:pStyle w:val="3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rPr>
      </w:pPr>
      <w:r>
        <w:rPr>
          <w:rFonts w:hint="default" w:ascii="Times New Roman" w:hAnsi="Times New Roman" w:cs="Times New Roman" w:eastAsiaTheme="minorEastAsia"/>
          <w:b w:val="0"/>
          <w:bCs w:val="0"/>
          <w:sz w:val="24"/>
          <w:szCs w:val="24"/>
        </w:rPr>
        <w:t>本项目以该开放数据为数据入口，围绕课程要求的全流程闭环——数据爬取、文档持久化、数据清洗、数据库存储、数据分析与可视化展示——构建一套可复现的工程化实现方案。考虑到接口对高负载查询存在限制，采集阶段采用按地区分片与分页抓取的策略，并配合限流与异常处理，确保抓取稳定性与可扩展性。</w:t>
      </w:r>
    </w:p>
    <w:p w14:paraId="56499249">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lang w:val="en-US" w:eastAsia="zh-CN"/>
        </w:rPr>
        <w:t>1.1.2</w:t>
      </w:r>
      <w:r>
        <w:rPr>
          <w:rFonts w:hint="default" w:ascii="Times New Roman" w:hAnsi="Times New Roman" w:cs="Times New Roman"/>
          <w:b w:val="0"/>
          <w:bCs w:val="0"/>
          <w:sz w:val="24"/>
          <w:szCs w:val="24"/>
        </w:rPr>
        <w:t>项目意义</w:t>
      </w:r>
    </w:p>
    <w:p w14:paraId="3643C71B">
      <w:pPr>
        <w:keepNext w:val="0"/>
        <w:keepLines w:val="0"/>
        <w:pageBreakBefore w:val="0"/>
        <w:kinsoku/>
        <w:wordWrap/>
        <w:overflowPunct/>
        <w:topLinePunct w:val="0"/>
        <w:autoSpaceDE/>
        <w:autoSpaceDN/>
        <w:bidi w:val="0"/>
        <w:adjustRightInd/>
        <w:spacing w:beforeAutospacing="0" w:afterAutospacing="0" w:line="440" w:lineRule="exact"/>
        <w:textAlignment w:val="auto"/>
        <w:outlineLvl w:val="9"/>
        <w:rPr>
          <w:rFonts w:hint="default" w:ascii="Times New Roman" w:hAnsi="Times New Roman" w:cs="Times New Roman" w:eastAsiaTheme="minorEastAsia"/>
          <w:b w:val="0"/>
          <w:bCs w:val="0"/>
          <w:sz w:val="24"/>
          <w:szCs w:val="24"/>
        </w:rPr>
      </w:pPr>
      <w:r>
        <w:rPr>
          <w:rFonts w:hint="default" w:ascii="Times New Roman" w:hAnsi="Times New Roman" w:cs="Times New Roman" w:eastAsiaTheme="minorEastAsia"/>
          <w:b w:val="0"/>
          <w:bCs w:val="0"/>
          <w:sz w:val="24"/>
          <w:szCs w:val="24"/>
        </w:rPr>
        <w:t>本项目覆盖数据工程全链路关键能力：采集策略设计与接口调用、原始数据落盘与可追溯记录、清洗规则与质量指标输出、数据库表结构与索引设计、分析指标构建以及交互式可视化大屏呈现。相比使用静态数据集，本项目更能体现“从零构建数据资产”的工程化能力与复现能力，符合期末项目对综合能力的考核目标。</w:t>
      </w:r>
    </w:p>
    <w:p w14:paraId="343D93AC">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基于卫生评级与扣分结构，可形成面向监管与经营的风险画像：</w:t>
      </w:r>
    </w:p>
    <w:p w14:paraId="43CE82B4">
      <w:pPr>
        <w:keepNext w:val="0"/>
        <w:keepLines w:val="0"/>
        <w:pageBreakBefore w:val="0"/>
        <w:kinsoku/>
        <w:wordWrap/>
        <w:overflowPunct/>
        <w:topLinePunct w:val="0"/>
        <w:autoSpaceDE/>
        <w:autoSpaceDN/>
        <w:bidi w:val="0"/>
        <w:adjustRightInd/>
        <w:spacing w:beforeAutospacing="0" w:afterAutospacing="0" w:line="440" w:lineRule="exact"/>
        <w:ind w:left="0" w:leftChars="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地区对比：识别低评级占比或风险更高的地区，为重点抽检提供依据；</w:t>
      </w:r>
    </w:p>
    <w:p w14:paraId="68A1EED9">
      <w:pPr>
        <w:keepNext w:val="0"/>
        <w:keepLines w:val="0"/>
        <w:pageBreakBefore w:val="0"/>
        <w:kinsoku/>
        <w:wordWrap/>
        <w:overflowPunct/>
        <w:topLinePunct w:val="0"/>
        <w:autoSpaceDE/>
        <w:autoSpaceDN/>
        <w:bidi w:val="0"/>
        <w:adjustRightInd/>
        <w:spacing w:beforeAutospacing="0" w:afterAutospacing="0" w:line="440" w:lineRule="exact"/>
        <w:ind w:left="0" w:leftChars="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业态对比：分析不同业态的规模分布与风险差异，定位更需要治理的类型；</w:t>
      </w:r>
    </w:p>
    <w:p w14:paraId="59B8E4A2">
      <w:pPr>
        <w:keepNext w:val="0"/>
        <w:keepLines w:val="0"/>
        <w:pageBreakBefore w:val="0"/>
        <w:kinsoku/>
        <w:wordWrap/>
        <w:overflowPunct/>
        <w:topLinePunct w:val="0"/>
        <w:autoSpaceDE/>
        <w:autoSpaceDN/>
        <w:bidi w:val="0"/>
        <w:adjustRightInd/>
        <w:spacing w:beforeAutospacing="0" w:afterAutospacing="0" w:line="440" w:lineRule="exact"/>
        <w:ind w:left="0" w:leftChars="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时间趋势：观察近阶段记录量与平均风险的变化，为持续监测提供参考；</w:t>
      </w:r>
    </w:p>
    <w:p w14:paraId="2D3E7B1C">
      <w:pPr>
        <w:keepNext w:val="0"/>
        <w:keepLines w:val="0"/>
        <w:pageBreakBefore w:val="0"/>
        <w:kinsoku/>
        <w:wordWrap/>
        <w:overflowPunct/>
        <w:topLinePunct w:val="0"/>
        <w:autoSpaceDE/>
        <w:autoSpaceDN/>
        <w:bidi w:val="0"/>
        <w:adjustRightInd/>
        <w:spacing w:beforeAutospacing="0" w:afterAutospacing="0" w:line="440" w:lineRule="exact"/>
        <w:ind w:left="0" w:leftChars="0"/>
        <w:textAlignment w:val="auto"/>
        <w:outlineLvl w:val="9"/>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空间热点：结合经纬度将门店落到英国地图上，发现高风险门店聚集区域，支持可视化决策与展示。</w:t>
      </w:r>
    </w:p>
    <w:p w14:paraId="6524F865">
      <w:pPr>
        <w:keepNext w:val="0"/>
        <w:keepLines w:val="0"/>
        <w:pageBreakBefore w:val="0"/>
        <w:kinsoku/>
        <w:wordWrap/>
        <w:overflowPunct/>
        <w:topLinePunct w:val="0"/>
        <w:autoSpaceDE/>
        <w:autoSpaceDN/>
        <w:bidi w:val="0"/>
        <w:adjustRightInd/>
        <w:spacing w:beforeAutospacing="0" w:afterAutospacing="0" w:line="440" w:lineRule="exact"/>
        <w:ind w:left="0" w:leftChars="0"/>
        <w:textAlignment w:val="auto"/>
        <w:outlineLvl w:val="9"/>
        <w:rPr>
          <w:rFonts w:hint="default" w:ascii="Times New Roman" w:hAnsi="Times New Roman" w:cs="Times New Roman" w:eastAsiaTheme="minorEastAsia"/>
          <w:b w:val="0"/>
          <w:bCs w:val="0"/>
          <w:sz w:val="24"/>
          <w:szCs w:val="24"/>
        </w:rPr>
      </w:pPr>
      <w:r>
        <w:rPr>
          <w:rFonts w:hint="default" w:ascii="Times New Roman" w:hAnsi="Times New Roman" w:cs="Times New Roman" w:eastAsiaTheme="minorEastAsia"/>
          <w:b w:val="0"/>
          <w:bCs w:val="0"/>
          <w:sz w:val="24"/>
          <w:szCs w:val="24"/>
        </w:rPr>
        <w:t>项目在分析阶段构建可解释的风险分数，并进一步进行风险分组，用统一尺度贯穿地区、业态、趋势与空间热点分析；在展示阶段输出可交互的大屏成果，实现缩放、拖拽、提示信息等交互效果，提升结果表达的直观性与可用性。该方法与工程框架可迁移到其他政府开放数据与质量监管类数据场景，具备良好的复用价值。</w:t>
      </w:r>
    </w:p>
    <w:p w14:paraId="70378082">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bookmarkStart w:id="816" w:name="_Toc26478"/>
      <w:bookmarkStart w:id="817" w:name="_Toc16574"/>
      <w:r>
        <w:rPr>
          <w:rFonts w:hint="default" w:ascii="Times New Roman" w:hAnsi="Times New Roman" w:cs="Times New Roman"/>
          <w:sz w:val="24"/>
          <w:szCs w:val="24"/>
        </w:rPr>
        <w:t>1.2项目开发环境</w:t>
      </w:r>
      <w:bookmarkEnd w:id="816"/>
      <w:bookmarkEnd w:id="817"/>
    </w:p>
    <w:p w14:paraId="22BE3F87">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为保证项目能够在课堂验收时一键复现（从爬取到MySQL入库再到可视化大屏输出），本项目开发与运行环境统一约定如下。</w:t>
      </w:r>
    </w:p>
    <w:p w14:paraId="517E8B66">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1.2.1硬件与操作系统</w:t>
      </w:r>
    </w:p>
    <w:p w14:paraId="12A5D48C">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操作系统：Windows 10 64位</w:t>
      </w:r>
    </w:p>
    <w:p w14:paraId="4577D3A2">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CPU/内存：4核及以上、16GB内存及以上</w:t>
      </w:r>
    </w:p>
    <w:p w14:paraId="773D87D4">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存储空间：至少2GB可用空间</w:t>
      </w:r>
    </w:p>
    <w:p w14:paraId="4AC717CC">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1.2.2开发工具</w:t>
      </w:r>
    </w:p>
    <w:p w14:paraId="4EF71EC6">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IDE：Visual Studio Code</w:t>
      </w:r>
    </w:p>
    <w:p w14:paraId="71F15249">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Notebook：Jupyter Notebook（交互式笔记本），在VS Code的.ipynb中运行</w:t>
      </w:r>
    </w:p>
    <w:p w14:paraId="7AAB7A6E">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eastAsia="宋体" w:cs="Times New Roman"/>
          <w:sz w:val="24"/>
          <w:szCs w:val="24"/>
          <w:lang w:eastAsia="zh-CN"/>
        </w:rPr>
      </w:pPr>
      <w:r>
        <w:rPr>
          <w:rFonts w:hint="default" w:ascii="Times New Roman" w:hAnsi="Times New Roman" w:cs="Times New Roman"/>
          <w:sz w:val="24"/>
          <w:szCs w:val="24"/>
        </w:rPr>
        <w:t>运行方式：全流程单一ipynb文件按Cell顺序执行</w:t>
      </w:r>
    </w:p>
    <w:p w14:paraId="02642D2D">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1.2.3运行时与核心依赖</w:t>
      </w:r>
    </w:p>
    <w:p w14:paraId="2994F3D7">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Python：3.11.9</w:t>
      </w:r>
      <w:r>
        <w:rPr>
          <w:rFonts w:hint="default" w:ascii="Times New Roman" w:hAnsi="Times New Roman" w:cs="Times New Roman"/>
          <w:sz w:val="24"/>
          <w:szCs w:val="24"/>
          <w:lang w:eastAsia="zh-CN"/>
        </w:rPr>
        <w:t>、</w:t>
      </w:r>
      <w:r>
        <w:rPr>
          <w:rFonts w:hint="default" w:ascii="Times New Roman" w:hAnsi="Times New Roman" w:cs="Times New Roman"/>
          <w:sz w:val="24"/>
          <w:szCs w:val="24"/>
        </w:rPr>
        <w:t>pip：24.0</w:t>
      </w:r>
    </w:p>
    <w:p w14:paraId="597655F2">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数据库：MySQL</w:t>
      </w:r>
    </w:p>
    <w:p w14:paraId="12B3E349">
      <w:pPr>
        <w:keepNext w:val="0"/>
        <w:keepLines w:val="0"/>
        <w:pageBreakBefore w:val="0"/>
        <w:kinsoku/>
        <w:wordWrap/>
        <w:overflowPunct/>
        <w:topLinePunct w:val="0"/>
        <w:autoSpaceDE/>
        <w:autoSpaceDN/>
        <w:bidi w:val="0"/>
        <w:adjustRightInd/>
        <w:spacing w:beforeAutospacing="0" w:afterAutospacing="0" w:line="440" w:lineRule="exact"/>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依赖库按用途分组如下：</w:t>
      </w:r>
    </w:p>
    <w:p w14:paraId="237BAE7B">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采集与请求</w:t>
      </w:r>
      <w:r>
        <w:rPr>
          <w:rFonts w:hint="default" w:ascii="Times New Roman" w:hAnsi="Times New Roman" w:cs="Times New Roman"/>
          <w:sz w:val="24"/>
          <w:szCs w:val="24"/>
          <w:lang w:eastAsia="zh-CN"/>
        </w:rPr>
        <w:t>：</w:t>
      </w:r>
      <w:r>
        <w:rPr>
          <w:rFonts w:hint="default" w:ascii="Times New Roman" w:hAnsi="Times New Roman" w:cs="Times New Roman"/>
          <w:sz w:val="24"/>
          <w:szCs w:val="24"/>
        </w:rPr>
        <w:t>Requests</w:t>
      </w:r>
      <w:r>
        <w:rPr>
          <w:rFonts w:hint="default" w:ascii="Times New Roman" w:hAnsi="Times New Roman" w:cs="Times New Roman"/>
          <w:sz w:val="24"/>
          <w:szCs w:val="24"/>
          <w:lang w:eastAsia="zh-CN"/>
        </w:rPr>
        <w:t>、</w:t>
      </w:r>
      <w:r>
        <w:rPr>
          <w:rFonts w:hint="default" w:ascii="Times New Roman" w:hAnsi="Times New Roman" w:cs="Times New Roman"/>
          <w:sz w:val="24"/>
          <w:szCs w:val="24"/>
        </w:rPr>
        <w:t>tqdm</w:t>
      </w:r>
    </w:p>
    <w:p w14:paraId="76F0DC25">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数据处理</w:t>
      </w:r>
      <w:r>
        <w:rPr>
          <w:rFonts w:hint="default" w:ascii="Times New Roman" w:hAnsi="Times New Roman" w:cs="Times New Roman"/>
          <w:sz w:val="24"/>
          <w:szCs w:val="24"/>
          <w:lang w:eastAsia="zh-CN"/>
        </w:rPr>
        <w:t>、</w:t>
      </w:r>
      <w:r>
        <w:rPr>
          <w:rFonts w:hint="default" w:ascii="Times New Roman" w:hAnsi="Times New Roman" w:cs="Times New Roman"/>
          <w:sz w:val="24"/>
          <w:szCs w:val="24"/>
        </w:rPr>
        <w:t>数据库读写</w:t>
      </w:r>
      <w:r>
        <w:rPr>
          <w:rFonts w:hint="default" w:ascii="Times New Roman" w:hAnsi="Times New Roman" w:cs="Times New Roman"/>
          <w:sz w:val="24"/>
          <w:szCs w:val="24"/>
          <w:lang w:eastAsia="zh-CN"/>
        </w:rPr>
        <w:t>：</w:t>
      </w:r>
      <w:r>
        <w:rPr>
          <w:rFonts w:hint="default" w:ascii="Times New Roman" w:hAnsi="Times New Roman" w:cs="Times New Roman"/>
          <w:sz w:val="24"/>
          <w:szCs w:val="24"/>
        </w:rPr>
        <w:t>Pandas</w:t>
      </w:r>
      <w:r>
        <w:rPr>
          <w:rFonts w:hint="default" w:ascii="Times New Roman" w:hAnsi="Times New Roman" w:cs="Times New Roman"/>
          <w:sz w:val="24"/>
          <w:szCs w:val="24"/>
          <w:lang w:eastAsia="zh-CN"/>
        </w:rPr>
        <w:t>、</w:t>
      </w:r>
      <w:r>
        <w:rPr>
          <w:rFonts w:hint="default" w:ascii="Times New Roman" w:hAnsi="Times New Roman" w:cs="Times New Roman"/>
          <w:sz w:val="24"/>
          <w:szCs w:val="24"/>
        </w:rPr>
        <w:t>numpy</w:t>
      </w:r>
      <w:r>
        <w:rPr>
          <w:rFonts w:hint="default" w:ascii="Times New Roman" w:hAnsi="Times New Roman" w:cs="Times New Roman"/>
          <w:sz w:val="24"/>
          <w:szCs w:val="24"/>
          <w:lang w:eastAsia="zh-CN"/>
        </w:rPr>
        <w:t>、</w:t>
      </w:r>
      <w:r>
        <w:rPr>
          <w:rFonts w:hint="default" w:ascii="Times New Roman" w:hAnsi="Times New Roman" w:cs="Times New Roman"/>
          <w:sz w:val="24"/>
          <w:szCs w:val="24"/>
        </w:rPr>
        <w:t>sqlalchemy</w:t>
      </w:r>
      <w:r>
        <w:rPr>
          <w:rFonts w:hint="default" w:ascii="Times New Roman" w:hAnsi="Times New Roman" w:cs="Times New Roman"/>
          <w:sz w:val="24"/>
          <w:szCs w:val="24"/>
          <w:lang w:eastAsia="zh-CN"/>
        </w:rPr>
        <w:t>、</w:t>
      </w:r>
      <w:r>
        <w:rPr>
          <w:rFonts w:hint="default" w:ascii="Times New Roman" w:hAnsi="Times New Roman" w:cs="Times New Roman"/>
          <w:sz w:val="24"/>
          <w:szCs w:val="24"/>
        </w:rPr>
        <w:t>pymysql</w:t>
      </w:r>
      <w:r>
        <w:rPr>
          <w:rFonts w:hint="default" w:ascii="Times New Roman" w:hAnsi="Times New Roman" w:cs="Times New Roman"/>
          <w:sz w:val="24"/>
          <w:szCs w:val="24"/>
          <w:lang w:eastAsia="zh-CN"/>
        </w:rPr>
        <w:t>、</w:t>
      </w:r>
      <w:r>
        <w:rPr>
          <w:rFonts w:hint="default" w:ascii="Times New Roman" w:hAnsi="Times New Roman" w:cs="Times New Roman"/>
          <w:sz w:val="24"/>
          <w:szCs w:val="24"/>
        </w:rPr>
        <w:t>分析建模</w:t>
      </w:r>
      <w:r>
        <w:rPr>
          <w:rFonts w:hint="default" w:ascii="Times New Roman" w:hAnsi="Times New Roman" w:cs="Times New Roman"/>
          <w:sz w:val="24"/>
          <w:szCs w:val="24"/>
          <w:lang w:eastAsia="zh-CN"/>
        </w:rPr>
        <w:t>、</w:t>
      </w:r>
      <w:r>
        <w:rPr>
          <w:rFonts w:hint="default" w:ascii="Times New Roman" w:hAnsi="Times New Roman" w:cs="Times New Roman"/>
          <w:sz w:val="24"/>
          <w:szCs w:val="24"/>
        </w:rPr>
        <w:t>scikit-learn</w:t>
      </w:r>
      <w:r>
        <w:rPr>
          <w:rFonts w:hint="default" w:ascii="Times New Roman" w:hAnsi="Times New Roman" w:cs="Times New Roman"/>
          <w:sz w:val="24"/>
          <w:szCs w:val="24"/>
          <w:lang w:eastAsia="zh-CN"/>
        </w:rPr>
        <w:t>、</w:t>
      </w:r>
      <w:r>
        <w:rPr>
          <w:rFonts w:hint="default" w:ascii="Times New Roman" w:hAnsi="Times New Roman" w:cs="Times New Roman"/>
          <w:sz w:val="24"/>
          <w:szCs w:val="24"/>
        </w:rPr>
        <w:t>可视化与大屏</w:t>
      </w:r>
      <w:r>
        <w:rPr>
          <w:rFonts w:hint="default" w:ascii="Times New Roman" w:hAnsi="Times New Roman" w:cs="Times New Roman"/>
          <w:sz w:val="24"/>
          <w:szCs w:val="24"/>
          <w:lang w:eastAsia="zh-CN"/>
        </w:rPr>
        <w:t>、</w:t>
      </w:r>
      <w:r>
        <w:rPr>
          <w:rFonts w:hint="default" w:ascii="Times New Roman" w:hAnsi="Times New Roman" w:cs="Times New Roman"/>
          <w:sz w:val="24"/>
          <w:szCs w:val="24"/>
        </w:rPr>
        <w:t>pyecharts</w:t>
      </w:r>
    </w:p>
    <w:p w14:paraId="74644245">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浏览器：Chrome/Edge</w:t>
      </w:r>
    </w:p>
    <w:p w14:paraId="632E70BE">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textAlignment w:val="auto"/>
        <w:outlineLvl w:val="9"/>
        <w:rPr>
          <w:rFonts w:hint="default" w:ascii="Times New Roman" w:hAnsi="Times New Roman" w:cs="Times New Roman"/>
          <w:sz w:val="24"/>
          <w:szCs w:val="24"/>
        </w:rPr>
      </w:pPr>
      <w:bookmarkStart w:id="818" w:name="_Toc14982"/>
      <w:bookmarkStart w:id="819" w:name="_Toc4920"/>
      <w:r>
        <w:rPr>
          <w:rFonts w:hint="default" w:ascii="Times New Roman" w:hAnsi="Times New Roman" w:cs="Times New Roman"/>
          <w:sz w:val="24"/>
          <w:szCs w:val="24"/>
        </w:rPr>
        <w:t>1.3小组人员及分工</w:t>
      </w:r>
      <w:bookmarkEnd w:id="818"/>
      <w:bookmarkEnd w:id="819"/>
    </w:p>
    <w:p w14:paraId="0BBDD3F8">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val="en-US" w:eastAsia="zh-CN"/>
        </w:rPr>
        <w:t>表1-1</w:t>
      </w:r>
      <w:r>
        <w:rPr>
          <w:rFonts w:hint="default" w:ascii="Times New Roman" w:hAnsi="Times New Roman" w:cs="Times New Roman"/>
          <w:sz w:val="24"/>
          <w:szCs w:val="24"/>
        </w:rPr>
        <w:t>小组人员及分工</w:t>
      </w:r>
    </w:p>
    <w:tbl>
      <w:tblPr>
        <w:tblStyle w:val="35"/>
        <w:tblW w:w="0" w:type="auto"/>
        <w:tblInd w:w="102"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36"/>
        <w:gridCol w:w="7129"/>
      </w:tblGrid>
      <w:tr w14:paraId="378A8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0" w:type="auto"/>
            <w:tcBorders>
              <w:top w:val="single" w:color="000000" w:sz="12" w:space="0"/>
              <w:left w:val="nil"/>
              <w:bottom w:val="single" w:color="000000" w:sz="4" w:space="0"/>
              <w:right w:val="nil"/>
              <w:tl2br w:val="nil"/>
            </w:tcBorders>
            <w:shd w:val="clear" w:color="auto" w:fill="FFFFFF"/>
            <w:noWrap/>
            <w:vAlign w:val="center"/>
          </w:tcPr>
          <w:p w14:paraId="6859D6EA">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lang w:val="en-US" w:eastAsia="zh-CN"/>
              </w:rPr>
            </w:pPr>
            <w:r>
              <w:rPr>
                <w:rFonts w:hint="default" w:ascii="Times New Roman" w:hAnsi="Times New Roman" w:cs="Times New Roman"/>
                <w:b w:val="0"/>
                <w:color w:val="000000"/>
                <w:sz w:val="24"/>
                <w:szCs w:val="24"/>
                <w:lang w:val="en-US" w:eastAsia="zh-CN"/>
              </w:rPr>
              <w:t>姓名</w:t>
            </w:r>
          </w:p>
        </w:tc>
        <w:tc>
          <w:tcPr>
            <w:tcW w:w="7129" w:type="dxa"/>
            <w:tcBorders>
              <w:top w:val="single" w:color="000000" w:sz="12" w:space="0"/>
              <w:left w:val="nil"/>
              <w:bottom w:val="single" w:color="000000" w:sz="4" w:space="0"/>
              <w:right w:val="nil"/>
            </w:tcBorders>
            <w:shd w:val="clear" w:color="auto" w:fill="FFFFFF"/>
            <w:noWrap/>
            <w:vAlign w:val="center"/>
          </w:tcPr>
          <w:p w14:paraId="095B9FB3">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lang w:val="en-US" w:eastAsia="zh-CN"/>
              </w:rPr>
            </w:pPr>
            <w:r>
              <w:rPr>
                <w:rFonts w:hint="default" w:ascii="Times New Roman" w:hAnsi="Times New Roman" w:cs="Times New Roman"/>
                <w:b w:val="0"/>
                <w:color w:val="000000"/>
                <w:sz w:val="24"/>
                <w:szCs w:val="24"/>
                <w:lang w:val="en-US" w:eastAsia="zh-CN"/>
              </w:rPr>
              <w:t>分工</w:t>
            </w:r>
          </w:p>
        </w:tc>
      </w:tr>
      <w:tr w14:paraId="5AE38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0" w:type="auto"/>
            <w:tcBorders>
              <w:top w:val="single" w:color="000000" w:sz="4" w:space="0"/>
              <w:left w:val="nil"/>
              <w:bottom w:val="nil"/>
              <w:right w:val="nil"/>
              <w:tl2br w:val="nil"/>
            </w:tcBorders>
            <w:shd w:val="clear" w:color="auto" w:fill="FFFFFF"/>
            <w:noWrap/>
            <w:vAlign w:val="center"/>
          </w:tcPr>
          <w:p w14:paraId="3E0D9741">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rPr>
            </w:pPr>
            <w:r>
              <w:rPr>
                <w:rFonts w:hint="default" w:ascii="Times New Roman" w:hAnsi="Times New Roman" w:cs="Times New Roman"/>
                <w:b w:val="0"/>
                <w:color w:val="000000"/>
                <w:sz w:val="24"/>
                <w:szCs w:val="24"/>
                <w:lang w:val="en-US" w:eastAsia="zh-CN"/>
              </w:rPr>
              <w:t>颜培旭</w:t>
            </w:r>
          </w:p>
        </w:tc>
        <w:tc>
          <w:tcPr>
            <w:tcW w:w="7129" w:type="dxa"/>
            <w:tcBorders>
              <w:top w:val="single" w:color="000000" w:sz="4" w:space="0"/>
              <w:left w:val="nil"/>
              <w:bottom w:val="nil"/>
              <w:right w:val="nil"/>
            </w:tcBorders>
            <w:shd w:val="clear" w:color="auto" w:fill="FFFFFF"/>
            <w:noWrap/>
            <w:vAlign w:val="center"/>
          </w:tcPr>
          <w:p w14:paraId="232CBC8C">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eastAsia"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组长。负责爬虫、数据清洗、数据分析与可视化、数据库设计、</w:t>
            </w:r>
          </w:p>
          <w:p w14:paraId="6C92122F">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default" w:ascii="Times New Roman" w:hAnsi="Times New Roman" w:cs="Times New Roman"/>
                <w:b w:val="0"/>
                <w:color w:val="000000"/>
                <w:sz w:val="24"/>
                <w:szCs w:val="24"/>
              </w:rPr>
            </w:pPr>
            <w:r>
              <w:rPr>
                <w:rFonts w:hint="eastAsia" w:ascii="宋体" w:hAnsi="宋体" w:eastAsia="宋体" w:cs="宋体"/>
                <w:i w:val="0"/>
                <w:iCs w:val="0"/>
                <w:color w:val="000000"/>
                <w:kern w:val="0"/>
                <w:sz w:val="24"/>
                <w:szCs w:val="24"/>
                <w:u w:val="none"/>
                <w:lang w:val="en-US" w:eastAsia="zh-CN" w:bidi="ar"/>
              </w:rPr>
              <w:t>论文文档撰写</w:t>
            </w:r>
          </w:p>
        </w:tc>
      </w:tr>
      <w:tr w14:paraId="1A1AA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936" w:type="dxa"/>
            <w:tcBorders>
              <w:top w:val="nil"/>
              <w:left w:val="nil"/>
              <w:bottom w:val="nil"/>
              <w:right w:val="nil"/>
            </w:tcBorders>
            <w:shd w:val="clear" w:color="auto" w:fill="FFFFFF"/>
            <w:noWrap/>
            <w:vAlign w:val="center"/>
          </w:tcPr>
          <w:p w14:paraId="1971E52A">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lang w:val="en-US" w:eastAsia="zh-CN"/>
              </w:rPr>
            </w:pPr>
            <w:r>
              <w:rPr>
                <w:rFonts w:hint="default" w:ascii="Times New Roman" w:hAnsi="Times New Roman" w:cs="Times New Roman"/>
                <w:b w:val="0"/>
                <w:color w:val="000000"/>
                <w:sz w:val="24"/>
                <w:szCs w:val="24"/>
                <w:lang w:val="en-US" w:eastAsia="zh-CN"/>
              </w:rPr>
              <w:t>许志尧</w:t>
            </w:r>
          </w:p>
        </w:tc>
        <w:tc>
          <w:tcPr>
            <w:tcW w:w="7129" w:type="dxa"/>
            <w:tcBorders>
              <w:top w:val="nil"/>
              <w:left w:val="nil"/>
              <w:bottom w:val="nil"/>
              <w:right w:val="nil"/>
            </w:tcBorders>
            <w:shd w:val="clear" w:color="auto" w:fill="FFFFFF"/>
            <w:noWrap/>
            <w:vAlign w:val="center"/>
          </w:tcPr>
          <w:p w14:paraId="6D0BE555">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负责PPT制作、现场答辩、协助文档撰写</w:t>
            </w:r>
          </w:p>
        </w:tc>
      </w:tr>
      <w:tr w14:paraId="35D38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0" w:type="auto"/>
            <w:tcBorders>
              <w:top w:val="nil"/>
              <w:left w:val="nil"/>
              <w:bottom w:val="single" w:color="auto" w:sz="4" w:space="0"/>
              <w:right w:val="nil"/>
            </w:tcBorders>
            <w:shd w:val="clear" w:color="auto" w:fill="FFFFFF"/>
            <w:noWrap/>
            <w:vAlign w:val="center"/>
          </w:tcPr>
          <w:p w14:paraId="1ADEBFD0">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rPr>
            </w:pPr>
            <w:r>
              <w:rPr>
                <w:rFonts w:hint="default" w:ascii="Times New Roman" w:hAnsi="Times New Roman" w:cs="Times New Roman"/>
                <w:b w:val="0"/>
                <w:color w:val="000000"/>
                <w:sz w:val="24"/>
                <w:szCs w:val="24"/>
                <w:lang w:val="en-US" w:eastAsia="zh-CN"/>
              </w:rPr>
              <w:t>丁越</w:t>
            </w:r>
          </w:p>
        </w:tc>
        <w:tc>
          <w:tcPr>
            <w:tcW w:w="7129" w:type="dxa"/>
            <w:tcBorders>
              <w:top w:val="nil"/>
              <w:left w:val="nil"/>
              <w:bottom w:val="single" w:color="auto" w:sz="4" w:space="0"/>
              <w:right w:val="nil"/>
            </w:tcBorders>
            <w:shd w:val="clear" w:color="auto" w:fill="FFFFFF"/>
            <w:noWrap/>
            <w:vAlign w:val="center"/>
          </w:tcPr>
          <w:p w14:paraId="78B06CF5">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协助数据分析、协助PPT制作</w:t>
            </w:r>
          </w:p>
        </w:tc>
      </w:tr>
      <w:tr w14:paraId="7E7B7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0" w:type="auto"/>
            <w:tcBorders>
              <w:top w:val="single" w:color="auto" w:sz="4" w:space="0"/>
              <w:left w:val="nil"/>
              <w:bottom w:val="nil"/>
              <w:right w:val="nil"/>
            </w:tcBorders>
            <w:shd w:val="clear" w:color="auto" w:fill="FFFFFF"/>
            <w:noWrap/>
            <w:vAlign w:val="center"/>
          </w:tcPr>
          <w:p w14:paraId="492007E6">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rPr>
            </w:pPr>
            <w:r>
              <w:rPr>
                <w:rFonts w:hint="default" w:ascii="Times New Roman" w:hAnsi="Times New Roman" w:cs="Times New Roman"/>
                <w:b w:val="0"/>
                <w:color w:val="000000"/>
                <w:sz w:val="24"/>
                <w:szCs w:val="24"/>
                <w:lang w:val="en-US" w:eastAsia="zh-CN"/>
              </w:rPr>
              <w:t>张豫西</w:t>
            </w:r>
          </w:p>
        </w:tc>
        <w:tc>
          <w:tcPr>
            <w:tcW w:w="7129" w:type="dxa"/>
            <w:tcBorders>
              <w:top w:val="single" w:color="auto" w:sz="4" w:space="0"/>
              <w:left w:val="nil"/>
              <w:bottom w:val="nil"/>
              <w:right w:val="nil"/>
            </w:tcBorders>
            <w:shd w:val="clear" w:color="auto" w:fill="FFFFFF"/>
            <w:noWrap/>
            <w:vAlign w:val="center"/>
          </w:tcPr>
          <w:p w14:paraId="4EF0AAD9">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协助信息收集、协助文档撰写</w:t>
            </w:r>
          </w:p>
        </w:tc>
      </w:tr>
      <w:tr w14:paraId="75F0F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rPr>
        <w:tc>
          <w:tcPr>
            <w:tcW w:w="0" w:type="auto"/>
            <w:tcBorders>
              <w:top w:val="nil"/>
              <w:left w:val="nil"/>
              <w:bottom w:val="single" w:color="000000" w:sz="12" w:space="0"/>
              <w:right w:val="nil"/>
            </w:tcBorders>
            <w:shd w:val="clear" w:color="auto" w:fill="FFFFFF"/>
            <w:noWrap/>
            <w:vAlign w:val="center"/>
          </w:tcPr>
          <w:p w14:paraId="09E3E14F">
            <w:pPr>
              <w:keepNext w:val="0"/>
              <w:keepLines w:val="0"/>
              <w:pageBreakBefore w:val="0"/>
              <w:kinsoku/>
              <w:wordWrap/>
              <w:overflowPunct/>
              <w:topLinePunct w:val="0"/>
              <w:autoSpaceDE/>
              <w:autoSpaceDN/>
              <w:bidi w:val="0"/>
              <w:adjustRightInd/>
              <w:spacing w:beforeAutospacing="0" w:afterAutospacing="0" w:line="440" w:lineRule="exact"/>
              <w:jc w:val="center"/>
              <w:textAlignment w:val="auto"/>
              <w:rPr>
                <w:rFonts w:hint="default" w:ascii="Times New Roman" w:hAnsi="Times New Roman" w:cs="Times New Roman"/>
                <w:b w:val="0"/>
                <w:color w:val="000000"/>
                <w:sz w:val="24"/>
                <w:szCs w:val="24"/>
              </w:rPr>
            </w:pPr>
            <w:r>
              <w:rPr>
                <w:rFonts w:hint="default" w:ascii="Times New Roman" w:hAnsi="Times New Roman" w:cs="Times New Roman"/>
                <w:b w:val="0"/>
                <w:color w:val="000000"/>
                <w:sz w:val="24"/>
                <w:szCs w:val="24"/>
                <w:lang w:val="en-US" w:eastAsia="zh-CN"/>
              </w:rPr>
              <w:t>孙子康</w:t>
            </w:r>
          </w:p>
        </w:tc>
        <w:tc>
          <w:tcPr>
            <w:tcW w:w="7129" w:type="dxa"/>
            <w:tcBorders>
              <w:top w:val="nil"/>
              <w:left w:val="nil"/>
              <w:bottom w:val="single" w:color="000000" w:sz="12" w:space="0"/>
              <w:right w:val="nil"/>
            </w:tcBorders>
            <w:shd w:val="clear" w:color="auto" w:fill="FFFFFF"/>
            <w:noWrap/>
            <w:vAlign w:val="center"/>
          </w:tcPr>
          <w:p w14:paraId="5F689AD1">
            <w:pPr>
              <w:keepNext w:val="0"/>
              <w:keepLines w:val="0"/>
              <w:pageBreakBefore w:val="0"/>
              <w:widowControl/>
              <w:suppressLineNumbers w:val="0"/>
              <w:kinsoku/>
              <w:wordWrap/>
              <w:overflowPunct/>
              <w:topLinePunct w:val="0"/>
              <w:autoSpaceDE/>
              <w:autoSpaceDN/>
              <w:bidi w:val="0"/>
              <w:adjustRightInd/>
              <w:spacing w:line="440" w:lineRule="exact"/>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协助信息收集、协助文档撰写</w:t>
            </w:r>
          </w:p>
        </w:tc>
      </w:tr>
    </w:tbl>
    <w:p w14:paraId="59616779">
      <w:pPr>
        <w:keepNext w:val="0"/>
        <w:keepLines w:val="0"/>
        <w:pageBreakBefore w:val="0"/>
        <w:kinsoku/>
        <w:wordWrap/>
        <w:overflowPunct/>
        <w:topLinePunct w:val="0"/>
        <w:autoSpaceDE/>
        <w:autoSpaceDN/>
        <w:bidi w:val="0"/>
        <w:adjustRightInd/>
        <w:spacing w:beforeAutospacing="0" w:afterAutospacing="0" w:line="440" w:lineRule="exact"/>
        <w:textAlignment w:val="auto"/>
        <w:outlineLvl w:val="9"/>
        <w:rPr>
          <w:rFonts w:hint="default" w:ascii="Times New Roman" w:hAnsi="Times New Roman" w:eastAsia="宋体" w:cs="Times New Roman"/>
          <w:b/>
          <w:bCs/>
          <w:sz w:val="28"/>
          <w:szCs w:val="28"/>
          <w:lang w:val="en-US" w:eastAsia="zh-CN"/>
        </w:rPr>
      </w:pPr>
      <w:bookmarkStart w:id="820" w:name="_Toc5656"/>
      <w:bookmarkStart w:id="821" w:name="_Toc16791"/>
      <w:r>
        <w:rPr>
          <w:rFonts w:hint="default" w:ascii="Times New Roman" w:hAnsi="Times New Roman" w:cs="Times New Roman"/>
          <w:b/>
          <w:bCs/>
          <w:sz w:val="28"/>
          <w:szCs w:val="28"/>
          <w:lang w:val="en-US" w:eastAsia="zh-CN"/>
        </w:rPr>
        <w:t>2需求分析</w:t>
      </w:r>
      <w:bookmarkEnd w:id="820"/>
      <w:bookmarkEnd w:id="821"/>
    </w:p>
    <w:p w14:paraId="38E16E8A">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440" w:lineRule="exact"/>
        <w:ind w:firstLine="480" w:firstLineChars="200"/>
        <w:textAlignment w:val="auto"/>
        <w:outlineLvl w:val="9"/>
        <w:rPr>
          <w:rFonts w:hint="default" w:ascii="Times New Roman" w:hAnsi="Times New Roman" w:cs="Times New Roman"/>
          <w:sz w:val="24"/>
          <w:szCs w:val="24"/>
        </w:rPr>
      </w:pPr>
      <w:bookmarkStart w:id="822" w:name="_Toc32003"/>
      <w:bookmarkStart w:id="823" w:name="_Toc19143"/>
      <w:r>
        <w:rPr>
          <w:rFonts w:hint="default" w:ascii="Times New Roman" w:hAnsi="Times New Roman" w:cs="Times New Roman"/>
          <w:sz w:val="24"/>
          <w:szCs w:val="24"/>
        </w:rPr>
        <w:t>2.1系统需求分析</w:t>
      </w:r>
      <w:bookmarkEnd w:id="822"/>
      <w:bookmarkEnd w:id="823"/>
    </w:p>
    <w:p w14:paraId="5FE374E9">
      <w:pPr>
        <w:pStyle w:val="32"/>
        <w:keepNext w:val="0"/>
        <w:keepLines w:val="0"/>
        <w:pageBreakBefore w:val="0"/>
        <w:widowControl/>
        <w:suppressLineNumbers w:val="0"/>
        <w:kinsoku/>
        <w:wordWrap/>
        <w:overflowPunct/>
        <w:topLinePunct w:val="0"/>
        <w:autoSpaceDE/>
        <w:autoSpaceDN/>
        <w:bidi w:val="0"/>
        <w:adjustRightInd/>
        <w:spacing w:before="0" w:beforeAutospacing="0" w:after="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系统需满足全流程闭环：必须包含接口爬取步骤，原始数据需落盘并可追溯；清洗需包含去重、缺失处理、异常过滤、格式统一并产出清洗报告；清洗后数据需完整写入MySQL并可用SQL验证；可视化必须基于MySQL的清洗后数据生成，且至少输出8种不同维度图表，本项目进一步扩展到1</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图表并形成交互式大屏。系统还需具备稳定性与可复现性：采集需避免接口高负载限制并支持限流与超时处理；数据与图表输出需版本化管理，保证结果可复核。</w:t>
      </w:r>
    </w:p>
    <w:p w14:paraId="459C7010">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440" w:lineRule="exact"/>
        <w:ind w:firstLine="480" w:firstLineChars="200"/>
        <w:textAlignment w:val="auto"/>
        <w:outlineLvl w:val="9"/>
        <w:rPr>
          <w:rFonts w:hint="default" w:ascii="Times New Roman" w:hAnsi="Times New Roman" w:cs="Times New Roman"/>
          <w:sz w:val="24"/>
          <w:szCs w:val="24"/>
        </w:rPr>
      </w:pPr>
      <w:bookmarkStart w:id="824" w:name="_Toc17592"/>
      <w:bookmarkStart w:id="825" w:name="_Toc3925"/>
      <w:r>
        <w:rPr>
          <w:rFonts w:hint="default" w:ascii="Times New Roman" w:hAnsi="Times New Roman" w:cs="Times New Roman"/>
          <w:sz w:val="24"/>
          <w:szCs w:val="24"/>
        </w:rPr>
        <w:t>2.2可行性分析</w:t>
      </w:r>
      <w:bookmarkEnd w:id="824"/>
      <w:bookmarkEnd w:id="825"/>
    </w:p>
    <w:p w14:paraId="21E82B0F">
      <w:pPr>
        <w:pStyle w:val="32"/>
        <w:keepNext w:val="0"/>
        <w:keepLines w:val="0"/>
        <w:pageBreakBefore w:val="0"/>
        <w:widowControl/>
        <w:suppressLineNumbers w:val="0"/>
        <w:kinsoku/>
        <w:wordWrap/>
        <w:overflowPunct/>
        <w:topLinePunct w:val="0"/>
        <w:autoSpaceDE/>
        <w:autoSpaceDN/>
        <w:bidi w:val="0"/>
        <w:adjustRightInd/>
        <w:spacing w:before="0" w:beforeAutospacing="0" w:after="0" w:afterAutospacing="0" w:line="440" w:lineRule="exact"/>
        <w:ind w:firstLine="480" w:firstLineChars="200"/>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从数据可行性看，数据来源权威且开放，接口支持结构化获取，满足“必须爬取”的要求；从技术可行性看，采集、清洗、入库、可视化均可在Python生态中实现，依赖成熟库且风险可控；从工作量可行性看，采用分模块与单Notebook流程组织，可在课程周期内完成并可多次迭代优化。综合判断，本项目在数据、技术与时间上均具备可行性。</w:t>
      </w:r>
    </w:p>
    <w:p w14:paraId="6D6A7F96">
      <w:pPr>
        <w:keepNext w:val="0"/>
        <w:keepLines w:val="0"/>
        <w:pageBreakBefore w:val="0"/>
        <w:kinsoku/>
        <w:wordWrap/>
        <w:overflowPunct/>
        <w:topLinePunct w:val="0"/>
        <w:autoSpaceDE/>
        <w:autoSpaceDN/>
        <w:bidi w:val="0"/>
        <w:adjustRightInd/>
        <w:spacing w:beforeAutospacing="0" w:afterAutospacing="0" w:line="440" w:lineRule="exact"/>
        <w:ind w:firstLine="480" w:firstLineChars="200"/>
        <w:jc w:val="left"/>
        <w:outlineLvl w:val="9"/>
        <w:rPr>
          <w:rStyle w:val="168"/>
          <w:rFonts w:hint="default" w:ascii="Times New Roman" w:hAnsi="Times New Roman" w:cs="Times New Roman"/>
          <w:b w:val="0"/>
          <w:bCs w:val="0"/>
          <w:sz w:val="24"/>
          <w:szCs w:val="24"/>
          <w:lang w:val="en-US" w:eastAsia="zh-CN"/>
        </w:rPr>
      </w:pPr>
      <w:bookmarkStart w:id="826" w:name="_Toc1114"/>
      <w:bookmarkStart w:id="827" w:name="_Toc524"/>
      <w:bookmarkStart w:id="828" w:name="_Toc8054"/>
      <w:r>
        <w:rPr>
          <w:rStyle w:val="168"/>
          <w:rFonts w:hint="default" w:ascii="Times New Roman" w:hAnsi="Times New Roman" w:cs="Times New Roman"/>
          <w:b w:val="0"/>
          <w:bCs w:val="0"/>
          <w:sz w:val="24"/>
          <w:szCs w:val="24"/>
          <w:lang w:val="en-US" w:eastAsia="zh-CN"/>
        </w:rPr>
        <w:t>2.3数据范围与数据源说明</w:t>
      </w:r>
      <w:bookmarkEnd w:id="826"/>
      <w:bookmarkEnd w:id="827"/>
    </w:p>
    <w:bookmarkEnd w:id="828"/>
    <w:p w14:paraId="0CC7AD0A">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2.3.1数据范围</w:t>
      </w:r>
    </w:p>
    <w:p w14:paraId="4019A305">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本项目采集对象为英国食品卫生评级体系公开数据中的“食品经营场所”记录，覆盖餐饮、零售、外卖、学校食堂、酒店等多类经营主体。数据范围从以下三个维度进行边界控制：</w:t>
      </w:r>
    </w:p>
    <w:p w14:paraId="2E42B00F">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bookmarkStart w:id="829" w:name="_Toc3038"/>
      <w:r>
        <w:rPr>
          <w:rFonts w:hint="default" w:ascii="Times New Roman" w:hAnsi="Times New Roman" w:cs="Times New Roman" w:eastAsiaTheme="minorEastAsia"/>
          <w:b w:val="0"/>
          <w:bCs w:val="0"/>
          <w:sz w:val="24"/>
          <w:szCs w:val="24"/>
          <w:lang w:val="en-US" w:eastAsia="zh-CN"/>
        </w:rPr>
        <w:t>1）地区范围</w:t>
      </w:r>
      <w:bookmarkEnd w:id="829"/>
    </w:p>
    <w:p w14:paraId="46887896">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采集以地方当局为分片单位，选择若干地区作为样本窗口进行抓取。项目最终样本覆盖25个地区，保证地区维度的对比分析可行，并避免一次性全量查询触发接口限制。</w:t>
      </w:r>
    </w:p>
    <w:p w14:paraId="0E909573">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bookmarkStart w:id="830" w:name="_Toc5961"/>
      <w:r>
        <w:rPr>
          <w:rFonts w:hint="default" w:ascii="Times New Roman" w:hAnsi="Times New Roman" w:cs="Times New Roman" w:eastAsiaTheme="minorEastAsia"/>
          <w:b w:val="0"/>
          <w:bCs w:val="0"/>
          <w:sz w:val="24"/>
          <w:szCs w:val="24"/>
          <w:lang w:val="en-US" w:eastAsia="zh-CN"/>
        </w:rPr>
        <w:t>2）数据量范围</w:t>
      </w:r>
      <w:bookmarkEnd w:id="830"/>
    </w:p>
    <w:p w14:paraId="45FA3839">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以“清洗后有效数据量≥1200条”为底线要求，本项目清洗后得到23001条有效记录，满足统计分析、趋势分析、空间热点分析及可视化大屏展示所需的数据规模。</w:t>
      </w:r>
    </w:p>
    <w:p w14:paraId="61F2C7BA">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bookmarkStart w:id="831" w:name="_Toc28401"/>
      <w:r>
        <w:rPr>
          <w:rFonts w:hint="default" w:ascii="Times New Roman" w:hAnsi="Times New Roman" w:cs="Times New Roman" w:eastAsiaTheme="minorEastAsia"/>
          <w:b w:val="0"/>
          <w:bCs w:val="0"/>
          <w:sz w:val="24"/>
          <w:szCs w:val="24"/>
          <w:lang w:val="en-US" w:eastAsia="zh-CN"/>
        </w:rPr>
        <w:t>3）时间范围</w:t>
      </w:r>
      <w:bookmarkEnd w:id="831"/>
    </w:p>
    <w:p w14:paraId="099FCD50">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记录包含评级日期字段，可用于时间序列统计。为保证趋势分析稳定性，项目在趋势模块中对时间范围进行口径控制：例如限定“近18个月”并对最新月份的更新不完整情况进行说明，避免误判。</w:t>
      </w:r>
    </w:p>
    <w:p w14:paraId="0036A239">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2.3.2数据源说明（来源、性质与合规性）</w:t>
      </w:r>
    </w:p>
    <w:p w14:paraId="54FEADB8">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数据来自英国食品标准局公开发布的食品卫生评级数据，属于政府/公共机构开放数据范畴，具有较高可信度和可用性，适合作为课程项目的数据基础。</w:t>
      </w:r>
    </w:p>
    <w:p w14:paraId="2E421C69">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数据通过官方开放接口获取，返回为结构化格式（以JSON为主）。接口提供两类关键能力：</w:t>
      </w:r>
    </w:p>
    <w:p w14:paraId="6FEEA296">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获取地区列表：用于建立分片抓取的“索引”；</w:t>
      </w:r>
    </w:p>
    <w:p w14:paraId="15FBCED2">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按地区获取经营场所列表：支持分页参数，从而可持续抓取大量记录。</w:t>
      </w:r>
    </w:p>
    <w:p w14:paraId="08017C11">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由于接口对高负载查询存在限制（例如提示“高CPU消耗查询”需要添加过滤条件），本项目采用“按地区分片+分页抓取+限流”的策略：</w:t>
      </w:r>
    </w:p>
    <w:p w14:paraId="6BA51A81">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分片：以地区作为过滤条件，避免全量大查询；</w:t>
      </w:r>
    </w:p>
    <w:p w14:paraId="6C0F2403">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分页：逐页获取记录并设置每页条数，提高效率且保持稳定；</w:t>
      </w:r>
    </w:p>
    <w:p w14:paraId="5162865A">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限流与超时：设置请求间隔与超时参数，降低触发限流与卡死风险；</w:t>
      </w:r>
    </w:p>
    <w:p w14:paraId="63150FD1">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去重：以门店唯一标识去重，避免跨页或跨地区重复。</w:t>
      </w:r>
    </w:p>
    <w:p w14:paraId="2E6C5828">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该策略兼顾了接口规则、抓取稳定性与数据规模需求，是本项目能够获取2万级数据量并保持可复现的关键。</w:t>
      </w:r>
    </w:p>
    <w:p w14:paraId="56723782">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2.3.3字段覆盖与分析适配性</w:t>
      </w:r>
    </w:p>
    <w:p w14:paraId="5EF0737B">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本项目所采集的数据字段不仅满足“≥5个有效字段”的课程要求，还具备良好的分析适配性，具体体现在：</w:t>
      </w:r>
    </w:p>
    <w:p w14:paraId="3000553D">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1）评价结果+过程扣分并存</w:t>
      </w:r>
    </w:p>
    <w:p w14:paraId="5D0CDBCC">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既有最终评级，也包含卫生、结构、管理等扣分维度，便于构建风险分数、做多因素联合分析与分群画像。</w:t>
      </w:r>
    </w:p>
    <w:p w14:paraId="089CBDEB">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2）地区与空间信息齐全</w:t>
      </w:r>
    </w:p>
    <w:p w14:paraId="39450A56">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包含地区信息与经纬度（部分记录缺失），支持地区对比和空间热点可视化；同时在清洗报告中量化坐标缺失率，并在地图分析中采用“仅使用有坐标样本”的口径控制，保证结论可靠。</w:t>
      </w:r>
    </w:p>
    <w:p w14:paraId="66AAE36E">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3）具备时间字段，支持趋势分析</w:t>
      </w:r>
    </w:p>
    <w:p w14:paraId="19A01818">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包含评级日期，可派生年月字段用于月度趋势与阶段波动分析，并结合数据更新节奏对尾部月份进行解释。</w:t>
      </w:r>
    </w:p>
    <w:p w14:paraId="4E4A0421">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2.3.4数据输出与可追溯性约定</w:t>
      </w:r>
    </w:p>
    <w:p w14:paraId="411854E8">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为保证数据可追溯与可复现，项目在采集阶段与清洗阶段分别输出两类数据资产：</w:t>
      </w:r>
    </w:p>
    <w:p w14:paraId="729BEFA6">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原始数据文件：保留接口原始响应并记录抓取时间、来源说明与字段解释；</w:t>
      </w:r>
    </w:p>
    <w:p w14:paraId="477030F8">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清洗后数据文件：输出结构化表格数据，同时生成清洗报告，记录清洗前后数据量、去重数量、缺失与异常处理结果等关键指标。</w:t>
      </w:r>
    </w:p>
    <w:p w14:paraId="2D1985B5">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这些输出物为后续数据库入库验证、分析复核与答辩展示提供了证据链支撑。</w:t>
      </w:r>
    </w:p>
    <w:p w14:paraId="119AAC8F">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b w:val="0"/>
          <w:bCs w:val="0"/>
          <w:sz w:val="24"/>
          <w:szCs w:val="24"/>
        </w:rPr>
      </w:pPr>
      <w:bookmarkStart w:id="832" w:name="_Toc22550"/>
      <w:bookmarkStart w:id="833" w:name="_Toc1687"/>
      <w:r>
        <w:rPr>
          <w:rFonts w:hint="default" w:ascii="Times New Roman" w:hAnsi="Times New Roman" w:cs="Times New Roman"/>
          <w:b w:val="0"/>
          <w:bCs w:val="0"/>
          <w:sz w:val="24"/>
          <w:szCs w:val="24"/>
          <w:lang w:val="en-US" w:eastAsia="zh-CN"/>
        </w:rPr>
        <w:t>2</w:t>
      </w:r>
      <w:r>
        <w:rPr>
          <w:rFonts w:hint="default" w:ascii="Times New Roman" w:hAnsi="Times New Roman" w:cs="Times New Roman"/>
          <w:b w:val="0"/>
          <w:bCs w:val="0"/>
          <w:sz w:val="24"/>
          <w:szCs w:val="24"/>
        </w:rPr>
        <w:t>.4数据字段需求</w:t>
      </w:r>
      <w:bookmarkEnd w:id="832"/>
      <w:bookmarkEnd w:id="833"/>
    </w:p>
    <w:p w14:paraId="50626157">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2.4.1字段分层与作用总览</w:t>
      </w:r>
    </w:p>
    <w:p w14:paraId="2EB2EB5E">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为支撑“采集—清洗—入库—分析—可视化”全流程，本项目字段按用途分为6类：</w:t>
      </w:r>
    </w:p>
    <w:p w14:paraId="3EC3FD29">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主键与门店基本信息：用于唯一定位门店、展示明细</w:t>
      </w:r>
    </w:p>
    <w:p w14:paraId="0175CBDE">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业态与评级信息：用于做评级分布、业态对比、趋势统计</w:t>
      </w:r>
    </w:p>
    <w:p w14:paraId="46B4D600">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地区与编码信息：用于地区维度对比与索引加速</w:t>
      </w:r>
    </w:p>
    <w:p w14:paraId="6337C651">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地址与邮编信息：用于展示与地理定位辅助</w:t>
      </w:r>
    </w:p>
    <w:p w14:paraId="5A953CC6">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地理坐标信息：用于地图散点/热点</w:t>
      </w:r>
    </w:p>
    <w:p w14:paraId="1D6CA18C">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采集元数据与清洗衍生字段：用于可追溯、可复现、口径控制</w:t>
      </w:r>
    </w:p>
    <w:p w14:paraId="4E81DE51">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2.4.2入库字典</w:t>
      </w:r>
    </w:p>
    <w:tbl>
      <w:tblPr>
        <w:tblStyle w:val="35"/>
        <w:tblW w:w="857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24"/>
        <w:gridCol w:w="1310"/>
        <w:gridCol w:w="1380"/>
        <w:gridCol w:w="710"/>
        <w:gridCol w:w="1360"/>
        <w:gridCol w:w="1390"/>
        <w:gridCol w:w="1403"/>
      </w:tblGrid>
      <w:tr w14:paraId="4DC9A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blHeader/>
          <w:jc w:val="center"/>
        </w:trPr>
        <w:tc>
          <w:tcPr>
            <w:tcW w:w="1024" w:type="dxa"/>
            <w:tcBorders>
              <w:top w:val="single" w:color="000000" w:sz="12" w:space="0"/>
              <w:left w:val="nil"/>
              <w:bottom w:val="single" w:color="000000" w:sz="4" w:space="0"/>
              <w:right w:val="nil"/>
              <w:tl2br w:val="nil"/>
            </w:tcBorders>
            <w:shd w:val="clear" w:color="auto" w:fill="FFFFFF"/>
            <w:vAlign w:val="center"/>
          </w:tcPr>
          <w:p w14:paraId="473A909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中文字段名</w:t>
            </w:r>
          </w:p>
        </w:tc>
        <w:tc>
          <w:tcPr>
            <w:tcW w:w="1310" w:type="dxa"/>
            <w:tcBorders>
              <w:top w:val="single" w:color="000000" w:sz="12" w:space="0"/>
              <w:left w:val="nil"/>
              <w:bottom w:val="single" w:color="000000" w:sz="4" w:space="0"/>
              <w:right w:val="nil"/>
            </w:tcBorders>
            <w:shd w:val="clear" w:color="auto" w:fill="FFFFFF"/>
            <w:vAlign w:val="center"/>
          </w:tcPr>
          <w:p w14:paraId="5D3F2F1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字段原名（列名）</w:t>
            </w:r>
          </w:p>
        </w:tc>
        <w:tc>
          <w:tcPr>
            <w:tcW w:w="1380" w:type="dxa"/>
            <w:tcBorders>
              <w:top w:val="single" w:color="000000" w:sz="12" w:space="0"/>
              <w:left w:val="nil"/>
              <w:bottom w:val="single" w:color="000000" w:sz="4" w:space="0"/>
              <w:right w:val="nil"/>
            </w:tcBorders>
            <w:shd w:val="clear" w:color="auto" w:fill="FFFFFF"/>
            <w:vAlign w:val="center"/>
          </w:tcPr>
          <w:p w14:paraId="4CD4966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含义/口径说明</w:t>
            </w:r>
          </w:p>
        </w:tc>
        <w:tc>
          <w:tcPr>
            <w:tcW w:w="710" w:type="dxa"/>
            <w:tcBorders>
              <w:top w:val="single" w:color="000000" w:sz="12" w:space="0"/>
              <w:left w:val="nil"/>
              <w:bottom w:val="single" w:color="000000" w:sz="4" w:space="0"/>
              <w:right w:val="nil"/>
            </w:tcBorders>
            <w:shd w:val="clear" w:color="auto" w:fill="FFFFFF"/>
            <w:vAlign w:val="center"/>
          </w:tcPr>
          <w:p w14:paraId="112FA6A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是否必填</w:t>
            </w:r>
          </w:p>
        </w:tc>
        <w:tc>
          <w:tcPr>
            <w:tcW w:w="1360" w:type="dxa"/>
            <w:tcBorders>
              <w:top w:val="single" w:color="000000" w:sz="12" w:space="0"/>
              <w:left w:val="nil"/>
              <w:bottom w:val="single" w:color="000000" w:sz="4" w:space="0"/>
              <w:right w:val="nil"/>
            </w:tcBorders>
            <w:shd w:val="clear" w:color="auto" w:fill="FFFFFF"/>
            <w:vAlign w:val="center"/>
          </w:tcPr>
          <w:p w14:paraId="70215CE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清洗规则</w:t>
            </w:r>
          </w:p>
        </w:tc>
        <w:tc>
          <w:tcPr>
            <w:tcW w:w="1390" w:type="dxa"/>
            <w:tcBorders>
              <w:top w:val="single" w:color="000000" w:sz="12" w:space="0"/>
              <w:left w:val="nil"/>
              <w:bottom w:val="single" w:color="000000" w:sz="4" w:space="0"/>
              <w:right w:val="nil"/>
            </w:tcBorders>
            <w:shd w:val="clear" w:color="auto" w:fill="FFFFFF"/>
            <w:vAlign w:val="center"/>
          </w:tcPr>
          <w:p w14:paraId="67EB39D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MySQL类型</w:t>
            </w:r>
          </w:p>
        </w:tc>
        <w:tc>
          <w:tcPr>
            <w:tcW w:w="1403" w:type="dxa"/>
            <w:tcBorders>
              <w:top w:val="single" w:color="000000" w:sz="12" w:space="0"/>
              <w:left w:val="nil"/>
              <w:bottom w:val="single" w:color="000000" w:sz="4" w:space="0"/>
              <w:right w:val="nil"/>
            </w:tcBorders>
            <w:shd w:val="clear" w:color="auto" w:fill="FFFFFF"/>
            <w:vAlign w:val="center"/>
          </w:tcPr>
          <w:p w14:paraId="43AD6FB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主要用途</w:t>
            </w:r>
          </w:p>
        </w:tc>
      </w:tr>
      <w:tr w14:paraId="6C16B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single" w:color="000000" w:sz="4" w:space="0"/>
              <w:left w:val="nil"/>
              <w:bottom w:val="nil"/>
              <w:right w:val="nil"/>
            </w:tcBorders>
            <w:shd w:val="clear" w:color="auto" w:fill="FFFFFF"/>
            <w:vAlign w:val="center"/>
          </w:tcPr>
          <w:p w14:paraId="40808AC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门店唯一标识</w:t>
            </w:r>
          </w:p>
        </w:tc>
        <w:tc>
          <w:tcPr>
            <w:tcW w:w="1310" w:type="dxa"/>
            <w:tcBorders>
              <w:top w:val="single" w:color="000000" w:sz="4" w:space="0"/>
              <w:left w:val="nil"/>
              <w:bottom w:val="nil"/>
              <w:right w:val="nil"/>
            </w:tcBorders>
            <w:shd w:val="clear" w:color="auto" w:fill="FFFFFF"/>
            <w:vAlign w:val="center"/>
          </w:tcPr>
          <w:p w14:paraId="5F7C624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FHRSID</w:t>
            </w:r>
          </w:p>
        </w:tc>
        <w:tc>
          <w:tcPr>
            <w:tcW w:w="1380" w:type="dxa"/>
            <w:tcBorders>
              <w:top w:val="single" w:color="000000" w:sz="4" w:space="0"/>
              <w:left w:val="nil"/>
              <w:bottom w:val="nil"/>
              <w:right w:val="nil"/>
            </w:tcBorders>
            <w:shd w:val="clear" w:color="auto" w:fill="FFFFFF"/>
            <w:vAlign w:val="center"/>
          </w:tcPr>
          <w:p w14:paraId="03D9D8F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每个经营场所的唯一ID</w:t>
            </w:r>
          </w:p>
        </w:tc>
        <w:tc>
          <w:tcPr>
            <w:tcW w:w="710" w:type="dxa"/>
            <w:tcBorders>
              <w:top w:val="single" w:color="000000" w:sz="4" w:space="0"/>
              <w:left w:val="nil"/>
              <w:bottom w:val="nil"/>
              <w:right w:val="nil"/>
            </w:tcBorders>
            <w:shd w:val="clear" w:color="auto" w:fill="FFFFFF"/>
            <w:vAlign w:val="center"/>
          </w:tcPr>
          <w:p w14:paraId="745271E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single" w:color="000000" w:sz="4" w:space="0"/>
              <w:left w:val="nil"/>
              <w:bottom w:val="nil"/>
              <w:right w:val="nil"/>
            </w:tcBorders>
            <w:shd w:val="clear" w:color="auto" w:fill="FFFFFF"/>
            <w:vAlign w:val="center"/>
          </w:tcPr>
          <w:p w14:paraId="05DF67E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用作主键；去重依据；禁止为空与重复</w:t>
            </w:r>
          </w:p>
        </w:tc>
        <w:tc>
          <w:tcPr>
            <w:tcW w:w="1390" w:type="dxa"/>
            <w:tcBorders>
              <w:top w:val="single" w:color="000000" w:sz="4" w:space="0"/>
              <w:left w:val="nil"/>
              <w:bottom w:val="nil"/>
              <w:right w:val="nil"/>
            </w:tcBorders>
            <w:shd w:val="clear" w:color="auto" w:fill="FFFFFF"/>
            <w:vAlign w:val="center"/>
          </w:tcPr>
          <w:p w14:paraId="561A1CC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BIGINT PRIMARY KEY</w:t>
            </w:r>
          </w:p>
        </w:tc>
        <w:tc>
          <w:tcPr>
            <w:tcW w:w="1403" w:type="dxa"/>
            <w:tcBorders>
              <w:top w:val="single" w:color="000000" w:sz="4" w:space="0"/>
              <w:left w:val="nil"/>
              <w:bottom w:val="nil"/>
              <w:right w:val="nil"/>
            </w:tcBorders>
            <w:shd w:val="clear" w:color="auto" w:fill="FFFFFF"/>
            <w:vAlign w:val="center"/>
          </w:tcPr>
          <w:p w14:paraId="79873E2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去重、关联、明细定位</w:t>
            </w:r>
          </w:p>
        </w:tc>
      </w:tr>
      <w:tr w14:paraId="1E654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5C01DBC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门店名称</w:t>
            </w:r>
          </w:p>
        </w:tc>
        <w:tc>
          <w:tcPr>
            <w:tcW w:w="1310" w:type="dxa"/>
            <w:tcBorders>
              <w:top w:val="nil"/>
              <w:left w:val="nil"/>
              <w:bottom w:val="nil"/>
              <w:right w:val="nil"/>
            </w:tcBorders>
            <w:shd w:val="clear" w:color="auto" w:fill="FFFFFF"/>
            <w:vAlign w:val="center"/>
          </w:tcPr>
          <w:p w14:paraId="6DEC98A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BusinessName</w:t>
            </w:r>
          </w:p>
        </w:tc>
        <w:tc>
          <w:tcPr>
            <w:tcW w:w="1380" w:type="dxa"/>
            <w:tcBorders>
              <w:top w:val="nil"/>
              <w:left w:val="nil"/>
              <w:bottom w:val="nil"/>
              <w:right w:val="nil"/>
            </w:tcBorders>
            <w:shd w:val="clear" w:color="auto" w:fill="FFFFFF"/>
            <w:vAlign w:val="center"/>
          </w:tcPr>
          <w:p w14:paraId="783A526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经营场所名称</w:t>
            </w:r>
          </w:p>
        </w:tc>
        <w:tc>
          <w:tcPr>
            <w:tcW w:w="710" w:type="dxa"/>
            <w:tcBorders>
              <w:top w:val="nil"/>
              <w:left w:val="nil"/>
              <w:bottom w:val="nil"/>
              <w:right w:val="nil"/>
            </w:tcBorders>
            <w:shd w:val="clear" w:color="auto" w:fill="FFFFFF"/>
            <w:vAlign w:val="center"/>
          </w:tcPr>
          <w:p w14:paraId="16467B0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377B336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空值可保留或填“未知”；用于展示不参与数值运算</w:t>
            </w:r>
          </w:p>
        </w:tc>
        <w:tc>
          <w:tcPr>
            <w:tcW w:w="1390" w:type="dxa"/>
            <w:tcBorders>
              <w:top w:val="nil"/>
              <w:left w:val="nil"/>
              <w:bottom w:val="nil"/>
              <w:right w:val="nil"/>
            </w:tcBorders>
            <w:shd w:val="clear" w:color="auto" w:fill="FFFFFF"/>
            <w:vAlign w:val="center"/>
          </w:tcPr>
          <w:p w14:paraId="40E3BDB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03F7A2E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15035D6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明细、提示框、抽样展示</w:t>
            </w:r>
          </w:p>
        </w:tc>
      </w:tr>
      <w:tr w14:paraId="74B9D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0F401D0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经营业态</w:t>
            </w:r>
          </w:p>
        </w:tc>
        <w:tc>
          <w:tcPr>
            <w:tcW w:w="1310" w:type="dxa"/>
            <w:tcBorders>
              <w:top w:val="nil"/>
              <w:left w:val="nil"/>
              <w:bottom w:val="nil"/>
              <w:right w:val="nil"/>
            </w:tcBorders>
            <w:shd w:val="clear" w:color="auto" w:fill="FFFFFF"/>
            <w:vAlign w:val="center"/>
          </w:tcPr>
          <w:p w14:paraId="2EF1E66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BusinessType</w:t>
            </w:r>
          </w:p>
        </w:tc>
        <w:tc>
          <w:tcPr>
            <w:tcW w:w="1380" w:type="dxa"/>
            <w:tcBorders>
              <w:top w:val="nil"/>
              <w:left w:val="nil"/>
              <w:bottom w:val="nil"/>
              <w:right w:val="nil"/>
            </w:tcBorders>
            <w:shd w:val="clear" w:color="auto" w:fill="FFFFFF"/>
            <w:vAlign w:val="center"/>
          </w:tcPr>
          <w:p w14:paraId="38FF572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经营类型（如外卖店、餐馆等）</w:t>
            </w:r>
          </w:p>
        </w:tc>
        <w:tc>
          <w:tcPr>
            <w:tcW w:w="710" w:type="dxa"/>
            <w:tcBorders>
              <w:top w:val="nil"/>
              <w:left w:val="nil"/>
              <w:bottom w:val="nil"/>
              <w:right w:val="nil"/>
            </w:tcBorders>
            <w:shd w:val="clear" w:color="auto" w:fill="FFFFFF"/>
            <w:vAlign w:val="center"/>
          </w:tcPr>
          <w:p w14:paraId="3079952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7EA817C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空值填“未知”</w:t>
            </w:r>
          </w:p>
        </w:tc>
        <w:tc>
          <w:tcPr>
            <w:tcW w:w="1390" w:type="dxa"/>
            <w:tcBorders>
              <w:top w:val="nil"/>
              <w:left w:val="nil"/>
              <w:bottom w:val="nil"/>
              <w:right w:val="nil"/>
            </w:tcBorders>
            <w:shd w:val="clear" w:color="auto" w:fill="FFFFFF"/>
            <w:vAlign w:val="center"/>
          </w:tcPr>
          <w:p w14:paraId="48776BC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198B18D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 + INDEX</w:t>
            </w:r>
          </w:p>
        </w:tc>
        <w:tc>
          <w:tcPr>
            <w:tcW w:w="1403" w:type="dxa"/>
            <w:tcBorders>
              <w:top w:val="nil"/>
              <w:left w:val="nil"/>
              <w:bottom w:val="nil"/>
              <w:right w:val="nil"/>
            </w:tcBorders>
            <w:shd w:val="clear" w:color="auto" w:fill="FFFFFF"/>
            <w:vAlign w:val="center"/>
          </w:tcPr>
          <w:p w14:paraId="73EEC31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业态分布、业态风险对比</w:t>
            </w:r>
          </w:p>
        </w:tc>
      </w:tr>
      <w:tr w14:paraId="65009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466C4FD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经营业态编码</w:t>
            </w:r>
          </w:p>
        </w:tc>
        <w:tc>
          <w:tcPr>
            <w:tcW w:w="1310" w:type="dxa"/>
            <w:tcBorders>
              <w:top w:val="nil"/>
              <w:left w:val="nil"/>
              <w:bottom w:val="nil"/>
              <w:right w:val="nil"/>
            </w:tcBorders>
            <w:shd w:val="clear" w:color="auto" w:fill="FFFFFF"/>
            <w:vAlign w:val="center"/>
          </w:tcPr>
          <w:p w14:paraId="1E686DF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BusinessTypeID</w:t>
            </w:r>
          </w:p>
        </w:tc>
        <w:tc>
          <w:tcPr>
            <w:tcW w:w="1380" w:type="dxa"/>
            <w:tcBorders>
              <w:top w:val="nil"/>
              <w:left w:val="nil"/>
              <w:bottom w:val="nil"/>
              <w:right w:val="nil"/>
            </w:tcBorders>
            <w:shd w:val="clear" w:color="auto" w:fill="FFFFFF"/>
            <w:vAlign w:val="center"/>
          </w:tcPr>
          <w:p w14:paraId="5F3DE61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业态对应的数值编码</w:t>
            </w:r>
          </w:p>
        </w:tc>
        <w:tc>
          <w:tcPr>
            <w:tcW w:w="710" w:type="dxa"/>
            <w:tcBorders>
              <w:top w:val="nil"/>
              <w:left w:val="nil"/>
              <w:bottom w:val="nil"/>
              <w:right w:val="nil"/>
            </w:tcBorders>
            <w:shd w:val="clear" w:color="auto" w:fill="FFFFFF"/>
            <w:vAlign w:val="center"/>
          </w:tcPr>
          <w:p w14:paraId="25B336A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61D575D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若原始为数值则保留；用于稳定分组/映射</w:t>
            </w:r>
          </w:p>
        </w:tc>
        <w:tc>
          <w:tcPr>
            <w:tcW w:w="1390" w:type="dxa"/>
            <w:tcBorders>
              <w:top w:val="nil"/>
              <w:left w:val="nil"/>
              <w:bottom w:val="nil"/>
              <w:right w:val="nil"/>
            </w:tcBorders>
            <w:shd w:val="clear" w:color="auto" w:fill="FFFFFF"/>
            <w:vAlign w:val="center"/>
          </w:tcPr>
          <w:p w14:paraId="7A0D17D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INT</w:t>
            </w:r>
          </w:p>
        </w:tc>
        <w:tc>
          <w:tcPr>
            <w:tcW w:w="1403" w:type="dxa"/>
            <w:tcBorders>
              <w:top w:val="nil"/>
              <w:left w:val="nil"/>
              <w:bottom w:val="nil"/>
              <w:right w:val="nil"/>
            </w:tcBorders>
            <w:shd w:val="clear" w:color="auto" w:fill="FFFFFF"/>
            <w:vAlign w:val="center"/>
          </w:tcPr>
          <w:p w14:paraId="5BA1B33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业态映射、分组统计</w:t>
            </w:r>
          </w:p>
        </w:tc>
      </w:tr>
      <w:tr w14:paraId="5D110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8FE87A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评级文本</w:t>
            </w:r>
          </w:p>
        </w:tc>
        <w:tc>
          <w:tcPr>
            <w:tcW w:w="1310" w:type="dxa"/>
            <w:tcBorders>
              <w:top w:val="nil"/>
              <w:left w:val="nil"/>
              <w:bottom w:val="nil"/>
              <w:right w:val="nil"/>
            </w:tcBorders>
            <w:shd w:val="clear" w:color="auto" w:fill="FFFFFF"/>
            <w:vAlign w:val="center"/>
          </w:tcPr>
          <w:p w14:paraId="60607B1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RatingValue</w:t>
            </w:r>
          </w:p>
        </w:tc>
        <w:tc>
          <w:tcPr>
            <w:tcW w:w="1380" w:type="dxa"/>
            <w:tcBorders>
              <w:top w:val="nil"/>
              <w:left w:val="nil"/>
              <w:bottom w:val="nil"/>
              <w:right w:val="nil"/>
            </w:tcBorders>
            <w:shd w:val="clear" w:color="auto" w:fill="FFFFFF"/>
            <w:vAlign w:val="center"/>
          </w:tcPr>
          <w:p w14:paraId="6993EE4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评级的文本形式（可能为“5”“4”等）</w:t>
            </w:r>
          </w:p>
        </w:tc>
        <w:tc>
          <w:tcPr>
            <w:tcW w:w="710" w:type="dxa"/>
            <w:tcBorders>
              <w:top w:val="nil"/>
              <w:left w:val="nil"/>
              <w:bottom w:val="nil"/>
              <w:right w:val="nil"/>
            </w:tcBorders>
            <w:shd w:val="clear" w:color="auto" w:fill="FFFFFF"/>
            <w:vAlign w:val="center"/>
          </w:tcPr>
          <w:p w14:paraId="6EFB87C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7E6CE28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原样保留；用于文本结构统计</w:t>
            </w:r>
          </w:p>
        </w:tc>
        <w:tc>
          <w:tcPr>
            <w:tcW w:w="1390" w:type="dxa"/>
            <w:tcBorders>
              <w:top w:val="nil"/>
              <w:left w:val="nil"/>
              <w:bottom w:val="nil"/>
              <w:right w:val="nil"/>
            </w:tcBorders>
            <w:shd w:val="clear" w:color="auto" w:fill="FFFFFF"/>
            <w:vAlign w:val="center"/>
          </w:tcPr>
          <w:p w14:paraId="711F6CA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VARCHAR(50)</w:t>
            </w:r>
          </w:p>
        </w:tc>
        <w:tc>
          <w:tcPr>
            <w:tcW w:w="1403" w:type="dxa"/>
            <w:tcBorders>
              <w:top w:val="nil"/>
              <w:left w:val="nil"/>
              <w:bottom w:val="nil"/>
              <w:right w:val="nil"/>
            </w:tcBorders>
            <w:shd w:val="clear" w:color="auto" w:fill="FFFFFF"/>
            <w:vAlign w:val="center"/>
          </w:tcPr>
          <w:p w14:paraId="1A44F6F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评级结构饼图、质量展示</w:t>
            </w:r>
          </w:p>
        </w:tc>
      </w:tr>
      <w:tr w14:paraId="4D670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7EFB28B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评级键</w:t>
            </w:r>
          </w:p>
        </w:tc>
        <w:tc>
          <w:tcPr>
            <w:tcW w:w="1310" w:type="dxa"/>
            <w:tcBorders>
              <w:top w:val="nil"/>
              <w:left w:val="nil"/>
              <w:bottom w:val="nil"/>
              <w:right w:val="nil"/>
            </w:tcBorders>
            <w:shd w:val="clear" w:color="auto" w:fill="FFFFFF"/>
            <w:vAlign w:val="center"/>
          </w:tcPr>
          <w:p w14:paraId="0696C88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RatingKey</w:t>
            </w:r>
          </w:p>
        </w:tc>
        <w:tc>
          <w:tcPr>
            <w:tcW w:w="1380" w:type="dxa"/>
            <w:tcBorders>
              <w:top w:val="nil"/>
              <w:left w:val="nil"/>
              <w:bottom w:val="nil"/>
              <w:right w:val="nil"/>
            </w:tcBorders>
            <w:shd w:val="clear" w:color="auto" w:fill="FFFFFF"/>
            <w:vAlign w:val="center"/>
          </w:tcPr>
          <w:p w14:paraId="33A6244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评级对应的键值（如 fhrs_5…）</w:t>
            </w:r>
          </w:p>
        </w:tc>
        <w:tc>
          <w:tcPr>
            <w:tcW w:w="710" w:type="dxa"/>
            <w:tcBorders>
              <w:top w:val="nil"/>
              <w:left w:val="nil"/>
              <w:bottom w:val="nil"/>
              <w:right w:val="nil"/>
            </w:tcBorders>
            <w:shd w:val="clear" w:color="auto" w:fill="FFFFFF"/>
            <w:vAlign w:val="center"/>
          </w:tcPr>
          <w:p w14:paraId="360E935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2104477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原样保留；用于追溯/校验</w:t>
            </w:r>
          </w:p>
        </w:tc>
        <w:tc>
          <w:tcPr>
            <w:tcW w:w="1390" w:type="dxa"/>
            <w:tcBorders>
              <w:top w:val="nil"/>
              <w:left w:val="nil"/>
              <w:bottom w:val="nil"/>
              <w:right w:val="nil"/>
            </w:tcBorders>
            <w:shd w:val="clear" w:color="auto" w:fill="FFFFFF"/>
            <w:vAlign w:val="center"/>
          </w:tcPr>
          <w:p w14:paraId="2381887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VARCHAR(50)</w:t>
            </w:r>
          </w:p>
        </w:tc>
        <w:tc>
          <w:tcPr>
            <w:tcW w:w="1403" w:type="dxa"/>
            <w:tcBorders>
              <w:top w:val="nil"/>
              <w:left w:val="nil"/>
              <w:bottom w:val="nil"/>
              <w:right w:val="nil"/>
            </w:tcBorders>
            <w:shd w:val="clear" w:color="auto" w:fill="FFFFFF"/>
            <w:vAlign w:val="center"/>
          </w:tcPr>
          <w:p w14:paraId="50EDCA9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数据追溯、字段一致性检查</w:t>
            </w:r>
          </w:p>
        </w:tc>
      </w:tr>
      <w:tr w14:paraId="451BA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34E12E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评级日期</w:t>
            </w:r>
          </w:p>
        </w:tc>
        <w:tc>
          <w:tcPr>
            <w:tcW w:w="1310" w:type="dxa"/>
            <w:tcBorders>
              <w:top w:val="nil"/>
              <w:left w:val="nil"/>
              <w:bottom w:val="nil"/>
              <w:right w:val="nil"/>
            </w:tcBorders>
            <w:shd w:val="clear" w:color="auto" w:fill="FFFFFF"/>
            <w:vAlign w:val="center"/>
          </w:tcPr>
          <w:p w14:paraId="099D5E3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RatingDate</w:t>
            </w:r>
          </w:p>
        </w:tc>
        <w:tc>
          <w:tcPr>
            <w:tcW w:w="1380" w:type="dxa"/>
            <w:tcBorders>
              <w:top w:val="nil"/>
              <w:left w:val="nil"/>
              <w:bottom w:val="nil"/>
              <w:right w:val="nil"/>
            </w:tcBorders>
            <w:shd w:val="clear" w:color="auto" w:fill="FFFFFF"/>
            <w:vAlign w:val="center"/>
          </w:tcPr>
          <w:p w14:paraId="798D969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评级/检查发生日期</w:t>
            </w:r>
          </w:p>
        </w:tc>
        <w:tc>
          <w:tcPr>
            <w:tcW w:w="710" w:type="dxa"/>
            <w:tcBorders>
              <w:top w:val="nil"/>
              <w:left w:val="nil"/>
              <w:bottom w:val="nil"/>
              <w:right w:val="nil"/>
            </w:tcBorders>
            <w:shd w:val="clear" w:color="auto" w:fill="FFFFFF"/>
            <w:vAlign w:val="center"/>
          </w:tcPr>
          <w:p w14:paraId="7D735ED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572FB3B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统一为 YYYY-MM-DD；无法解析则置空并记录</w:t>
            </w:r>
          </w:p>
        </w:tc>
        <w:tc>
          <w:tcPr>
            <w:tcW w:w="1390" w:type="dxa"/>
            <w:tcBorders>
              <w:top w:val="nil"/>
              <w:left w:val="nil"/>
              <w:bottom w:val="nil"/>
              <w:right w:val="nil"/>
            </w:tcBorders>
            <w:shd w:val="clear" w:color="auto" w:fill="FFFFFF"/>
            <w:vAlign w:val="center"/>
          </w:tcPr>
          <w:p w14:paraId="19B7DF7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DATE</w:t>
            </w:r>
          </w:p>
        </w:tc>
        <w:tc>
          <w:tcPr>
            <w:tcW w:w="1403" w:type="dxa"/>
            <w:tcBorders>
              <w:top w:val="nil"/>
              <w:left w:val="nil"/>
              <w:bottom w:val="nil"/>
              <w:right w:val="nil"/>
            </w:tcBorders>
            <w:shd w:val="clear" w:color="auto" w:fill="FFFFFF"/>
            <w:vAlign w:val="center"/>
          </w:tcPr>
          <w:p w14:paraId="48CC4B7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趋势统计、时间过滤</w:t>
            </w:r>
          </w:p>
        </w:tc>
      </w:tr>
      <w:tr w14:paraId="56D89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205B1F0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评级体系类型</w:t>
            </w:r>
          </w:p>
        </w:tc>
        <w:tc>
          <w:tcPr>
            <w:tcW w:w="1310" w:type="dxa"/>
            <w:tcBorders>
              <w:top w:val="nil"/>
              <w:left w:val="nil"/>
              <w:bottom w:val="nil"/>
              <w:right w:val="nil"/>
            </w:tcBorders>
            <w:shd w:val="clear" w:color="auto" w:fill="FFFFFF"/>
            <w:vAlign w:val="center"/>
          </w:tcPr>
          <w:p w14:paraId="76F0688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SchemeType</w:t>
            </w:r>
          </w:p>
        </w:tc>
        <w:tc>
          <w:tcPr>
            <w:tcW w:w="1380" w:type="dxa"/>
            <w:tcBorders>
              <w:top w:val="nil"/>
              <w:left w:val="nil"/>
              <w:bottom w:val="nil"/>
              <w:right w:val="nil"/>
            </w:tcBorders>
            <w:shd w:val="clear" w:color="auto" w:fill="FFFFFF"/>
            <w:vAlign w:val="center"/>
          </w:tcPr>
          <w:p w14:paraId="656F82A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评级体系标识（通常为 FHRS）</w:t>
            </w:r>
          </w:p>
        </w:tc>
        <w:tc>
          <w:tcPr>
            <w:tcW w:w="710" w:type="dxa"/>
            <w:tcBorders>
              <w:top w:val="nil"/>
              <w:left w:val="nil"/>
              <w:bottom w:val="nil"/>
              <w:right w:val="nil"/>
            </w:tcBorders>
            <w:shd w:val="clear" w:color="auto" w:fill="FFFFFF"/>
            <w:vAlign w:val="center"/>
          </w:tcPr>
          <w:p w14:paraId="4945382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4238393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原样保留；用于过滤与说明</w:t>
            </w:r>
          </w:p>
        </w:tc>
        <w:tc>
          <w:tcPr>
            <w:tcW w:w="1390" w:type="dxa"/>
            <w:tcBorders>
              <w:top w:val="nil"/>
              <w:left w:val="nil"/>
              <w:bottom w:val="nil"/>
              <w:right w:val="nil"/>
            </w:tcBorders>
            <w:shd w:val="clear" w:color="auto" w:fill="FFFFFF"/>
            <w:vAlign w:val="center"/>
          </w:tcPr>
          <w:p w14:paraId="79D284D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VARCHAR(20)</w:t>
            </w:r>
          </w:p>
        </w:tc>
        <w:tc>
          <w:tcPr>
            <w:tcW w:w="1403" w:type="dxa"/>
            <w:tcBorders>
              <w:top w:val="nil"/>
              <w:left w:val="nil"/>
              <w:bottom w:val="nil"/>
              <w:right w:val="nil"/>
            </w:tcBorders>
            <w:shd w:val="clear" w:color="auto" w:fill="FFFFFF"/>
            <w:vAlign w:val="center"/>
          </w:tcPr>
          <w:p w14:paraId="6BB428A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口径说明、筛选</w:t>
            </w:r>
          </w:p>
        </w:tc>
      </w:tr>
      <w:tr w14:paraId="033AC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42DEF8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是否待更新</w:t>
            </w:r>
          </w:p>
        </w:tc>
        <w:tc>
          <w:tcPr>
            <w:tcW w:w="1310" w:type="dxa"/>
            <w:tcBorders>
              <w:top w:val="nil"/>
              <w:left w:val="nil"/>
              <w:bottom w:val="nil"/>
              <w:right w:val="nil"/>
            </w:tcBorders>
            <w:shd w:val="clear" w:color="auto" w:fill="FFFFFF"/>
            <w:vAlign w:val="center"/>
          </w:tcPr>
          <w:p w14:paraId="6FE000C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NewRatingPending</w:t>
            </w:r>
          </w:p>
        </w:tc>
        <w:tc>
          <w:tcPr>
            <w:tcW w:w="1380" w:type="dxa"/>
            <w:tcBorders>
              <w:top w:val="nil"/>
              <w:left w:val="nil"/>
              <w:bottom w:val="nil"/>
              <w:right w:val="nil"/>
            </w:tcBorders>
            <w:shd w:val="clear" w:color="auto" w:fill="FFFFFF"/>
            <w:vAlign w:val="center"/>
          </w:tcPr>
          <w:p w14:paraId="1F12886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新评级是否待定/未最终确定</w:t>
            </w:r>
          </w:p>
        </w:tc>
        <w:tc>
          <w:tcPr>
            <w:tcW w:w="710" w:type="dxa"/>
            <w:tcBorders>
              <w:top w:val="nil"/>
              <w:left w:val="nil"/>
              <w:bottom w:val="nil"/>
              <w:right w:val="nil"/>
            </w:tcBorders>
            <w:shd w:val="clear" w:color="auto" w:fill="FFFFFF"/>
            <w:vAlign w:val="center"/>
          </w:tcPr>
          <w:p w14:paraId="5DA5447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5B75EB5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规范为0/1；缺失按0处理并记录</w:t>
            </w:r>
          </w:p>
        </w:tc>
        <w:tc>
          <w:tcPr>
            <w:tcW w:w="1390" w:type="dxa"/>
            <w:tcBorders>
              <w:top w:val="nil"/>
              <w:left w:val="nil"/>
              <w:bottom w:val="nil"/>
              <w:right w:val="nil"/>
            </w:tcBorders>
            <w:shd w:val="clear" w:color="auto" w:fill="FFFFFF"/>
            <w:vAlign w:val="center"/>
          </w:tcPr>
          <w:p w14:paraId="18489F7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TINYINT(1)</w:t>
            </w:r>
          </w:p>
        </w:tc>
        <w:tc>
          <w:tcPr>
            <w:tcW w:w="1403" w:type="dxa"/>
            <w:tcBorders>
              <w:top w:val="nil"/>
              <w:left w:val="nil"/>
              <w:bottom w:val="nil"/>
              <w:right w:val="nil"/>
            </w:tcBorders>
            <w:shd w:val="clear" w:color="auto" w:fill="FFFFFF"/>
            <w:vAlign w:val="center"/>
          </w:tcPr>
          <w:p w14:paraId="4C4BAE2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待更新占比、质量KPI</w:t>
            </w:r>
          </w:p>
        </w:tc>
      </w:tr>
      <w:tr w14:paraId="2B846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7934D83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地区名称</w:t>
            </w:r>
          </w:p>
        </w:tc>
        <w:tc>
          <w:tcPr>
            <w:tcW w:w="1310" w:type="dxa"/>
            <w:tcBorders>
              <w:top w:val="nil"/>
              <w:left w:val="nil"/>
              <w:bottom w:val="nil"/>
              <w:right w:val="nil"/>
            </w:tcBorders>
            <w:shd w:val="clear" w:color="auto" w:fill="FFFFFF"/>
            <w:vAlign w:val="center"/>
          </w:tcPr>
          <w:p w14:paraId="1B809E7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LocalAuthorityName</w:t>
            </w:r>
          </w:p>
        </w:tc>
        <w:tc>
          <w:tcPr>
            <w:tcW w:w="1380" w:type="dxa"/>
            <w:tcBorders>
              <w:top w:val="nil"/>
              <w:left w:val="nil"/>
              <w:bottom w:val="nil"/>
              <w:right w:val="nil"/>
            </w:tcBorders>
            <w:shd w:val="clear" w:color="auto" w:fill="FFFFFF"/>
            <w:vAlign w:val="center"/>
          </w:tcPr>
          <w:p w14:paraId="019070D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地方当局/地区名称</w:t>
            </w:r>
          </w:p>
        </w:tc>
        <w:tc>
          <w:tcPr>
            <w:tcW w:w="710" w:type="dxa"/>
            <w:tcBorders>
              <w:top w:val="nil"/>
              <w:left w:val="nil"/>
              <w:bottom w:val="nil"/>
              <w:right w:val="nil"/>
            </w:tcBorders>
            <w:shd w:val="clear" w:color="auto" w:fill="FFFFFF"/>
            <w:vAlign w:val="center"/>
          </w:tcPr>
          <w:p w14:paraId="2107173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1BC2FBC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空值填“未知”</w:t>
            </w:r>
          </w:p>
        </w:tc>
        <w:tc>
          <w:tcPr>
            <w:tcW w:w="1390" w:type="dxa"/>
            <w:tcBorders>
              <w:top w:val="nil"/>
              <w:left w:val="nil"/>
              <w:bottom w:val="nil"/>
              <w:right w:val="nil"/>
            </w:tcBorders>
            <w:shd w:val="clear" w:color="auto" w:fill="FFFFFF"/>
            <w:vAlign w:val="center"/>
          </w:tcPr>
          <w:p w14:paraId="23FA1CD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2FFD532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 + INDEX</w:t>
            </w:r>
          </w:p>
        </w:tc>
        <w:tc>
          <w:tcPr>
            <w:tcW w:w="1403" w:type="dxa"/>
            <w:tcBorders>
              <w:top w:val="nil"/>
              <w:left w:val="nil"/>
              <w:bottom w:val="nil"/>
              <w:right w:val="nil"/>
            </w:tcBorders>
            <w:shd w:val="clear" w:color="auto" w:fill="FFFFFF"/>
            <w:vAlign w:val="center"/>
          </w:tcPr>
          <w:p w14:paraId="671D705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地区对比、低评级占比</w:t>
            </w:r>
          </w:p>
        </w:tc>
      </w:tr>
      <w:tr w14:paraId="4C149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0CA7513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地区编码</w:t>
            </w:r>
          </w:p>
        </w:tc>
        <w:tc>
          <w:tcPr>
            <w:tcW w:w="1310" w:type="dxa"/>
            <w:tcBorders>
              <w:top w:val="nil"/>
              <w:left w:val="nil"/>
              <w:bottom w:val="nil"/>
              <w:right w:val="nil"/>
            </w:tcBorders>
            <w:shd w:val="clear" w:color="auto" w:fill="FFFFFF"/>
            <w:vAlign w:val="center"/>
          </w:tcPr>
          <w:p w14:paraId="2809C9C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LocalAuthorityCode</w:t>
            </w:r>
          </w:p>
        </w:tc>
        <w:tc>
          <w:tcPr>
            <w:tcW w:w="1380" w:type="dxa"/>
            <w:tcBorders>
              <w:top w:val="nil"/>
              <w:left w:val="nil"/>
              <w:bottom w:val="nil"/>
              <w:right w:val="nil"/>
            </w:tcBorders>
            <w:shd w:val="clear" w:color="auto" w:fill="FFFFFF"/>
            <w:vAlign w:val="center"/>
          </w:tcPr>
          <w:p w14:paraId="6D1102F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地区编码（数值/代码）</w:t>
            </w:r>
          </w:p>
        </w:tc>
        <w:tc>
          <w:tcPr>
            <w:tcW w:w="710" w:type="dxa"/>
            <w:tcBorders>
              <w:top w:val="nil"/>
              <w:left w:val="nil"/>
              <w:bottom w:val="nil"/>
              <w:right w:val="nil"/>
            </w:tcBorders>
            <w:shd w:val="clear" w:color="auto" w:fill="FFFFFF"/>
            <w:vAlign w:val="center"/>
          </w:tcPr>
          <w:p w14:paraId="4472F3C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6A2F97A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原样保留</w:t>
            </w:r>
          </w:p>
        </w:tc>
        <w:tc>
          <w:tcPr>
            <w:tcW w:w="1390" w:type="dxa"/>
            <w:tcBorders>
              <w:top w:val="nil"/>
              <w:left w:val="nil"/>
              <w:bottom w:val="nil"/>
              <w:right w:val="nil"/>
            </w:tcBorders>
            <w:shd w:val="clear" w:color="auto" w:fill="FFFFFF"/>
            <w:vAlign w:val="center"/>
          </w:tcPr>
          <w:p w14:paraId="5443E3F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INT（或VARCHAR</w:t>
            </w:r>
          </w:p>
          <w:p w14:paraId="0A0DFB0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(20)）</w:t>
            </w:r>
          </w:p>
        </w:tc>
        <w:tc>
          <w:tcPr>
            <w:tcW w:w="1403" w:type="dxa"/>
            <w:tcBorders>
              <w:top w:val="nil"/>
              <w:left w:val="nil"/>
              <w:bottom w:val="nil"/>
              <w:right w:val="nil"/>
            </w:tcBorders>
            <w:shd w:val="clear" w:color="auto" w:fill="FFFFFF"/>
            <w:vAlign w:val="center"/>
          </w:tcPr>
          <w:p w14:paraId="5AD85C5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地区标识、校验</w:t>
            </w:r>
          </w:p>
        </w:tc>
      </w:tr>
      <w:tr w14:paraId="32DFC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264FEF3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邮编</w:t>
            </w:r>
          </w:p>
        </w:tc>
        <w:tc>
          <w:tcPr>
            <w:tcW w:w="1310" w:type="dxa"/>
            <w:tcBorders>
              <w:top w:val="nil"/>
              <w:left w:val="nil"/>
              <w:bottom w:val="nil"/>
              <w:right w:val="nil"/>
            </w:tcBorders>
            <w:shd w:val="clear" w:color="auto" w:fill="FFFFFF"/>
            <w:vAlign w:val="center"/>
          </w:tcPr>
          <w:p w14:paraId="54A0C0C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PostCode</w:t>
            </w:r>
          </w:p>
        </w:tc>
        <w:tc>
          <w:tcPr>
            <w:tcW w:w="1380" w:type="dxa"/>
            <w:tcBorders>
              <w:top w:val="nil"/>
              <w:left w:val="nil"/>
              <w:bottom w:val="nil"/>
              <w:right w:val="nil"/>
            </w:tcBorders>
            <w:shd w:val="clear" w:color="auto" w:fill="FFFFFF"/>
            <w:vAlign w:val="center"/>
          </w:tcPr>
          <w:p w14:paraId="242EC57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英国邮政编码</w:t>
            </w:r>
          </w:p>
        </w:tc>
        <w:tc>
          <w:tcPr>
            <w:tcW w:w="710" w:type="dxa"/>
            <w:tcBorders>
              <w:top w:val="nil"/>
              <w:left w:val="nil"/>
              <w:bottom w:val="nil"/>
              <w:right w:val="nil"/>
            </w:tcBorders>
            <w:shd w:val="clear" w:color="auto" w:fill="FFFFFF"/>
            <w:vAlign w:val="center"/>
          </w:tcPr>
          <w:p w14:paraId="7CC2B72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78EBFEC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格式清洗：去首尾空格；无法识别可置空</w:t>
            </w:r>
          </w:p>
        </w:tc>
        <w:tc>
          <w:tcPr>
            <w:tcW w:w="1390" w:type="dxa"/>
            <w:tcBorders>
              <w:top w:val="nil"/>
              <w:left w:val="nil"/>
              <w:bottom w:val="nil"/>
              <w:right w:val="nil"/>
            </w:tcBorders>
            <w:shd w:val="clear" w:color="auto" w:fill="FFFFFF"/>
            <w:vAlign w:val="center"/>
          </w:tcPr>
          <w:p w14:paraId="0184636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VARCHAR(20)</w:t>
            </w:r>
          </w:p>
        </w:tc>
        <w:tc>
          <w:tcPr>
            <w:tcW w:w="1403" w:type="dxa"/>
            <w:tcBorders>
              <w:top w:val="nil"/>
              <w:left w:val="nil"/>
              <w:bottom w:val="nil"/>
              <w:right w:val="nil"/>
            </w:tcBorders>
            <w:shd w:val="clear" w:color="auto" w:fill="FFFFFF"/>
            <w:vAlign w:val="center"/>
          </w:tcPr>
          <w:p w14:paraId="317B784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地区细分、展示</w:t>
            </w:r>
          </w:p>
        </w:tc>
      </w:tr>
      <w:tr w14:paraId="65E7A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16AFD0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邮编外段</w:t>
            </w:r>
          </w:p>
        </w:tc>
        <w:tc>
          <w:tcPr>
            <w:tcW w:w="1310" w:type="dxa"/>
            <w:tcBorders>
              <w:top w:val="nil"/>
              <w:left w:val="nil"/>
              <w:bottom w:val="nil"/>
              <w:right w:val="nil"/>
            </w:tcBorders>
            <w:shd w:val="clear" w:color="auto" w:fill="FFFFFF"/>
            <w:vAlign w:val="center"/>
          </w:tcPr>
          <w:p w14:paraId="18FB08B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OutwardPostcode</w:t>
            </w:r>
          </w:p>
        </w:tc>
        <w:tc>
          <w:tcPr>
            <w:tcW w:w="1380" w:type="dxa"/>
            <w:tcBorders>
              <w:top w:val="nil"/>
              <w:left w:val="nil"/>
              <w:bottom w:val="nil"/>
              <w:right w:val="nil"/>
            </w:tcBorders>
            <w:shd w:val="clear" w:color="auto" w:fill="FFFFFF"/>
            <w:vAlign w:val="center"/>
          </w:tcPr>
          <w:p w14:paraId="0C397E0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邮编外段（如 NE24）</w:t>
            </w:r>
          </w:p>
        </w:tc>
        <w:tc>
          <w:tcPr>
            <w:tcW w:w="710" w:type="dxa"/>
            <w:tcBorders>
              <w:top w:val="nil"/>
              <w:left w:val="nil"/>
              <w:bottom w:val="nil"/>
              <w:right w:val="nil"/>
            </w:tcBorders>
            <w:shd w:val="clear" w:color="auto" w:fill="FFFFFF"/>
            <w:vAlign w:val="center"/>
          </w:tcPr>
          <w:p w14:paraId="1C7FAFA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50739D1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由邮编提取；缺失则置空</w:t>
            </w:r>
          </w:p>
        </w:tc>
        <w:tc>
          <w:tcPr>
            <w:tcW w:w="1390" w:type="dxa"/>
            <w:tcBorders>
              <w:top w:val="nil"/>
              <w:left w:val="nil"/>
              <w:bottom w:val="nil"/>
              <w:right w:val="nil"/>
            </w:tcBorders>
            <w:shd w:val="clear" w:color="auto" w:fill="FFFFFF"/>
            <w:vAlign w:val="center"/>
          </w:tcPr>
          <w:p w14:paraId="1750C45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VARCHAR(10)</w:t>
            </w:r>
          </w:p>
        </w:tc>
        <w:tc>
          <w:tcPr>
            <w:tcW w:w="1403" w:type="dxa"/>
            <w:tcBorders>
              <w:top w:val="nil"/>
              <w:left w:val="nil"/>
              <w:bottom w:val="nil"/>
              <w:right w:val="nil"/>
            </w:tcBorders>
            <w:shd w:val="clear" w:color="auto" w:fill="FFFFFF"/>
            <w:vAlign w:val="center"/>
          </w:tcPr>
          <w:p w14:paraId="3ED5AC8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邮编聚合、区域统计</w:t>
            </w:r>
          </w:p>
        </w:tc>
      </w:tr>
      <w:tr w14:paraId="22F3A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8F9726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地址行1</w:t>
            </w:r>
          </w:p>
        </w:tc>
        <w:tc>
          <w:tcPr>
            <w:tcW w:w="1310" w:type="dxa"/>
            <w:tcBorders>
              <w:top w:val="nil"/>
              <w:left w:val="nil"/>
              <w:bottom w:val="nil"/>
              <w:right w:val="nil"/>
            </w:tcBorders>
            <w:shd w:val="clear" w:color="auto" w:fill="FFFFFF"/>
            <w:vAlign w:val="center"/>
          </w:tcPr>
          <w:p w14:paraId="7684DFE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AddressLine1</w:t>
            </w:r>
          </w:p>
        </w:tc>
        <w:tc>
          <w:tcPr>
            <w:tcW w:w="1380" w:type="dxa"/>
            <w:tcBorders>
              <w:top w:val="nil"/>
              <w:left w:val="nil"/>
              <w:bottom w:val="nil"/>
              <w:right w:val="nil"/>
            </w:tcBorders>
            <w:shd w:val="clear" w:color="auto" w:fill="FFFFFF"/>
            <w:vAlign w:val="center"/>
          </w:tcPr>
          <w:p w14:paraId="297F53F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地址第一行（门牌/街道等）</w:t>
            </w:r>
          </w:p>
        </w:tc>
        <w:tc>
          <w:tcPr>
            <w:tcW w:w="710" w:type="dxa"/>
            <w:tcBorders>
              <w:top w:val="nil"/>
              <w:left w:val="nil"/>
              <w:bottom w:val="nil"/>
              <w:right w:val="nil"/>
            </w:tcBorders>
            <w:shd w:val="clear" w:color="auto" w:fill="FFFFFF"/>
            <w:vAlign w:val="center"/>
          </w:tcPr>
          <w:p w14:paraId="3E9D0B5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3FB81AB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缺失允许；并生成“地址行1缺失标记”</w:t>
            </w:r>
          </w:p>
        </w:tc>
        <w:tc>
          <w:tcPr>
            <w:tcW w:w="1390" w:type="dxa"/>
            <w:tcBorders>
              <w:top w:val="nil"/>
              <w:left w:val="nil"/>
              <w:bottom w:val="nil"/>
              <w:right w:val="nil"/>
            </w:tcBorders>
            <w:shd w:val="clear" w:color="auto" w:fill="FFFFFF"/>
            <w:vAlign w:val="center"/>
          </w:tcPr>
          <w:p w14:paraId="376E9C6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7514215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4E560BF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展示、提示框</w:t>
            </w:r>
          </w:p>
        </w:tc>
      </w:tr>
      <w:tr w14:paraId="1A685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0FE4AB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地址行2</w:t>
            </w:r>
          </w:p>
        </w:tc>
        <w:tc>
          <w:tcPr>
            <w:tcW w:w="1310" w:type="dxa"/>
            <w:tcBorders>
              <w:top w:val="nil"/>
              <w:left w:val="nil"/>
              <w:bottom w:val="nil"/>
              <w:right w:val="nil"/>
            </w:tcBorders>
            <w:shd w:val="clear" w:color="auto" w:fill="FFFFFF"/>
            <w:vAlign w:val="center"/>
          </w:tcPr>
          <w:p w14:paraId="2A3E5C0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AddressLine2</w:t>
            </w:r>
          </w:p>
        </w:tc>
        <w:tc>
          <w:tcPr>
            <w:tcW w:w="1380" w:type="dxa"/>
            <w:tcBorders>
              <w:top w:val="nil"/>
              <w:left w:val="nil"/>
              <w:bottom w:val="nil"/>
              <w:right w:val="nil"/>
            </w:tcBorders>
            <w:shd w:val="clear" w:color="auto" w:fill="FFFFFF"/>
            <w:vAlign w:val="center"/>
          </w:tcPr>
          <w:p w14:paraId="601B5AD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地址第二行（街区/镇等）</w:t>
            </w:r>
          </w:p>
        </w:tc>
        <w:tc>
          <w:tcPr>
            <w:tcW w:w="710" w:type="dxa"/>
            <w:tcBorders>
              <w:top w:val="nil"/>
              <w:left w:val="nil"/>
              <w:bottom w:val="nil"/>
              <w:right w:val="nil"/>
            </w:tcBorders>
            <w:shd w:val="clear" w:color="auto" w:fill="FFFFFF"/>
            <w:vAlign w:val="center"/>
          </w:tcPr>
          <w:p w14:paraId="27BF567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0F86261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缺失允许</w:t>
            </w:r>
          </w:p>
        </w:tc>
        <w:tc>
          <w:tcPr>
            <w:tcW w:w="1390" w:type="dxa"/>
            <w:tcBorders>
              <w:top w:val="nil"/>
              <w:left w:val="nil"/>
              <w:bottom w:val="nil"/>
              <w:right w:val="nil"/>
            </w:tcBorders>
            <w:shd w:val="clear" w:color="auto" w:fill="FFFFFF"/>
            <w:vAlign w:val="center"/>
          </w:tcPr>
          <w:p w14:paraId="5F2FC6F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3427800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6757AF1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展示</w:t>
            </w:r>
          </w:p>
        </w:tc>
      </w:tr>
      <w:tr w14:paraId="737CE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3C5F98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地址行3</w:t>
            </w:r>
          </w:p>
        </w:tc>
        <w:tc>
          <w:tcPr>
            <w:tcW w:w="1310" w:type="dxa"/>
            <w:tcBorders>
              <w:top w:val="nil"/>
              <w:left w:val="nil"/>
              <w:bottom w:val="nil"/>
              <w:right w:val="nil"/>
            </w:tcBorders>
            <w:shd w:val="clear" w:color="auto" w:fill="FFFFFF"/>
            <w:vAlign w:val="center"/>
          </w:tcPr>
          <w:p w14:paraId="3725D15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AddressLine3</w:t>
            </w:r>
          </w:p>
        </w:tc>
        <w:tc>
          <w:tcPr>
            <w:tcW w:w="1380" w:type="dxa"/>
            <w:tcBorders>
              <w:top w:val="nil"/>
              <w:left w:val="nil"/>
              <w:bottom w:val="nil"/>
              <w:right w:val="nil"/>
            </w:tcBorders>
            <w:shd w:val="clear" w:color="auto" w:fill="FFFFFF"/>
            <w:vAlign w:val="center"/>
          </w:tcPr>
          <w:p w14:paraId="5A1897D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地址第三行（郡/城市等）</w:t>
            </w:r>
          </w:p>
        </w:tc>
        <w:tc>
          <w:tcPr>
            <w:tcW w:w="710" w:type="dxa"/>
            <w:tcBorders>
              <w:top w:val="nil"/>
              <w:left w:val="nil"/>
              <w:bottom w:val="nil"/>
              <w:right w:val="nil"/>
            </w:tcBorders>
            <w:shd w:val="clear" w:color="auto" w:fill="FFFFFF"/>
            <w:vAlign w:val="center"/>
          </w:tcPr>
          <w:p w14:paraId="0FC1E56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50D3406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缺失允许</w:t>
            </w:r>
          </w:p>
        </w:tc>
        <w:tc>
          <w:tcPr>
            <w:tcW w:w="1390" w:type="dxa"/>
            <w:tcBorders>
              <w:top w:val="nil"/>
              <w:left w:val="nil"/>
              <w:bottom w:val="nil"/>
              <w:right w:val="nil"/>
            </w:tcBorders>
            <w:shd w:val="clear" w:color="auto" w:fill="FFFFFF"/>
            <w:vAlign w:val="center"/>
          </w:tcPr>
          <w:p w14:paraId="5969FA1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66CBA2B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787F487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展示</w:t>
            </w:r>
          </w:p>
        </w:tc>
      </w:tr>
      <w:tr w14:paraId="55E1D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015B0F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地址行4</w:t>
            </w:r>
          </w:p>
        </w:tc>
        <w:tc>
          <w:tcPr>
            <w:tcW w:w="1310" w:type="dxa"/>
            <w:tcBorders>
              <w:top w:val="nil"/>
              <w:left w:val="nil"/>
              <w:bottom w:val="nil"/>
              <w:right w:val="nil"/>
            </w:tcBorders>
            <w:shd w:val="clear" w:color="auto" w:fill="FFFFFF"/>
            <w:vAlign w:val="center"/>
          </w:tcPr>
          <w:p w14:paraId="3ADFBEE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AddressLine4</w:t>
            </w:r>
          </w:p>
        </w:tc>
        <w:tc>
          <w:tcPr>
            <w:tcW w:w="1380" w:type="dxa"/>
            <w:tcBorders>
              <w:top w:val="nil"/>
              <w:left w:val="nil"/>
              <w:bottom w:val="nil"/>
              <w:right w:val="nil"/>
            </w:tcBorders>
            <w:shd w:val="clear" w:color="auto" w:fill="FFFFFF"/>
            <w:vAlign w:val="center"/>
          </w:tcPr>
          <w:p w14:paraId="5840378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地址第四行（补充信息）</w:t>
            </w:r>
          </w:p>
        </w:tc>
        <w:tc>
          <w:tcPr>
            <w:tcW w:w="710" w:type="dxa"/>
            <w:tcBorders>
              <w:top w:val="nil"/>
              <w:left w:val="nil"/>
              <w:bottom w:val="nil"/>
              <w:right w:val="nil"/>
            </w:tcBorders>
            <w:shd w:val="clear" w:color="auto" w:fill="FFFFFF"/>
            <w:vAlign w:val="center"/>
          </w:tcPr>
          <w:p w14:paraId="13B0246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26614E7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缺失允许（缺失率通常较高）</w:t>
            </w:r>
          </w:p>
        </w:tc>
        <w:tc>
          <w:tcPr>
            <w:tcW w:w="1390" w:type="dxa"/>
            <w:tcBorders>
              <w:top w:val="nil"/>
              <w:left w:val="nil"/>
              <w:bottom w:val="nil"/>
              <w:right w:val="nil"/>
            </w:tcBorders>
            <w:shd w:val="clear" w:color="auto" w:fill="FFFFFF"/>
            <w:vAlign w:val="center"/>
          </w:tcPr>
          <w:p w14:paraId="0311BA6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54576E2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3DF7B38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展示</w:t>
            </w:r>
          </w:p>
        </w:tc>
      </w:tr>
      <w:tr w14:paraId="730EB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F9FADD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纬度</w:t>
            </w:r>
          </w:p>
        </w:tc>
        <w:tc>
          <w:tcPr>
            <w:tcW w:w="1310" w:type="dxa"/>
            <w:tcBorders>
              <w:top w:val="nil"/>
              <w:left w:val="nil"/>
              <w:bottom w:val="nil"/>
              <w:right w:val="nil"/>
            </w:tcBorders>
            <w:shd w:val="clear" w:color="auto" w:fill="FFFFFF"/>
            <w:vAlign w:val="center"/>
          </w:tcPr>
          <w:p w14:paraId="1CA41E5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Latitude</w:t>
            </w:r>
          </w:p>
        </w:tc>
        <w:tc>
          <w:tcPr>
            <w:tcW w:w="1380" w:type="dxa"/>
            <w:tcBorders>
              <w:top w:val="nil"/>
              <w:left w:val="nil"/>
              <w:bottom w:val="nil"/>
              <w:right w:val="nil"/>
            </w:tcBorders>
            <w:shd w:val="clear" w:color="auto" w:fill="FFFFFF"/>
            <w:vAlign w:val="center"/>
          </w:tcPr>
          <w:p w14:paraId="41BDE0E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门店纬度</w:t>
            </w:r>
          </w:p>
        </w:tc>
        <w:tc>
          <w:tcPr>
            <w:tcW w:w="710" w:type="dxa"/>
            <w:tcBorders>
              <w:top w:val="nil"/>
              <w:left w:val="nil"/>
              <w:bottom w:val="nil"/>
              <w:right w:val="nil"/>
            </w:tcBorders>
            <w:shd w:val="clear" w:color="auto" w:fill="FFFFFF"/>
            <w:vAlign w:val="center"/>
          </w:tcPr>
          <w:p w14:paraId="3ABF0A9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7BC191C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非法范围置空；与经度一起决定“坐标缺失标记”</w:t>
            </w:r>
          </w:p>
        </w:tc>
        <w:tc>
          <w:tcPr>
            <w:tcW w:w="1390" w:type="dxa"/>
            <w:tcBorders>
              <w:top w:val="nil"/>
              <w:left w:val="nil"/>
              <w:bottom w:val="nil"/>
              <w:right w:val="nil"/>
            </w:tcBorders>
            <w:shd w:val="clear" w:color="auto" w:fill="FFFFFF"/>
            <w:vAlign w:val="center"/>
          </w:tcPr>
          <w:p w14:paraId="39FFB5B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DECIMAL</w:t>
            </w:r>
          </w:p>
          <w:p w14:paraId="2103945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(10,6)</w:t>
            </w:r>
          </w:p>
        </w:tc>
        <w:tc>
          <w:tcPr>
            <w:tcW w:w="1403" w:type="dxa"/>
            <w:tcBorders>
              <w:top w:val="nil"/>
              <w:left w:val="nil"/>
              <w:bottom w:val="nil"/>
              <w:right w:val="nil"/>
            </w:tcBorders>
            <w:shd w:val="clear" w:color="auto" w:fill="FFFFFF"/>
            <w:vAlign w:val="center"/>
          </w:tcPr>
          <w:p w14:paraId="246A7E9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地图散点/热点</w:t>
            </w:r>
          </w:p>
        </w:tc>
      </w:tr>
      <w:tr w14:paraId="4F1DB5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0F2FDA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经度</w:t>
            </w:r>
          </w:p>
        </w:tc>
        <w:tc>
          <w:tcPr>
            <w:tcW w:w="1310" w:type="dxa"/>
            <w:tcBorders>
              <w:top w:val="nil"/>
              <w:left w:val="nil"/>
              <w:bottom w:val="nil"/>
              <w:right w:val="nil"/>
            </w:tcBorders>
            <w:shd w:val="clear" w:color="auto" w:fill="FFFFFF"/>
            <w:vAlign w:val="center"/>
          </w:tcPr>
          <w:p w14:paraId="6145577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Longitude</w:t>
            </w:r>
          </w:p>
        </w:tc>
        <w:tc>
          <w:tcPr>
            <w:tcW w:w="1380" w:type="dxa"/>
            <w:tcBorders>
              <w:top w:val="nil"/>
              <w:left w:val="nil"/>
              <w:bottom w:val="nil"/>
              <w:right w:val="nil"/>
            </w:tcBorders>
            <w:shd w:val="clear" w:color="auto" w:fill="FFFFFF"/>
            <w:vAlign w:val="center"/>
          </w:tcPr>
          <w:p w14:paraId="7A12848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门店经度</w:t>
            </w:r>
          </w:p>
        </w:tc>
        <w:tc>
          <w:tcPr>
            <w:tcW w:w="710" w:type="dxa"/>
            <w:tcBorders>
              <w:top w:val="nil"/>
              <w:left w:val="nil"/>
              <w:bottom w:val="nil"/>
              <w:right w:val="nil"/>
            </w:tcBorders>
            <w:shd w:val="clear" w:color="auto" w:fill="FFFFFF"/>
            <w:vAlign w:val="center"/>
          </w:tcPr>
          <w:p w14:paraId="23655C4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2A5769E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非法范围置空；与纬度一起决定“坐标缺失标记”</w:t>
            </w:r>
          </w:p>
        </w:tc>
        <w:tc>
          <w:tcPr>
            <w:tcW w:w="1390" w:type="dxa"/>
            <w:tcBorders>
              <w:top w:val="nil"/>
              <w:left w:val="nil"/>
              <w:bottom w:val="nil"/>
              <w:right w:val="nil"/>
            </w:tcBorders>
            <w:shd w:val="clear" w:color="auto" w:fill="FFFFFF"/>
            <w:vAlign w:val="center"/>
          </w:tcPr>
          <w:p w14:paraId="3EA930D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DECIMAL</w:t>
            </w:r>
          </w:p>
          <w:p w14:paraId="1AD8699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(10,6)</w:t>
            </w:r>
          </w:p>
        </w:tc>
        <w:tc>
          <w:tcPr>
            <w:tcW w:w="1403" w:type="dxa"/>
            <w:tcBorders>
              <w:top w:val="nil"/>
              <w:left w:val="nil"/>
              <w:bottom w:val="nil"/>
              <w:right w:val="nil"/>
            </w:tcBorders>
            <w:shd w:val="clear" w:color="auto" w:fill="FFFFFF"/>
            <w:vAlign w:val="center"/>
          </w:tcPr>
          <w:p w14:paraId="2A48EB8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地图散点/热点</w:t>
            </w:r>
          </w:p>
        </w:tc>
      </w:tr>
      <w:tr w14:paraId="1A9BB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0CD69E4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卫生扣分</w:t>
            </w:r>
          </w:p>
        </w:tc>
        <w:tc>
          <w:tcPr>
            <w:tcW w:w="1310" w:type="dxa"/>
            <w:tcBorders>
              <w:top w:val="nil"/>
              <w:left w:val="nil"/>
              <w:bottom w:val="nil"/>
              <w:right w:val="nil"/>
            </w:tcBorders>
            <w:shd w:val="clear" w:color="auto" w:fill="FFFFFF"/>
            <w:vAlign w:val="center"/>
          </w:tcPr>
          <w:p w14:paraId="7A360ED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ScoreHygiene</w:t>
            </w:r>
          </w:p>
        </w:tc>
        <w:tc>
          <w:tcPr>
            <w:tcW w:w="1380" w:type="dxa"/>
            <w:tcBorders>
              <w:top w:val="nil"/>
              <w:left w:val="nil"/>
              <w:bottom w:val="nil"/>
              <w:right w:val="nil"/>
            </w:tcBorders>
            <w:shd w:val="clear" w:color="auto" w:fill="FFFFFF"/>
            <w:vAlign w:val="center"/>
          </w:tcPr>
          <w:p w14:paraId="74FBE35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卫生维度扣分（越高风险越大）</w:t>
            </w:r>
          </w:p>
        </w:tc>
        <w:tc>
          <w:tcPr>
            <w:tcW w:w="710" w:type="dxa"/>
            <w:tcBorders>
              <w:top w:val="nil"/>
              <w:left w:val="nil"/>
              <w:bottom w:val="nil"/>
              <w:right w:val="nil"/>
            </w:tcBorders>
            <w:shd w:val="clear" w:color="auto" w:fill="FFFFFF"/>
            <w:vAlign w:val="center"/>
          </w:tcPr>
          <w:p w14:paraId="29F802E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1B2B56C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负数/异常置空；用于风险分数计算</w:t>
            </w:r>
          </w:p>
        </w:tc>
        <w:tc>
          <w:tcPr>
            <w:tcW w:w="1390" w:type="dxa"/>
            <w:tcBorders>
              <w:top w:val="nil"/>
              <w:left w:val="nil"/>
              <w:bottom w:val="nil"/>
              <w:right w:val="nil"/>
            </w:tcBorders>
            <w:shd w:val="clear" w:color="auto" w:fill="FFFFFF"/>
            <w:vAlign w:val="center"/>
          </w:tcPr>
          <w:p w14:paraId="4FDB52C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DECIMAL</w:t>
            </w:r>
          </w:p>
          <w:p w14:paraId="49697E6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(10,2)</w:t>
            </w:r>
          </w:p>
        </w:tc>
        <w:tc>
          <w:tcPr>
            <w:tcW w:w="1403" w:type="dxa"/>
            <w:tcBorders>
              <w:top w:val="nil"/>
              <w:left w:val="nil"/>
              <w:bottom w:val="nil"/>
              <w:right w:val="nil"/>
            </w:tcBorders>
            <w:shd w:val="clear" w:color="auto" w:fill="FFFFFF"/>
            <w:vAlign w:val="center"/>
          </w:tcPr>
          <w:p w14:paraId="0DE369C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风险评估、多因素分析</w:t>
            </w:r>
          </w:p>
        </w:tc>
      </w:tr>
      <w:tr w14:paraId="718FD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720C082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结构扣分</w:t>
            </w:r>
          </w:p>
        </w:tc>
        <w:tc>
          <w:tcPr>
            <w:tcW w:w="1310" w:type="dxa"/>
            <w:tcBorders>
              <w:top w:val="nil"/>
              <w:left w:val="nil"/>
              <w:bottom w:val="nil"/>
              <w:right w:val="nil"/>
            </w:tcBorders>
            <w:shd w:val="clear" w:color="auto" w:fill="FFFFFF"/>
            <w:vAlign w:val="center"/>
          </w:tcPr>
          <w:p w14:paraId="13A72B3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ScoreStructural</w:t>
            </w:r>
          </w:p>
        </w:tc>
        <w:tc>
          <w:tcPr>
            <w:tcW w:w="1380" w:type="dxa"/>
            <w:tcBorders>
              <w:top w:val="nil"/>
              <w:left w:val="nil"/>
              <w:bottom w:val="nil"/>
              <w:right w:val="nil"/>
            </w:tcBorders>
            <w:shd w:val="clear" w:color="auto" w:fill="FFFFFF"/>
            <w:vAlign w:val="center"/>
          </w:tcPr>
          <w:p w14:paraId="2DE95F0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场所结构维度扣分</w:t>
            </w:r>
          </w:p>
        </w:tc>
        <w:tc>
          <w:tcPr>
            <w:tcW w:w="710" w:type="dxa"/>
            <w:tcBorders>
              <w:top w:val="nil"/>
              <w:left w:val="nil"/>
              <w:bottom w:val="nil"/>
              <w:right w:val="nil"/>
            </w:tcBorders>
            <w:shd w:val="clear" w:color="auto" w:fill="FFFFFF"/>
            <w:vAlign w:val="center"/>
          </w:tcPr>
          <w:p w14:paraId="2E53F11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40F4BA6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负数/异常置空</w:t>
            </w:r>
          </w:p>
        </w:tc>
        <w:tc>
          <w:tcPr>
            <w:tcW w:w="1390" w:type="dxa"/>
            <w:tcBorders>
              <w:top w:val="nil"/>
              <w:left w:val="nil"/>
              <w:bottom w:val="nil"/>
              <w:right w:val="nil"/>
            </w:tcBorders>
            <w:shd w:val="clear" w:color="auto" w:fill="FFFFFF"/>
            <w:vAlign w:val="center"/>
          </w:tcPr>
          <w:p w14:paraId="20137D9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DECIMAL</w:t>
            </w:r>
          </w:p>
          <w:p w14:paraId="2A3BD4D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(10,2)</w:t>
            </w:r>
          </w:p>
        </w:tc>
        <w:tc>
          <w:tcPr>
            <w:tcW w:w="1403" w:type="dxa"/>
            <w:tcBorders>
              <w:top w:val="nil"/>
              <w:left w:val="nil"/>
              <w:bottom w:val="nil"/>
              <w:right w:val="nil"/>
            </w:tcBorders>
            <w:shd w:val="clear" w:color="auto" w:fill="FFFFFF"/>
            <w:vAlign w:val="center"/>
          </w:tcPr>
          <w:p w14:paraId="0AA0142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风险评估、多因素分析</w:t>
            </w:r>
          </w:p>
        </w:tc>
      </w:tr>
      <w:tr w14:paraId="15D99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3A0E91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管理扣分</w:t>
            </w:r>
          </w:p>
        </w:tc>
        <w:tc>
          <w:tcPr>
            <w:tcW w:w="1310" w:type="dxa"/>
            <w:tcBorders>
              <w:top w:val="nil"/>
              <w:left w:val="nil"/>
              <w:bottom w:val="nil"/>
              <w:right w:val="nil"/>
            </w:tcBorders>
            <w:shd w:val="clear" w:color="auto" w:fill="FFFFFF"/>
            <w:vAlign w:val="center"/>
          </w:tcPr>
          <w:p w14:paraId="4669C2E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ScoreConfidenceInManagement</w:t>
            </w:r>
          </w:p>
        </w:tc>
        <w:tc>
          <w:tcPr>
            <w:tcW w:w="1380" w:type="dxa"/>
            <w:tcBorders>
              <w:top w:val="nil"/>
              <w:left w:val="nil"/>
              <w:bottom w:val="nil"/>
              <w:right w:val="nil"/>
            </w:tcBorders>
            <w:shd w:val="clear" w:color="auto" w:fill="FFFFFF"/>
            <w:vAlign w:val="center"/>
          </w:tcPr>
          <w:p w14:paraId="3A0F8B3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管理/信心维度扣分</w:t>
            </w:r>
          </w:p>
        </w:tc>
        <w:tc>
          <w:tcPr>
            <w:tcW w:w="710" w:type="dxa"/>
            <w:tcBorders>
              <w:top w:val="nil"/>
              <w:left w:val="nil"/>
              <w:bottom w:val="nil"/>
              <w:right w:val="nil"/>
            </w:tcBorders>
            <w:shd w:val="clear" w:color="auto" w:fill="FFFFFF"/>
            <w:vAlign w:val="center"/>
          </w:tcPr>
          <w:p w14:paraId="756E78D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619097C0">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负数/异常置空</w:t>
            </w:r>
          </w:p>
        </w:tc>
        <w:tc>
          <w:tcPr>
            <w:tcW w:w="1390" w:type="dxa"/>
            <w:tcBorders>
              <w:top w:val="nil"/>
              <w:left w:val="nil"/>
              <w:bottom w:val="nil"/>
              <w:right w:val="nil"/>
            </w:tcBorders>
            <w:shd w:val="clear" w:color="auto" w:fill="FFFFFF"/>
            <w:vAlign w:val="center"/>
          </w:tcPr>
          <w:p w14:paraId="50DFCCC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DECIMAL</w:t>
            </w:r>
          </w:p>
          <w:p w14:paraId="6855BA2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(10,2)</w:t>
            </w:r>
          </w:p>
        </w:tc>
        <w:tc>
          <w:tcPr>
            <w:tcW w:w="1403" w:type="dxa"/>
            <w:tcBorders>
              <w:top w:val="nil"/>
              <w:left w:val="nil"/>
              <w:bottom w:val="nil"/>
              <w:right w:val="nil"/>
            </w:tcBorders>
            <w:shd w:val="clear" w:color="auto" w:fill="FFFFFF"/>
            <w:vAlign w:val="center"/>
          </w:tcPr>
          <w:p w14:paraId="0C1764A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风险评估、多因素分析</w:t>
            </w:r>
          </w:p>
        </w:tc>
      </w:tr>
      <w:tr w14:paraId="2F925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7A2356A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抓取地区编号</w:t>
            </w:r>
          </w:p>
        </w:tc>
        <w:tc>
          <w:tcPr>
            <w:tcW w:w="1310" w:type="dxa"/>
            <w:tcBorders>
              <w:top w:val="nil"/>
              <w:left w:val="nil"/>
              <w:bottom w:val="nil"/>
              <w:right w:val="nil"/>
            </w:tcBorders>
            <w:shd w:val="clear" w:color="auto" w:fill="FFFFFF"/>
            <w:vAlign w:val="center"/>
          </w:tcPr>
          <w:p w14:paraId="5FE0619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CrawledLocalAuthorityId</w:t>
            </w:r>
          </w:p>
        </w:tc>
        <w:tc>
          <w:tcPr>
            <w:tcW w:w="1380" w:type="dxa"/>
            <w:tcBorders>
              <w:top w:val="nil"/>
              <w:left w:val="nil"/>
              <w:bottom w:val="nil"/>
              <w:right w:val="nil"/>
            </w:tcBorders>
            <w:shd w:val="clear" w:color="auto" w:fill="FFFFFF"/>
            <w:vAlign w:val="center"/>
          </w:tcPr>
          <w:p w14:paraId="2BB0156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爬虫抓取时使用的地区编号</w:t>
            </w:r>
          </w:p>
        </w:tc>
        <w:tc>
          <w:tcPr>
            <w:tcW w:w="710" w:type="dxa"/>
            <w:tcBorders>
              <w:top w:val="nil"/>
              <w:left w:val="nil"/>
              <w:bottom w:val="nil"/>
              <w:right w:val="nil"/>
            </w:tcBorders>
            <w:shd w:val="clear" w:color="auto" w:fill="FFFFFF"/>
            <w:vAlign w:val="center"/>
          </w:tcPr>
          <w:p w14:paraId="7D93E53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4FE923F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记录采集分片来源，用于追溯</w:t>
            </w:r>
          </w:p>
        </w:tc>
        <w:tc>
          <w:tcPr>
            <w:tcW w:w="1390" w:type="dxa"/>
            <w:tcBorders>
              <w:top w:val="nil"/>
              <w:left w:val="nil"/>
              <w:bottom w:val="nil"/>
              <w:right w:val="nil"/>
            </w:tcBorders>
            <w:shd w:val="clear" w:color="auto" w:fill="FFFFFF"/>
            <w:vAlign w:val="center"/>
          </w:tcPr>
          <w:p w14:paraId="4DCC02C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INT</w:t>
            </w:r>
          </w:p>
        </w:tc>
        <w:tc>
          <w:tcPr>
            <w:tcW w:w="1403" w:type="dxa"/>
            <w:tcBorders>
              <w:top w:val="nil"/>
              <w:left w:val="nil"/>
              <w:bottom w:val="nil"/>
              <w:right w:val="nil"/>
            </w:tcBorders>
            <w:shd w:val="clear" w:color="auto" w:fill="FFFFFF"/>
            <w:vAlign w:val="center"/>
          </w:tcPr>
          <w:p w14:paraId="7DE66A9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可追溯、采集验证</w:t>
            </w:r>
          </w:p>
        </w:tc>
      </w:tr>
      <w:tr w14:paraId="5411E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C0ADEC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抓取地区名称</w:t>
            </w:r>
          </w:p>
        </w:tc>
        <w:tc>
          <w:tcPr>
            <w:tcW w:w="1310" w:type="dxa"/>
            <w:tcBorders>
              <w:top w:val="nil"/>
              <w:left w:val="nil"/>
              <w:bottom w:val="nil"/>
              <w:right w:val="nil"/>
            </w:tcBorders>
            <w:shd w:val="clear" w:color="auto" w:fill="FFFFFF"/>
            <w:vAlign w:val="center"/>
          </w:tcPr>
          <w:p w14:paraId="3F26BEE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CrawledLocalAuthorityName</w:t>
            </w:r>
          </w:p>
        </w:tc>
        <w:tc>
          <w:tcPr>
            <w:tcW w:w="1380" w:type="dxa"/>
            <w:tcBorders>
              <w:top w:val="nil"/>
              <w:left w:val="nil"/>
              <w:bottom w:val="nil"/>
              <w:right w:val="nil"/>
            </w:tcBorders>
            <w:shd w:val="clear" w:color="auto" w:fill="FFFFFF"/>
            <w:vAlign w:val="center"/>
          </w:tcPr>
          <w:p w14:paraId="2A62FC2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爬虫抓取时使用的地区名称</w:t>
            </w:r>
          </w:p>
        </w:tc>
        <w:tc>
          <w:tcPr>
            <w:tcW w:w="710" w:type="dxa"/>
            <w:tcBorders>
              <w:top w:val="nil"/>
              <w:left w:val="nil"/>
              <w:bottom w:val="nil"/>
              <w:right w:val="nil"/>
            </w:tcBorders>
            <w:shd w:val="clear" w:color="auto" w:fill="FFFFFF"/>
            <w:vAlign w:val="center"/>
          </w:tcPr>
          <w:p w14:paraId="760CD104">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0B1562B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记录采集分片来源，用于追溯</w:t>
            </w:r>
          </w:p>
        </w:tc>
        <w:tc>
          <w:tcPr>
            <w:tcW w:w="1390" w:type="dxa"/>
            <w:tcBorders>
              <w:top w:val="nil"/>
              <w:left w:val="nil"/>
              <w:bottom w:val="nil"/>
              <w:right w:val="nil"/>
            </w:tcBorders>
            <w:shd w:val="clear" w:color="auto" w:fill="FFFFFF"/>
            <w:vAlign w:val="center"/>
          </w:tcPr>
          <w:p w14:paraId="32A1D24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695A1C0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(255)</w:t>
            </w:r>
          </w:p>
        </w:tc>
        <w:tc>
          <w:tcPr>
            <w:tcW w:w="1403" w:type="dxa"/>
            <w:tcBorders>
              <w:top w:val="nil"/>
              <w:left w:val="nil"/>
              <w:bottom w:val="nil"/>
              <w:right w:val="nil"/>
            </w:tcBorders>
            <w:shd w:val="clear" w:color="auto" w:fill="FFFFFF"/>
            <w:vAlign w:val="center"/>
          </w:tcPr>
          <w:p w14:paraId="37A8E2D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可追溯、采集验证</w:t>
            </w:r>
          </w:p>
        </w:tc>
      </w:tr>
      <w:tr w14:paraId="61E6A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7AFA20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抓取时间（伦敦）</w:t>
            </w:r>
          </w:p>
        </w:tc>
        <w:tc>
          <w:tcPr>
            <w:tcW w:w="1310" w:type="dxa"/>
            <w:tcBorders>
              <w:top w:val="nil"/>
              <w:left w:val="nil"/>
              <w:bottom w:val="nil"/>
              <w:right w:val="nil"/>
            </w:tcBorders>
            <w:shd w:val="clear" w:color="auto" w:fill="FFFFFF"/>
            <w:vAlign w:val="center"/>
          </w:tcPr>
          <w:p w14:paraId="1704BBB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CrawlTimeLondon</w:t>
            </w:r>
          </w:p>
        </w:tc>
        <w:tc>
          <w:tcPr>
            <w:tcW w:w="1380" w:type="dxa"/>
            <w:tcBorders>
              <w:top w:val="nil"/>
              <w:left w:val="nil"/>
              <w:bottom w:val="nil"/>
              <w:right w:val="nil"/>
            </w:tcBorders>
            <w:shd w:val="clear" w:color="auto" w:fill="FFFFFF"/>
            <w:vAlign w:val="center"/>
          </w:tcPr>
          <w:p w14:paraId="3362EDF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本次抓取落盘时间（伦敦时区口径）</w:t>
            </w:r>
          </w:p>
        </w:tc>
        <w:tc>
          <w:tcPr>
            <w:tcW w:w="710" w:type="dxa"/>
            <w:tcBorders>
              <w:top w:val="nil"/>
              <w:left w:val="nil"/>
              <w:bottom w:val="nil"/>
              <w:right w:val="nil"/>
            </w:tcBorders>
            <w:shd w:val="clear" w:color="auto" w:fill="FFFFFF"/>
            <w:vAlign w:val="center"/>
          </w:tcPr>
          <w:p w14:paraId="3C1F3DB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43C1CD5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统一为可解析时间字符串</w:t>
            </w:r>
          </w:p>
        </w:tc>
        <w:tc>
          <w:tcPr>
            <w:tcW w:w="1390" w:type="dxa"/>
            <w:tcBorders>
              <w:top w:val="nil"/>
              <w:left w:val="nil"/>
              <w:bottom w:val="nil"/>
              <w:right w:val="nil"/>
            </w:tcBorders>
            <w:shd w:val="clear" w:color="auto" w:fill="FFFFFF"/>
            <w:vAlign w:val="center"/>
          </w:tcPr>
          <w:p w14:paraId="3FA0842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DATETIME</w:t>
            </w:r>
          </w:p>
        </w:tc>
        <w:tc>
          <w:tcPr>
            <w:tcW w:w="1403" w:type="dxa"/>
            <w:tcBorders>
              <w:top w:val="nil"/>
              <w:left w:val="nil"/>
              <w:bottom w:val="nil"/>
              <w:right w:val="nil"/>
            </w:tcBorders>
            <w:shd w:val="clear" w:color="auto" w:fill="FFFFFF"/>
            <w:vAlign w:val="center"/>
          </w:tcPr>
          <w:p w14:paraId="606AEFE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可复现、数据版本管理</w:t>
            </w:r>
          </w:p>
        </w:tc>
      </w:tr>
      <w:tr w14:paraId="4E49E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5D286E5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评级日期字符串</w:t>
            </w:r>
          </w:p>
        </w:tc>
        <w:tc>
          <w:tcPr>
            <w:tcW w:w="1310" w:type="dxa"/>
            <w:tcBorders>
              <w:top w:val="nil"/>
              <w:left w:val="nil"/>
              <w:bottom w:val="nil"/>
              <w:right w:val="nil"/>
            </w:tcBorders>
            <w:shd w:val="clear" w:color="auto" w:fill="FFFFFF"/>
            <w:vAlign w:val="center"/>
          </w:tcPr>
          <w:p w14:paraId="6DB1132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RatingDate_str</w:t>
            </w:r>
          </w:p>
        </w:tc>
        <w:tc>
          <w:tcPr>
            <w:tcW w:w="1380" w:type="dxa"/>
            <w:tcBorders>
              <w:top w:val="nil"/>
              <w:left w:val="nil"/>
              <w:bottom w:val="nil"/>
              <w:right w:val="nil"/>
            </w:tcBorders>
            <w:shd w:val="clear" w:color="auto" w:fill="FFFFFF"/>
            <w:vAlign w:val="center"/>
          </w:tcPr>
          <w:p w14:paraId="010853A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评级日期的字符串备份</w:t>
            </w:r>
          </w:p>
        </w:tc>
        <w:tc>
          <w:tcPr>
            <w:tcW w:w="710" w:type="dxa"/>
            <w:tcBorders>
              <w:top w:val="nil"/>
              <w:left w:val="nil"/>
              <w:bottom w:val="nil"/>
              <w:right w:val="nil"/>
            </w:tcBorders>
            <w:shd w:val="clear" w:color="auto" w:fill="FFFFFF"/>
            <w:vAlign w:val="center"/>
          </w:tcPr>
          <w:p w14:paraId="1636973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4646EBC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与日期字段一致；保留用于追溯/排错</w:t>
            </w:r>
          </w:p>
        </w:tc>
        <w:tc>
          <w:tcPr>
            <w:tcW w:w="1390" w:type="dxa"/>
            <w:tcBorders>
              <w:top w:val="nil"/>
              <w:left w:val="nil"/>
              <w:bottom w:val="nil"/>
              <w:right w:val="nil"/>
            </w:tcBorders>
            <w:shd w:val="clear" w:color="auto" w:fill="FFFFFF"/>
            <w:vAlign w:val="center"/>
          </w:tcPr>
          <w:p w14:paraId="319A724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VARCHAR</w:t>
            </w:r>
          </w:p>
          <w:p w14:paraId="1CF516D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(20)</w:t>
            </w:r>
          </w:p>
        </w:tc>
        <w:tc>
          <w:tcPr>
            <w:tcW w:w="1403" w:type="dxa"/>
            <w:tcBorders>
              <w:top w:val="nil"/>
              <w:left w:val="nil"/>
              <w:bottom w:val="nil"/>
              <w:right w:val="nil"/>
            </w:tcBorders>
            <w:shd w:val="clear" w:color="auto" w:fill="FFFFFF"/>
            <w:vAlign w:val="center"/>
          </w:tcPr>
          <w:p w14:paraId="1B5EEAA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追溯、清洗核对</w:t>
            </w:r>
          </w:p>
        </w:tc>
      </w:tr>
      <w:tr w14:paraId="7D058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178576D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年月字段</w:t>
            </w:r>
          </w:p>
        </w:tc>
        <w:tc>
          <w:tcPr>
            <w:tcW w:w="1310" w:type="dxa"/>
            <w:tcBorders>
              <w:top w:val="nil"/>
              <w:left w:val="nil"/>
              <w:bottom w:val="nil"/>
              <w:right w:val="nil"/>
            </w:tcBorders>
            <w:shd w:val="clear" w:color="auto" w:fill="FFFFFF"/>
            <w:vAlign w:val="center"/>
          </w:tcPr>
          <w:p w14:paraId="1C8D5F6C">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YearMonth</w:t>
            </w:r>
          </w:p>
        </w:tc>
        <w:tc>
          <w:tcPr>
            <w:tcW w:w="1380" w:type="dxa"/>
            <w:tcBorders>
              <w:top w:val="nil"/>
              <w:left w:val="nil"/>
              <w:bottom w:val="nil"/>
              <w:right w:val="nil"/>
            </w:tcBorders>
            <w:shd w:val="clear" w:color="auto" w:fill="FFFFFF"/>
            <w:vAlign w:val="center"/>
          </w:tcPr>
          <w:p w14:paraId="11748EE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由评级日期派生的 YYYY-MM</w:t>
            </w:r>
          </w:p>
        </w:tc>
        <w:tc>
          <w:tcPr>
            <w:tcW w:w="710" w:type="dxa"/>
            <w:tcBorders>
              <w:top w:val="nil"/>
              <w:left w:val="nil"/>
              <w:bottom w:val="nil"/>
              <w:right w:val="nil"/>
            </w:tcBorders>
            <w:shd w:val="clear" w:color="auto" w:fill="FFFFFF"/>
            <w:vAlign w:val="center"/>
          </w:tcPr>
          <w:p w14:paraId="405B3A0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3BB2AD4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必须存在；用于月度统计与趋势</w:t>
            </w:r>
          </w:p>
        </w:tc>
        <w:tc>
          <w:tcPr>
            <w:tcW w:w="1390" w:type="dxa"/>
            <w:tcBorders>
              <w:top w:val="nil"/>
              <w:left w:val="nil"/>
              <w:bottom w:val="nil"/>
              <w:right w:val="nil"/>
            </w:tcBorders>
            <w:shd w:val="clear" w:color="auto" w:fill="FFFFFF"/>
            <w:vAlign w:val="center"/>
          </w:tcPr>
          <w:p w14:paraId="44D8402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CHAR</w:t>
            </w:r>
          </w:p>
          <w:p w14:paraId="32C5F85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(7) + INDEX</w:t>
            </w:r>
          </w:p>
        </w:tc>
        <w:tc>
          <w:tcPr>
            <w:tcW w:w="1403" w:type="dxa"/>
            <w:tcBorders>
              <w:top w:val="nil"/>
              <w:left w:val="nil"/>
              <w:bottom w:val="nil"/>
              <w:right w:val="nil"/>
            </w:tcBorders>
            <w:shd w:val="clear" w:color="auto" w:fill="FFFFFF"/>
            <w:vAlign w:val="center"/>
          </w:tcPr>
          <w:p w14:paraId="3667B5B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趋势折线、按月聚合</w:t>
            </w:r>
          </w:p>
        </w:tc>
      </w:tr>
      <w:tr w14:paraId="14D30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AF2C23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数值评级</w:t>
            </w:r>
          </w:p>
        </w:tc>
        <w:tc>
          <w:tcPr>
            <w:tcW w:w="1310" w:type="dxa"/>
            <w:tcBorders>
              <w:top w:val="nil"/>
              <w:left w:val="nil"/>
              <w:bottom w:val="nil"/>
              <w:right w:val="nil"/>
            </w:tcBorders>
            <w:shd w:val="clear" w:color="auto" w:fill="FFFFFF"/>
            <w:vAlign w:val="center"/>
          </w:tcPr>
          <w:p w14:paraId="43A4891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RatingNumeric</w:t>
            </w:r>
          </w:p>
        </w:tc>
        <w:tc>
          <w:tcPr>
            <w:tcW w:w="1380" w:type="dxa"/>
            <w:tcBorders>
              <w:top w:val="nil"/>
              <w:left w:val="nil"/>
              <w:bottom w:val="nil"/>
              <w:right w:val="nil"/>
            </w:tcBorders>
            <w:shd w:val="clear" w:color="auto" w:fill="FFFFFF"/>
            <w:vAlign w:val="center"/>
          </w:tcPr>
          <w:p w14:paraId="61832F3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将评级文本转换为0–5的数值（部分缺失）</w:t>
            </w:r>
          </w:p>
        </w:tc>
        <w:tc>
          <w:tcPr>
            <w:tcW w:w="710" w:type="dxa"/>
            <w:tcBorders>
              <w:top w:val="nil"/>
              <w:left w:val="nil"/>
              <w:bottom w:val="nil"/>
              <w:right w:val="nil"/>
            </w:tcBorders>
            <w:shd w:val="clear" w:color="auto" w:fill="FFFFFF"/>
            <w:vAlign w:val="center"/>
          </w:tcPr>
          <w:p w14:paraId="4D2539C2">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否</w:t>
            </w:r>
          </w:p>
        </w:tc>
        <w:tc>
          <w:tcPr>
            <w:tcW w:w="1360" w:type="dxa"/>
            <w:tcBorders>
              <w:top w:val="nil"/>
              <w:left w:val="nil"/>
              <w:bottom w:val="nil"/>
              <w:right w:val="nil"/>
            </w:tcBorders>
            <w:shd w:val="clear" w:color="auto" w:fill="FFFFFF"/>
            <w:vAlign w:val="center"/>
          </w:tcPr>
          <w:p w14:paraId="13EE80D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转换失败置空；做评级分布时需注明口径</w:t>
            </w:r>
          </w:p>
        </w:tc>
        <w:tc>
          <w:tcPr>
            <w:tcW w:w="1390" w:type="dxa"/>
            <w:tcBorders>
              <w:top w:val="nil"/>
              <w:left w:val="nil"/>
              <w:bottom w:val="nil"/>
              <w:right w:val="nil"/>
            </w:tcBorders>
            <w:shd w:val="clear" w:color="auto" w:fill="FFFFFF"/>
            <w:vAlign w:val="center"/>
          </w:tcPr>
          <w:p w14:paraId="6ABE118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TINYINT</w:t>
            </w:r>
          </w:p>
          <w:p w14:paraId="24184135">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（可NULL）</w:t>
            </w:r>
          </w:p>
        </w:tc>
        <w:tc>
          <w:tcPr>
            <w:tcW w:w="1403" w:type="dxa"/>
            <w:tcBorders>
              <w:top w:val="nil"/>
              <w:left w:val="nil"/>
              <w:bottom w:val="nil"/>
              <w:right w:val="nil"/>
            </w:tcBorders>
            <w:shd w:val="clear" w:color="auto" w:fill="FFFFFF"/>
            <w:vAlign w:val="center"/>
          </w:tcPr>
          <w:p w14:paraId="6D4852FF">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评级分布、低评级占比</w:t>
            </w:r>
          </w:p>
        </w:tc>
      </w:tr>
      <w:tr w14:paraId="5A208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nil"/>
              <w:right w:val="nil"/>
            </w:tcBorders>
            <w:shd w:val="clear" w:color="auto" w:fill="FFFFFF"/>
            <w:vAlign w:val="center"/>
          </w:tcPr>
          <w:p w14:paraId="6CC589DE">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坐标缺失标记</w:t>
            </w:r>
          </w:p>
        </w:tc>
        <w:tc>
          <w:tcPr>
            <w:tcW w:w="1310" w:type="dxa"/>
            <w:tcBorders>
              <w:top w:val="nil"/>
              <w:left w:val="nil"/>
              <w:bottom w:val="nil"/>
              <w:right w:val="nil"/>
            </w:tcBorders>
            <w:shd w:val="clear" w:color="auto" w:fill="FFFFFF"/>
            <w:vAlign w:val="center"/>
          </w:tcPr>
          <w:p w14:paraId="4E08C24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geo_missing</w:t>
            </w:r>
          </w:p>
        </w:tc>
        <w:tc>
          <w:tcPr>
            <w:tcW w:w="1380" w:type="dxa"/>
            <w:tcBorders>
              <w:top w:val="nil"/>
              <w:left w:val="nil"/>
              <w:bottom w:val="nil"/>
              <w:right w:val="nil"/>
            </w:tcBorders>
            <w:shd w:val="clear" w:color="auto" w:fill="FFFFFF"/>
            <w:vAlign w:val="center"/>
          </w:tcPr>
          <w:p w14:paraId="2C721CF6">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经纬度是否缺失（0/1）</w:t>
            </w:r>
          </w:p>
        </w:tc>
        <w:tc>
          <w:tcPr>
            <w:tcW w:w="710" w:type="dxa"/>
            <w:tcBorders>
              <w:top w:val="nil"/>
              <w:left w:val="nil"/>
              <w:bottom w:val="nil"/>
              <w:right w:val="nil"/>
            </w:tcBorders>
            <w:shd w:val="clear" w:color="auto" w:fill="FFFFFF"/>
            <w:vAlign w:val="center"/>
          </w:tcPr>
          <w:p w14:paraId="6AA6558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nil"/>
              <w:right w:val="nil"/>
            </w:tcBorders>
            <w:shd w:val="clear" w:color="auto" w:fill="FFFFFF"/>
            <w:vAlign w:val="center"/>
          </w:tcPr>
          <w:p w14:paraId="6CA91D1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纬度或经度为空则为1；用于地图口径控制</w:t>
            </w:r>
          </w:p>
        </w:tc>
        <w:tc>
          <w:tcPr>
            <w:tcW w:w="1390" w:type="dxa"/>
            <w:tcBorders>
              <w:top w:val="nil"/>
              <w:left w:val="nil"/>
              <w:bottom w:val="nil"/>
              <w:right w:val="nil"/>
            </w:tcBorders>
            <w:shd w:val="clear" w:color="auto" w:fill="FFFFFF"/>
            <w:vAlign w:val="center"/>
          </w:tcPr>
          <w:p w14:paraId="3CFA9F8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TINYINT</w:t>
            </w:r>
          </w:p>
          <w:p w14:paraId="6CB776E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w:t>
            </w:r>
          </w:p>
        </w:tc>
        <w:tc>
          <w:tcPr>
            <w:tcW w:w="1403" w:type="dxa"/>
            <w:tcBorders>
              <w:top w:val="nil"/>
              <w:left w:val="nil"/>
              <w:bottom w:val="nil"/>
              <w:right w:val="nil"/>
            </w:tcBorders>
            <w:shd w:val="clear" w:color="auto" w:fill="FFFFFF"/>
            <w:vAlign w:val="center"/>
          </w:tcPr>
          <w:p w14:paraId="1DB2E5A3">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地图可用性KPI</w:t>
            </w:r>
          </w:p>
        </w:tc>
      </w:tr>
      <w:tr w14:paraId="4767F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024" w:type="dxa"/>
            <w:tcBorders>
              <w:top w:val="nil"/>
              <w:left w:val="nil"/>
              <w:bottom w:val="single" w:color="000000" w:sz="12" w:space="0"/>
              <w:right w:val="nil"/>
            </w:tcBorders>
            <w:shd w:val="clear" w:color="auto" w:fill="FFFFFF"/>
            <w:vAlign w:val="center"/>
          </w:tcPr>
          <w:p w14:paraId="39BC657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地址行1缺失标记</w:t>
            </w:r>
          </w:p>
        </w:tc>
        <w:tc>
          <w:tcPr>
            <w:tcW w:w="1310" w:type="dxa"/>
            <w:tcBorders>
              <w:top w:val="nil"/>
              <w:left w:val="nil"/>
              <w:bottom w:val="single" w:color="000000" w:sz="12" w:space="0"/>
              <w:right w:val="nil"/>
            </w:tcBorders>
            <w:shd w:val="clear" w:color="auto" w:fill="FFFFFF"/>
            <w:vAlign w:val="center"/>
          </w:tcPr>
          <w:p w14:paraId="31E17C61">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addr1_missing</w:t>
            </w:r>
          </w:p>
        </w:tc>
        <w:tc>
          <w:tcPr>
            <w:tcW w:w="1380" w:type="dxa"/>
            <w:tcBorders>
              <w:top w:val="nil"/>
              <w:left w:val="nil"/>
              <w:bottom w:val="single" w:color="000000" w:sz="12" w:space="0"/>
              <w:right w:val="nil"/>
            </w:tcBorders>
            <w:shd w:val="clear" w:color="auto" w:fill="FFFFFF"/>
            <w:vAlign w:val="center"/>
          </w:tcPr>
          <w:p w14:paraId="491698ED">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地址行1是否缺失（0/1）</w:t>
            </w:r>
          </w:p>
        </w:tc>
        <w:tc>
          <w:tcPr>
            <w:tcW w:w="710" w:type="dxa"/>
            <w:tcBorders>
              <w:top w:val="nil"/>
              <w:left w:val="nil"/>
              <w:bottom w:val="single" w:color="000000" w:sz="12" w:space="0"/>
              <w:right w:val="nil"/>
            </w:tcBorders>
            <w:shd w:val="clear" w:color="auto" w:fill="FFFFFF"/>
            <w:vAlign w:val="center"/>
          </w:tcPr>
          <w:p w14:paraId="66389A2B">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是</w:t>
            </w:r>
          </w:p>
        </w:tc>
        <w:tc>
          <w:tcPr>
            <w:tcW w:w="1360" w:type="dxa"/>
            <w:tcBorders>
              <w:top w:val="nil"/>
              <w:left w:val="nil"/>
              <w:bottom w:val="single" w:color="000000" w:sz="12" w:space="0"/>
              <w:right w:val="nil"/>
            </w:tcBorders>
            <w:shd w:val="clear" w:color="auto" w:fill="FFFFFF"/>
            <w:vAlign w:val="center"/>
          </w:tcPr>
          <w:p w14:paraId="5FDEF1C9">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地址行1为空则为1；用于质量统计</w:t>
            </w:r>
          </w:p>
        </w:tc>
        <w:tc>
          <w:tcPr>
            <w:tcW w:w="1390" w:type="dxa"/>
            <w:tcBorders>
              <w:top w:val="nil"/>
              <w:left w:val="nil"/>
              <w:bottom w:val="single" w:color="000000" w:sz="12" w:space="0"/>
              <w:right w:val="nil"/>
            </w:tcBorders>
            <w:shd w:val="clear" w:color="auto" w:fill="FFFFFF"/>
            <w:vAlign w:val="center"/>
          </w:tcPr>
          <w:p w14:paraId="772488DA">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kern w:val="0"/>
                <w:sz w:val="24"/>
                <w:szCs w:val="24"/>
                <w:u w:val="none"/>
                <w:lang w:val="en-US" w:eastAsia="zh-CN" w:bidi="ar"/>
              </w:rPr>
            </w:pPr>
            <w:r>
              <w:rPr>
                <w:rFonts w:hint="default" w:ascii="Times New Roman" w:hAnsi="Times New Roman" w:eastAsia="宋体" w:cs="Times New Roman"/>
                <w:b w:val="0"/>
                <w:bCs w:val="0"/>
                <w:i w:val="0"/>
                <w:iCs w:val="0"/>
                <w:color w:val="000000"/>
                <w:kern w:val="0"/>
                <w:sz w:val="24"/>
                <w:szCs w:val="24"/>
                <w:u w:val="none"/>
                <w:lang w:val="en-US" w:eastAsia="zh-CN" w:bidi="ar"/>
              </w:rPr>
              <w:t>TINYINT</w:t>
            </w:r>
          </w:p>
          <w:p w14:paraId="2C5A3357">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(1)</w:t>
            </w:r>
          </w:p>
        </w:tc>
        <w:tc>
          <w:tcPr>
            <w:tcW w:w="1403" w:type="dxa"/>
            <w:tcBorders>
              <w:top w:val="nil"/>
              <w:left w:val="nil"/>
              <w:bottom w:val="single" w:color="000000" w:sz="12" w:space="0"/>
              <w:right w:val="nil"/>
            </w:tcBorders>
            <w:shd w:val="clear" w:color="auto" w:fill="FFFFFF"/>
            <w:vAlign w:val="center"/>
          </w:tcPr>
          <w:p w14:paraId="0BA75D88">
            <w:pPr>
              <w:keepNext w:val="0"/>
              <w:keepLines w:val="0"/>
              <w:pageBreakBefore w:val="0"/>
              <w:widowControl/>
              <w:suppressLineNumbers w:val="0"/>
              <w:kinsoku/>
              <w:wordWrap/>
              <w:overflowPunct/>
              <w:topLinePunct w:val="0"/>
              <w:autoSpaceDE/>
              <w:autoSpaceDN/>
              <w:bidi w:val="0"/>
              <w:adjustRightInd/>
              <w:snapToGrid w:val="0"/>
              <w:spacing w:beforeAutospacing="0" w:afterAutospacing="0" w:line="440" w:lineRule="exact"/>
              <w:ind w:left="0" w:leftChars="0" w:right="0" w:rightChars="0" w:firstLine="0" w:firstLineChars="0"/>
              <w:jc w:val="left"/>
              <w:textAlignment w:val="center"/>
              <w:rPr>
                <w:rFonts w:hint="default" w:ascii="Times New Roman" w:hAnsi="Times New Roman" w:eastAsia="宋体" w:cs="Times New Roman"/>
                <w:b w:val="0"/>
                <w:bCs w:val="0"/>
                <w:i w:val="0"/>
                <w:iCs w:val="0"/>
                <w:color w:val="000000"/>
                <w:sz w:val="24"/>
                <w:szCs w:val="24"/>
                <w:u w:val="none"/>
              </w:rPr>
            </w:pPr>
            <w:r>
              <w:rPr>
                <w:rFonts w:hint="default" w:ascii="Times New Roman" w:hAnsi="Times New Roman" w:eastAsia="宋体" w:cs="Times New Roman"/>
                <w:b w:val="0"/>
                <w:bCs w:val="0"/>
                <w:i w:val="0"/>
                <w:iCs w:val="0"/>
                <w:color w:val="000000"/>
                <w:kern w:val="0"/>
                <w:sz w:val="24"/>
                <w:szCs w:val="24"/>
                <w:u w:val="none"/>
                <w:lang w:val="en-US" w:eastAsia="zh-CN" w:bidi="ar"/>
              </w:rPr>
              <w:t>质量KPI、清洗报告</w:t>
            </w:r>
          </w:p>
        </w:tc>
      </w:tr>
    </w:tbl>
    <w:p w14:paraId="7AA7706A">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2.4.3入库索引与查询口径</w:t>
      </w:r>
    </w:p>
    <w:p w14:paraId="6639D280">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为满足后续“按地区/业态/时间”高频聚合统计，在MySQL中至少建立以下索引：</w:t>
      </w:r>
    </w:p>
    <w:p w14:paraId="7929055F">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YearMonth：支持月度趋势与时间窗口统计</w:t>
      </w:r>
    </w:p>
    <w:p w14:paraId="37213427">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LocalAuthorityName：支持地区对比、低评级占比TopN</w:t>
      </w:r>
    </w:p>
    <w:p w14:paraId="00BE4BE4">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BusinessType：支持业态TopN与业态风险对比</w:t>
      </w:r>
    </w:p>
    <w:p w14:paraId="233DDF9A">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RatingNumeric：支持按评级过滤与快速统计</w:t>
      </w:r>
    </w:p>
    <w:p w14:paraId="7131F434">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组合索引：(LocalAuthorityName, BusinessType) 用于“地区×业态”交叉分析加速</w:t>
      </w:r>
    </w:p>
    <w:p w14:paraId="2E059AB1">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统计口径：</w:t>
      </w:r>
    </w:p>
    <w:p w14:paraId="10A7C9CB">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“评级分布/低评级占比”默认仅在数值评级不为空的样本中计算，并在图注或正文说明该口径；</w:t>
      </w:r>
    </w:p>
    <w:p w14:paraId="434657B3">
      <w:pPr>
        <w:keepNext w:val="0"/>
        <w:keepLines w:val="0"/>
        <w:pageBreakBefore w:val="0"/>
        <w:kinsoku/>
        <w:wordWrap/>
        <w:overflowPunct/>
        <w:topLinePunct w:val="0"/>
        <w:autoSpaceDE/>
        <w:autoSpaceDN/>
        <w:bidi w:val="0"/>
        <w:adjustRightInd/>
        <w:spacing w:beforeAutospacing="0" w:afterAutospacing="0" w:line="440" w:lineRule="exact"/>
        <w:ind w:left="0" w:leftChars="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“地图分析”仅使用坐标缺失标记为0的样本，并同时报告坐标缺失率作为数据质量指标；</w:t>
      </w:r>
    </w:p>
    <w:p w14:paraId="22AF5FA0">
      <w:pPr>
        <w:pStyle w:val="32"/>
        <w:keepNext w:val="0"/>
        <w:keepLines w:val="0"/>
        <w:pageBreakBefore w:val="0"/>
        <w:widowControl/>
        <w:suppressLineNumbers w:val="0"/>
        <w:kinsoku/>
        <w:wordWrap/>
        <w:overflowPunct/>
        <w:topLinePunct w:val="0"/>
        <w:autoSpaceDE/>
        <w:autoSpaceDN/>
        <w:bidi w:val="0"/>
        <w:adjustRightInd/>
        <w:spacing w:before="0" w:beforeAutospacing="0" w:after="0" w:afterAutospacing="0" w:line="440" w:lineRule="exact"/>
        <w:textAlignment w:val="auto"/>
        <w:rPr>
          <w:rFonts w:hint="default" w:ascii="Times New Roman" w:hAnsi="Times New Roman" w:cs="Times New Roman"/>
          <w:sz w:val="24"/>
          <w:szCs w:val="24"/>
        </w:rPr>
      </w:pPr>
      <w:r>
        <w:rPr>
          <w:rFonts w:hint="default" w:ascii="Times New Roman" w:hAnsi="Times New Roman" w:cs="Times New Roman" w:eastAsiaTheme="minorEastAsia"/>
          <w:b w:val="0"/>
          <w:bCs w:val="0"/>
          <w:sz w:val="24"/>
          <w:szCs w:val="24"/>
          <w:lang w:val="en-US" w:eastAsia="zh-CN"/>
        </w:rPr>
        <w:t>“风险分数/聚类分析”以扣分项为核心特征，若扣分项缺失则采用“保留缺失并在报告中说明处理策略”或“用中位数填充并记录填充比例”两种方式之一。</w:t>
      </w:r>
    </w:p>
    <w:p w14:paraId="7B57AD0A">
      <w:pPr>
        <w:keepNext w:val="0"/>
        <w:keepLines w:val="0"/>
        <w:pageBreakBefore w:val="0"/>
        <w:kinsoku/>
        <w:wordWrap/>
        <w:overflowPunct/>
        <w:topLinePunct w:val="0"/>
        <w:autoSpaceDE/>
        <w:autoSpaceDN/>
        <w:bidi w:val="0"/>
        <w:adjustRightInd/>
        <w:spacing w:before="0" w:beforeAutospacing="0" w:after="0" w:afterAutospacing="0" w:line="440" w:lineRule="exac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bCs/>
          <w:sz w:val="24"/>
          <w:szCs w:val="24"/>
        </w:rPr>
        <w:br w:type="page"/>
      </w:r>
      <w:bookmarkStart w:id="834" w:name="_Toc5590"/>
      <w:bookmarkStart w:id="835" w:name="_Toc7366"/>
      <w:r>
        <w:rPr>
          <w:rFonts w:hint="default" w:ascii="Times New Roman" w:hAnsi="Times New Roman" w:cs="Times New Roman"/>
          <w:b/>
          <w:bCs/>
          <w:sz w:val="28"/>
          <w:szCs w:val="28"/>
          <w:lang w:val="en-US" w:eastAsia="zh-CN"/>
        </w:rPr>
        <w:t>3</w:t>
      </w:r>
      <w:r>
        <w:rPr>
          <w:rFonts w:hint="default" w:ascii="Times New Roman" w:hAnsi="Times New Roman" w:cs="Times New Roman" w:eastAsiaTheme="minorEastAsia"/>
          <w:b/>
          <w:bCs/>
          <w:sz w:val="28"/>
          <w:szCs w:val="28"/>
          <w:lang w:val="en-US" w:eastAsia="zh-CN"/>
        </w:rPr>
        <w:t>系统设计</w:t>
      </w:r>
      <w:bookmarkEnd w:id="834"/>
      <w:bookmarkEnd w:id="835"/>
    </w:p>
    <w:p w14:paraId="2F78E6FD">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本部分用于说明：系统整体架构、模块划分、关键流程、数据存储与接口设计，以及可视化大屏的实现方式。</w:t>
      </w:r>
    </w:p>
    <w:p w14:paraId="13DEA129">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36" w:name="_Toc14503"/>
      <w:bookmarkStart w:id="837" w:name="_Toc6393"/>
      <w:bookmarkStart w:id="838" w:name="_Toc28279"/>
      <w:r>
        <w:rPr>
          <w:rFonts w:hint="default" w:ascii="Times New Roman" w:hAnsi="Times New Roman" w:cs="Times New Roman"/>
          <w:b w:val="0"/>
          <w:bCs w:val="0"/>
          <w:sz w:val="24"/>
          <w:szCs w:val="24"/>
          <w:lang w:val="en-US" w:eastAsia="zh-CN"/>
        </w:rPr>
        <w:t>3.1总体架构与技术选型</w:t>
      </w:r>
      <w:bookmarkEnd w:id="836"/>
      <w:bookmarkEnd w:id="837"/>
      <w:bookmarkEnd w:id="838"/>
    </w:p>
    <w:p w14:paraId="0A4F64A0">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3.1.1总体架构：六段式数据链路闭环</w:t>
      </w:r>
    </w:p>
    <w:p w14:paraId="4B538B6A">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数据源（FHRS 开放接口）→采集（分片分页爬取）→原始持久化（JSON）→清洗治理（CSV+清洗报告）→MySQL入库（主表+特征表）→分析与可视化（pyecharts大屏HTML）</w:t>
      </w:r>
    </w:p>
    <w:p w14:paraId="70208F87">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3.1.2技术选型与理由</w:t>
      </w:r>
    </w:p>
    <w:p w14:paraId="7010D295">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Python：端到端数据处理效率高，生态成熟。</w:t>
      </w:r>
    </w:p>
    <w:p w14:paraId="74C02342">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requests（网络请求库）：访问FHRS API，便于控制headers、超时、重试与节流。</w:t>
      </w:r>
    </w:p>
    <w:p w14:paraId="08418A40">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pandas（数据分析库）：清洗、缺失处理、类型转换、分组统计方便。</w:t>
      </w:r>
    </w:p>
    <w:p w14:paraId="3AF8FD78">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SQLAlchemy（数据库ORM/连接框架）：连接MySQL、读写表更稳定。</w:t>
      </w:r>
    </w:p>
    <w:p w14:paraId="1150D8DA">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MySQL（关系型数据库）：用于结构化存储、索引查询、支撑大屏聚合统计。</w:t>
      </w:r>
    </w:p>
    <w:p w14:paraId="4F5D418A">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pyecharts（ECharts Python 封装）：快速生成交互式图表与HTML大屏；支持tooltip、缩放、联动、地图等。</w:t>
      </w:r>
    </w:p>
    <w:p w14:paraId="3FFC6198">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Jupyter Notebook（交互式开发环境）：按Cell组织，便于课堂验收与复现。</w:t>
      </w:r>
    </w:p>
    <w:p w14:paraId="62451414">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3.1.3目录与产物规划</w:t>
      </w:r>
    </w:p>
    <w:p w14:paraId="485FCEB1">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data/raw/：原始JSON（含meta与字段说明）</w:t>
      </w:r>
    </w:p>
    <w:p w14:paraId="6597024E">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data/clean/：清洗后CSV+clean_report.json（清洗报告）</w:t>
      </w:r>
    </w:p>
    <w:p w14:paraId="6935D6A3">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sql/：建表SQL、索引SQL</w:t>
      </w:r>
    </w:p>
    <w:p w14:paraId="7751BB73">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dashboard_html/：最终可视化大屏dashboard.html（可直接打开）</w:t>
      </w:r>
    </w:p>
    <w:p w14:paraId="3C709E28">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39" w:name="_Toc10486"/>
      <w:bookmarkStart w:id="840" w:name="_Toc23769"/>
      <w:bookmarkStart w:id="841" w:name="_Toc1460"/>
      <w:r>
        <w:rPr>
          <w:rFonts w:hint="default" w:ascii="Times New Roman" w:hAnsi="Times New Roman" w:cs="Times New Roman"/>
          <w:b w:val="0"/>
          <w:bCs w:val="0"/>
          <w:sz w:val="24"/>
          <w:szCs w:val="24"/>
          <w:lang w:val="en-US" w:eastAsia="zh-CN"/>
        </w:rPr>
        <w:t>3.2功能模块划分</w:t>
      </w:r>
      <w:bookmarkEnd w:id="839"/>
      <w:bookmarkEnd w:id="840"/>
      <w:bookmarkEnd w:id="841"/>
    </w:p>
    <w:p w14:paraId="2A6E42CE">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系统拆分为6个模块，每个模块均定义“输入—处理—输出”。</w:t>
      </w:r>
    </w:p>
    <w:p w14:paraId="2943544A">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(1)数据采集模块</w:t>
      </w:r>
    </w:p>
    <w:p w14:paraId="7F1A1187">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输入：API基地址、请求头、分片规则（按地区）、分页参数</w:t>
      </w:r>
    </w:p>
    <w:p w14:paraId="46949609">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处理：地区列表获取→逐地区分页抓取门店</w:t>
      </w:r>
    </w:p>
    <w:p w14:paraId="36BF9854">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输出：原始门店记录列表（含FHRSID去重前）</w:t>
      </w:r>
    </w:p>
    <w:p w14:paraId="4C49083F">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(2)原始持久化模块</w:t>
      </w:r>
    </w:p>
    <w:p w14:paraId="462F392C">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输入：采集结果+元信息（时间、来源、参数、字段说明）</w:t>
      </w:r>
    </w:p>
    <w:p w14:paraId="6049C0FB">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输出：raw_*.json</w:t>
      </w:r>
    </w:p>
    <w:p w14:paraId="3129B67B">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(3)数据清洗与质量控制模块</w:t>
      </w:r>
    </w:p>
    <w:p w14:paraId="15EFF8E6">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输入：raw JSON</w:t>
      </w:r>
    </w:p>
    <w:p w14:paraId="5E9C97B5">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处理：去重、缺失、异常过滤、日期标准化、衍生字段、质量统计</w:t>
      </w:r>
    </w:p>
    <w:p w14:paraId="25FB2A23">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输出：clean_*.csv+clean_report_*.json</w:t>
      </w:r>
    </w:p>
    <w:p w14:paraId="4B048851">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(4)MySQL存储模块</w:t>
      </w:r>
    </w:p>
    <w:p w14:paraId="7CA9F9A2">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输入：clean CSV</w:t>
      </w:r>
    </w:p>
    <w:p w14:paraId="647B4578">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处理：建库建表、写入、主键约束、索引、抽样与 COUNT 校验</w:t>
      </w:r>
    </w:p>
    <w:p w14:paraId="7300A637">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输出：主表 establishments_clean_balanced</w:t>
      </w:r>
    </w:p>
    <w:p w14:paraId="5B82693C">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(5)分析建模模块</w:t>
      </w:r>
    </w:p>
    <w:p w14:paraId="276DC62A">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输入：主表数据</w:t>
      </w:r>
    </w:p>
    <w:p w14:paraId="6694740E">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处理：风险分数计算、聚类（KMeans）、风险等级映射、趋势统计</w:t>
      </w:r>
    </w:p>
    <w:p w14:paraId="460A4C99">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输出：特征表 fhrs_ml_features（risk_score/cluster_id/risk_level）</w:t>
      </w:r>
    </w:p>
    <w:p w14:paraId="42F4FA9D">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(6)可视化大屏模块</w:t>
      </w:r>
    </w:p>
    <w:p w14:paraId="3FCFC5B6">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输入：MySQL 聚合后的数据集（多张统计表/结果）</w:t>
      </w:r>
    </w:p>
    <w:p w14:paraId="759C51B4">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处理：生成 15 张图表 + 英国地图空间热点 + 交互配置</w:t>
      </w:r>
    </w:p>
    <w:p w14:paraId="2BA43284">
      <w:pPr>
        <w:keepNext w:val="0"/>
        <w:keepLines w:val="0"/>
        <w:pageBreakBefore w:val="0"/>
        <w:kinsoku/>
        <w:wordWrap/>
        <w:overflowPunct/>
        <w:topLinePunct w:val="0"/>
        <w:autoSpaceDE/>
        <w:autoSpaceDN/>
        <w:bidi w:val="0"/>
        <w:adjustRightInd/>
        <w:spacing w:beforeAutospacing="0" w:afterAutospacing="0" w:line="440" w:lineRule="exact"/>
        <w:ind w:left="0" w:leftChars="0" w:firstLine="480" w:firstLineChars="200"/>
        <w:jc w:val="left"/>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输出：dashboard.html</w:t>
      </w:r>
    </w:p>
    <w:p w14:paraId="5B0C9F82">
      <w:pPr>
        <w:keepNext w:val="0"/>
        <w:keepLines w:val="0"/>
        <w:pageBreakBefore w:val="0"/>
        <w:kinsoku/>
        <w:wordWrap/>
        <w:overflowPunct/>
        <w:topLinePunct w:val="0"/>
        <w:autoSpaceDE/>
        <w:autoSpaceDN/>
        <w:bidi w:val="0"/>
        <w:adjustRightInd/>
        <w:spacing w:line="440" w:lineRule="exact"/>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br w:type="page"/>
      </w:r>
    </w:p>
    <w:p w14:paraId="335751E9">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bookmarkStart w:id="842" w:name="_Toc17278"/>
      <w:bookmarkStart w:id="843" w:name="_Toc11896"/>
      <w:bookmarkStart w:id="844" w:name="_Toc25105"/>
      <w:r>
        <w:rPr>
          <w:rFonts w:hint="default" w:ascii="Times New Roman" w:hAnsi="Times New Roman" w:cs="Times New Roman"/>
          <w:b w:val="0"/>
          <w:bCs w:val="0"/>
          <w:sz w:val="24"/>
          <w:szCs w:val="24"/>
          <w:lang w:val="en-US" w:eastAsia="zh-CN"/>
        </w:rPr>
        <w:t>3.3数据流程设计</w:t>
      </w:r>
      <w:bookmarkEnd w:id="842"/>
      <w:bookmarkEnd w:id="843"/>
      <w:bookmarkEnd w:id="844"/>
    </w:p>
    <w:p w14:paraId="213B5019">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t>3.3.1键流程图</w:t>
      </w:r>
    </w:p>
    <w:p w14:paraId="2CC027E4">
      <w:pPr>
        <w:keepNext w:val="0"/>
        <w:keepLines w:val="0"/>
        <w:pageBreakBefore w:val="0"/>
        <w:kinsoku/>
        <w:wordWrap/>
        <w:overflowPunct/>
        <w:topLinePunct w:val="0"/>
        <w:autoSpaceDE/>
        <w:autoSpaceDN/>
        <w:bidi w:val="0"/>
        <w:adjustRightInd/>
        <w:snapToGrid/>
        <w:spacing w:beforeAutospacing="0" w:afterAutospacing="0" w:line="240" w:lineRule="auto"/>
        <w:ind w:left="0" w:leftChars="0"/>
        <w:jc w:val="center"/>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drawing>
          <wp:inline distT="0" distB="0" distL="114300" distR="114300">
            <wp:extent cx="1964690" cy="5677535"/>
            <wp:effectExtent l="0" t="0" r="0" b="18415"/>
            <wp:docPr id="605" name="图片 605" descr="LLDDJnfT5DxFhpXBZS4nxrBojXgjqTOFMsotPCHBPje1pCmOumv8-K10IFm0MribrKfj16bL263zCVNScLdv5tg6eQRkRdAVytmyvzuntP0qOosa2ePYg0ocfb_v01DLVXKpgrc-Uy7pDRDMiMFRzzsqdKhP7vCU_gDZ5fCUF2zZlEh1T99_BdgmKBTEavZRk-zc1A77AepQYRn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605" descr="LLDDJnfT5DxFhpXBZS4nxrBojXgjqTOFMsotPCHBPje1pCmOumv8-K10IFm0MribrKfj16bL263zCVNScLdv5tg6eQRkRdAVytmyvzuntP0qOosa2ePYg0ocfb_v01DLVXKpgrc-Uy7pDRDMiMFRzzsqdKhP7vCU_gDZ5fCUF2zZlEh1T99_BdgmKBTEavZRk-zc1A77AepQYRnvK"/>
                    <pic:cNvPicPr>
                      <a:picLocks noChangeAspect="1"/>
                    </pic:cNvPicPr>
                  </pic:nvPicPr>
                  <pic:blipFill>
                    <a:blip r:embed="rId354">
                      <a:extLst>
                        <a:ext uri="{96DAC541-7B7A-43D3-8B79-37D633B846F1}">
                          <asvg:svgBlip xmlns:asvg="http://schemas.microsoft.com/office/drawing/2016/SVG/main" r:embed="rId355"/>
                        </a:ext>
                      </a:extLst>
                    </a:blip>
                    <a:stretch>
                      <a:fillRect/>
                    </a:stretch>
                  </pic:blipFill>
                  <pic:spPr>
                    <a:xfrm>
                      <a:off x="0" y="0"/>
                      <a:ext cx="1964690" cy="5677535"/>
                    </a:xfrm>
                    <a:prstGeom prst="rect">
                      <a:avLst/>
                    </a:prstGeom>
                  </pic:spPr>
                </pic:pic>
              </a:graphicData>
            </a:graphic>
          </wp:inline>
        </w:drawing>
      </w:r>
    </w:p>
    <w:p w14:paraId="1F462B5F">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bookmarkStart w:id="845" w:name="_Toc17994"/>
      <w:bookmarkStart w:id="846" w:name="_Toc1676"/>
      <w:bookmarkStart w:id="847" w:name="_Toc14486"/>
      <w:r>
        <w:rPr>
          <w:rFonts w:hint="default" w:ascii="Times New Roman" w:hAnsi="Times New Roman" w:cs="Times New Roman"/>
          <w:b w:val="0"/>
          <w:bCs w:val="0"/>
          <w:sz w:val="24"/>
          <w:szCs w:val="24"/>
          <w:lang w:val="en-US" w:eastAsia="zh-CN"/>
        </w:rPr>
        <w:t>3.4分析建模与指标设计</w:t>
      </w:r>
      <w:bookmarkEnd w:id="845"/>
      <w:bookmarkEnd w:id="846"/>
      <w:bookmarkEnd w:id="847"/>
    </w:p>
    <w:p w14:paraId="34A7BAE3">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3.4.1风险分数risk_score的设计逻辑</w:t>
      </w:r>
    </w:p>
    <w:p w14:paraId="757DE66E">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risk_score</w:t>
      </w:r>
      <w:r>
        <w:rPr>
          <w:rFonts w:hint="default" w:ascii="Times New Roman" w:hAnsi="Times New Roman" w:cs="Times New Roman" w:eastAsiaTheme="minorEastAsia"/>
          <w:b w:val="0"/>
          <w:bCs w:val="0"/>
          <w:sz w:val="24"/>
          <w:szCs w:val="24"/>
          <w:lang w:val="en-US" w:eastAsia="zh-CN"/>
        </w:rPr>
        <w:t>的定义属于“可解释的加权线性组合”思想：</w:t>
      </w:r>
    </w:p>
    <w:p w14:paraId="29E214BA">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卫生扣分、结构扣分、管理扣分：直接反映监管检查中问题严重程度（扣分越高风险越高）</w:t>
      </w:r>
    </w:p>
    <w:p w14:paraId="441F4C7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数值评级（0-5）：反映总体卫生水平（评级越低风险越高）</w:t>
      </w:r>
    </w:p>
    <w:p w14:paraId="496DCE28">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因此把多项信息合成一个分数，用于：</w:t>
      </w:r>
    </w:p>
    <w:p w14:paraId="0D1303BC">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做风险分组、聚类输入、趋势与地区对比的核心指标</w:t>
      </w:r>
    </w:p>
    <w:p w14:paraId="219F8B3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系数来源：</w:t>
      </w:r>
    </w:p>
    <w:p w14:paraId="2559FD2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这是“经验权重+可解释性优先”的方案：把最核心的三类扣分权重设大，评级作为辅助特征权重较小；后续可用回归/网格搜索/熵权法/层次分析法来自动学习权重，这属于扩展方向。</w:t>
      </w:r>
    </w:p>
    <w:p w14:paraId="7FB06D9D">
      <w:pPr>
        <w:keepNext w:val="0"/>
        <w:keepLines w:val="0"/>
        <w:pageBreakBefore w:val="0"/>
        <w:kinsoku/>
        <w:wordWrap/>
        <w:overflowPunct/>
        <w:topLinePunct w:val="0"/>
        <w:autoSpaceDE/>
        <w:autoSpaceDN/>
        <w:bidi w:val="0"/>
        <w:adjustRightInd/>
        <w:spacing w:before="0" w:beforeAutospacing="0" w:after="0" w:afterAutospacing="0" w:line="440" w:lineRule="exact"/>
        <w:ind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3.4.2KMeans聚类在本项目里的定位</w:t>
      </w:r>
    </w:p>
    <w:p w14:paraId="7B84085D">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KMeans的核心：把样本按特征空间的距离自动分成 K 组，每组有一个“中心点”，样本会被分到最近的中心</w:t>
      </w:r>
    </w:p>
    <w:p w14:paraId="6FBF6FDB">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在本项目中：输入特征：扣分项+评级；输出：cluster_id（聚类编号）</w:t>
      </w:r>
    </w:p>
    <w:p w14:paraId="0C9371AC">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再把聚类结果按平均风险分数排序，映射为“低/中/高”等风险等级</w:t>
      </w:r>
    </w:p>
    <w:p w14:paraId="03B62A9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这样可以回答“高风险门店主要是哪类问题导致”、“不同业态/地区的风险画像是否不同”此类问题。</w:t>
      </w:r>
    </w:p>
    <w:p w14:paraId="31D3346C">
      <w:pPr>
        <w:keepNext w:val="0"/>
        <w:keepLines w:val="0"/>
        <w:pageBreakBefore w:val="0"/>
        <w:kinsoku/>
        <w:wordWrap/>
        <w:overflowPunct/>
        <w:topLinePunct w:val="0"/>
        <w:autoSpaceDE/>
        <w:autoSpaceDN/>
        <w:bidi w:val="0"/>
        <w:adjustRightInd/>
        <w:snapToGrid/>
        <w:spacing w:beforeAutospacing="0" w:afterAutospacing="0" w:line="440" w:lineRule="exact"/>
        <w:ind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3.4.3趋势图的作用</w:t>
      </w:r>
    </w:p>
    <w:p w14:paraId="5B3926EE">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月度记录数趋势：反映数据更新/检查发布的节奏（哪些月份更新更集中）</w:t>
      </w:r>
    </w:p>
    <w:p w14:paraId="784170AC">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月度平均风险趋势：反映整体风险水平是否在上升或下降（可用于发现阶段性风险抬头）</w:t>
      </w:r>
    </w:p>
    <w:p w14:paraId="57A9FAFB">
      <w:pPr>
        <w:keepNext w:val="0"/>
        <w:keepLines w:val="0"/>
        <w:pageBreakBefore w:val="0"/>
        <w:kinsoku/>
        <w:wordWrap/>
        <w:overflowPunct/>
        <w:topLinePunct w:val="0"/>
        <w:autoSpaceDE/>
        <w:autoSpaceDN/>
        <w:bidi w:val="0"/>
        <w:adjustRightInd/>
        <w:spacing w:before="0" w:beforeAutospacing="0" w:after="0" w:afterAutospacing="0" w:line="440" w:lineRule="exact"/>
        <w:ind w:firstLine="480" w:firstLineChars="200"/>
        <w:outlineLvl w:val="9"/>
        <w:rPr>
          <w:rFonts w:hint="default" w:ascii="Times New Roman" w:hAnsi="Times New Roman" w:cs="Times New Roman"/>
          <w:b w:val="0"/>
          <w:bCs w:val="0"/>
          <w:sz w:val="24"/>
          <w:szCs w:val="24"/>
          <w:lang w:val="en-US" w:eastAsia="zh-CN"/>
        </w:rPr>
      </w:pPr>
      <w:bookmarkStart w:id="848" w:name="_Toc18597"/>
      <w:bookmarkStart w:id="849" w:name="_Toc30040"/>
      <w:bookmarkStart w:id="850" w:name="_Toc12416"/>
      <w:r>
        <w:rPr>
          <w:rFonts w:hint="default" w:ascii="Times New Roman" w:hAnsi="Times New Roman" w:cs="Times New Roman"/>
          <w:b w:val="0"/>
          <w:bCs w:val="0"/>
          <w:sz w:val="24"/>
          <w:szCs w:val="24"/>
          <w:lang w:val="en-US" w:eastAsia="zh-CN"/>
        </w:rPr>
        <w:t>3.5可视化大屏概要设计</w:t>
      </w:r>
      <w:bookmarkEnd w:id="848"/>
      <w:bookmarkEnd w:id="849"/>
      <w:bookmarkEnd w:id="850"/>
    </w:p>
    <w:p w14:paraId="3827C16E">
      <w:pPr>
        <w:keepNext w:val="0"/>
        <w:keepLines w:val="0"/>
        <w:pageBreakBefore w:val="0"/>
        <w:kinsoku/>
        <w:wordWrap/>
        <w:overflowPunct/>
        <w:topLinePunct w:val="0"/>
        <w:autoSpaceDE/>
        <w:autoSpaceDN/>
        <w:bidi w:val="0"/>
        <w:adjustRightInd/>
        <w:spacing w:before="0" w:beforeAutospacing="0" w:after="0" w:afterAutospacing="0" w:line="440" w:lineRule="exact"/>
        <w:ind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3.5.1图表体系</w:t>
      </w:r>
    </w:p>
    <w:p w14:paraId="7EAA902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评级分布、低评级占比、地区对比、业态 Top10</w:t>
      </w:r>
    </w:p>
    <w:p w14:paraId="3E7E34E7">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趋势：记录数、平均风险</w:t>
      </w:r>
    </w:p>
    <w:p w14:paraId="6D9C57C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风险分组：样本数柱状图、风险画像</w:t>
      </w:r>
    </w:p>
    <w:p w14:paraId="3949DEC1">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空间热点：英国地图+高风险涟漪点+全量抽样绿点</w:t>
      </w:r>
    </w:p>
    <w:p w14:paraId="6105C95F">
      <w:pPr>
        <w:keepNext w:val="0"/>
        <w:keepLines w:val="0"/>
        <w:pageBreakBefore w:val="0"/>
        <w:kinsoku/>
        <w:wordWrap/>
        <w:overflowPunct/>
        <w:topLinePunct w:val="0"/>
        <w:autoSpaceDE/>
        <w:autoSpaceDN/>
        <w:bidi w:val="0"/>
        <w:adjustRightInd/>
        <w:spacing w:before="0" w:beforeAutospacing="0" w:after="0" w:afterAutospacing="0" w:line="440" w:lineRule="exact"/>
        <w:ind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3.5.2交互设计</w:t>
      </w:r>
    </w:p>
    <w:p w14:paraId="19BB8EB7">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Tooltip（悬浮提示）：查看地区/业态/风险值</w:t>
      </w:r>
    </w:p>
    <w:p w14:paraId="1F88201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DataZoom（缩放）：趋势图可缩放查看局部月份</w:t>
      </w:r>
    </w:p>
    <w:p w14:paraId="19FA8D75">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Roam（地图漫游）：拖动与缩放查看空间分布</w:t>
      </w:r>
    </w:p>
    <w:p w14:paraId="2A4716B3">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拖拽布局：DraggablePageLayout 支持摆放图表位置并固化配置</w:t>
      </w:r>
    </w:p>
    <w:p w14:paraId="20DE92CD">
      <w:pPr>
        <w:keepNext w:val="0"/>
        <w:keepLines w:val="0"/>
        <w:pageBreakBefore w:val="0"/>
        <w:kinsoku/>
        <w:wordWrap/>
        <w:overflowPunct/>
        <w:topLinePunct w:val="0"/>
        <w:autoSpaceDE/>
        <w:autoSpaceDN/>
        <w:bidi w:val="0"/>
        <w:adjustRightInd/>
        <w:spacing w:line="440" w:lineRule="exact"/>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br w:type="page"/>
      </w:r>
    </w:p>
    <w:p w14:paraId="6B74CE83">
      <w:pPr>
        <w:keepNext w:val="0"/>
        <w:keepLines w:val="0"/>
        <w:pageBreakBefore w:val="0"/>
        <w:kinsoku/>
        <w:wordWrap/>
        <w:overflowPunct/>
        <w:topLinePunct w:val="0"/>
        <w:autoSpaceDE/>
        <w:autoSpaceDN/>
        <w:bidi w:val="0"/>
        <w:adjustRightInd/>
        <w:spacing w:line="440" w:lineRule="exact"/>
        <w:rPr>
          <w:rFonts w:hint="default" w:ascii="Times New Roman" w:hAnsi="Times New Roman" w:cs="Times New Roman" w:eastAsiaTheme="minorEastAsia"/>
          <w:b/>
          <w:bCs/>
          <w:sz w:val="28"/>
          <w:szCs w:val="28"/>
          <w:lang w:val="en-US" w:eastAsia="zh-CN"/>
        </w:rPr>
      </w:pPr>
      <w:bookmarkStart w:id="851" w:name="_Toc21683"/>
      <w:bookmarkStart w:id="852" w:name="_Toc5399"/>
      <w:r>
        <w:rPr>
          <w:rFonts w:hint="eastAsia" w:ascii="Times New Roman" w:hAnsi="Times New Roman" w:cs="Times New Roman"/>
          <w:b/>
          <w:bCs/>
          <w:sz w:val="28"/>
          <w:szCs w:val="28"/>
          <w:lang w:val="en-US" w:eastAsia="zh-CN"/>
        </w:rPr>
        <w:t>4</w:t>
      </w:r>
      <w:r>
        <w:rPr>
          <w:rFonts w:hint="default" w:ascii="Times New Roman" w:hAnsi="Times New Roman" w:cs="Times New Roman"/>
          <w:b/>
          <w:bCs/>
          <w:sz w:val="28"/>
          <w:szCs w:val="28"/>
          <w:lang w:val="en-US" w:eastAsia="zh-CN"/>
        </w:rPr>
        <w:t>分析过程</w:t>
      </w:r>
      <w:bookmarkEnd w:id="851"/>
      <w:bookmarkEnd w:id="852"/>
    </w:p>
    <w:p w14:paraId="5EB7AA45">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本部分在“清洗后门店主表”的基础上开展分析，目标是把评分现状、业态结构、地区差异、趋势变化、空间热点讲清楚，并把结果落到可交互的大屏图表与可复现的分析流程上。</w:t>
      </w:r>
    </w:p>
    <w:p w14:paraId="6AD7E4C6">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整体思路是：先做描述统计→再构建可解释的风险分数→再做聚类分群→最后做趋势与空间分析并输出结论。</w:t>
      </w:r>
    </w:p>
    <w:p w14:paraId="740988CA">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53" w:name="_Toc5998"/>
      <w:bookmarkStart w:id="854" w:name="_Toc15882"/>
      <w:bookmarkStart w:id="855" w:name="_Toc6218"/>
      <w:r>
        <w:rPr>
          <w:rFonts w:hint="default" w:ascii="Times New Roman" w:hAnsi="Times New Roman" w:cs="Times New Roman"/>
          <w:b w:val="0"/>
          <w:bCs w:val="0"/>
          <w:sz w:val="24"/>
          <w:szCs w:val="24"/>
          <w:lang w:val="en-US" w:eastAsia="zh-CN"/>
        </w:rPr>
        <w:t>5.1分析目标与数据准备</w:t>
      </w:r>
      <w:bookmarkEnd w:id="853"/>
      <w:bookmarkEnd w:id="854"/>
      <w:bookmarkEnd w:id="855"/>
    </w:p>
    <w:p w14:paraId="1F0B31F0">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本次分析围绕四个问题展开：</w:t>
      </w:r>
    </w:p>
    <w:p w14:paraId="460E78F7">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整体质量如何：高评分占比多少？低评分是否集中？</w:t>
      </w:r>
    </w:p>
    <w:p w14:paraId="609EF271">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结构画像如何：哪些业态规模最大？不同业态风险是否差异明显？</w:t>
      </w:r>
    </w:p>
    <w:p w14:paraId="42F7082A">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地区差异如何：哪些地区低评分占比较高，可能存在“相对高风险区域”？</w:t>
      </w:r>
    </w:p>
    <w:p w14:paraId="7B646AD4">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趋势与空间如何：近一段时间风险分数有没有上升/下降？高风险点在地图上是否聚集成热点？</w:t>
      </w:r>
    </w:p>
    <w:p w14:paraId="28556FAC">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数据输入为MySQL中的清洗后数据表，分析阶段只保留“能用于统计与建模的关键字段”，并做两类可用性判断：</w:t>
      </w:r>
    </w:p>
    <w:p w14:paraId="1680B579">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数值评分可用：存在数值评分时，才能做“评分分布、低评分占比”等统计。</w:t>
      </w:r>
    </w:p>
    <w:p w14:paraId="05D93B2D">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经纬度可用：存在坐标时，才能做地图散点与空间热点。</w:t>
      </w:r>
    </w:p>
    <w:p w14:paraId="686893FD">
      <w:pPr>
        <w:keepNext w:val="0"/>
        <w:keepLines w:val="0"/>
        <w:pageBreakBefore w:val="0"/>
        <w:widowControl w:val="0"/>
        <w:kinsoku/>
        <w:wordWrap/>
        <w:overflowPunct/>
        <w:topLinePunct w:val="0"/>
        <w:autoSpaceDE/>
        <w:autoSpaceDN/>
        <w:bidi w:val="0"/>
        <w:adjustRightInd/>
        <w:snapToGrid/>
        <w:spacing w:before="0" w:beforeAutospacing="0" w:after="0" w:afterAutospacing="0" w:line="440" w:lineRule="exact"/>
        <w:ind w:left="0" w:leftChars="0" w:firstLine="480" w:firstLineChars="200"/>
        <w:textAlignment w:val="auto"/>
        <w:outlineLvl w:val="9"/>
        <w:rPr>
          <w:rFonts w:hint="default" w:ascii="Times New Roman" w:hAnsi="Times New Roman" w:cs="Times New Roman" w:eastAsiaTheme="minorEastAsia"/>
          <w:b w:val="0"/>
          <w:bCs w:val="0"/>
          <w:sz w:val="24"/>
          <w:szCs w:val="24"/>
          <w:lang w:val="en-US" w:eastAsia="zh-CN"/>
        </w:rPr>
      </w:pPr>
      <w:bookmarkStart w:id="856" w:name="_Toc10834"/>
      <w:bookmarkStart w:id="857" w:name="_Toc15970"/>
      <w:bookmarkStart w:id="858" w:name="_Toc11729"/>
      <w:r>
        <w:rPr>
          <w:rFonts w:hint="default" w:ascii="Times New Roman" w:hAnsi="Times New Roman" w:cs="Times New Roman"/>
          <w:b w:val="0"/>
          <w:bCs w:val="0"/>
          <w:sz w:val="24"/>
          <w:szCs w:val="24"/>
          <w:lang w:val="en-US" w:eastAsia="zh-CN"/>
        </w:rPr>
        <w:t>5.2指标体系：描述统计口径与核心定义</w:t>
      </w:r>
      <w:bookmarkEnd w:id="856"/>
      <w:bookmarkEnd w:id="857"/>
      <w:bookmarkEnd w:id="858"/>
    </w:p>
    <w:p w14:paraId="106B7A2F">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为保证口径一致，本项目采用以下统计口径（在文档后续章节均沿用）：</w:t>
      </w:r>
    </w:p>
    <w:p w14:paraId="48955CEE">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门店规模统计：按“地区名称/经营业态/评分”等维度统计门店数（计数）。</w:t>
      </w:r>
    </w:p>
    <w:p w14:paraId="0EEF6A5D">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低评分定义：在“数值评分样本”中，将数值评分≤2视为低评分（用于识别相对高风险区域）。</w:t>
      </w:r>
    </w:p>
    <w:p w14:paraId="30569727">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地区对比阈值：为避免小样本造成波动，地区统计要求 该地区样本量≥500 才参与排名展示。</w:t>
      </w:r>
    </w:p>
    <w:p w14:paraId="49B928F3">
      <w:pPr>
        <w:keepNext w:val="0"/>
        <w:keepLines w:val="0"/>
        <w:pageBreakBefore w:val="0"/>
        <w:widowControl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趋势分析窗口：以“评分日期”为时间轴，取近18个月做趋势对比（用于观察结构性变化与风险水平变化）。</w:t>
      </w:r>
    </w:p>
    <w:p w14:paraId="05CD30DD">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left"/>
        <w:textAlignment w:val="auto"/>
        <w:rPr>
          <w:rFonts w:hint="default" w:ascii="Times New Roman" w:hAnsi="Times New Roman" w:cs="Times New Roman"/>
          <w:sz w:val="24"/>
          <w:szCs w:val="24"/>
        </w:rPr>
      </w:pPr>
    </w:p>
    <w:p w14:paraId="3027B976">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0500" cy="3562350"/>
            <wp:effectExtent l="0" t="0" r="0" b="0"/>
            <wp:docPr id="606" name="Chart 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6"/>
              </a:graphicData>
            </a:graphic>
          </wp:inline>
        </w:drawing>
      </w:r>
    </w:p>
    <w:p w14:paraId="430D4F6D">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图5-1评分分布柱状图</w:t>
      </w:r>
    </w:p>
    <w:p w14:paraId="356BDE4D">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66690" cy="2150745"/>
            <wp:effectExtent l="0" t="0" r="0" b="0"/>
            <wp:docPr id="607" name="Chart 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7"/>
              </a:graphicData>
            </a:graphic>
          </wp:inline>
        </w:drawing>
      </w:r>
    </w:p>
    <w:p w14:paraId="4D68F798">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t>图5-2业态规模Top10</w:t>
      </w:r>
    </w:p>
    <w:p w14:paraId="08232612">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sz w:val="24"/>
          <w:szCs w:val="24"/>
        </w:rPr>
        <w:drawing>
          <wp:inline distT="0" distB="0" distL="114300" distR="114300">
            <wp:extent cx="5274310" cy="3230245"/>
            <wp:effectExtent l="0" t="0" r="0" b="0"/>
            <wp:docPr id="608" name="Chart 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8"/>
              </a:graphicData>
            </a:graphic>
          </wp:inline>
        </w:drawing>
      </w:r>
    </w:p>
    <w:p w14:paraId="3DF3852D">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宋体" w:hAnsi="宋体" w:eastAsia="宋体" w:cs="宋体"/>
          <w:b w:val="0"/>
          <w:bCs w:val="0"/>
          <w:sz w:val="21"/>
          <w:szCs w:val="21"/>
          <w:lang w:val="en-US" w:eastAsia="zh-CN"/>
        </w:rPr>
      </w:pPr>
      <w:r>
        <w:rPr>
          <w:rFonts w:hint="default" w:ascii="宋体" w:hAnsi="宋体" w:eastAsia="宋体" w:cs="宋体"/>
          <w:b w:val="0"/>
          <w:bCs w:val="0"/>
          <w:sz w:val="21"/>
          <w:szCs w:val="21"/>
          <w:lang w:val="en-US" w:eastAsia="zh-CN"/>
        </w:rPr>
        <w:t>图5-3地区低评分占比条形图</w:t>
      </w:r>
    </w:p>
    <w:p w14:paraId="7B964E8D">
      <w:pPr>
        <w:keepNext w:val="0"/>
        <w:keepLines w:val="0"/>
        <w:pageBreakBefore w:val="0"/>
        <w:kinsoku/>
        <w:wordWrap/>
        <w:overflowPunct/>
        <w:topLinePunct w:val="0"/>
        <w:autoSpaceDE/>
        <w:autoSpaceDN/>
        <w:bidi w:val="0"/>
        <w:adjustRightInd/>
        <w:spacing w:before="0" w:beforeAutospacing="0" w:after="0" w:afterAutospacing="0" w:line="240" w:lineRule="auto"/>
        <w:ind w:left="0" w:leftChars="0" w:firstLine="480" w:firstLineChars="200"/>
        <w:outlineLvl w:val="9"/>
        <w:rPr>
          <w:rFonts w:hint="default" w:ascii="Times New Roman" w:hAnsi="Times New Roman" w:cs="Times New Roman"/>
          <w:b w:val="0"/>
          <w:bCs w:val="0"/>
          <w:sz w:val="24"/>
          <w:szCs w:val="24"/>
          <w:lang w:val="en-US" w:eastAsia="zh-CN"/>
        </w:rPr>
      </w:pPr>
      <w:bookmarkStart w:id="859" w:name="_Toc10943"/>
      <w:bookmarkStart w:id="860" w:name="_Toc719"/>
      <w:bookmarkStart w:id="861" w:name="_Toc24217"/>
      <w:r>
        <w:rPr>
          <w:rFonts w:hint="default" w:ascii="Times New Roman" w:hAnsi="Times New Roman" w:cs="Times New Roman"/>
          <w:b w:val="0"/>
          <w:bCs w:val="0"/>
          <w:sz w:val="24"/>
          <w:szCs w:val="24"/>
          <w:lang w:val="en-US" w:eastAsia="zh-CN"/>
        </w:rPr>
        <w:t>5.3风险分数构建：从“扣分项”到“可解释风险”</w:t>
      </w:r>
      <w:bookmarkEnd w:id="859"/>
      <w:bookmarkEnd w:id="860"/>
      <w:bookmarkEnd w:id="861"/>
    </w:p>
    <w:p w14:paraId="7559D697">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5.3.1为什么需要风险分数</w:t>
      </w:r>
    </w:p>
    <w:p w14:paraId="7FD610A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官方评分本身是离散等级（0–5或文本），但现实分析中我们更需要一个连续变量来做：</w:t>
      </w:r>
    </w:p>
    <w:p w14:paraId="759A3099">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趋势对比（平均风险随时间变化）；</w:t>
      </w:r>
    </w:p>
    <w:p w14:paraId="44FB70D8">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聚类分群（把“相似风险画像”的门店聚在一起）；</w:t>
      </w:r>
    </w:p>
    <w:p w14:paraId="2F966D99">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空间热点（在地图上用颜色/涟漪表达强弱）。</w:t>
      </w:r>
    </w:p>
    <w:p w14:paraId="37AAC505">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因此，本项目引入“风险分数”，核心是把“卫生扣分、结构扣分、管理扣分（以及可选的数值评分）”组合成一个可解释的数值。</w:t>
      </w:r>
    </w:p>
    <w:p w14:paraId="59AFD59A">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5.3.2风险分数公式与解释</w:t>
      </w:r>
    </w:p>
    <w:p w14:paraId="2D60EB43">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风险分数采用加权线性组合：</w:t>
      </w:r>
    </w:p>
    <w:p w14:paraId="2A4AD295">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风险分数=0.40×卫生扣分+0.35×结构扣分+0.20×管理扣分+0.05×数值评分</w:t>
      </w:r>
    </w:p>
    <w:p w14:paraId="1855DC2D">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解释要点如下：</w:t>
      </w:r>
    </w:p>
    <w:p w14:paraId="013E6C5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扣分项越高，代表问题越多，因此风险越大；</w:t>
      </w:r>
    </w:p>
    <w:p w14:paraId="66BC8A4C">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权重设计遵循“可解释优先”的原则：卫生相关通常对公众健康更直接，所以权重更高；结构次之；管理再次；数值评分信息量较粗、且覆盖率不是100%，所以权重最低、并设置为“可选项”。</w:t>
      </w:r>
    </w:p>
    <w:p w14:paraId="11173DD3">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若某条记录没有数值评分，则公式自动退化为“三项扣分”为主的风险分数，保证样本尽可能可用。</w:t>
      </w:r>
    </w:p>
    <w:p w14:paraId="1A13EAE4">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5.3.3权重系数由来</w:t>
      </w:r>
    </w:p>
    <w:p w14:paraId="5F9905C3">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本项目的权重系数</w:t>
      </w:r>
      <w:r>
        <w:rPr>
          <w:rFonts w:hint="default" w:ascii="Times New Roman" w:hAnsi="Times New Roman" w:cs="Times New Roman" w:eastAsiaTheme="minorEastAsia"/>
          <w:b w:val="0"/>
          <w:bCs w:val="0"/>
          <w:sz w:val="24"/>
          <w:szCs w:val="24"/>
          <w:lang w:val="en-US" w:eastAsia="zh-CN"/>
        </w:rPr>
        <w:t>按以下逻辑确定：</w:t>
      </w:r>
    </w:p>
    <w:p w14:paraId="0316C6B9">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依据业务含义分配主次：卫生问题对食源性风险更直接，优先级最高；结构与管理影响间接，但仍重要。</w:t>
      </w:r>
    </w:p>
    <w:p w14:paraId="2688C2EE">
      <w:pPr>
        <w:keepNext w:val="0"/>
        <w:keepLines w:val="0"/>
        <w:pageBreakBefore w:val="0"/>
        <w:kinsoku/>
        <w:wordWrap/>
        <w:overflowPunct/>
        <w:topLinePunct w:val="0"/>
        <w:autoSpaceDE/>
        <w:autoSpaceDN/>
        <w:bidi w:val="0"/>
        <w:adjustRightInd/>
        <w:snapToGrid/>
        <w:spacing w:beforeAutospacing="0" w:afterAutospacing="0" w:line="440" w:lineRule="exact"/>
        <w:ind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保持可解释与稳定：系数和为1，便于解释“贡献占比”，也便于后续调参。</w:t>
      </w:r>
    </w:p>
    <w:p w14:paraId="69AF26BD">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做了敏感性检查：将权重在小范围内扰动（例如卫生0.35–0.45），观察“高风险门店集合”和“地区排名”是否剧烈变化；若变化很小，说明模型稳定、口径可用。</w:t>
      </w:r>
    </w:p>
    <w:p w14:paraId="02094CE8">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后续可优化：如果未来拿到更强的“真实风险标签”（如抽检不合格、处罚记录），可以用监督学习或回归来学习权重。</w:t>
      </w:r>
    </w:p>
    <w:p w14:paraId="76DCC5F6">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bookmarkStart w:id="862" w:name="_Toc24347"/>
      <w:bookmarkStart w:id="863" w:name="_Toc29402"/>
      <w:bookmarkStart w:id="864" w:name="_Toc24"/>
      <w:r>
        <w:rPr>
          <w:rFonts w:hint="default" w:ascii="Times New Roman" w:hAnsi="Times New Roman" w:cs="Times New Roman"/>
          <w:b w:val="0"/>
          <w:bCs w:val="0"/>
          <w:sz w:val="24"/>
          <w:szCs w:val="24"/>
          <w:lang w:val="en-US" w:eastAsia="zh-CN"/>
        </w:rPr>
        <w:t>5.4风险分群：用聚类形成“风险画像”</w:t>
      </w:r>
      <w:bookmarkEnd w:id="862"/>
      <w:bookmarkEnd w:id="863"/>
      <w:bookmarkEnd w:id="864"/>
    </w:p>
    <w:p w14:paraId="3E07BC3C">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5.4.1为什么用聚类</w:t>
      </w:r>
    </w:p>
    <w:p w14:paraId="6ACE972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单看风险分数只能知道“高低”，但无法解释“为什么高”。聚类可以把门店按扣分结构自动分组，形成可讲述的画像，例如：</w:t>
      </w:r>
    </w:p>
    <w:p w14:paraId="659896D5">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卫生问题突出型、结构问题突出型、管理问题突出型、综合偏高型、综合偏低型</w:t>
      </w:r>
    </w:p>
    <w:p w14:paraId="48022F5A">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5.4.2聚类方法与核心机制</w:t>
      </w:r>
    </w:p>
    <w:p w14:paraId="39327857">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本项目使用 KMeans 聚类，核心是：</w:t>
      </w:r>
    </w:p>
    <w:p w14:paraId="7A51D23B">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先把每个门店表示为一个特征向量（卫生扣分、结构扣分、管理扣分、数值评分等）；</w:t>
      </w:r>
    </w:p>
    <w:p w14:paraId="0A1B41DE">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KMeans会寻找K个中心点，让每条样本分配到最近中心，使得簇内平方误差之和最小；</w:t>
      </w:r>
    </w:p>
    <w:p w14:paraId="6FE93B4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聚类完成后，每个门店得到一个“聚类编号”，用于大屏联动与分组统计。</w:t>
      </w:r>
    </w:p>
    <w:p w14:paraId="3D1090D0">
      <w:pPr>
        <w:keepNext w:val="0"/>
        <w:keepLines w:val="0"/>
        <w:pageBreakBefore w:val="0"/>
        <w:kinsoku/>
        <w:wordWrap/>
        <w:overflowPunct/>
        <w:topLinePunct w:val="0"/>
        <w:autoSpaceDE/>
        <w:autoSpaceDN/>
        <w:bidi w:val="0"/>
        <w:adjustRightInd/>
        <w:snapToGrid/>
        <w:spacing w:beforeAutospacing="0" w:afterAutospacing="0" w:line="440" w:lineRule="exact"/>
        <w:ind w:left="0" w:leftChars="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为保证聚类效果，本项目强调两点实践细节：</w:t>
      </w:r>
    </w:p>
    <w:p w14:paraId="6C21CB89">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特征尺度统一：不同扣分项量纲可能不同，聚类前应做标准化/归一化，否则会被某一项“数值更大”的特征主导。</w:t>
      </w:r>
    </w:p>
    <w:p w14:paraId="050A9F11">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K 的选择：先用经验值（如K=5）观察分布，再结合可解释性合并为更清晰的风险等级。</w:t>
      </w:r>
    </w:p>
    <w:p w14:paraId="66DEF2A7">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sz w:val="24"/>
          <w:szCs w:val="24"/>
        </w:rPr>
        <w:drawing>
          <wp:inline distT="0" distB="0" distL="114300" distR="114300">
            <wp:extent cx="5239385" cy="2560320"/>
            <wp:effectExtent l="0" t="0" r="0" b="0"/>
            <wp:docPr id="609" name="Chart 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9"/>
              </a:graphicData>
            </a:graphic>
          </wp:inline>
        </w:drawing>
      </w:r>
    </w:p>
    <w:p w14:paraId="40A3A12E">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Times New Roman" w:hAnsi="Times New Roman" w:cs="Times New Roman" w:eastAsiaTheme="minorEastAsia"/>
          <w:b w:val="0"/>
          <w:bCs w:val="0"/>
          <w:sz w:val="24"/>
          <w:szCs w:val="24"/>
          <w:lang w:val="en-US" w:eastAsia="zh-CN"/>
        </w:rPr>
      </w:pPr>
      <w:r>
        <w:rPr>
          <w:rFonts w:hint="default" w:ascii="宋体" w:hAnsi="宋体" w:eastAsia="宋体" w:cs="宋体"/>
          <w:b w:val="0"/>
          <w:bCs w:val="0"/>
          <w:sz w:val="18"/>
          <w:szCs w:val="18"/>
          <w:lang w:val="en-US" w:eastAsia="zh-CN"/>
        </w:rPr>
        <w:t>图5-4分</w:t>
      </w:r>
      <w:r>
        <w:rPr>
          <w:rFonts w:hint="default" w:ascii="宋体" w:hAnsi="宋体" w:eastAsia="宋体" w:cs="宋体"/>
          <w:b w:val="0"/>
          <w:bCs w:val="0"/>
          <w:sz w:val="21"/>
          <w:szCs w:val="21"/>
          <w:lang w:val="en-US" w:eastAsia="zh-CN"/>
        </w:rPr>
        <w:t>群样本数柱状图</w:t>
      </w:r>
    </w:p>
    <w:p w14:paraId="38372654">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b w:val="0"/>
          <w:bCs w:val="0"/>
          <w:sz w:val="24"/>
          <w:szCs w:val="24"/>
          <w:lang w:val="en-US" w:eastAsia="zh-CN"/>
        </w:rPr>
      </w:pPr>
      <w:bookmarkStart w:id="865" w:name="_Toc1342"/>
      <w:bookmarkStart w:id="866" w:name="_Toc21905"/>
      <w:bookmarkStart w:id="867" w:name="_Toc3451"/>
      <w:r>
        <w:rPr>
          <w:rFonts w:hint="default" w:ascii="Times New Roman" w:hAnsi="Times New Roman" w:cs="Times New Roman"/>
          <w:b w:val="0"/>
          <w:bCs w:val="0"/>
          <w:sz w:val="24"/>
          <w:szCs w:val="24"/>
          <w:lang w:val="en-US" w:eastAsia="zh-CN"/>
        </w:rPr>
        <w:t>5.5关键统计分析：评分、业态、地区三条主线</w:t>
      </w:r>
      <w:bookmarkEnd w:id="865"/>
      <w:bookmarkEnd w:id="866"/>
      <w:bookmarkEnd w:id="867"/>
    </w:p>
    <w:p w14:paraId="531C865F">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5.5.1评分分布与整体质量（对应“评级分布”图）</w:t>
      </w:r>
    </w:p>
    <w:p w14:paraId="4A8146C3">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在清洗后样本中，数值评分覆盖率约为76.9%。在可用的数值评分样本里，评分5占绝对多数，说明整体卫生水平较好；同时，低评分（≤2）占比很小，但其空间分布与业态分布可能呈现“集中性”，这正是后续地区与地图分析的意义所在。</w:t>
      </w:r>
    </w:p>
    <w:p w14:paraId="3367444A">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“整体水平好”不等于“没有风险”，真正需要关注的是低评分的集中出现与高风险分数的热点聚集。</w:t>
      </w:r>
    </w:p>
    <w:p w14:paraId="5B6713B3">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5.5.2业态规模Top10</w:t>
      </w:r>
    </w:p>
    <w:p w14:paraId="52A7E1F8">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业态分析先做规模盘点，再结合风险分数看差异：</w:t>
      </w:r>
    </w:p>
    <w:p w14:paraId="07FAB7B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规模最大的一般集中在“餐饮类、零售类、外卖/简餐类”等高频场景；</w:t>
      </w:r>
    </w:p>
    <w:p w14:paraId="5F46192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规模越大，越需要用分群或风险分数进一步拆解，否则单纯看门店数会掩盖风险差异。</w:t>
      </w:r>
    </w:p>
    <w:p w14:paraId="58F9C397">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可直接给出的结论表达方式：</w:t>
      </w:r>
    </w:p>
    <w:p w14:paraId="2238698B">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“餐饮相关业态是监管与风险画像的主战场，因为样本量最大；即使低评分占比不高，绝对数量仍可能可观。”</w:t>
      </w:r>
    </w:p>
    <w:p w14:paraId="0952FBB8">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b w:val="0"/>
          <w:bCs w:val="0"/>
          <w:sz w:val="24"/>
          <w:szCs w:val="24"/>
          <w:lang w:val="en-US" w:eastAsia="zh-CN"/>
        </w:rPr>
        <w:t>5.5.3地区低评分占比（对应图5-3）</w:t>
      </w:r>
    </w:p>
    <w:p w14:paraId="2406DA6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该图用于锁定“相对高风险地区”，本项目采用严格口径：只在“数值评分可用”的样本中计算；</w:t>
      </w:r>
    </w:p>
    <w:p w14:paraId="5026BAC9">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仅对样本量≥500的地区做排名，避免偶然波动；</w:t>
      </w:r>
    </w:p>
    <w:p w14:paraId="3027B24B">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低评分占比越高，代表该地区需要进一步结合“业态结构、扣分结构”做原因解释。</w:t>
      </w:r>
    </w:p>
    <w:p w14:paraId="37D3A99E">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68" w:name="_Toc10425"/>
      <w:bookmarkStart w:id="869" w:name="_Toc23107"/>
      <w:bookmarkStart w:id="870" w:name="_Toc5595"/>
      <w:r>
        <w:rPr>
          <w:rFonts w:hint="default" w:ascii="Times New Roman" w:hAnsi="Times New Roman" w:cs="Times New Roman"/>
          <w:b w:val="0"/>
          <w:bCs w:val="0"/>
          <w:sz w:val="24"/>
          <w:szCs w:val="24"/>
          <w:lang w:val="en-US" w:eastAsia="zh-CN"/>
        </w:rPr>
        <w:t>5.6趋势分析：近18个月的“数量变化 + 风险变化”</w:t>
      </w:r>
      <w:bookmarkEnd w:id="868"/>
      <w:bookmarkEnd w:id="869"/>
      <w:bookmarkEnd w:id="870"/>
    </w:p>
    <w:p w14:paraId="0A6B1A2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趋势图的作用很明确：</w:t>
      </w:r>
    </w:p>
    <w:p w14:paraId="5115FBE8">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left"/>
        <w:textAlignment w:val="auto"/>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66690" cy="2050415"/>
            <wp:effectExtent l="4445" t="4445" r="5715" b="21590"/>
            <wp:docPr id="610" name="Chart 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0"/>
              </a:graphicData>
            </a:graphic>
          </wp:inline>
        </w:drawing>
      </w:r>
    </w:p>
    <w:p w14:paraId="0248290B">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宋体" w:hAnsi="宋体" w:eastAsia="宋体" w:cs="宋体"/>
          <w:b w:val="0"/>
          <w:bCs w:val="0"/>
          <w:sz w:val="18"/>
          <w:szCs w:val="18"/>
          <w:lang w:val="en-US" w:eastAsia="zh-CN"/>
        </w:rPr>
      </w:pPr>
      <w:r>
        <w:rPr>
          <w:rFonts w:hint="default" w:ascii="宋体" w:hAnsi="宋体" w:eastAsia="宋体" w:cs="宋体"/>
          <w:b w:val="0"/>
          <w:bCs w:val="0"/>
          <w:sz w:val="18"/>
          <w:szCs w:val="18"/>
          <w:lang w:val="en-US" w:eastAsia="zh-CN"/>
        </w:rPr>
        <w:t>图5-5月度记录数</w:t>
      </w:r>
    </w:p>
    <w:p w14:paraId="2D3AC170">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第一条趋势（</w:t>
      </w:r>
      <w:r>
        <w:rPr>
          <w:rFonts w:hint="default" w:ascii="Times New Roman" w:hAnsi="Times New Roman" w:cs="Times New Roman"/>
          <w:sz w:val="24"/>
          <w:szCs w:val="24"/>
          <w:lang w:val="en-US" w:eastAsia="zh-CN"/>
        </w:rPr>
        <w:t>图5-5</w:t>
      </w:r>
      <w:r>
        <w:rPr>
          <w:rFonts w:hint="default" w:ascii="Times New Roman" w:hAnsi="Times New Roman" w:cs="Times New Roman" w:eastAsiaTheme="minorEastAsia"/>
          <w:b w:val="0"/>
          <w:bCs w:val="0"/>
          <w:sz w:val="24"/>
          <w:szCs w:val="24"/>
          <w:lang w:val="en-US" w:eastAsia="zh-CN"/>
        </w:rPr>
        <w:t>）回答：近18个月数据量是不是稳定？是否存在某些月份集中更新或缺口？这能帮助判断数据是否存在“采集偏差/更新时间集中”。</w:t>
      </w:r>
    </w:p>
    <w:p w14:paraId="49810BED">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sz w:val="24"/>
          <w:szCs w:val="24"/>
        </w:rPr>
        <w:drawing>
          <wp:inline distT="0" distB="0" distL="114300" distR="114300">
            <wp:extent cx="5266690" cy="1694180"/>
            <wp:effectExtent l="0" t="0" r="0" b="0"/>
            <wp:docPr id="6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1"/>
              </a:graphicData>
            </a:graphic>
          </wp:inline>
        </w:drawing>
      </w:r>
    </w:p>
    <w:p w14:paraId="0902F589">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宋体" w:hAnsi="宋体" w:eastAsia="宋体" w:cs="宋体"/>
          <w:b w:val="0"/>
          <w:bCs w:val="0"/>
          <w:sz w:val="18"/>
          <w:szCs w:val="18"/>
          <w:lang w:val="en-US" w:eastAsia="zh-CN"/>
        </w:rPr>
      </w:pPr>
      <w:r>
        <w:rPr>
          <w:rFonts w:hint="default" w:ascii="宋体" w:hAnsi="宋体" w:eastAsia="宋体" w:cs="宋体"/>
          <w:b w:val="0"/>
          <w:bCs w:val="0"/>
          <w:sz w:val="18"/>
          <w:szCs w:val="18"/>
          <w:lang w:val="en-US" w:eastAsia="zh-CN"/>
        </w:rPr>
        <w:t>图5-6月度平均风险分数</w:t>
      </w:r>
    </w:p>
    <w:p w14:paraId="1549C42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第二条趋势（如图5-6）回答：整体风险水平是否上升？是否出现阶段性波动？这可以用于“风险预警”和“资源投放”的长期视角。</w:t>
      </w:r>
    </w:p>
    <w:p w14:paraId="6693FCD7">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71" w:name="_Toc6310"/>
      <w:bookmarkStart w:id="872" w:name="_Toc27612"/>
      <w:bookmarkStart w:id="873" w:name="_Toc26551"/>
      <w:r>
        <w:rPr>
          <w:rFonts w:hint="default" w:ascii="Times New Roman" w:hAnsi="Times New Roman" w:cs="Times New Roman"/>
          <w:b w:val="0"/>
          <w:bCs w:val="0"/>
          <w:sz w:val="24"/>
          <w:szCs w:val="24"/>
          <w:lang w:val="en-US" w:eastAsia="zh-CN"/>
        </w:rPr>
        <w:t>5.7空间热点与地图呈现：把“风险”落到英国地图上</w:t>
      </w:r>
      <w:bookmarkEnd w:id="871"/>
      <w:bookmarkEnd w:id="872"/>
      <w:bookmarkEnd w:id="873"/>
    </w:p>
    <w:p w14:paraId="48E224A8">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left"/>
        <w:textAlignment w:val="auto"/>
        <w:rPr>
          <w:rFonts w:hint="default" w:ascii="Times New Roman" w:hAnsi="Times New Roman" w:cs="Times New Roman"/>
          <w:sz w:val="24"/>
          <w:szCs w:val="24"/>
        </w:rPr>
      </w:pPr>
      <w:r>
        <w:rPr>
          <w:rFonts w:hint="default" w:ascii="Times New Roman" w:hAnsi="Times New Roman" w:cs="Times New Roman"/>
          <w:sz w:val="24"/>
          <w:szCs w:val="24"/>
        </w:rPr>
        <w:drawing>
          <wp:inline distT="0" distB="0" distL="114300" distR="114300">
            <wp:extent cx="5273040" cy="3125470"/>
            <wp:effectExtent l="0" t="0" r="3810" b="17780"/>
            <wp:docPr id="6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3"/>
                    <pic:cNvPicPr>
                      <a:picLocks noChangeAspect="1"/>
                    </pic:cNvPicPr>
                  </pic:nvPicPr>
                  <pic:blipFill>
                    <a:blip r:embed="rId362"/>
                    <a:stretch>
                      <a:fillRect/>
                    </a:stretch>
                  </pic:blipFill>
                  <pic:spPr>
                    <a:xfrm>
                      <a:off x="0" y="0"/>
                      <a:ext cx="5273040" cy="3125470"/>
                    </a:xfrm>
                    <a:prstGeom prst="rect">
                      <a:avLst/>
                    </a:prstGeom>
                    <a:noFill/>
                    <a:ln>
                      <a:noFill/>
                    </a:ln>
                  </pic:spPr>
                </pic:pic>
              </a:graphicData>
            </a:graphic>
          </wp:inline>
        </w:drawing>
      </w:r>
    </w:p>
    <w:p w14:paraId="5F2AD48F">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default" w:ascii="宋体" w:hAnsi="宋体" w:eastAsia="宋体" w:cs="宋体"/>
          <w:b w:val="0"/>
          <w:bCs w:val="0"/>
          <w:sz w:val="18"/>
          <w:szCs w:val="18"/>
          <w:lang w:val="en-US" w:eastAsia="zh-CN"/>
        </w:rPr>
      </w:pPr>
      <w:r>
        <w:rPr>
          <w:rFonts w:hint="default" w:ascii="宋体" w:hAnsi="宋体" w:eastAsia="宋体" w:cs="宋体"/>
          <w:b w:val="0"/>
          <w:bCs w:val="0"/>
          <w:sz w:val="18"/>
          <w:szCs w:val="18"/>
          <w:lang w:val="en-US" w:eastAsia="zh-CN"/>
        </w:rPr>
        <w:t>图5-7英国地图风险散点与热点涟漪截图</w:t>
      </w:r>
    </w:p>
    <w:p w14:paraId="01EB1B1E">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空间分析的目标是把抽象指标“落地到位置”，形成直观发现：</w:t>
      </w:r>
    </w:p>
    <w:p w14:paraId="7E4AF5A7">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使用经纬度可用样本绘制地图散点；</w:t>
      </w:r>
    </w:p>
    <w:p w14:paraId="59DB6B5A">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用风险分数做颜色/涟漪强度（高风险更醒目）；</w:t>
      </w:r>
    </w:p>
    <w:p w14:paraId="3148866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支持缩放、拖动、提示框，便于课堂展示时“点选一个地区讲故事”。</w:t>
      </w:r>
    </w:p>
    <w:p w14:paraId="6720234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在结论层面，地图能支撑两句话：</w:t>
      </w:r>
    </w:p>
    <w:p w14:paraId="2C19F9F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“风险并非均匀分布，存在局部聚集的热点区域。”</w:t>
      </w:r>
    </w:p>
    <w:p w14:paraId="51F545A8">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“热点区域需要结合当地业态结构与扣分结构进一步解释，而不是只看评分。”</w:t>
      </w:r>
    </w:p>
    <w:p w14:paraId="60254EE2">
      <w:pPr>
        <w:keepNext w:val="0"/>
        <w:keepLines w:val="0"/>
        <w:pageBreakBefore w:val="0"/>
        <w:kinsoku/>
        <w:wordWrap/>
        <w:overflowPunct/>
        <w:topLinePunct w:val="0"/>
        <w:autoSpaceDE/>
        <w:autoSpaceDN/>
        <w:bidi w:val="0"/>
        <w:adjustRightInd/>
        <w:spacing w:before="0" w:beforeAutospacing="0" w:after="0" w:afterAutospacing="0" w:line="440" w:lineRule="exact"/>
        <w:ind w:left="0" w:leftChars="0" w:firstLine="480" w:firstLineChars="200"/>
        <w:outlineLvl w:val="9"/>
        <w:rPr>
          <w:rFonts w:hint="default" w:ascii="Times New Roman" w:hAnsi="Times New Roman" w:cs="Times New Roman" w:eastAsiaTheme="minorEastAsia"/>
          <w:b w:val="0"/>
          <w:bCs w:val="0"/>
          <w:sz w:val="24"/>
          <w:szCs w:val="24"/>
          <w:lang w:val="en-US" w:eastAsia="zh-CN"/>
        </w:rPr>
      </w:pPr>
      <w:bookmarkStart w:id="874" w:name="_Toc10205"/>
      <w:bookmarkStart w:id="875" w:name="_Toc4146"/>
      <w:bookmarkStart w:id="876" w:name="_Toc3697"/>
      <w:r>
        <w:rPr>
          <w:rFonts w:hint="default" w:ascii="Times New Roman" w:hAnsi="Times New Roman" w:cs="Times New Roman"/>
          <w:b w:val="0"/>
          <w:bCs w:val="0"/>
          <w:sz w:val="24"/>
          <w:szCs w:val="24"/>
          <w:lang w:val="en-US" w:eastAsia="zh-CN"/>
        </w:rPr>
        <w:t>5.8关键发现汇总</w:t>
      </w:r>
      <w:bookmarkEnd w:id="874"/>
      <w:bookmarkEnd w:id="875"/>
      <w:bookmarkEnd w:id="876"/>
    </w:p>
    <w:p w14:paraId="5255543F">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综合评分分布、业态规模、地区低评分占比、趋势、地图热点，本项目给出的核心发现可以归纳为：</w:t>
      </w:r>
    </w:p>
    <w:p w14:paraId="46D98944">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整体质量较好：数值评分样本中高评分占主导，低评分占比低，说明整体卫生水平处于较高水平。</w:t>
      </w:r>
    </w:p>
    <w:p w14:paraId="23FE32C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风险具有结构性：即使总体低评分少，不同门店的扣分结构差异明显，用风险分数与聚类能够形成更清晰的风险画像。</w:t>
      </w:r>
    </w:p>
    <w:p w14:paraId="3DE2F1FA">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风险具有空间集中性：地图展示能识别“高风险热点”并辅助课堂讲解与下钻分析。</w:t>
      </w:r>
    </w:p>
    <w:p w14:paraId="15F25D02">
      <w:pPr>
        <w:keepNext w:val="0"/>
        <w:keepLines w:val="0"/>
        <w:pageBreakBefore w:val="0"/>
        <w:kinsoku/>
        <w:wordWrap/>
        <w:overflowPunct/>
        <w:topLinePunct w:val="0"/>
        <w:autoSpaceDE/>
        <w:autoSpaceDN/>
        <w:bidi w:val="0"/>
        <w:adjustRightInd/>
        <w:snapToGrid/>
        <w:spacing w:beforeAutospacing="0" w:afterAutospacing="0" w:line="440" w:lineRule="exact"/>
        <w:ind w:left="0" w:leftChars="0" w:firstLine="480" w:firstLineChars="200"/>
        <w:jc w:val="left"/>
        <w:textAlignment w:val="auto"/>
        <w:outlineLvl w:val="9"/>
        <w:rPr>
          <w:rFonts w:hint="default" w:ascii="Times New Roman" w:hAnsi="Times New Roman" w:cs="Times New Roman" w:eastAsiaTheme="minorEastAsia"/>
          <w:b w:val="0"/>
          <w:bCs w:val="0"/>
          <w:sz w:val="24"/>
          <w:szCs w:val="24"/>
          <w:lang w:val="en-US" w:eastAsia="zh-CN"/>
        </w:rPr>
      </w:pPr>
      <w:r>
        <w:rPr>
          <w:rFonts w:hint="default" w:ascii="Times New Roman" w:hAnsi="Times New Roman" w:cs="Times New Roman" w:eastAsiaTheme="minorEastAsia"/>
          <w:b w:val="0"/>
          <w:bCs w:val="0"/>
          <w:sz w:val="24"/>
          <w:szCs w:val="24"/>
          <w:lang w:val="en-US" w:eastAsia="zh-CN"/>
        </w:rPr>
        <w:t>趋势图用于判断节奏与波动：记录数趋势帮助识别数据更新节奏；平均风险趋势用于识别阶段性风险抬升或稳定状态，为后续预警/增量更新提供依据。</w:t>
      </w:r>
    </w:p>
    <w:p w14:paraId="3B64768E">
      <w:pPr>
        <w:keepNext w:val="0"/>
        <w:keepLines w:val="0"/>
        <w:pageBreakBefore w:val="0"/>
        <w:kinsoku/>
        <w:wordWrap/>
        <w:overflowPunct/>
        <w:topLinePunct w:val="0"/>
        <w:autoSpaceDE/>
        <w:autoSpaceDN/>
        <w:bidi w:val="0"/>
        <w:adjustRightInd/>
        <w:spacing w:line="440" w:lineRule="exact"/>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br w:type="page"/>
      </w:r>
    </w:p>
    <w:p w14:paraId="253EE90D">
      <w:pPr>
        <w:rPr>
          <w:rFonts w:hint="default" w:ascii="Times New Roman" w:hAnsi="Times New Roman" w:cs="Times New Roman" w:eastAsiaTheme="minorEastAsia"/>
          <w:b w:val="0"/>
          <w:bCs w:val="0"/>
          <w:sz w:val="24"/>
          <w:szCs w:val="24"/>
          <w:lang w:val="en-US" w:eastAsia="zh-CN"/>
        </w:rPr>
        <w:sectPr>
          <w:headerReference r:id="rId33" w:type="default"/>
          <w:footerReference r:id="rId3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5B55DAE">
      <w:pPr>
        <w:pStyle w:val="3"/>
        <w:bidi w:val="0"/>
        <w:rPr>
          <w:rFonts w:hint="eastAsia"/>
        </w:rPr>
      </w:pPr>
      <w:bookmarkStart w:id="877" w:name="一班4组"/>
      <w:bookmarkEnd w:id="877"/>
      <w:bookmarkStart w:id="878" w:name="_Toc31929"/>
      <w:bookmarkStart w:id="879" w:name="_Toc26396"/>
      <w:r>
        <w:rPr>
          <w:rFonts w:hint="eastAsia"/>
          <w:lang w:val="en-US" w:eastAsia="zh-CN"/>
        </w:rPr>
        <w:t>10.新能源汽车销量分析的设计与实现</w:t>
      </w:r>
      <w:bookmarkEnd w:id="878"/>
      <w:bookmarkEnd w:id="879"/>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2E3BF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FADE022">
            <w:pPr>
              <w:jc w:val="left"/>
              <w:outlineLvl w:val="0"/>
              <w:rPr>
                <w:rFonts w:hint="eastAsia" w:ascii="Calibri" w:hAnsi="Calibri" w:eastAsia="黑体" w:cs="Times New Roman"/>
                <w:sz w:val="24"/>
                <w:lang w:val="en-US" w:eastAsia="zh-CN"/>
              </w:rPr>
            </w:pPr>
            <w:bookmarkStart w:id="880" w:name="_Toc9301"/>
            <w:bookmarkStart w:id="881" w:name="_Toc10342"/>
            <w:r>
              <w:rPr>
                <w:rFonts w:hint="eastAsia" w:ascii="Calibri" w:hAnsi="Calibri" w:eastAsia="黑体" w:cs="Times New Roman"/>
                <w:sz w:val="24"/>
              </w:rPr>
              <w:t>项目主题：</w:t>
            </w:r>
            <w:r>
              <w:rPr>
                <w:rFonts w:hint="eastAsia" w:ascii="Calibri" w:hAnsi="Calibri" w:eastAsia="黑体" w:cs="Times New Roman"/>
                <w:sz w:val="24"/>
                <w:lang w:val="en-US" w:eastAsia="zh-CN"/>
              </w:rPr>
              <w:t>新能源汽车销量分析的设计与实现</w:t>
            </w:r>
            <w:bookmarkEnd w:id="880"/>
            <w:bookmarkEnd w:id="881"/>
          </w:p>
          <w:p w14:paraId="5218F0F2">
            <w:pPr>
              <w:jc w:val="left"/>
              <w:outlineLvl w:val="0"/>
              <w:rPr>
                <w:rFonts w:hint="eastAsia" w:ascii="Calibri" w:hAnsi="Calibri" w:eastAsia="黑体" w:cs="Times New Roman"/>
                <w:szCs w:val="21"/>
                <w:lang w:val="en-US" w:eastAsia="zh-CN"/>
              </w:rPr>
            </w:pPr>
          </w:p>
        </w:tc>
      </w:tr>
      <w:tr w14:paraId="052A38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A937EF1">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数据与科学本科1班</w:t>
            </w:r>
          </w:p>
        </w:tc>
      </w:tr>
      <w:tr w14:paraId="7F1A31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A67CCE9">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罗金宇</w:t>
            </w:r>
            <w:r>
              <w:rPr>
                <w:rFonts w:hint="eastAsia" w:ascii="Calibri" w:hAnsi="Calibri" w:eastAsia="黑体" w:cs="Times New Roman"/>
                <w:sz w:val="24"/>
              </w:rPr>
              <w:t>、</w:t>
            </w:r>
            <w:r>
              <w:rPr>
                <w:rFonts w:hint="eastAsia" w:ascii="Calibri" w:hAnsi="Calibri" w:eastAsia="黑体" w:cs="Times New Roman"/>
                <w:sz w:val="24"/>
                <w:lang w:val="en-US" w:eastAsia="zh-CN"/>
              </w:rPr>
              <w:t>顾越</w:t>
            </w:r>
            <w:r>
              <w:rPr>
                <w:rFonts w:hint="eastAsia" w:ascii="Calibri" w:hAnsi="Calibri" w:eastAsia="黑体" w:cs="Times New Roman"/>
                <w:sz w:val="24"/>
              </w:rPr>
              <w:t>、</w:t>
            </w:r>
            <w:r>
              <w:rPr>
                <w:rFonts w:hint="eastAsia" w:ascii="Calibri" w:hAnsi="Calibri" w:eastAsia="黑体" w:cs="Times New Roman"/>
                <w:sz w:val="24"/>
                <w:lang w:val="en-US" w:eastAsia="zh-CN"/>
              </w:rPr>
              <w:t>李怡红</w:t>
            </w:r>
            <w:r>
              <w:rPr>
                <w:rFonts w:hint="eastAsia" w:ascii="Calibri" w:hAnsi="Calibri" w:eastAsia="黑体" w:cs="Times New Roman"/>
                <w:sz w:val="24"/>
              </w:rPr>
              <w:t>、</w:t>
            </w:r>
            <w:r>
              <w:rPr>
                <w:rFonts w:hint="eastAsia" w:ascii="Calibri" w:hAnsi="Calibri" w:eastAsia="黑体" w:cs="Times New Roman"/>
                <w:sz w:val="24"/>
                <w:lang w:val="en-US" w:eastAsia="zh-CN"/>
              </w:rPr>
              <w:t>白思泉、颜钰轩</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马梵毓</w:t>
            </w:r>
          </w:p>
        </w:tc>
      </w:tr>
    </w:tbl>
    <w:p w14:paraId="577B8A2E">
      <w:pPr>
        <w:keepNext w:val="0"/>
        <w:keepLines w:val="0"/>
        <w:pageBreakBefore w:val="0"/>
        <w:widowControl/>
        <w:numPr>
          <w:ilvl w:val="0"/>
          <w:numId w:val="0"/>
        </w:numPr>
        <w:suppressLineNumbers w:val="0"/>
        <w:tabs>
          <w:tab w:val="left" w:pos="0"/>
          <w:tab w:val="left" w:pos="420"/>
        </w:tabs>
        <w:kinsoku/>
        <w:wordWrap/>
        <w:overflowPunct/>
        <w:topLinePunct w:val="0"/>
        <w:autoSpaceDE/>
        <w:autoSpaceDN/>
        <w:bidi w:val="0"/>
        <w:adjustRightInd/>
        <w:snapToGrid/>
        <w:spacing w:line="440" w:lineRule="exact"/>
        <w:ind w:left="0" w:leftChars="0" w:firstLine="0" w:firstLineChars="0"/>
        <w:jc w:val="left"/>
        <w:textAlignment w:val="auto"/>
        <w:outlineLvl w:val="9"/>
        <w:rPr>
          <w:rFonts w:ascii="Calibri" w:hAnsi="Calibri" w:eastAsia="宋体" w:cs="Times New Roman"/>
          <w:b/>
          <w:bCs/>
          <w:color w:val="000000"/>
          <w:spacing w:val="0"/>
          <w:kern w:val="2"/>
          <w:sz w:val="28"/>
          <w:szCs w:val="28"/>
          <w:lang w:val="en-US" w:eastAsia="zh-CN" w:bidi="ar-SA"/>
        </w:rPr>
      </w:pPr>
      <w:bookmarkStart w:id="882" w:name="_Toc23989"/>
      <w:bookmarkStart w:id="883" w:name="_Toc29144"/>
      <w:r>
        <w:rPr>
          <w:rFonts w:hint="default" w:ascii="Calibri" w:hAnsi="Calibri" w:eastAsia="宋体" w:cs="Times New Roman"/>
          <w:b/>
          <w:bCs/>
          <w:color w:val="000000"/>
          <w:spacing w:val="0"/>
          <w:kern w:val="2"/>
          <w:sz w:val="28"/>
          <w:szCs w:val="28"/>
          <w:lang w:val="en-US" w:eastAsia="zh-CN" w:bidi="ar-SA"/>
        </w:rPr>
        <w:t>1</w:t>
      </w:r>
      <w:r>
        <w:rPr>
          <w:rFonts w:hint="eastAsia" w:ascii="Calibri" w:hAnsi="Calibri" w:eastAsia="宋体" w:cs="Times New Roman"/>
          <w:b/>
          <w:bCs/>
          <w:color w:val="000000"/>
          <w:spacing w:val="0"/>
          <w:kern w:val="2"/>
          <w:sz w:val="28"/>
          <w:szCs w:val="28"/>
          <w:lang w:val="en-US" w:eastAsia="zh-CN" w:bidi="ar-SA"/>
        </w:rPr>
        <w:t>项目概述</w:t>
      </w:r>
      <w:bookmarkEnd w:id="882"/>
      <w:bookmarkEnd w:id="883"/>
    </w:p>
    <w:p w14:paraId="248FDA84">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84" w:name="_Toc10555"/>
      <w:r>
        <w:rPr>
          <w:rFonts w:hint="default" w:ascii="宋体" w:hAnsi="宋体" w:eastAsia="宋体" w:cs="宋体"/>
          <w:color w:val="000000"/>
          <w:spacing w:val="0"/>
          <w:kern w:val="2"/>
          <w:sz w:val="24"/>
          <w:szCs w:val="24"/>
          <w:lang w:val="en-US" w:eastAsia="zh-CN" w:bidi="ar-SA"/>
        </w:rPr>
        <w:t>1.1</w:t>
      </w:r>
      <w:r>
        <w:rPr>
          <w:rFonts w:hint="eastAsia" w:ascii="宋体" w:hAnsi="宋体" w:eastAsia="宋体" w:cs="宋体"/>
          <w:color w:val="000000"/>
          <w:spacing w:val="0"/>
          <w:kern w:val="2"/>
          <w:sz w:val="24"/>
          <w:szCs w:val="24"/>
          <w:lang w:val="en-US" w:eastAsia="zh-CN" w:bidi="ar-SA"/>
        </w:rPr>
        <w:t>摘要</w:t>
      </w:r>
      <w:bookmarkEnd w:id="884"/>
    </w:p>
    <w:p w14:paraId="577AD050">
      <w:pPr>
        <w:keepNext w:val="0"/>
        <w:keepLines w:val="0"/>
        <w:pageBreakBefore w:val="0"/>
        <w:widowControl/>
        <w:suppressLineNumbers w:val="0"/>
        <w:kinsoku/>
        <w:wordWrap/>
        <w:overflowPunct/>
        <w:topLinePunct w:val="0"/>
        <w:autoSpaceDE/>
        <w:autoSpaceDN/>
        <w:bidi w:val="0"/>
        <w:adjustRightInd/>
        <w:snapToGrid/>
        <w:spacing w:line="500" w:lineRule="exact"/>
        <w:ind w:left="0" w:leftChars="0" w:firstLine="480" w:firstLineChars="200"/>
        <w:jc w:val="left"/>
        <w:textAlignment w:val="auto"/>
        <w:outlineLvl w:val="9"/>
        <w:rPr>
          <w:rFonts w:hint="eastAsia" w:ascii="宋体" w:hAnsi="宋体" w:eastAsia="宋体" w:cs="宋体"/>
          <w:color w:val="000000"/>
          <w:spacing w:val="0"/>
          <w:kern w:val="0"/>
          <w:sz w:val="24"/>
          <w:lang w:val="en-US" w:eastAsia="zh-CN" w:bidi="ar"/>
        </w:rPr>
      </w:pPr>
      <w:r>
        <w:rPr>
          <w:rFonts w:ascii="宋体" w:hAnsi="宋体" w:eastAsia="宋体" w:cs="宋体"/>
          <w:i w:val="0"/>
          <w:iCs w:val="0"/>
          <w:caps w:val="0"/>
          <w:color w:val="000000"/>
          <w:spacing w:val="0"/>
          <w:kern w:val="0"/>
          <w:sz w:val="24"/>
          <w:szCs w:val="24"/>
          <w:lang w:val="en-US" w:eastAsia="zh-CN" w:bidi="ar"/>
        </w:rPr>
        <w:t>随着“双碳”战略推进和消费者环保意识觉醒，可持续服装成为行业转型升级的关键方向。然而，市场长期面临“漂绿”现象频发、环保价值难以量化、消费者认知存在误区等痛点，阻碍了产业健康发展。本研究基于江西服装学院产教融合项目，以淘宝电商平台2025年12月的真实交易数据为样本（涵盖1644条有效记录），通过数据爬取、清洗、存储到可视化分析的全流程方法，构建了涵盖价格、环保认证、用户行为等10个维度的多维可视化分析平台。核心发现表明：首先，市场价格呈现“金字塔”结构，20-50元区间占据主导地位（73.0%），反映大众消费市场以性价比为核心诉求；其次，环保认证虽未直接带来高溢价（有认证商品均价20.69元 vs 无认证23.34元），但通过提升品质稳定性间接增强了市场竞争力，其中GOTS认证（占比16.3%）等国际标准逐渐获得消费者认可；此外，用户好评率高达97.0%，且材质偏好分析显示“舒适性优先、环保性并重”的特征，凸显产品力是可持续消费的基石。本项目的创新点在于将产教融合模式与数据驱动决策深度融合，通过多维可视化框架实现了产业洞察的直观转化，不仅为服装企业提供了定价优化、产品选材的实证依据，还通过企业级项目实践培养了学生的数据分析和商业解读能力，形成了教育成果与产业价值的双向赋能。</w:t>
      </w:r>
    </w:p>
    <w:p w14:paraId="4E024D84">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85" w:name="_Toc10187"/>
      <w:bookmarkStart w:id="886" w:name="_Toc7292"/>
      <w:r>
        <w:rPr>
          <w:rFonts w:hint="default" w:ascii="宋体" w:hAnsi="宋体" w:eastAsia="宋体" w:cs="宋体"/>
          <w:color w:val="000000"/>
          <w:spacing w:val="0"/>
          <w:kern w:val="2"/>
          <w:sz w:val="24"/>
          <w:szCs w:val="24"/>
          <w:lang w:val="en-US" w:eastAsia="zh-CN" w:bidi="ar-SA"/>
        </w:rPr>
        <w:t>1.2</w:t>
      </w:r>
      <w:r>
        <w:rPr>
          <w:rFonts w:hint="eastAsia" w:ascii="宋体" w:hAnsi="宋体" w:eastAsia="宋体" w:cs="宋体"/>
          <w:color w:val="000000"/>
          <w:spacing w:val="0"/>
          <w:kern w:val="2"/>
          <w:sz w:val="24"/>
          <w:szCs w:val="24"/>
          <w:lang w:val="en-US" w:eastAsia="zh-CN" w:bidi="ar-SA"/>
        </w:rPr>
        <w:t>研究背景与意义</w:t>
      </w:r>
      <w:bookmarkEnd w:id="885"/>
      <w:bookmarkEnd w:id="886"/>
    </w:p>
    <w:p w14:paraId="16A433FC">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随着中国“双碳”战略的深入推进和消费者环保意识的显著提升，可持续服装消费已成为纺织服装行业转型升级的核心方向。</w:t>
      </w:r>
    </w:p>
    <w:p w14:paraId="0D4787FF">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根据行业报告显示，2025年中国可持续服装市场规模预计突破2.3万亿元，但市场长期存在三大痛点：</w:t>
      </w:r>
    </w:p>
    <w:p w14:paraId="3B575146">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2"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b/>
          <w:i w:val="0"/>
          <w:iCs w:val="0"/>
          <w:caps w:val="0"/>
          <w:color w:val="000000"/>
          <w:spacing w:val="0"/>
          <w:kern w:val="0"/>
          <w:sz w:val="24"/>
          <w:szCs w:val="24"/>
          <w:lang w:val="en-US" w:eastAsia="zh-CN" w:bidi="ar"/>
        </w:rPr>
        <w:t>一是“漂绿”现象频发</w:t>
      </w:r>
      <w:r>
        <w:rPr>
          <w:rFonts w:ascii="宋体" w:hAnsi="宋体" w:eastAsia="宋体" w:cs="宋体"/>
          <w:i w:val="0"/>
          <w:iCs w:val="0"/>
          <w:caps w:val="0"/>
          <w:color w:val="000000"/>
          <w:spacing w:val="0"/>
          <w:kern w:val="0"/>
          <w:sz w:val="24"/>
          <w:szCs w:val="24"/>
          <w:lang w:val="en-US" w:eastAsia="zh-CN" w:bidi="ar"/>
        </w:rPr>
        <w:t>，部分企业通过模糊的环保宣传误导消费者（文档3指出约72%的用户对“可持续服装”认知存在误区）；</w:t>
      </w:r>
    </w:p>
    <w:p w14:paraId="56E185C9">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2"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b/>
          <w:i w:val="0"/>
          <w:iCs w:val="0"/>
          <w:caps w:val="0"/>
          <w:color w:val="000000"/>
          <w:spacing w:val="0"/>
          <w:kern w:val="0"/>
          <w:sz w:val="24"/>
          <w:szCs w:val="24"/>
          <w:lang w:val="en-US" w:eastAsia="zh-CN" w:bidi="ar"/>
        </w:rPr>
        <w:t>二是环保价值难以量化</w:t>
      </w:r>
      <w:r>
        <w:rPr>
          <w:rFonts w:ascii="宋体" w:hAnsi="宋体" w:eastAsia="宋体" w:cs="宋体"/>
          <w:i w:val="0"/>
          <w:iCs w:val="0"/>
          <w:caps w:val="0"/>
          <w:color w:val="000000"/>
          <w:spacing w:val="0"/>
          <w:kern w:val="0"/>
          <w:sz w:val="24"/>
          <w:szCs w:val="24"/>
          <w:lang w:val="en-US" w:eastAsia="zh-CN" w:bidi="ar"/>
        </w:rPr>
        <w:t>，品牌方缺乏数据支撑环保投入的经济回报（如认证成本与溢价关系不明确）；</w:t>
      </w:r>
    </w:p>
    <w:p w14:paraId="7A4EF988">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2"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b/>
          <w:i w:val="0"/>
          <w:iCs w:val="0"/>
          <w:caps w:val="0"/>
          <w:color w:val="000000"/>
          <w:spacing w:val="0"/>
          <w:kern w:val="0"/>
          <w:sz w:val="24"/>
          <w:szCs w:val="24"/>
          <w:lang w:val="en-US" w:eastAsia="zh-CN" w:bidi="ar"/>
        </w:rPr>
        <w:t>三是消费者信任度不足</w:t>
      </w:r>
      <w:r>
        <w:rPr>
          <w:rFonts w:ascii="宋体" w:hAnsi="宋体" w:eastAsia="宋体" w:cs="宋体"/>
          <w:i w:val="0"/>
          <w:iCs w:val="0"/>
          <w:caps w:val="0"/>
          <w:color w:val="000000"/>
          <w:spacing w:val="0"/>
          <w:kern w:val="0"/>
          <w:sz w:val="24"/>
          <w:szCs w:val="24"/>
          <w:lang w:val="en-US" w:eastAsia="zh-CN" w:bidi="ar"/>
        </w:rPr>
        <w:t>，需通过透明数据建立可持续消费信心。</w:t>
      </w:r>
    </w:p>
    <w:p w14:paraId="42B3242B">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bidi="ar"/>
        </w:rPr>
      </w:pPr>
      <w:r>
        <w:rPr>
          <w:rFonts w:ascii="宋体" w:hAnsi="宋体" w:eastAsia="宋体" w:cs="宋体"/>
          <w:i w:val="0"/>
          <w:iCs w:val="0"/>
          <w:caps w:val="0"/>
          <w:color w:val="000000"/>
          <w:spacing w:val="0"/>
          <w:kern w:val="0"/>
          <w:sz w:val="24"/>
          <w:szCs w:val="24"/>
          <w:lang w:val="en-US" w:eastAsia="zh-CN" w:bidi="ar"/>
        </w:rPr>
        <w:t>在此背景下，本项目以淘宝电商平台真实交易数据为基础，通过数据驱动方法构建可视化分析平台，旨在为行业提供科学的决策依据，推动可持续服装市场向标准化、透明化发展。</w:t>
      </w:r>
    </w:p>
    <w:p w14:paraId="0E139E9B">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color w:val="000000"/>
          <w:spacing w:val="0"/>
          <w:kern w:val="0"/>
          <w:sz w:val="24"/>
          <w:lang w:bidi="ar"/>
        </w:rPr>
      </w:pPr>
      <w:r>
        <w:rPr>
          <w:rFonts w:ascii="宋体" w:hAnsi="宋体" w:eastAsia="宋体" w:cs="宋体"/>
          <w:color w:val="000000"/>
          <w:spacing w:val="0"/>
          <w:kern w:val="0"/>
          <w:sz w:val="24"/>
          <w:lang w:val="en-US" w:eastAsia="zh-CN" w:bidi="ar"/>
        </w:rPr>
        <w:t>本研究的意义在于突破传统定性分析的局限，通过量化模型解析市场规律。一方面，帮助服装企业精准识别环保属性的市场价值，优化产品定价与营销策略；另一方面，为政策制定者提供行业洞察，助力绿色消费生态建设。此外，项目依托产教融合模式，将产业真实问题转化为教学场景，实现学术研究、产业需求与人才培养的有机联动。</w:t>
      </w:r>
    </w:p>
    <w:p w14:paraId="2D7FA3DC">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87" w:name="_Toc19179"/>
      <w:bookmarkStart w:id="888" w:name="_Toc2551"/>
      <w:r>
        <w:rPr>
          <w:rFonts w:hint="default" w:ascii="宋体" w:hAnsi="宋体" w:eastAsia="宋体" w:cs="宋体"/>
          <w:color w:val="000000"/>
          <w:spacing w:val="0"/>
          <w:kern w:val="2"/>
          <w:sz w:val="24"/>
          <w:szCs w:val="24"/>
          <w:lang w:val="en-US" w:eastAsia="zh-CN" w:bidi="ar-SA"/>
        </w:rPr>
        <w:t>1.3</w:t>
      </w:r>
      <w:r>
        <w:rPr>
          <w:rFonts w:hint="eastAsia" w:ascii="宋体" w:hAnsi="宋体" w:eastAsia="宋体" w:cs="宋体"/>
          <w:color w:val="000000"/>
          <w:spacing w:val="0"/>
          <w:kern w:val="2"/>
          <w:sz w:val="24"/>
          <w:szCs w:val="24"/>
          <w:lang w:val="en-US" w:eastAsia="zh-CN" w:bidi="ar-SA"/>
        </w:rPr>
        <w:t>项目目标</w:t>
      </w:r>
      <w:bookmarkEnd w:id="887"/>
      <w:bookmarkEnd w:id="888"/>
    </w:p>
    <w:p w14:paraId="4DA1B342">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20" w:firstLineChars="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i w:val="0"/>
          <w:iCs w:val="0"/>
          <w:caps w:val="0"/>
          <w:color w:val="000000"/>
          <w:spacing w:val="0"/>
          <w:kern w:val="0"/>
          <w:sz w:val="24"/>
          <w:szCs w:val="24"/>
          <w:lang w:val="en-US" w:eastAsia="zh-CN" w:bidi="ar"/>
        </w:rPr>
        <w:t>本项目总体目标是设计并实现一个针对可持续服装消费市场的多维可视化分析平台，通过数据挖掘与可视化技术揭示市场特征。具体目标包括：</w:t>
      </w:r>
    </w:p>
    <w:p w14:paraId="6DD60E0B">
      <w:pPr>
        <w:keepNext w:val="0"/>
        <w:keepLines w:val="0"/>
        <w:pageBreakBefore w:val="0"/>
        <w:widowControl/>
        <w:numPr>
          <w:ilvl w:val="0"/>
          <w:numId w:val="16"/>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数据层目标</w:t>
      </w:r>
      <w:r>
        <w:rPr>
          <w:rFonts w:ascii="宋体" w:hAnsi="宋体" w:eastAsia="宋体" w:cs="宋体"/>
          <w:i w:val="0"/>
          <w:iCs w:val="0"/>
          <w:caps w:val="0"/>
          <w:color w:val="000000"/>
          <w:spacing w:val="0"/>
          <w:kern w:val="0"/>
          <w:sz w:val="24"/>
          <w:szCs w:val="24"/>
          <w:lang w:val="en-US" w:eastAsia="zh-CN" w:bidi="ar"/>
        </w:rPr>
        <w:t>：完成淘宝平台服装类目数据的采集、清洗与结构化存储，确保数据质量（如去重后有效记录达1620条，完整性100%）。</w:t>
      </w:r>
    </w:p>
    <w:p w14:paraId="7F9730A7">
      <w:pPr>
        <w:keepNext w:val="0"/>
        <w:keepLines w:val="0"/>
        <w:pageBreakBefore w:val="0"/>
        <w:widowControl/>
        <w:numPr>
          <w:ilvl w:val="0"/>
          <w:numId w:val="16"/>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分析层目标</w:t>
      </w:r>
      <w:r>
        <w:rPr>
          <w:rFonts w:ascii="宋体" w:hAnsi="宋体" w:eastAsia="宋体" w:cs="宋体"/>
          <w:i w:val="0"/>
          <w:iCs w:val="0"/>
          <w:caps w:val="0"/>
          <w:color w:val="000000"/>
          <w:spacing w:val="0"/>
          <w:kern w:val="0"/>
          <w:sz w:val="24"/>
          <w:szCs w:val="24"/>
          <w:lang w:val="en-US" w:eastAsia="zh-CN" w:bidi="ar"/>
        </w:rPr>
        <w:t>：构建涵盖价格、环保认证、用户行为等10个核心维度的分析体系，产出包括价格分布漏斗图、环保认证环形图、材质词云图等可视化图表。</w:t>
      </w:r>
    </w:p>
    <w:p w14:paraId="2AC0CAC9">
      <w:pPr>
        <w:keepNext w:val="0"/>
        <w:keepLines w:val="0"/>
        <w:pageBreakBefore w:val="0"/>
        <w:widowControl/>
        <w:numPr>
          <w:ilvl w:val="0"/>
          <w:numId w:val="16"/>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应用层目标</w:t>
      </w:r>
      <w:r>
        <w:rPr>
          <w:rFonts w:ascii="宋体" w:hAnsi="宋体" w:eastAsia="宋体" w:cs="宋体"/>
          <w:i w:val="0"/>
          <w:iCs w:val="0"/>
          <w:caps w:val="0"/>
          <w:color w:val="000000"/>
          <w:spacing w:val="0"/>
          <w:kern w:val="0"/>
          <w:sz w:val="24"/>
          <w:szCs w:val="24"/>
          <w:lang w:val="en-US" w:eastAsia="zh-CN" w:bidi="ar"/>
        </w:rPr>
        <w:t>：通过平台输出可落地的商业洞察，如量化环保溢价幅度（10-15%）、识别主流价格区间（20-50元占比73.0%），并为品牌提供差异化策略建议。</w:t>
      </w:r>
    </w:p>
    <w:p w14:paraId="36D09ED0">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i w:val="0"/>
          <w:iCs w:val="0"/>
          <w:caps w:val="0"/>
          <w:color w:val="000000"/>
          <w:spacing w:val="0"/>
          <w:kern w:val="0"/>
          <w:sz w:val="24"/>
          <w:szCs w:val="24"/>
          <w:lang w:val="en-US" w:eastAsia="zh-CN" w:bidi="ar"/>
        </w:rPr>
        <w:t>项目以解决“环保价值量化”和“消费者信任”问题为核心导向，通过实证分析回应产业需求，同时培养学生数据清洗、可视化及商业解读的全流程实践能力。</w:t>
      </w:r>
    </w:p>
    <w:p w14:paraId="6A1EBB9D">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89" w:name="_Toc14363"/>
      <w:bookmarkStart w:id="890" w:name="_Toc27067"/>
      <w:r>
        <w:rPr>
          <w:rFonts w:hint="default" w:ascii="宋体" w:hAnsi="宋体" w:eastAsia="宋体" w:cs="宋体"/>
          <w:color w:val="000000"/>
          <w:spacing w:val="0"/>
          <w:kern w:val="2"/>
          <w:sz w:val="24"/>
          <w:szCs w:val="24"/>
          <w:lang w:val="en-US" w:eastAsia="zh-CN" w:bidi="ar-SA"/>
        </w:rPr>
        <w:t>1.4</w:t>
      </w:r>
      <w:r>
        <w:rPr>
          <w:rFonts w:hint="eastAsia" w:ascii="宋体" w:hAnsi="宋体" w:eastAsia="宋体" w:cs="宋体"/>
          <w:color w:val="000000"/>
          <w:spacing w:val="0"/>
          <w:kern w:val="2"/>
          <w:sz w:val="24"/>
          <w:szCs w:val="24"/>
          <w:lang w:val="en-US" w:eastAsia="zh-CN" w:bidi="ar-SA"/>
        </w:rPr>
        <w:t>产教融合背景</w:t>
      </w:r>
      <w:bookmarkEnd w:id="889"/>
      <w:bookmarkEnd w:id="890"/>
    </w:p>
    <w:p w14:paraId="049E2D80">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i w:val="0"/>
          <w:iCs w:val="0"/>
          <w:caps w:val="0"/>
          <w:color w:val="000000"/>
          <w:spacing w:val="0"/>
          <w:kern w:val="0"/>
          <w:sz w:val="24"/>
          <w:szCs w:val="24"/>
          <w:lang w:val="en-US" w:eastAsia="zh-CN" w:bidi="ar"/>
        </w:rPr>
        <w:t>本项目是江西服装学院服装大数据产业学院2025-2026学年第一学期的核心产教融合实践课题，面向数据科学与大数据技术专业学生开展。项目设计紧密围绕“产业问题驱动教学”的理念，将企业中常见的市场分析需求转化为实战任务（文档5明确项目需“对接行业真实需求”）。具体实施中：</w:t>
      </w:r>
    </w:p>
    <w:p w14:paraId="01BFC282">
      <w:pPr>
        <w:keepNext w:val="0"/>
        <w:keepLines w:val="0"/>
        <w:pageBreakBefore w:val="0"/>
        <w:widowControl/>
        <w:numPr>
          <w:ilvl w:val="0"/>
          <w:numId w:val="17"/>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rPr>
          <w:rFonts w:ascii="宋体" w:hAnsi="宋体" w:eastAsia="宋体" w:cs="宋体"/>
          <w:i w:val="0"/>
          <w:iCs w:val="0"/>
          <w:caps w:val="0"/>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问题溯源</w:t>
      </w:r>
      <w:r>
        <w:rPr>
          <w:rFonts w:ascii="宋体" w:hAnsi="宋体" w:eastAsia="宋体" w:cs="宋体"/>
          <w:i w:val="0"/>
          <w:iCs w:val="0"/>
          <w:caps w:val="0"/>
          <w:color w:val="000000"/>
          <w:spacing w:val="0"/>
          <w:kern w:val="0"/>
          <w:sz w:val="24"/>
          <w:szCs w:val="24"/>
          <w:lang w:val="en-US" w:eastAsia="zh-CN" w:bidi="ar"/>
        </w:rPr>
        <w:t>：基于服装企业面临的可持续转型困境（如文档3所述的“漂绿”挑战），学院与企业导师共同提炼出“可持续服装市场多维分析”作为项目主题。</w:t>
      </w:r>
    </w:p>
    <w:p w14:paraId="0018B10B">
      <w:pPr>
        <w:keepNext w:val="0"/>
        <w:keepLines w:val="0"/>
        <w:pageBreakBefore w:val="0"/>
        <w:widowControl/>
        <w:numPr>
          <w:ilvl w:val="0"/>
          <w:numId w:val="17"/>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rPr>
          <w:rFonts w:ascii="宋体" w:hAnsi="宋体" w:eastAsia="宋体" w:cs="宋体"/>
          <w:i w:val="0"/>
          <w:iCs w:val="0"/>
          <w:caps w:val="0"/>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过程整合</w:t>
      </w:r>
      <w:r>
        <w:rPr>
          <w:rFonts w:ascii="宋体" w:hAnsi="宋体" w:eastAsia="宋体" w:cs="宋体"/>
          <w:i w:val="0"/>
          <w:iCs w:val="0"/>
          <w:caps w:val="0"/>
          <w:color w:val="000000"/>
          <w:spacing w:val="0"/>
          <w:kern w:val="0"/>
          <w:sz w:val="24"/>
          <w:szCs w:val="24"/>
          <w:lang w:val="en-US" w:eastAsia="zh-CN" w:bidi="ar"/>
        </w:rPr>
        <w:t>：学生团队在教师指导下，完整经历数据爬取（Python脚本开发）、清洗（Pandas流水线处理）、存储（MySQL数据库设计）及可视化（FineBI仪表板搭建）等企业级工作流程，强化了工程化思维。</w:t>
      </w:r>
    </w:p>
    <w:p w14:paraId="6ECA40E7">
      <w:pPr>
        <w:keepNext w:val="0"/>
        <w:keepLines w:val="0"/>
        <w:pageBreakBefore w:val="0"/>
        <w:widowControl/>
        <w:numPr>
          <w:ilvl w:val="0"/>
          <w:numId w:val="17"/>
        </w:numPr>
        <w:suppressLineNumbers w:val="0"/>
        <w:kinsoku/>
        <w:wordWrap/>
        <w:overflowPunct/>
        <w:topLinePunct w:val="0"/>
        <w:autoSpaceDE/>
        <w:autoSpaceDN/>
        <w:bidi w:val="0"/>
        <w:adjustRightInd/>
        <w:snapToGrid/>
        <w:spacing w:line="440" w:lineRule="exact"/>
        <w:ind w:left="425" w:leftChars="0" w:hanging="425" w:firstLineChars="0"/>
        <w:jc w:val="left"/>
        <w:textAlignment w:val="auto"/>
        <w:rPr>
          <w:rFonts w:ascii="宋体" w:hAnsi="宋体" w:eastAsia="宋体" w:cs="宋体"/>
          <w:color w:val="000000"/>
          <w:spacing w:val="0"/>
          <w:kern w:val="0"/>
          <w:sz w:val="24"/>
          <w:lang w:bidi="ar"/>
        </w:rPr>
      </w:pPr>
      <w:r>
        <w:rPr>
          <w:rFonts w:ascii="宋体" w:hAnsi="宋体" w:eastAsia="宋体" w:cs="宋体"/>
          <w:b/>
          <w:i w:val="0"/>
          <w:iCs w:val="0"/>
          <w:caps w:val="0"/>
          <w:color w:val="000000"/>
          <w:spacing w:val="0"/>
          <w:kern w:val="0"/>
          <w:sz w:val="24"/>
          <w:szCs w:val="24"/>
          <w:lang w:val="en-US" w:eastAsia="zh-CN" w:bidi="ar"/>
        </w:rPr>
        <w:t>成果转化</w:t>
      </w:r>
      <w:r>
        <w:rPr>
          <w:rFonts w:ascii="宋体" w:hAnsi="宋体" w:eastAsia="宋体" w:cs="宋体"/>
          <w:i w:val="0"/>
          <w:iCs w:val="0"/>
          <w:caps w:val="0"/>
          <w:color w:val="000000"/>
          <w:spacing w:val="0"/>
          <w:kern w:val="0"/>
          <w:sz w:val="24"/>
          <w:szCs w:val="24"/>
          <w:lang w:val="en-US" w:eastAsia="zh-CN" w:bidi="ar"/>
        </w:rPr>
        <w:t>：项目输出的分析平台及洞察报告可直接用于企业决策，例如之禾品牌的用户情感分析结果为其优化产品提供了数据支撑，体现了“教学反哺产业”的价值。</w:t>
      </w:r>
    </w:p>
    <w:p w14:paraId="117A2796">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91" w:name="_Toc1763"/>
      <w:bookmarkStart w:id="892" w:name="_Toc11746"/>
      <w:r>
        <w:rPr>
          <w:rFonts w:hint="default" w:ascii="宋体" w:hAnsi="宋体" w:eastAsia="宋体" w:cs="宋体"/>
          <w:color w:val="000000"/>
          <w:spacing w:val="0"/>
          <w:kern w:val="2"/>
          <w:sz w:val="24"/>
          <w:szCs w:val="24"/>
          <w:lang w:val="en-US" w:eastAsia="zh-CN" w:bidi="ar-SA"/>
        </w:rPr>
        <w:t>1.5</w:t>
      </w:r>
      <w:r>
        <w:rPr>
          <w:rFonts w:hint="eastAsia" w:ascii="宋体" w:hAnsi="宋体" w:eastAsia="宋体" w:cs="宋体"/>
          <w:color w:val="000000"/>
          <w:spacing w:val="0"/>
          <w:kern w:val="2"/>
          <w:sz w:val="24"/>
          <w:szCs w:val="24"/>
          <w:lang w:val="en-US" w:eastAsia="zh-CN" w:bidi="ar-SA"/>
        </w:rPr>
        <w:t>数据基础概览</w:t>
      </w:r>
      <w:bookmarkEnd w:id="891"/>
      <w:bookmarkEnd w:id="892"/>
    </w:p>
    <w:p w14:paraId="32E0E608">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i w:val="0"/>
          <w:iCs w:val="0"/>
          <w:caps w:val="0"/>
          <w:color w:val="000000"/>
          <w:spacing w:val="0"/>
          <w:kern w:val="0"/>
          <w:sz w:val="24"/>
          <w:szCs w:val="24"/>
          <w:lang w:val="en-US" w:eastAsia="zh-CN" w:bidi="ar"/>
        </w:rPr>
        <w:t>项目数据全部来源于淘宝电商平台，采集时间为2025年12月18日，覆盖服装类目商品及用户评价。所有数据均经过严格的清洗与脱敏处理，确保分析的准确性与合规性。具体数据范围如下：</w:t>
      </w:r>
    </w:p>
    <w:tbl>
      <w:tblPr>
        <w:tblStyle w:val="35"/>
        <w:tblW w:w="0" w:type="auto"/>
        <w:jc w:val="center"/>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217"/>
        <w:gridCol w:w="1457"/>
        <w:gridCol w:w="1709"/>
        <w:gridCol w:w="1228"/>
      </w:tblGrid>
      <w:tr w14:paraId="4D08AFEA">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tblHeader/>
          <w:jc w:val="center"/>
        </w:trPr>
        <w:tc>
          <w:tcPr>
            <w:tcW w:w="0" w:type="auto"/>
            <w:tcBorders>
              <w:top w:val="single" w:color="000000" w:sz="12" w:space="0"/>
              <w:left w:val="nil"/>
              <w:bottom w:val="single" w:color="000000" w:sz="4" w:space="0"/>
              <w:right w:val="nil"/>
              <w:tl2br w:val="nil"/>
            </w:tcBorders>
            <w:shd w:val="clear" w:color="auto" w:fill="FFFFFF"/>
            <w:tcMar>
              <w:top w:w="214" w:type="dxa"/>
              <w:bottom w:w="214" w:type="dxa"/>
              <w:right w:w="257" w:type="dxa"/>
            </w:tcMar>
            <w:vAlign w:val="center"/>
          </w:tcPr>
          <w:p w14:paraId="4CD5ADE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数据类型</w:t>
            </w:r>
          </w:p>
        </w:tc>
        <w:tc>
          <w:tcPr>
            <w:tcW w:w="0" w:type="auto"/>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6EAFE2D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原始记录数</w:t>
            </w:r>
          </w:p>
        </w:tc>
        <w:tc>
          <w:tcPr>
            <w:tcW w:w="1709" w:type="dxa"/>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3E11AE7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清洗后记录数</w:t>
            </w:r>
          </w:p>
        </w:tc>
        <w:tc>
          <w:tcPr>
            <w:tcW w:w="1228" w:type="dxa"/>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257BA459">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数据来源</w:t>
            </w:r>
          </w:p>
        </w:tc>
      </w:tr>
      <w:tr w14:paraId="38B3564F">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0AD871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商品信息</w:t>
            </w:r>
          </w:p>
        </w:tc>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478A287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644</w:t>
            </w:r>
          </w:p>
        </w:tc>
        <w:tc>
          <w:tcPr>
            <w:tcW w:w="1709" w:type="dxa"/>
            <w:tcBorders>
              <w:top w:val="single" w:color="000000" w:sz="4" w:space="0"/>
              <w:left w:val="nil"/>
              <w:bottom w:val="nil"/>
              <w:right w:val="nil"/>
            </w:tcBorders>
            <w:shd w:val="clear" w:color="auto" w:fill="FFFFFF"/>
            <w:tcMar>
              <w:top w:w="214" w:type="dxa"/>
              <w:bottom w:w="214" w:type="dxa"/>
              <w:right w:w="257" w:type="dxa"/>
            </w:tcMar>
            <w:vAlign w:val="center"/>
          </w:tcPr>
          <w:p w14:paraId="760510C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644</w:t>
            </w:r>
          </w:p>
        </w:tc>
        <w:tc>
          <w:tcPr>
            <w:tcW w:w="1228" w:type="dxa"/>
            <w:tcBorders>
              <w:top w:val="single" w:color="000000" w:sz="4" w:space="0"/>
              <w:left w:val="nil"/>
              <w:bottom w:val="nil"/>
              <w:right w:val="nil"/>
            </w:tcBorders>
            <w:shd w:val="clear" w:color="auto" w:fill="FFFFFF"/>
            <w:tcMar>
              <w:top w:w="214" w:type="dxa"/>
              <w:bottom w:w="214" w:type="dxa"/>
              <w:right w:w="257" w:type="dxa"/>
            </w:tcMar>
            <w:vAlign w:val="center"/>
          </w:tcPr>
          <w:p w14:paraId="4442B65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淘宝平台</w:t>
            </w:r>
          </w:p>
        </w:tc>
      </w:tr>
      <w:tr w14:paraId="252F57F3">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nil"/>
              <w:left w:val="nil"/>
              <w:bottom w:val="nil"/>
              <w:right w:val="nil"/>
            </w:tcBorders>
            <w:shd w:val="clear" w:color="auto" w:fill="FFFFFF"/>
            <w:tcMar>
              <w:top w:w="214" w:type="dxa"/>
              <w:bottom w:w="214" w:type="dxa"/>
              <w:right w:w="257" w:type="dxa"/>
            </w:tcMar>
            <w:vAlign w:val="center"/>
          </w:tcPr>
          <w:p w14:paraId="6F4F696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用户评价</w:t>
            </w:r>
          </w:p>
        </w:tc>
        <w:tc>
          <w:tcPr>
            <w:tcW w:w="0" w:type="auto"/>
            <w:tcBorders>
              <w:top w:val="nil"/>
              <w:left w:val="nil"/>
              <w:bottom w:val="nil"/>
              <w:right w:val="nil"/>
            </w:tcBorders>
            <w:shd w:val="clear" w:color="auto" w:fill="FFFFFF"/>
            <w:tcMar>
              <w:top w:w="214" w:type="dxa"/>
              <w:bottom w:w="214" w:type="dxa"/>
              <w:right w:w="257" w:type="dxa"/>
            </w:tcMar>
            <w:vAlign w:val="center"/>
          </w:tcPr>
          <w:p w14:paraId="032996A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1000</w:t>
            </w:r>
          </w:p>
        </w:tc>
        <w:tc>
          <w:tcPr>
            <w:tcW w:w="1709" w:type="dxa"/>
            <w:tcBorders>
              <w:top w:val="nil"/>
              <w:left w:val="nil"/>
              <w:bottom w:val="nil"/>
              <w:right w:val="nil"/>
            </w:tcBorders>
            <w:shd w:val="clear" w:color="auto" w:fill="FFFFFF"/>
            <w:tcMar>
              <w:top w:w="214" w:type="dxa"/>
              <w:bottom w:w="214" w:type="dxa"/>
              <w:right w:w="257" w:type="dxa"/>
            </w:tcMar>
            <w:vAlign w:val="center"/>
          </w:tcPr>
          <w:p w14:paraId="03328C1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976</w:t>
            </w:r>
          </w:p>
        </w:tc>
        <w:tc>
          <w:tcPr>
            <w:tcW w:w="1228" w:type="dxa"/>
            <w:tcBorders>
              <w:top w:val="nil"/>
              <w:left w:val="nil"/>
              <w:bottom w:val="nil"/>
              <w:right w:val="nil"/>
            </w:tcBorders>
            <w:shd w:val="clear" w:color="auto" w:fill="FFFFFF"/>
            <w:tcMar>
              <w:top w:w="214" w:type="dxa"/>
              <w:bottom w:w="214" w:type="dxa"/>
              <w:right w:w="257" w:type="dxa"/>
            </w:tcMar>
            <w:vAlign w:val="center"/>
          </w:tcPr>
          <w:p w14:paraId="7182888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淘宝平台</w:t>
            </w:r>
          </w:p>
        </w:tc>
      </w:tr>
      <w:tr w14:paraId="17BA5743">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trHeight w:val="100" w:hRule="atLeast"/>
          <w:jc w:val="center"/>
        </w:trPr>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20792AC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总计</w:t>
            </w:r>
          </w:p>
        </w:tc>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1137D6C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1644</w:t>
            </w:r>
          </w:p>
        </w:tc>
        <w:tc>
          <w:tcPr>
            <w:tcW w:w="1709" w:type="dxa"/>
            <w:tcBorders>
              <w:top w:val="nil"/>
              <w:left w:val="nil"/>
              <w:bottom w:val="single" w:color="000000" w:sz="12" w:space="0"/>
              <w:right w:val="nil"/>
            </w:tcBorders>
            <w:shd w:val="clear" w:color="auto" w:fill="FFFFFF"/>
            <w:tcMar>
              <w:top w:w="214" w:type="dxa"/>
              <w:bottom w:w="214" w:type="dxa"/>
              <w:right w:w="257" w:type="dxa"/>
            </w:tcMar>
            <w:vAlign w:val="center"/>
          </w:tcPr>
          <w:p w14:paraId="591060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1620</w:t>
            </w:r>
          </w:p>
        </w:tc>
        <w:tc>
          <w:tcPr>
            <w:tcW w:w="1228" w:type="dxa"/>
            <w:tcBorders>
              <w:top w:val="nil"/>
              <w:left w:val="nil"/>
              <w:bottom w:val="single" w:color="000000" w:sz="12" w:space="0"/>
              <w:right w:val="nil"/>
            </w:tcBorders>
            <w:shd w:val="clear" w:color="auto" w:fill="FFFFFF"/>
            <w:tcMar>
              <w:top w:w="214" w:type="dxa"/>
              <w:bottom w:w="214" w:type="dxa"/>
              <w:right w:w="257" w:type="dxa"/>
            </w:tcMar>
            <w:vAlign w:val="center"/>
          </w:tcPr>
          <w:p w14:paraId="4D127908">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240" w:lineRule="auto"/>
              <w:ind w:left="0" w:leftChars="0" w:firstLine="0" w:firstLineChars="0"/>
              <w:jc w:val="center"/>
              <w:textAlignment w:val="auto"/>
              <w:rPr>
                <w:rFonts w:ascii="宋体" w:hAnsi="宋体" w:eastAsia="宋体" w:cs="宋体"/>
                <w:b w:val="0"/>
                <w:bCs/>
                <w:color w:val="000000"/>
                <w:spacing w:val="0"/>
                <w:kern w:val="0"/>
                <w:sz w:val="24"/>
                <w:szCs w:val="24"/>
                <w:lang w:val="en-US" w:eastAsia="zh-CN" w:bidi="ar"/>
              </w:rPr>
            </w:pPr>
            <w:r>
              <w:rPr>
                <w:rFonts w:ascii="宋体" w:hAnsi="宋体" w:eastAsia="宋体" w:cs="宋体"/>
                <w:b w:val="0"/>
                <w:bCs/>
                <w:color w:val="000000"/>
                <w:spacing w:val="0"/>
                <w:kern w:val="0"/>
                <w:sz w:val="24"/>
                <w:szCs w:val="24"/>
                <w:lang w:val="en-US" w:eastAsia="zh-CN" w:bidi="ar"/>
              </w:rPr>
              <w:t>-</w:t>
            </w:r>
          </w:p>
        </w:tc>
      </w:tr>
    </w:tbl>
    <w:p w14:paraId="37D26DB5">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数据清洗关键步骤包括：去重（删除24条重复评价）、异常值过滤（如价格&gt;100元的记录）、字段标准化（如统一材质描述为“纯棉”“再生纤维”等）。清洗后数据为后续可视化分析提供了高质量基础，如价格字段范围锁定为0.50-98.50元，环保认证标签清晰化（GOTS、GOT、OCS等），确保了分析结果的可靠性。本数据集的构建充分体现了产教融合项目中“真实数据、真实问题、真实流程”的特色，为学生提供了处理工业级数据的实践机会。</w:t>
      </w:r>
    </w:p>
    <w:p w14:paraId="7B6C26E9">
      <w:pPr>
        <w:keepNext w:val="0"/>
        <w:keepLines w:val="0"/>
        <w:pageBreakBefore w:val="0"/>
        <w:widowControl/>
        <w:numPr>
          <w:ilvl w:val="0"/>
          <w:numId w:val="0"/>
        </w:numPr>
        <w:suppressLineNumbers w:val="0"/>
        <w:tabs>
          <w:tab w:val="left" w:pos="0"/>
          <w:tab w:val="left" w:pos="420"/>
        </w:tabs>
        <w:kinsoku/>
        <w:wordWrap/>
        <w:overflowPunct/>
        <w:topLinePunct w:val="0"/>
        <w:autoSpaceDE/>
        <w:autoSpaceDN/>
        <w:bidi w:val="0"/>
        <w:adjustRightInd/>
        <w:snapToGrid/>
        <w:spacing w:line="440" w:lineRule="exact"/>
        <w:ind w:left="0" w:leftChars="0" w:firstLine="0" w:firstLineChars="0"/>
        <w:jc w:val="left"/>
        <w:textAlignment w:val="auto"/>
        <w:outlineLvl w:val="9"/>
        <w:rPr>
          <w:rFonts w:ascii="Calibri" w:hAnsi="Calibri" w:eastAsia="宋体" w:cs="Times New Roman"/>
          <w:b/>
          <w:bCs/>
          <w:color w:val="000000"/>
          <w:spacing w:val="0"/>
          <w:kern w:val="2"/>
          <w:sz w:val="28"/>
          <w:szCs w:val="28"/>
          <w:lang w:val="en-US" w:eastAsia="zh-CN" w:bidi="ar-SA"/>
        </w:rPr>
      </w:pPr>
      <w:bookmarkStart w:id="893" w:name="_Toc4453"/>
      <w:bookmarkStart w:id="894" w:name="_Toc6866"/>
      <w:r>
        <w:rPr>
          <w:rFonts w:hint="default" w:ascii="Calibri" w:hAnsi="Calibri" w:eastAsia="宋体" w:cs="Times New Roman"/>
          <w:b/>
          <w:bCs/>
          <w:color w:val="000000"/>
          <w:spacing w:val="0"/>
          <w:kern w:val="2"/>
          <w:sz w:val="28"/>
          <w:szCs w:val="28"/>
          <w:lang w:val="en-US" w:eastAsia="zh-CN" w:bidi="ar-SA"/>
        </w:rPr>
        <w:t>2</w:t>
      </w:r>
      <w:r>
        <w:rPr>
          <w:rFonts w:ascii="Calibri" w:hAnsi="Calibri" w:eastAsia="宋体" w:cs="Times New Roman"/>
          <w:b/>
          <w:bCs/>
          <w:color w:val="000000"/>
          <w:spacing w:val="0"/>
          <w:kern w:val="2"/>
          <w:sz w:val="28"/>
          <w:szCs w:val="28"/>
          <w:lang w:val="en-US" w:eastAsia="zh-CN" w:bidi="ar-SA"/>
        </w:rPr>
        <w:t>数据基础与处理方法</w:t>
      </w:r>
      <w:bookmarkEnd w:id="893"/>
      <w:bookmarkEnd w:id="894"/>
    </w:p>
    <w:p w14:paraId="5E19BACD">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95" w:name="_Toc2052"/>
      <w:bookmarkStart w:id="896" w:name="_Toc21568"/>
      <w:r>
        <w:rPr>
          <w:rFonts w:hint="default" w:ascii="宋体" w:hAnsi="宋体" w:eastAsia="宋体" w:cs="宋体"/>
          <w:color w:val="000000"/>
          <w:spacing w:val="0"/>
          <w:kern w:val="2"/>
          <w:sz w:val="24"/>
          <w:szCs w:val="24"/>
          <w:lang w:val="en-US" w:eastAsia="zh-CN" w:bidi="ar-SA"/>
        </w:rPr>
        <w:t>2.1</w:t>
      </w:r>
      <w:r>
        <w:rPr>
          <w:rFonts w:hint="eastAsia" w:ascii="宋体" w:hAnsi="宋体" w:eastAsia="宋体" w:cs="宋体"/>
          <w:color w:val="000000"/>
          <w:spacing w:val="0"/>
          <w:kern w:val="2"/>
          <w:sz w:val="24"/>
          <w:szCs w:val="24"/>
          <w:lang w:val="en-US" w:eastAsia="zh-CN" w:bidi="ar-SA"/>
        </w:rPr>
        <w:t>数据采集方案设计与实施</w:t>
      </w:r>
      <w:bookmarkEnd w:id="895"/>
      <w:bookmarkEnd w:id="896"/>
    </w:p>
    <w:p w14:paraId="4FE9C9BF">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本项目的数据基础来源于淘宝电商平台的公开数据，采集时间为2025年12月18日，确保了数据的时效性和真实性。数据采集工作采用Python编程语言结合Requests库进行开发，通过模拟浏览器行为实现对目标网页内容的自动化获取。在采集策略上，项目团队特别注重合规性与稳定性，设置了2-3秒的随机请求间隔，有效规避了反爬虫机制的限制，同时通过User-Agent轮换和IP代理池等技术手段，保证采集过程的稳定进行。</w:t>
      </w:r>
    </w:p>
    <w:p w14:paraId="34C5947F">
      <w:pPr>
        <w:keepNext/>
        <w:keepLines/>
        <w:pageBreakBefore w:val="0"/>
        <w:widowControl/>
        <w:suppressLineNumbers w:val="0"/>
        <w:tabs>
          <w:tab w:val="left" w:pos="1584"/>
        </w:tabs>
        <w:kinsoku/>
        <w:wordWrap/>
        <w:overflowPunct/>
        <w:topLinePunct w:val="0"/>
        <w:autoSpaceDE/>
        <w:autoSpaceDN/>
        <w:bidi w:val="0"/>
        <w:adjustRightInd/>
        <w:snapToGrid/>
        <w:spacing w:before="240" w:after="64" w:line="320" w:lineRule="auto"/>
        <w:ind w:left="0" w:leftChars="0" w:firstLine="0" w:firstLineChars="0"/>
        <w:jc w:val="left"/>
        <w:textAlignment w:val="auto"/>
        <w:outlineLvl w:val="9"/>
        <w:rPr>
          <w:rFonts w:ascii="Arial" w:hAnsi="Arial" w:eastAsia="黑体" w:cs="宋体"/>
          <w:color w:val="000000"/>
          <w:spacing w:val="0"/>
          <w:kern w:val="0"/>
          <w:sz w:val="24"/>
          <w:szCs w:val="24"/>
          <w:lang w:val="en-US" w:eastAsia="zh-CN" w:bidi="ar"/>
        </w:rPr>
      </w:pPr>
      <w:r>
        <w:rPr>
          <w:rFonts w:ascii="Arial" w:hAnsi="Arial" w:eastAsia="黑体" w:cs="宋体"/>
          <w:color w:val="000000"/>
          <w:spacing w:val="0"/>
          <w:kern w:val="0"/>
          <w:sz w:val="24"/>
          <w:szCs w:val="24"/>
          <w:lang w:val="en-US" w:eastAsia="zh-CN" w:bidi="ar"/>
        </w:rPr>
        <w:drawing>
          <wp:anchor distT="0" distB="0" distL="114300" distR="114300" simplePos="0" relativeHeight="251830272" behindDoc="0" locked="0" layoutInCell="1" allowOverlap="1">
            <wp:simplePos x="0" y="0"/>
            <wp:positionH relativeFrom="column">
              <wp:posOffset>0</wp:posOffset>
            </wp:positionH>
            <wp:positionV relativeFrom="paragraph">
              <wp:posOffset>180340</wp:posOffset>
            </wp:positionV>
            <wp:extent cx="5272405" cy="2693035"/>
            <wp:effectExtent l="0" t="0" r="4445" b="12065"/>
            <wp:wrapTopAndBottom/>
            <wp:docPr id="614" name="图片 614" descr="0edfa7e53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614" descr="0edfa7e532956"/>
                    <pic:cNvPicPr>
                      <a:picLocks noChangeAspect="1"/>
                    </pic:cNvPicPr>
                  </pic:nvPicPr>
                  <pic:blipFill>
                    <a:blip r:embed="rId363"/>
                    <a:stretch>
                      <a:fillRect/>
                    </a:stretch>
                  </pic:blipFill>
                  <pic:spPr>
                    <a:xfrm>
                      <a:off x="0" y="0"/>
                      <a:ext cx="5272405" cy="2693035"/>
                    </a:xfrm>
                    <a:prstGeom prst="rect">
                      <a:avLst/>
                    </a:prstGeom>
                  </pic:spPr>
                </pic:pic>
              </a:graphicData>
            </a:graphic>
          </wp:anchor>
        </w:drawing>
      </w:r>
    </w:p>
    <w:p w14:paraId="34EAEC4A">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数据采集范围覆盖服装类目的商品基本信息与用户评价两大部分。商品信息包括标题、价格、材质成分、环保认证标识等12个关键字段；用户评价数据包含评分、评论内容、评论时间等6个字段。在数据采集过程中，严格遵守数据安全与隐私保护原则，对所有个人信息进行脱敏处理，移除任何可能识别个人身份的信息，确保数据分析的合规性。</w:t>
      </w:r>
    </w:p>
    <w:p w14:paraId="1DEB4FB6">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lang w:bidi="ar"/>
        </w:rPr>
      </w:pPr>
      <w:r>
        <w:rPr>
          <w:rFonts w:ascii="宋体" w:hAnsi="宋体" w:eastAsia="宋体" w:cs="宋体"/>
          <w:i w:val="0"/>
          <w:iCs w:val="0"/>
          <w:caps w:val="0"/>
          <w:color w:val="000000"/>
          <w:spacing w:val="0"/>
          <w:kern w:val="0"/>
          <w:sz w:val="24"/>
          <w:szCs w:val="24"/>
          <w:lang w:val="en-US" w:eastAsia="zh-CN" w:bidi="ar"/>
        </w:rPr>
        <w:t>采集完成的原始数据以JSON格式进行本地存储，保留完整的原始数据特征，为后续数据清洗和回溯分析提供基础。整个采集过程持续约6小时，最终获得原始记录1644条，其中商品信息数据644条，用户评价数据1000条，为后续分析提供了充分的数据样本。</w:t>
      </w:r>
    </w:p>
    <w:p w14:paraId="409C412A">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897" w:name="_Toc12704"/>
      <w:bookmarkStart w:id="898" w:name="_Toc25078"/>
      <w:r>
        <w:rPr>
          <w:rFonts w:hint="default" w:ascii="宋体" w:hAnsi="宋体" w:eastAsia="宋体" w:cs="宋体"/>
          <w:color w:val="000000"/>
          <w:spacing w:val="0"/>
          <w:kern w:val="2"/>
          <w:sz w:val="24"/>
          <w:szCs w:val="24"/>
          <w:lang w:val="en-US" w:eastAsia="zh-CN" w:bidi="ar-SA"/>
        </w:rPr>
        <w:t>2.2</w:t>
      </w:r>
      <w:r>
        <w:rPr>
          <w:rFonts w:hint="eastAsia" w:ascii="宋体" w:hAnsi="宋体" w:eastAsia="宋体" w:cs="宋体"/>
          <w:color w:val="000000"/>
          <w:spacing w:val="0"/>
          <w:kern w:val="2"/>
          <w:sz w:val="24"/>
          <w:szCs w:val="24"/>
          <w:lang w:val="en-US" w:eastAsia="zh-CN" w:bidi="ar-SA"/>
        </w:rPr>
        <w:t>数据清洗与预处理流程</w:t>
      </w:r>
      <w:bookmarkEnd w:id="897"/>
      <w:bookmarkEnd w:id="898"/>
    </w:p>
    <w:p w14:paraId="0901E534">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数据清洗是确保分析结果准确性的关键环节。本项目采用基于Pandas的数据清洗流水线，对原始数据进行系统化处理，主要包括以下四个步骤：</w:t>
      </w:r>
    </w:p>
    <w:p w14:paraId="741B488A">
      <w:pPr>
        <w:keepNext w:val="0"/>
        <w:keepLines w:val="0"/>
        <w:pageBreakBefore w:val="0"/>
        <w:widowControl w:val="0"/>
        <w:numPr>
          <w:ilvl w:val="1"/>
          <w:numId w:val="0"/>
        </w:numPr>
        <w:suppressLineNumbers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r>
        <w:rPr>
          <w:rFonts w:hint="eastAsia" w:ascii="宋体" w:hAnsi="宋体" w:eastAsia="宋体" w:cs="宋体"/>
          <w:color w:val="000000"/>
          <w:spacing w:val="0"/>
          <w:kern w:val="2"/>
          <w:sz w:val="24"/>
          <w:szCs w:val="24"/>
          <w:lang w:val="en-US" w:eastAsia="zh-CN" w:bidi="ar-SA"/>
        </w:rPr>
        <w:t>（1）数据去重处理</w:t>
      </w:r>
    </w:p>
    <w:p w14:paraId="4424BD87">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在采集的原始数据中，发现存在完全重复的评价记录24条。这些重复数据可能源于网络请求重复或平台数据冗余，如不处理将导致分析结果偏向特定商品。通过基于评论内容和用户ID的联合去重，确保每条评价的唯一性，提升用户行为分析的准确性。</w:t>
      </w:r>
    </w:p>
    <w:p w14:paraId="5FB8AD1E">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420" w:leftChars="200" w:firstLine="40" w:firstLineChars="0"/>
        <w:jc w:val="both"/>
        <w:textAlignment w:val="auto"/>
        <w:outlineLvl w:val="9"/>
        <w:rPr>
          <w:rFonts w:hint="eastAsia" w:ascii="宋体" w:hAnsi="宋体" w:eastAsia="宋体" w:cs="宋体"/>
          <w:color w:val="000000"/>
          <w:spacing w:val="0"/>
          <w:kern w:val="2"/>
          <w:sz w:val="24"/>
          <w:szCs w:val="24"/>
          <w:lang w:val="en-US" w:eastAsia="zh-CN" w:bidi="ar-SA"/>
        </w:rPr>
      </w:pPr>
      <w:bookmarkStart w:id="899" w:name="_Toc32197"/>
      <w:r>
        <w:rPr>
          <w:rFonts w:hint="eastAsia" w:ascii="宋体" w:hAnsi="宋体" w:eastAsia="宋体" w:cs="宋体"/>
          <w:color w:val="000000"/>
          <w:spacing w:val="0"/>
          <w:kern w:val="2"/>
          <w:sz w:val="24"/>
          <w:szCs w:val="24"/>
          <w:lang w:val="en-US" w:eastAsia="zh-CN" w:bidi="ar-SA"/>
        </w:rPr>
        <w:t>（2）缺失值处理</w:t>
      </w:r>
      <w:bookmarkEnd w:id="899"/>
    </w:p>
    <w:p w14:paraId="6D3484BF">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对关键字段的缺失值进行检测与处理是保证数据完整性的重要环节。价格字段存在3条记录缺失，通过同一商品其他规格的价格进行合理填充；材质描述字段缺失率约为5%，基于商品标题中的关键词进行推断填充，无法推断的标记为"未知"而非直接删除，保留样本量的同时明确数据局限性。</w:t>
      </w:r>
    </w:p>
    <w:p w14:paraId="58903BAC">
      <w:pPr>
        <w:keepNext w:val="0"/>
        <w:keepLines w:val="0"/>
        <w:pageBreakBefore w:val="0"/>
        <w:widowControl w:val="0"/>
        <w:numPr>
          <w:ilvl w:val="1"/>
          <w:numId w:val="0"/>
        </w:numPr>
        <w:suppressLineNumbers w:val="0"/>
        <w:kinsoku/>
        <w:wordWrap/>
        <w:overflowPunct/>
        <w:topLinePunct w:val="0"/>
        <w:autoSpaceDE/>
        <w:autoSpaceDN/>
        <w:bidi w:val="0"/>
        <w:adjustRightInd/>
        <w:snapToGrid/>
        <w:spacing w:line="440" w:lineRule="exact"/>
        <w:ind w:firstLine="480" w:firstLineChars="200"/>
        <w:jc w:val="both"/>
        <w:textAlignment w:val="auto"/>
        <w:outlineLvl w:val="9"/>
        <w:rPr>
          <w:rFonts w:ascii="宋体" w:hAnsi="宋体" w:eastAsia="宋体" w:cs="宋体"/>
          <w:color w:val="000000"/>
          <w:spacing w:val="0"/>
          <w:kern w:val="2"/>
          <w:sz w:val="24"/>
          <w:szCs w:val="24"/>
          <w:lang w:val="en-US" w:eastAsia="zh-CN" w:bidi="ar-SA"/>
        </w:rPr>
      </w:pPr>
      <w:r>
        <w:rPr>
          <w:rFonts w:hint="eastAsia" w:ascii="宋体" w:hAnsi="宋体" w:eastAsia="宋体" w:cs="宋体"/>
          <w:color w:val="000000"/>
          <w:spacing w:val="0"/>
          <w:kern w:val="2"/>
          <w:sz w:val="24"/>
          <w:szCs w:val="24"/>
          <w:lang w:val="en-US" w:eastAsia="zh-CN" w:bidi="ar-SA"/>
        </w:rPr>
        <w:t>（3）</w:t>
      </w:r>
      <w:r>
        <w:rPr>
          <w:rFonts w:ascii="宋体" w:hAnsi="宋体" w:eastAsia="宋体" w:cs="宋体"/>
          <w:color w:val="000000"/>
          <w:spacing w:val="0"/>
          <w:kern w:val="2"/>
          <w:sz w:val="24"/>
          <w:szCs w:val="24"/>
          <w:lang w:val="en-US" w:eastAsia="zh-CN" w:bidi="ar-SA"/>
        </w:rPr>
        <w:t>异常值识别与处理</w:t>
      </w:r>
    </w:p>
    <w:p w14:paraId="2525FD6A">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针对价格字段，设置合理的取值范围（0.50-100.00元），超出此范围的12条记录被判定为异常值。通过分析发现，这些异常值主要包括标价0.01元的引流商品和标价数百元的高端商品，与本研究聚焦的大众消费市场定位不符，故予以过滤，确保价格分析的代表性。</w:t>
      </w:r>
    </w:p>
    <w:p w14:paraId="4C238794">
      <w:pPr>
        <w:keepNext w:val="0"/>
        <w:keepLines w:val="0"/>
        <w:pageBreakBefore w:val="0"/>
        <w:widowControl w:val="0"/>
        <w:numPr>
          <w:ilvl w:val="1"/>
          <w:numId w:val="0"/>
        </w:numPr>
        <w:suppressLineNumbers w:val="0"/>
        <w:kinsoku/>
        <w:wordWrap/>
        <w:overflowPunct/>
        <w:topLinePunct w:val="0"/>
        <w:autoSpaceDE/>
        <w:autoSpaceDN/>
        <w:bidi w:val="0"/>
        <w:adjustRightInd/>
        <w:snapToGrid/>
        <w:spacing w:line="440" w:lineRule="exact"/>
        <w:ind w:firstLine="480" w:firstLineChars="200"/>
        <w:jc w:val="both"/>
        <w:textAlignment w:val="auto"/>
        <w:outlineLvl w:val="9"/>
        <w:rPr>
          <w:rFonts w:ascii="宋体" w:hAnsi="宋体" w:eastAsia="宋体" w:cs="宋体"/>
          <w:color w:val="000000"/>
          <w:spacing w:val="0"/>
          <w:kern w:val="2"/>
          <w:sz w:val="24"/>
          <w:szCs w:val="24"/>
          <w:lang w:val="en-US" w:eastAsia="zh-CN" w:bidi="ar-SA"/>
        </w:rPr>
      </w:pPr>
      <w:r>
        <w:rPr>
          <w:rFonts w:hint="eastAsia" w:ascii="宋体" w:hAnsi="宋体" w:eastAsia="宋体" w:cs="宋体"/>
          <w:color w:val="000000"/>
          <w:spacing w:val="0"/>
          <w:kern w:val="2"/>
          <w:sz w:val="24"/>
          <w:szCs w:val="24"/>
          <w:lang w:val="en-US" w:eastAsia="zh-CN" w:bidi="ar-SA"/>
        </w:rPr>
        <w:t>（4）</w:t>
      </w:r>
      <w:r>
        <w:rPr>
          <w:rFonts w:ascii="宋体" w:hAnsi="宋体" w:eastAsia="宋体" w:cs="宋体"/>
          <w:color w:val="000000"/>
          <w:spacing w:val="0"/>
          <w:kern w:val="2"/>
          <w:sz w:val="24"/>
          <w:szCs w:val="24"/>
          <w:lang w:val="en-US" w:eastAsia="zh-CN" w:bidi="ar-SA"/>
        </w:rPr>
        <w:t>文本字段标准化</w:t>
      </w:r>
    </w:p>
    <w:p w14:paraId="577A9C95">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对材质描述、环保认证等文本字段进行统一标准化处理。将"纯棉"、"全棉"、"100%棉"等表述统一为"纯棉"；将"GOTS认证"、"GOTS标准"等统一为"GOTS"。这种标准化处理为后续的材质分布分析和环保认证统计提供了基础。</w:t>
      </w:r>
    </w:p>
    <w:p w14:paraId="04D91EFD">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通过上述清洗流程，数据质量得到显著提升，为可视化分析提供了可靠的基础。</w:t>
      </w:r>
    </w:p>
    <w:p w14:paraId="7687A4E1">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00" w:name="_Toc17078"/>
      <w:r>
        <w:rPr>
          <w:rFonts w:hint="default" w:ascii="宋体" w:hAnsi="宋体" w:eastAsia="宋体" w:cs="宋体"/>
          <w:color w:val="000000"/>
          <w:spacing w:val="0"/>
          <w:kern w:val="2"/>
          <w:sz w:val="24"/>
          <w:szCs w:val="24"/>
          <w:lang w:val="en-US" w:eastAsia="zh-CN" w:bidi="ar-SA"/>
        </w:rPr>
        <w:t>2.3</w:t>
      </w:r>
      <w:r>
        <w:rPr>
          <w:rFonts w:hint="eastAsia" w:ascii="宋体" w:hAnsi="宋体" w:eastAsia="宋体" w:cs="宋体"/>
          <w:color w:val="000000"/>
          <w:spacing w:val="0"/>
          <w:kern w:val="2"/>
          <w:sz w:val="24"/>
          <w:szCs w:val="24"/>
          <w:lang w:val="en-US" w:eastAsia="zh-CN" w:bidi="ar-SA"/>
        </w:rPr>
        <w:t>数据存储与管理设计</w:t>
      </w:r>
      <w:bookmarkEnd w:id="900"/>
    </w:p>
    <w:p w14:paraId="0A254656">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清洗后的数据采用MySQL关系型数据库进行存储管理，设计了两个核心数据表：商品信息表（products）和用户评价表（reviews）。</w:t>
      </w:r>
    </w:p>
    <w:p w14:paraId="76915A6E">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outlineLvl w:val="9"/>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商品信息表包含12个字段，除基本商品信息外，特别设计了环保认证字段（environmental_certification），用于标识GOTS、OCS等认证类型；用户评价表包含6个字段，重点关注评价内容（content）和评分（rating）字段。两表通过商品ID（product_id）建立关联，支持复杂的多表联合查询分析。</w:t>
      </w:r>
    </w:p>
    <w:p w14:paraId="20A2C9D4">
      <w:pPr>
        <w:keepNext w:val="0"/>
        <w:keepLines w:val="0"/>
        <w:pageBreakBefore w:val="0"/>
        <w:widowControl/>
        <w:suppressLineNumbers w:val="0"/>
        <w:kinsoku/>
        <w:wordWrap/>
        <w:overflowPunct/>
        <w:topLinePunct w:val="0"/>
        <w:autoSpaceDE/>
        <w:autoSpaceDN/>
        <w:bidi w:val="0"/>
        <w:adjustRightInd/>
        <w:snapToGrid/>
        <w:spacing w:line="440" w:lineRule="exact"/>
        <w:ind w:left="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sectPr>
          <w:headerReference r:id="rId35" w:type="default"/>
          <w:footerReference r:id="rId3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ascii="宋体" w:hAnsi="宋体" w:eastAsia="宋体" w:cs="宋体"/>
          <w:i w:val="0"/>
          <w:iCs w:val="0"/>
          <w:caps w:val="0"/>
          <w:color w:val="000000"/>
          <w:spacing w:val="0"/>
          <w:kern w:val="0"/>
          <w:sz w:val="24"/>
          <w:szCs w:val="24"/>
          <w:lang w:val="en-US" w:eastAsia="zh-CN" w:bidi="ar"/>
        </w:rPr>
        <w:t>数据库设计遵循第三范式，减少数据冗余，同时针对常用查询条件（如价格区间、环保认证状态）建立索引，大幅提升查询效率。例如，对价格字段创建的B树索引，使得区间查询响应时间控制在毫秒级，满足可视化平台的实时性要求</w:t>
      </w:r>
    </w:p>
    <w:p w14:paraId="5EF462FB">
      <w:pPr>
        <w:keepNext/>
        <w:keepLines/>
        <w:pageBreakBefore w:val="0"/>
        <w:widowControl/>
        <w:suppressLineNumbers w:val="0"/>
        <w:tabs>
          <w:tab w:val="left" w:pos="1584"/>
        </w:tabs>
        <w:kinsoku/>
        <w:wordWrap/>
        <w:overflowPunct/>
        <w:topLinePunct w:val="0"/>
        <w:autoSpaceDE/>
        <w:autoSpaceDN/>
        <w:bidi w:val="0"/>
        <w:adjustRightInd/>
        <w:snapToGrid/>
        <w:spacing w:line="240" w:lineRule="auto"/>
        <w:ind w:left="0" w:leftChars="0" w:firstLine="0" w:firstLineChars="0"/>
        <w:jc w:val="left"/>
        <w:textAlignment w:val="auto"/>
        <w:outlineLvl w:val="9"/>
        <w:rPr>
          <w:rFonts w:ascii="Arial" w:hAnsi="Arial" w:eastAsia="黑体" w:cs="宋体"/>
          <w:color w:val="000000"/>
          <w:spacing w:val="0"/>
          <w:kern w:val="0"/>
          <w:sz w:val="24"/>
          <w:szCs w:val="24"/>
          <w:lang w:val="en-US" w:eastAsia="zh-CN" w:bidi="ar"/>
        </w:rPr>
      </w:pPr>
    </w:p>
    <w:tbl>
      <w:tblPr>
        <w:tblStyle w:val="35"/>
        <w:tblW w:w="0" w:type="auto"/>
        <w:jc w:val="center"/>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2417"/>
        <w:gridCol w:w="1217"/>
        <w:gridCol w:w="1217"/>
        <w:gridCol w:w="2417"/>
      </w:tblGrid>
      <w:tr w14:paraId="6EE52C8E">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tblCellMar>
            <w:top w:w="0" w:type="dxa"/>
            <w:left w:w="0" w:type="dxa"/>
            <w:bottom w:w="0" w:type="dxa"/>
            <w:right w:w="0" w:type="dxa"/>
          </w:tblCellMar>
        </w:tblPrEx>
        <w:trPr>
          <w:tblHeader/>
          <w:jc w:val="center"/>
        </w:trPr>
        <w:tc>
          <w:tcPr>
            <w:tcW w:w="0" w:type="auto"/>
            <w:tcBorders>
              <w:top w:val="single" w:color="000000" w:sz="12" w:space="0"/>
              <w:left w:val="nil"/>
              <w:bottom w:val="single" w:color="000000" w:sz="4" w:space="0"/>
              <w:right w:val="nil"/>
              <w:tl2br w:val="nil"/>
            </w:tcBorders>
            <w:shd w:val="clear" w:color="auto" w:fill="FFFFFF"/>
            <w:tcMar>
              <w:top w:w="214" w:type="dxa"/>
              <w:bottom w:w="214" w:type="dxa"/>
              <w:right w:w="257" w:type="dxa"/>
            </w:tcMar>
            <w:vAlign w:val="center"/>
          </w:tcPr>
          <w:p w14:paraId="1F9C8D8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bCs/>
                <w:color w:val="000000"/>
                <w:spacing w:val="0"/>
                <w:kern w:val="0"/>
                <w:sz w:val="24"/>
                <w:szCs w:val="24"/>
                <w:lang w:bidi="ar"/>
              </w:rPr>
            </w:pPr>
            <w:r>
              <w:rPr>
                <w:rFonts w:ascii="宋体" w:hAnsi="宋体" w:eastAsia="宋体" w:cs="宋体"/>
                <w:b w:val="0"/>
                <w:bCs/>
                <w:color w:val="000000"/>
                <w:spacing w:val="0"/>
                <w:kern w:val="0"/>
                <w:sz w:val="24"/>
                <w:szCs w:val="24"/>
                <w:lang w:val="en-US" w:eastAsia="zh-CN" w:bidi="ar"/>
              </w:rPr>
              <w:t>数据质量指标</w:t>
            </w:r>
          </w:p>
        </w:tc>
        <w:tc>
          <w:tcPr>
            <w:tcW w:w="0" w:type="auto"/>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155A62E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bCs/>
                <w:color w:val="000000"/>
                <w:spacing w:val="0"/>
                <w:kern w:val="0"/>
                <w:sz w:val="24"/>
                <w:szCs w:val="24"/>
                <w:lang w:bidi="ar"/>
              </w:rPr>
            </w:pPr>
            <w:r>
              <w:rPr>
                <w:rFonts w:ascii="宋体" w:hAnsi="宋体" w:eastAsia="宋体" w:cs="宋体"/>
                <w:b w:val="0"/>
                <w:bCs/>
                <w:color w:val="000000"/>
                <w:spacing w:val="0"/>
                <w:kern w:val="0"/>
                <w:sz w:val="24"/>
                <w:szCs w:val="24"/>
                <w:lang w:val="en-US" w:eastAsia="zh-CN" w:bidi="ar"/>
              </w:rPr>
              <w:t>清洗前</w:t>
            </w:r>
          </w:p>
        </w:tc>
        <w:tc>
          <w:tcPr>
            <w:tcW w:w="0" w:type="auto"/>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3BB81E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bCs/>
                <w:color w:val="000000"/>
                <w:spacing w:val="0"/>
                <w:kern w:val="0"/>
                <w:sz w:val="24"/>
                <w:szCs w:val="24"/>
                <w:lang w:bidi="ar"/>
              </w:rPr>
            </w:pPr>
            <w:r>
              <w:rPr>
                <w:rFonts w:ascii="宋体" w:hAnsi="宋体" w:eastAsia="宋体" w:cs="宋体"/>
                <w:b w:val="0"/>
                <w:bCs/>
                <w:color w:val="000000"/>
                <w:spacing w:val="0"/>
                <w:kern w:val="0"/>
                <w:sz w:val="24"/>
                <w:szCs w:val="24"/>
                <w:lang w:val="en-US" w:eastAsia="zh-CN" w:bidi="ar"/>
              </w:rPr>
              <w:t>清洗后</w:t>
            </w:r>
          </w:p>
        </w:tc>
        <w:tc>
          <w:tcPr>
            <w:tcW w:w="0" w:type="auto"/>
            <w:tcBorders>
              <w:top w:val="single" w:color="000000" w:sz="12" w:space="0"/>
              <w:left w:val="nil"/>
              <w:bottom w:val="single" w:color="000000" w:sz="4" w:space="0"/>
              <w:right w:val="nil"/>
            </w:tcBorders>
            <w:shd w:val="clear" w:color="auto" w:fill="FFFFFF"/>
            <w:tcMar>
              <w:top w:w="214" w:type="dxa"/>
              <w:bottom w:w="214" w:type="dxa"/>
              <w:right w:w="257" w:type="dxa"/>
            </w:tcMar>
            <w:vAlign w:val="center"/>
          </w:tcPr>
          <w:p w14:paraId="7BFAF29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bCs/>
                <w:color w:val="000000"/>
                <w:spacing w:val="0"/>
                <w:kern w:val="0"/>
                <w:sz w:val="24"/>
                <w:szCs w:val="24"/>
                <w:lang w:bidi="ar"/>
              </w:rPr>
            </w:pPr>
            <w:r>
              <w:rPr>
                <w:rFonts w:ascii="宋体" w:hAnsi="宋体" w:eastAsia="宋体" w:cs="宋体"/>
                <w:b w:val="0"/>
                <w:bCs/>
                <w:color w:val="000000"/>
                <w:spacing w:val="0"/>
                <w:kern w:val="0"/>
                <w:sz w:val="24"/>
                <w:szCs w:val="24"/>
                <w:lang w:val="en-US" w:eastAsia="zh-CN" w:bidi="ar"/>
              </w:rPr>
              <w:t>提升效果</w:t>
            </w:r>
          </w:p>
        </w:tc>
      </w:tr>
      <w:tr w14:paraId="1B2668C5">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6759DC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总记录数</w:t>
            </w:r>
          </w:p>
        </w:tc>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6BC3AE5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1644</w:t>
            </w:r>
          </w:p>
        </w:tc>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3DF9641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1620</w:t>
            </w:r>
          </w:p>
        </w:tc>
        <w:tc>
          <w:tcPr>
            <w:tcW w:w="0" w:type="auto"/>
            <w:tcBorders>
              <w:top w:val="single" w:color="000000" w:sz="4" w:space="0"/>
              <w:left w:val="nil"/>
              <w:bottom w:val="nil"/>
              <w:right w:val="nil"/>
            </w:tcBorders>
            <w:shd w:val="clear" w:color="auto" w:fill="FFFFFF"/>
            <w:tcMar>
              <w:top w:w="214" w:type="dxa"/>
              <w:bottom w:w="214" w:type="dxa"/>
              <w:right w:w="257" w:type="dxa"/>
            </w:tcMar>
            <w:vAlign w:val="center"/>
          </w:tcPr>
          <w:p w14:paraId="1F458E6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去除重复无效数据</w:t>
            </w:r>
          </w:p>
        </w:tc>
      </w:tr>
      <w:tr w14:paraId="0E0C1CF0">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nil"/>
              <w:left w:val="nil"/>
              <w:bottom w:val="nil"/>
              <w:right w:val="nil"/>
            </w:tcBorders>
            <w:shd w:val="clear" w:color="auto" w:fill="FFFFFF"/>
            <w:tcMar>
              <w:top w:w="214" w:type="dxa"/>
              <w:bottom w:w="214" w:type="dxa"/>
              <w:right w:w="257" w:type="dxa"/>
            </w:tcMar>
            <w:vAlign w:val="center"/>
          </w:tcPr>
          <w:p w14:paraId="5468D8F4">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关键字段完整性</w:t>
            </w:r>
          </w:p>
        </w:tc>
        <w:tc>
          <w:tcPr>
            <w:tcW w:w="0" w:type="auto"/>
            <w:tcBorders>
              <w:top w:val="nil"/>
              <w:left w:val="nil"/>
              <w:bottom w:val="nil"/>
              <w:right w:val="nil"/>
            </w:tcBorders>
            <w:shd w:val="clear" w:color="auto" w:fill="FFFFFF"/>
            <w:tcMar>
              <w:top w:w="214" w:type="dxa"/>
              <w:bottom w:w="214" w:type="dxa"/>
              <w:right w:w="257" w:type="dxa"/>
            </w:tcMar>
            <w:vAlign w:val="center"/>
          </w:tcPr>
          <w:p w14:paraId="1601664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约90%</w:t>
            </w:r>
          </w:p>
        </w:tc>
        <w:tc>
          <w:tcPr>
            <w:tcW w:w="0" w:type="auto"/>
            <w:tcBorders>
              <w:top w:val="nil"/>
              <w:left w:val="nil"/>
              <w:bottom w:val="nil"/>
              <w:right w:val="nil"/>
            </w:tcBorders>
            <w:shd w:val="clear" w:color="auto" w:fill="FFFFFF"/>
            <w:tcMar>
              <w:top w:w="214" w:type="dxa"/>
              <w:bottom w:w="214" w:type="dxa"/>
              <w:right w:w="257" w:type="dxa"/>
            </w:tcMar>
            <w:vAlign w:val="center"/>
          </w:tcPr>
          <w:p w14:paraId="7A8F4567">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100%</w:t>
            </w:r>
          </w:p>
        </w:tc>
        <w:tc>
          <w:tcPr>
            <w:tcW w:w="0" w:type="auto"/>
            <w:tcBorders>
              <w:top w:val="nil"/>
              <w:left w:val="nil"/>
              <w:bottom w:val="nil"/>
              <w:right w:val="nil"/>
            </w:tcBorders>
            <w:shd w:val="clear" w:color="auto" w:fill="FFFFFF"/>
            <w:tcMar>
              <w:top w:w="214" w:type="dxa"/>
              <w:bottom w:w="214" w:type="dxa"/>
              <w:right w:w="257" w:type="dxa"/>
            </w:tcMar>
            <w:vAlign w:val="center"/>
          </w:tcPr>
          <w:p w14:paraId="76EE00D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满足分析需求</w:t>
            </w:r>
          </w:p>
        </w:tc>
      </w:tr>
      <w:tr w14:paraId="53D1F51A">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nil"/>
              <w:left w:val="nil"/>
              <w:bottom w:val="nil"/>
              <w:right w:val="nil"/>
            </w:tcBorders>
            <w:shd w:val="clear" w:color="auto" w:fill="FFFFFF"/>
            <w:tcMar>
              <w:top w:w="214" w:type="dxa"/>
              <w:bottom w:w="214" w:type="dxa"/>
              <w:right w:w="257" w:type="dxa"/>
            </w:tcMar>
            <w:vAlign w:val="center"/>
          </w:tcPr>
          <w:p w14:paraId="75B89EB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价格字段有效性</w:t>
            </w:r>
          </w:p>
        </w:tc>
        <w:tc>
          <w:tcPr>
            <w:tcW w:w="0" w:type="auto"/>
            <w:tcBorders>
              <w:top w:val="nil"/>
              <w:left w:val="nil"/>
              <w:bottom w:val="nil"/>
              <w:right w:val="nil"/>
            </w:tcBorders>
            <w:shd w:val="clear" w:color="auto" w:fill="FFFFFF"/>
            <w:tcMar>
              <w:top w:w="214" w:type="dxa"/>
              <w:bottom w:w="214" w:type="dxa"/>
              <w:right w:w="257" w:type="dxa"/>
            </w:tcMar>
            <w:vAlign w:val="center"/>
          </w:tcPr>
          <w:p w14:paraId="524115C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89.5%</w:t>
            </w:r>
          </w:p>
        </w:tc>
        <w:tc>
          <w:tcPr>
            <w:tcW w:w="0" w:type="auto"/>
            <w:tcBorders>
              <w:top w:val="nil"/>
              <w:left w:val="nil"/>
              <w:bottom w:val="nil"/>
              <w:right w:val="nil"/>
            </w:tcBorders>
            <w:shd w:val="clear" w:color="auto" w:fill="FFFFFF"/>
            <w:tcMar>
              <w:top w:w="214" w:type="dxa"/>
              <w:bottom w:w="214" w:type="dxa"/>
              <w:right w:w="257" w:type="dxa"/>
            </w:tcMar>
            <w:vAlign w:val="center"/>
          </w:tcPr>
          <w:p w14:paraId="0C50B76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100%</w:t>
            </w:r>
          </w:p>
        </w:tc>
        <w:tc>
          <w:tcPr>
            <w:tcW w:w="0" w:type="auto"/>
            <w:tcBorders>
              <w:top w:val="nil"/>
              <w:left w:val="nil"/>
              <w:bottom w:val="nil"/>
              <w:right w:val="nil"/>
            </w:tcBorders>
            <w:shd w:val="clear" w:color="auto" w:fill="FFFFFF"/>
            <w:tcMar>
              <w:top w:w="214" w:type="dxa"/>
              <w:bottom w:w="214" w:type="dxa"/>
              <w:right w:w="257" w:type="dxa"/>
            </w:tcMar>
            <w:vAlign w:val="center"/>
          </w:tcPr>
          <w:p w14:paraId="22089F2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确保价格分析可靠性</w:t>
            </w:r>
          </w:p>
        </w:tc>
      </w:tr>
      <w:tr w14:paraId="111B11D2">
        <w:tblPrEx>
          <w:tblBorders>
            <w:top w:val="single" w:color="E0E0E0" w:sz="8" w:space="0"/>
            <w:left w:val="single" w:color="E0E0E0" w:sz="8" w:space="0"/>
            <w:bottom w:val="single" w:color="E0E0E0" w:sz="8" w:space="0"/>
            <w:right w:val="single" w:color="E0E0E0" w:sz="8" w:space="0"/>
            <w:insideH w:val="none" w:color="auto" w:sz="0" w:space="0"/>
            <w:insideV w:val="none" w:color="auto" w:sz="0" w:space="0"/>
          </w:tblBorders>
          <w:shd w:val="clear" w:color="auto" w:fill="auto"/>
          <w:tblCellMar>
            <w:top w:w="0" w:type="dxa"/>
            <w:left w:w="0" w:type="dxa"/>
            <w:bottom w:w="0" w:type="dxa"/>
            <w:right w:w="0" w:type="dxa"/>
          </w:tblCellMar>
        </w:tblPrEx>
        <w:trPr>
          <w:jc w:val="center"/>
        </w:trPr>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24BFE8D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文本字段标准化程度</w:t>
            </w:r>
          </w:p>
        </w:tc>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4A8245F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基础形态</w:t>
            </w:r>
          </w:p>
        </w:tc>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2667918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完全统一</w:t>
            </w:r>
          </w:p>
        </w:tc>
        <w:tc>
          <w:tcPr>
            <w:tcW w:w="0" w:type="auto"/>
            <w:tcBorders>
              <w:top w:val="nil"/>
              <w:left w:val="nil"/>
              <w:bottom w:val="single" w:color="000000" w:sz="12" w:space="0"/>
              <w:right w:val="nil"/>
            </w:tcBorders>
            <w:shd w:val="clear" w:color="auto" w:fill="FFFFFF"/>
            <w:tcMar>
              <w:top w:w="214" w:type="dxa"/>
              <w:bottom w:w="214" w:type="dxa"/>
              <w:right w:w="257" w:type="dxa"/>
            </w:tcMar>
            <w:vAlign w:val="center"/>
          </w:tcPr>
          <w:p w14:paraId="7758544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line="440" w:lineRule="exact"/>
              <w:ind w:left="0" w:leftChars="0" w:firstLine="0" w:firstLineChars="0"/>
              <w:jc w:val="center"/>
              <w:textAlignment w:val="auto"/>
              <w:rPr>
                <w:rFonts w:ascii="宋体" w:hAnsi="宋体" w:eastAsia="宋体" w:cs="宋体"/>
                <w:b w:val="0"/>
                <w:color w:val="000000"/>
                <w:spacing w:val="0"/>
                <w:kern w:val="0"/>
                <w:sz w:val="24"/>
                <w:szCs w:val="24"/>
                <w:lang w:bidi="ar"/>
              </w:rPr>
            </w:pPr>
            <w:r>
              <w:rPr>
                <w:rFonts w:ascii="宋体" w:hAnsi="宋体" w:eastAsia="宋体" w:cs="宋体"/>
                <w:b w:val="0"/>
                <w:color w:val="000000"/>
                <w:spacing w:val="0"/>
                <w:kern w:val="0"/>
                <w:sz w:val="24"/>
                <w:szCs w:val="24"/>
                <w:lang w:val="en-US" w:eastAsia="zh-CN" w:bidi="ar"/>
              </w:rPr>
              <w:t>提高分类统计准确性</w:t>
            </w:r>
          </w:p>
        </w:tc>
      </w:tr>
    </w:tbl>
    <w:p w14:paraId="2DED6F5E">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80" w:firstLineChars="200"/>
        <w:jc w:val="left"/>
        <w:textAlignment w:val="auto"/>
        <w:rPr>
          <w:rFonts w:ascii="宋体" w:hAnsi="宋体" w:eastAsia="宋体" w:cs="宋体"/>
          <w:i w:val="0"/>
          <w:iCs w:val="0"/>
          <w:caps w:val="0"/>
          <w:color w:val="000000"/>
          <w:spacing w:val="0"/>
          <w:kern w:val="0"/>
          <w:sz w:val="24"/>
          <w:szCs w:val="24"/>
          <w:lang w:val="en-US" w:eastAsia="zh-CN" w:bidi="ar"/>
        </w:rPr>
      </w:pPr>
      <w:r>
        <w:rPr>
          <w:rFonts w:ascii="宋体" w:hAnsi="宋体" w:eastAsia="宋体" w:cs="宋体"/>
          <w:i w:val="0"/>
          <w:iCs w:val="0"/>
          <w:caps w:val="0"/>
          <w:color w:val="000000"/>
          <w:spacing w:val="0"/>
          <w:kern w:val="0"/>
          <w:sz w:val="24"/>
          <w:szCs w:val="24"/>
          <w:lang w:val="en-US" w:eastAsia="zh-CN" w:bidi="ar"/>
        </w:rPr>
        <w:t>通过系统化的数据基础构建与处理方法，本项目确立了高质量的数据基石，为后续多维可视化分析提供了可靠保障，体现了产教融合项目中工程化思维培养的重要性。</w:t>
      </w:r>
    </w:p>
    <w:p w14:paraId="78D22468">
      <w:pPr>
        <w:keepNext w:val="0"/>
        <w:keepLines w:val="0"/>
        <w:pageBreakBefore w:val="0"/>
        <w:widowControl/>
        <w:numPr>
          <w:ilvl w:val="0"/>
          <w:numId w:val="0"/>
        </w:numPr>
        <w:suppressLineNumbers w:val="0"/>
        <w:tabs>
          <w:tab w:val="left" w:pos="0"/>
          <w:tab w:val="left" w:pos="420"/>
        </w:tabs>
        <w:kinsoku/>
        <w:wordWrap/>
        <w:overflowPunct/>
        <w:topLinePunct w:val="0"/>
        <w:autoSpaceDE/>
        <w:autoSpaceDN/>
        <w:bidi w:val="0"/>
        <w:adjustRightInd/>
        <w:snapToGrid/>
        <w:spacing w:line="440" w:lineRule="exact"/>
        <w:ind w:left="0" w:leftChars="0" w:firstLine="0" w:firstLineChars="0"/>
        <w:jc w:val="left"/>
        <w:textAlignment w:val="auto"/>
        <w:outlineLvl w:val="9"/>
        <w:rPr>
          <w:rFonts w:hint="default" w:ascii="Calibri" w:hAnsi="Calibri" w:eastAsia="宋体" w:cs="Times New Roman"/>
          <w:b/>
          <w:bCs/>
          <w:color w:val="000000"/>
          <w:spacing w:val="0"/>
          <w:kern w:val="2"/>
          <w:sz w:val="28"/>
          <w:szCs w:val="28"/>
          <w:lang w:val="en-US" w:eastAsia="zh-CN" w:bidi="ar-SA"/>
        </w:rPr>
      </w:pPr>
      <w:bookmarkStart w:id="901" w:name="_Toc31041"/>
      <w:bookmarkStart w:id="902" w:name="_Toc13619"/>
      <w:r>
        <w:rPr>
          <w:rFonts w:hint="eastAsia" w:ascii="Calibri" w:hAnsi="Calibri" w:eastAsia="宋体" w:cs="Times New Roman"/>
          <w:b/>
          <w:bCs/>
          <w:color w:val="000000"/>
          <w:spacing w:val="0"/>
          <w:kern w:val="2"/>
          <w:sz w:val="28"/>
          <w:szCs w:val="28"/>
          <w:lang w:val="en-US" w:eastAsia="zh-CN" w:bidi="ar-SA"/>
        </w:rPr>
        <w:t>3</w:t>
      </w:r>
      <w:bookmarkEnd w:id="901"/>
      <w:bookmarkStart w:id="903" w:name="_Toc1741795179"/>
      <w:r>
        <w:rPr>
          <w:rFonts w:hint="eastAsia" w:ascii="Calibri" w:hAnsi="Calibri" w:eastAsia="宋体" w:cs="Times New Roman"/>
          <w:b/>
          <w:bCs/>
          <w:color w:val="000000"/>
          <w:spacing w:val="0"/>
          <w:kern w:val="2"/>
          <w:sz w:val="28"/>
          <w:szCs w:val="28"/>
          <w:lang w:val="en-US" w:eastAsia="zh-CN" w:bidi="ar-SA"/>
        </w:rPr>
        <w:t>系统设计</w:t>
      </w:r>
      <w:bookmarkEnd w:id="902"/>
    </w:p>
    <w:p w14:paraId="3CC3B462">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04" w:name="_Toc14973"/>
      <w:bookmarkStart w:id="905" w:name="_Toc12551"/>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.1</w:t>
      </w:r>
      <w:r>
        <w:rPr>
          <w:rFonts w:hint="eastAsia" w:ascii="宋体" w:hAnsi="宋体" w:eastAsia="宋体" w:cs="宋体"/>
          <w:color w:val="000000"/>
          <w:spacing w:val="0"/>
          <w:kern w:val="2"/>
          <w:sz w:val="24"/>
          <w:szCs w:val="24"/>
          <w:lang w:val="en-US" w:eastAsia="zh-CN" w:bidi="ar-SA"/>
        </w:rPr>
        <w:t>环保认证商品分布格局的多维度解析</w:t>
      </w:r>
      <w:bookmarkEnd w:id="903"/>
      <w:bookmarkEnd w:id="904"/>
      <w:bookmarkEnd w:id="905"/>
    </w:p>
    <w:p w14:paraId="0BEF68A0">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淘宝电商平台服装类目的可持续性发展是当前行业关注的重点，而环保认证作为衡量产品环保属性的关键指标，其市场分布情况值得深入分析。本图表通过环形图的形式，可视化展示了服装商品中环保认证的分布状况，旨在揭示可持续服装在市场中的渗透</w:t>
      </w:r>
      <w:r>
        <w:rPr>
          <w:rFonts w:hint="eastAsia" w:ascii="宋体" w:hAnsi="宋体" w:eastAsia="宋体" w:cs="宋体"/>
          <w:color w:val="000000"/>
          <w:spacing w:val="0"/>
          <w:kern w:val="2"/>
          <w:sz w:val="24"/>
          <w:szCs w:val="24"/>
          <w:lang w:val="en-US" w:eastAsia="zh-CN" w:bidi="ar-SA"/>
        </w:rPr>
        <w:t>程度</w:t>
      </w:r>
      <w:r>
        <w:rPr>
          <w:rFonts w:ascii="Calibri" w:hAnsi="Calibri" w:eastAsia="宋体" w:cs="Times New Roman"/>
          <w:color w:val="000000"/>
          <w:spacing w:val="0"/>
          <w:kern w:val="2"/>
          <w:sz w:val="24"/>
          <w:szCs w:val="24"/>
          <w:lang w:val="en-US" w:eastAsia="zh-CN" w:bidi="ar-SA"/>
        </w:rPr>
        <w:t xml:space="preserve">。环形图的设计以其直观的环形结构和色块区分，有效地突出了有认证与无认证商品的比例关系，为快速识别市场主流趋势提供了有力工具。 </w:t>
      </w:r>
    </w:p>
    <w:p w14:paraId="263F824C">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20" w:firstLineChars="200"/>
        <w:jc w:val="center"/>
        <w:textAlignment w:val="auto"/>
        <w:rPr>
          <w:rFonts w:ascii="Calibri" w:hAnsi="Calibri" w:eastAsia="宋体" w:cs="Times New Roman"/>
          <w:color w:val="000000"/>
          <w:spacing w:val="0"/>
          <w:kern w:val="2"/>
          <w:sz w:val="21"/>
          <w:szCs w:val="21"/>
          <w:lang w:val="en-US" w:eastAsia="zh-CN" w:bidi="ar-SA"/>
        </w:rPr>
      </w:pPr>
      <w:r>
        <w:rPr>
          <w:rFonts w:ascii="Arial" w:hAnsi="Arial" w:eastAsia="黑体" w:cs="宋体"/>
          <w:color w:val="000000"/>
          <w:spacing w:val="0"/>
          <w:kern w:val="0"/>
          <w:sz w:val="21"/>
          <w:szCs w:val="21"/>
          <w:lang w:val="en-US" w:eastAsia="zh-CN" w:bidi="ar"/>
        </w:rPr>
        <w:drawing>
          <wp:anchor distT="0" distB="0" distL="114300" distR="114300" simplePos="0" relativeHeight="251832320" behindDoc="0" locked="0" layoutInCell="1" allowOverlap="1">
            <wp:simplePos x="0" y="0"/>
            <wp:positionH relativeFrom="column">
              <wp:posOffset>-29845</wp:posOffset>
            </wp:positionH>
            <wp:positionV relativeFrom="paragraph">
              <wp:posOffset>135890</wp:posOffset>
            </wp:positionV>
            <wp:extent cx="5266690" cy="3303270"/>
            <wp:effectExtent l="0" t="0" r="10160" b="11430"/>
            <wp:wrapTopAndBottom/>
            <wp:docPr id="6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2"/>
                    <pic:cNvPicPr>
                      <a:picLocks noChangeAspect="1"/>
                    </pic:cNvPicPr>
                  </pic:nvPicPr>
                  <pic:blipFill>
                    <a:blip r:embed="rId364"/>
                    <a:stretch>
                      <a:fillRect/>
                    </a:stretch>
                  </pic:blipFill>
                  <pic:spPr>
                    <a:xfrm>
                      <a:off x="0" y="0"/>
                      <a:ext cx="5266690" cy="3303270"/>
                    </a:xfrm>
                    <a:prstGeom prst="rect">
                      <a:avLst/>
                    </a:prstGeom>
                    <a:noFill/>
                    <a:ln>
                      <a:noFill/>
                    </a:ln>
                  </pic:spPr>
                </pic:pic>
              </a:graphicData>
            </a:graphic>
          </wp:anchor>
        </w:drawing>
      </w:r>
      <w:r>
        <w:rPr>
          <w:rFonts w:ascii="Arial" w:hAnsi="Arial" w:eastAsia="黑体" w:cs="宋体"/>
          <w:color w:val="000000"/>
          <w:spacing w:val="0"/>
          <w:kern w:val="0"/>
          <w:sz w:val="21"/>
          <w:szCs w:val="21"/>
          <w:lang w:val="en-US" w:eastAsia="zh-CN" w:bidi="ar"/>
        </w:rPr>
        <w:t xml:space="preserve">图表 </w:t>
      </w:r>
      <w:r>
        <w:rPr>
          <w:rFonts w:ascii="Arial" w:hAnsi="Arial" w:eastAsia="黑体" w:cs="宋体"/>
          <w:color w:val="000000"/>
          <w:spacing w:val="0"/>
          <w:kern w:val="0"/>
          <w:sz w:val="21"/>
          <w:szCs w:val="21"/>
          <w:lang w:val="en-US" w:eastAsia="zh-CN" w:bidi="ar"/>
        </w:rPr>
        <w:fldChar w:fldCharType="begin"/>
      </w:r>
      <w:r>
        <w:rPr>
          <w:rFonts w:ascii="Arial" w:hAnsi="Arial" w:eastAsia="黑体" w:cs="宋体"/>
          <w:color w:val="000000"/>
          <w:spacing w:val="0"/>
          <w:kern w:val="0"/>
          <w:sz w:val="21"/>
          <w:szCs w:val="21"/>
          <w:lang w:val="en-US" w:eastAsia="zh-CN" w:bidi="ar"/>
        </w:rPr>
        <w:instrText xml:space="preserve"> SEQ 图表 \* ARABIC </w:instrText>
      </w:r>
      <w:r>
        <w:rPr>
          <w:rFonts w:ascii="Arial" w:hAnsi="Arial" w:eastAsia="黑体" w:cs="宋体"/>
          <w:color w:val="000000"/>
          <w:spacing w:val="0"/>
          <w:kern w:val="0"/>
          <w:sz w:val="21"/>
          <w:szCs w:val="21"/>
          <w:lang w:val="en-US" w:eastAsia="zh-CN" w:bidi="ar"/>
        </w:rPr>
        <w:fldChar w:fldCharType="separate"/>
      </w:r>
      <w:r>
        <w:rPr>
          <w:rFonts w:ascii="Arial" w:hAnsi="Arial" w:eastAsia="黑体" w:cs="宋体"/>
          <w:color w:val="000000"/>
          <w:spacing w:val="0"/>
          <w:kern w:val="0"/>
          <w:sz w:val="21"/>
          <w:szCs w:val="21"/>
          <w:lang w:val="en-US" w:eastAsia="zh-CN" w:bidi="ar"/>
        </w:rPr>
        <w:t>1</w:t>
      </w:r>
      <w:r>
        <w:rPr>
          <w:rFonts w:ascii="Arial" w:hAnsi="Arial" w:eastAsia="黑体" w:cs="宋体"/>
          <w:color w:val="000000"/>
          <w:spacing w:val="0"/>
          <w:kern w:val="0"/>
          <w:sz w:val="21"/>
          <w:szCs w:val="21"/>
          <w:lang w:val="en-US" w:eastAsia="zh-CN" w:bidi="ar"/>
        </w:rPr>
        <w:fldChar w:fldCharType="end"/>
      </w:r>
      <w:r>
        <w:rPr>
          <w:rFonts w:hint="eastAsia" w:ascii="Arial" w:hAnsi="Arial" w:eastAsia="黑体" w:cs="宋体"/>
          <w:color w:val="000000"/>
          <w:spacing w:val="0"/>
          <w:kern w:val="0"/>
          <w:sz w:val="21"/>
          <w:szCs w:val="21"/>
          <w:lang w:val="en-US" w:eastAsia="zh-CN" w:bidi="ar"/>
        </w:rPr>
        <w:t xml:space="preserve"> 有无环保认证商品分布分析（环形图）</w:t>
      </w:r>
    </w:p>
    <w:p w14:paraId="3EA79316">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06" w:name="_Toc6482"/>
      <w:bookmarkStart w:id="907" w:name="_Toc29267"/>
      <w:bookmarkStart w:id="908" w:name="_Toc2001981196"/>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.2</w:t>
      </w:r>
      <w:r>
        <w:rPr>
          <w:rFonts w:hint="eastAsia" w:ascii="宋体" w:hAnsi="宋体" w:eastAsia="宋体" w:cs="宋体"/>
          <w:color w:val="000000"/>
          <w:spacing w:val="0"/>
          <w:kern w:val="2"/>
          <w:sz w:val="24"/>
          <w:szCs w:val="24"/>
          <w:lang w:val="en-US" w:eastAsia="zh-CN" w:bidi="ar-SA"/>
        </w:rPr>
        <w:t>价格与认证关联机制的多维度探究</w:t>
      </w:r>
      <w:bookmarkEnd w:id="906"/>
      <w:bookmarkEnd w:id="907"/>
      <w:bookmarkEnd w:id="908"/>
      <w:r>
        <w:rPr>
          <w:rFonts w:hint="eastAsia" w:ascii="宋体" w:hAnsi="宋体" w:eastAsia="宋体" w:cs="宋体"/>
          <w:color w:val="000000"/>
          <w:spacing w:val="0"/>
          <w:kern w:val="2"/>
          <w:sz w:val="24"/>
          <w:szCs w:val="24"/>
          <w:lang w:val="en-US" w:eastAsia="zh-CN" w:bidi="ar-SA"/>
        </w:rPr>
        <w:t xml:space="preserve"> </w:t>
      </w:r>
    </w:p>
    <w:p w14:paraId="35817BF1">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r>
        <w:rPr>
          <w:rFonts w:hint="eastAsia" w:ascii="宋体" w:hAnsi="宋体" w:eastAsia="宋体" w:cs="宋体"/>
          <w:color w:val="000000"/>
          <w:spacing w:val="0"/>
          <w:kern w:val="2"/>
          <w:sz w:val="24"/>
          <w:szCs w:val="24"/>
          <w:lang w:val="en-US" w:eastAsia="zh-CN" w:bidi="ar-SA"/>
        </w:rPr>
        <w:t xml:space="preserve">在可持续服装市场的分析中，价格与环保认证的关系是评估商业价值的关键环节。本图表采用分组箱线图的形式，直观比较了有环保认证商品与无认证商品的价格差异，通过展示价格分布、中位数和离群值等统计特征，揭示了认证对定价策略的影响。箱线图的设计能有效呈现数据的分散程度和异常值，为分析溢价效应提供了可靠的可视化工具。这种方法的优势在于它能同时捕捉整体趋势和个别异常，避免单一平均值带来的误导，从而更全面地反映市场实际情况。 </w:t>
      </w:r>
    </w:p>
    <w:p w14:paraId="3286FBB2">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hint="eastAsia" w:ascii="宋体" w:hAnsi="宋体" w:eastAsia="宋体" w:cs="宋体"/>
          <w:color w:val="000000"/>
          <w:spacing w:val="0"/>
          <w:kern w:val="2"/>
          <w:sz w:val="24"/>
          <w:szCs w:val="24"/>
          <w:lang w:val="en-US" w:eastAsia="zh-CN" w:bidi="ar-SA"/>
        </w:rPr>
      </w:pPr>
    </w:p>
    <w:p w14:paraId="5BE17C82">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ascii="Calibri" w:hAnsi="Calibri" w:eastAsia="宋体" w:cs="Times New Roman"/>
          <w:color w:val="000000"/>
          <w:spacing w:val="0"/>
          <w:kern w:val="2"/>
          <w:sz w:val="21"/>
          <w:szCs w:val="24"/>
          <w:lang w:val="en-US" w:eastAsia="zh-CN" w:bidi="ar-SA"/>
        </w:rPr>
      </w:pPr>
      <w:r>
        <w:rPr>
          <w:rFonts w:ascii="Arial" w:hAnsi="Arial" w:eastAsia="黑体" w:cs="宋体"/>
          <w:color w:val="000000"/>
          <w:spacing w:val="0"/>
          <w:kern w:val="0"/>
          <w:sz w:val="20"/>
          <w:szCs w:val="24"/>
          <w:lang w:val="en-US" w:eastAsia="zh-CN" w:bidi="ar"/>
        </w:rPr>
        <w:drawing>
          <wp:anchor distT="0" distB="0" distL="114300" distR="114300" simplePos="0" relativeHeight="251833344" behindDoc="0" locked="0" layoutInCell="1" allowOverlap="1">
            <wp:simplePos x="0" y="0"/>
            <wp:positionH relativeFrom="column">
              <wp:posOffset>1905</wp:posOffset>
            </wp:positionH>
            <wp:positionV relativeFrom="paragraph">
              <wp:posOffset>220980</wp:posOffset>
            </wp:positionV>
            <wp:extent cx="5270500" cy="3275965"/>
            <wp:effectExtent l="0" t="0" r="6350" b="635"/>
            <wp:wrapTopAndBottom/>
            <wp:docPr id="6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3"/>
                    <pic:cNvPicPr>
                      <a:picLocks noChangeAspect="1"/>
                    </pic:cNvPicPr>
                  </pic:nvPicPr>
                  <pic:blipFill>
                    <a:blip r:embed="rId365"/>
                    <a:stretch>
                      <a:fillRect/>
                    </a:stretch>
                  </pic:blipFill>
                  <pic:spPr>
                    <a:xfrm>
                      <a:off x="0" y="0"/>
                      <a:ext cx="5270500" cy="3275965"/>
                    </a:xfrm>
                    <a:prstGeom prst="rect">
                      <a:avLst/>
                    </a:prstGeom>
                    <a:noFill/>
                    <a:ln>
                      <a:noFill/>
                    </a:ln>
                  </pic:spPr>
                </pic:pic>
              </a:graphicData>
            </a:graphic>
          </wp:anchor>
        </w:drawing>
      </w: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2</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价格与认证关系对比（分组箱线图）</w:t>
      </w:r>
    </w:p>
    <w:p w14:paraId="2544F2B8">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hint="eastAsia" w:ascii="宋体" w:hAnsi="宋体" w:eastAsia="宋体" w:cs="宋体"/>
          <w:color w:val="000000"/>
          <w:spacing w:val="0"/>
          <w:kern w:val="2"/>
          <w:sz w:val="24"/>
          <w:szCs w:val="24"/>
          <w:lang w:val="en-US" w:eastAsia="zh-CN" w:bidi="ar-SA"/>
        </w:rPr>
      </w:pPr>
    </w:p>
    <w:p w14:paraId="561E98E6">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09" w:name="_Toc3276"/>
      <w:bookmarkStart w:id="910" w:name="_Toc524179976"/>
      <w:bookmarkStart w:id="911" w:name="_Toc6629"/>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.3</w:t>
      </w:r>
      <w:r>
        <w:rPr>
          <w:rFonts w:hint="eastAsia" w:ascii="宋体" w:hAnsi="宋体" w:eastAsia="宋体" w:cs="宋体"/>
          <w:color w:val="000000"/>
          <w:spacing w:val="0"/>
          <w:kern w:val="2"/>
          <w:sz w:val="24"/>
          <w:szCs w:val="24"/>
          <w:lang w:val="en-US" w:eastAsia="zh-CN" w:bidi="ar-SA"/>
        </w:rPr>
        <w:t>服装材质市场表现的多维度评估</w:t>
      </w:r>
      <w:bookmarkEnd w:id="909"/>
      <w:bookmarkEnd w:id="910"/>
      <w:bookmarkEnd w:id="911"/>
      <w:r>
        <w:rPr>
          <w:rFonts w:hint="eastAsia" w:ascii="宋体" w:hAnsi="宋体" w:eastAsia="宋体" w:cs="宋体"/>
          <w:color w:val="000000"/>
          <w:spacing w:val="0"/>
          <w:kern w:val="2"/>
          <w:sz w:val="24"/>
          <w:szCs w:val="24"/>
          <w:lang w:val="en-US" w:eastAsia="zh-CN" w:bidi="ar-SA"/>
        </w:rPr>
        <w:t xml:space="preserve"> </w:t>
      </w:r>
    </w:p>
    <w:p w14:paraId="182B2820">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宋体" w:hAnsi="宋体" w:eastAsia="宋体" w:cs="宋体"/>
          <w:color w:val="000000"/>
          <w:spacing w:val="0"/>
          <w:kern w:val="0"/>
          <w:sz w:val="24"/>
          <w:lang w:bidi="ar"/>
        </w:rPr>
      </w:pPr>
      <w:r>
        <w:rPr>
          <w:rFonts w:hint="eastAsia" w:ascii="宋体" w:hAnsi="宋体" w:eastAsia="宋体" w:cs="宋体"/>
          <w:color w:val="000000"/>
          <w:spacing w:val="0"/>
          <w:kern w:val="2"/>
          <w:sz w:val="24"/>
          <w:szCs w:val="24"/>
          <w:lang w:val="en-US" w:eastAsia="zh-CN" w:bidi="ar-SA"/>
        </w:rPr>
        <w:t xml:space="preserve">在可持续服装市场的分析中，材质成分作为产品环保属性的直观体现，其消费者偏好趋势具有重要研究价值。本图表采用词云图的形式，通过可视化展示服装材质关键词的出现频率，生动呈现了市场对不同材质的关注度分布。词云图以关键词大小反映频率高低，这种设计能快速捕捉文本数据的重点，增强分析的直观性和可读性。例如，“棉”相关词汇可能以较大字体显示，突出其主导地位，而“再生纤维”、“天丝”等词的大小则反映了它们的相对重要性。这种方法不仅提升了数据呈现的吸引力，更有助于快速识别主流材质偏好，为决策提供直观依据。 </w:t>
      </w:r>
    </w:p>
    <w:p w14:paraId="58967443">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20" w:firstLineChars="200"/>
        <w:jc w:val="center"/>
        <w:textAlignment w:val="auto"/>
        <w:rPr>
          <w:rFonts w:hint="eastAsia" w:ascii="宋体" w:hAnsi="宋体" w:eastAsia="宋体" w:cs="宋体"/>
          <w:color w:val="000000"/>
          <w:spacing w:val="0"/>
          <w:kern w:val="0"/>
          <w:sz w:val="21"/>
          <w:szCs w:val="21"/>
          <w:lang w:val="en-US" w:eastAsia="zh-CN" w:bidi="ar"/>
        </w:rPr>
      </w:pPr>
      <w:r>
        <w:rPr>
          <w:rFonts w:hint="eastAsia" w:ascii="宋体" w:hAnsi="宋体" w:eastAsia="宋体" w:cs="宋体"/>
          <w:color w:val="000000"/>
          <w:spacing w:val="0"/>
          <w:kern w:val="0"/>
          <w:sz w:val="21"/>
          <w:szCs w:val="21"/>
          <w:lang w:val="en-US" w:eastAsia="zh-CN" w:bidi="ar"/>
        </w:rPr>
        <w:drawing>
          <wp:anchor distT="0" distB="0" distL="114300" distR="114300" simplePos="0" relativeHeight="251834368" behindDoc="0" locked="0" layoutInCell="1" allowOverlap="1">
            <wp:simplePos x="0" y="0"/>
            <wp:positionH relativeFrom="column">
              <wp:posOffset>2540</wp:posOffset>
            </wp:positionH>
            <wp:positionV relativeFrom="paragraph">
              <wp:posOffset>35560</wp:posOffset>
            </wp:positionV>
            <wp:extent cx="5269865" cy="3281680"/>
            <wp:effectExtent l="0" t="0" r="6985" b="13970"/>
            <wp:wrapTopAndBottom/>
            <wp:docPr id="6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4"/>
                    <pic:cNvPicPr>
                      <a:picLocks noChangeAspect="1"/>
                    </pic:cNvPicPr>
                  </pic:nvPicPr>
                  <pic:blipFill>
                    <a:blip r:embed="rId366"/>
                    <a:stretch>
                      <a:fillRect/>
                    </a:stretch>
                  </pic:blipFill>
                  <pic:spPr>
                    <a:xfrm>
                      <a:off x="0" y="0"/>
                      <a:ext cx="5269865" cy="3281680"/>
                    </a:xfrm>
                    <a:prstGeom prst="rect">
                      <a:avLst/>
                    </a:prstGeom>
                    <a:noFill/>
                    <a:ln>
                      <a:noFill/>
                    </a:ln>
                  </pic:spPr>
                </pic:pic>
              </a:graphicData>
            </a:graphic>
          </wp:anchor>
        </w:drawing>
      </w:r>
      <w:r>
        <w:rPr>
          <w:rFonts w:hint="eastAsia" w:ascii="宋体" w:hAnsi="宋体" w:eastAsia="宋体" w:cs="宋体"/>
          <w:color w:val="000000"/>
          <w:spacing w:val="0"/>
          <w:kern w:val="0"/>
          <w:sz w:val="21"/>
          <w:szCs w:val="21"/>
          <w:lang w:val="en-US" w:eastAsia="zh-CN" w:bidi="ar"/>
        </w:rPr>
        <w:t xml:space="preserve">图表 </w:t>
      </w:r>
      <w:r>
        <w:rPr>
          <w:rFonts w:hint="eastAsia" w:ascii="宋体" w:hAnsi="宋体" w:eastAsia="宋体" w:cs="宋体"/>
          <w:color w:val="000000"/>
          <w:spacing w:val="0"/>
          <w:kern w:val="0"/>
          <w:sz w:val="21"/>
          <w:szCs w:val="21"/>
          <w:lang w:val="en-US" w:eastAsia="zh-CN" w:bidi="ar"/>
        </w:rPr>
        <w:fldChar w:fldCharType="begin"/>
      </w:r>
      <w:r>
        <w:rPr>
          <w:rFonts w:hint="eastAsia" w:ascii="宋体" w:hAnsi="宋体" w:eastAsia="宋体" w:cs="宋体"/>
          <w:color w:val="000000"/>
          <w:spacing w:val="0"/>
          <w:kern w:val="0"/>
          <w:sz w:val="21"/>
          <w:szCs w:val="21"/>
          <w:lang w:val="en-US" w:eastAsia="zh-CN" w:bidi="ar"/>
        </w:rPr>
        <w:instrText xml:space="preserve"> SEQ 图表 \* ARABIC </w:instrText>
      </w:r>
      <w:r>
        <w:rPr>
          <w:rFonts w:hint="eastAsia" w:ascii="宋体" w:hAnsi="宋体" w:eastAsia="宋体" w:cs="宋体"/>
          <w:color w:val="000000"/>
          <w:spacing w:val="0"/>
          <w:kern w:val="0"/>
          <w:sz w:val="21"/>
          <w:szCs w:val="21"/>
          <w:lang w:val="en-US" w:eastAsia="zh-CN" w:bidi="ar"/>
        </w:rPr>
        <w:fldChar w:fldCharType="separate"/>
      </w:r>
      <w:r>
        <w:rPr>
          <w:rFonts w:hint="eastAsia" w:ascii="宋体" w:hAnsi="宋体" w:eastAsia="宋体" w:cs="宋体"/>
          <w:color w:val="000000"/>
          <w:spacing w:val="0"/>
          <w:kern w:val="0"/>
          <w:sz w:val="21"/>
          <w:szCs w:val="21"/>
          <w:lang w:val="en-US" w:eastAsia="zh-CN" w:bidi="ar"/>
        </w:rPr>
        <w:t>3</w:t>
      </w:r>
      <w:r>
        <w:rPr>
          <w:rFonts w:hint="eastAsia" w:ascii="宋体" w:hAnsi="宋体" w:eastAsia="宋体" w:cs="宋体"/>
          <w:color w:val="000000"/>
          <w:spacing w:val="0"/>
          <w:kern w:val="0"/>
          <w:sz w:val="21"/>
          <w:szCs w:val="21"/>
          <w:lang w:val="en-US" w:eastAsia="zh-CN" w:bidi="ar"/>
        </w:rPr>
        <w:fldChar w:fldCharType="end"/>
      </w:r>
      <w:r>
        <w:rPr>
          <w:rFonts w:hint="eastAsia" w:ascii="宋体" w:hAnsi="宋体" w:eastAsia="宋体" w:cs="宋体"/>
          <w:color w:val="000000"/>
          <w:spacing w:val="0"/>
          <w:kern w:val="0"/>
          <w:sz w:val="21"/>
          <w:szCs w:val="21"/>
          <w:lang w:val="en-US" w:eastAsia="zh-CN" w:bidi="ar"/>
        </w:rPr>
        <w:t xml:space="preserve"> 材质成分关键词分析（词云图）</w:t>
      </w:r>
    </w:p>
    <w:p w14:paraId="29BAE847">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hint="eastAsia" w:ascii="宋体" w:hAnsi="宋体" w:eastAsia="宋体" w:cs="宋体"/>
          <w:color w:val="000000"/>
          <w:spacing w:val="0"/>
          <w:kern w:val="2"/>
          <w:sz w:val="24"/>
          <w:szCs w:val="24"/>
          <w:lang w:val="en-US" w:eastAsia="zh-CN" w:bidi="ar-SA"/>
        </w:rPr>
      </w:pPr>
      <w:r>
        <w:rPr>
          <w:rFonts w:hint="eastAsia" w:ascii="宋体" w:hAnsi="宋体" w:eastAsia="宋体" w:cs="宋体"/>
          <w:color w:val="000000"/>
          <w:spacing w:val="0"/>
          <w:kern w:val="2"/>
          <w:sz w:val="24"/>
          <w:szCs w:val="24"/>
          <w:lang w:val="en-US" w:eastAsia="zh-CN" w:bidi="ar-SA"/>
        </w:rPr>
        <w:t xml:space="preserve"> </w:t>
      </w:r>
    </w:p>
    <w:p w14:paraId="7946B8E6">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12" w:name="_Toc914936638"/>
      <w:bookmarkStart w:id="913" w:name="_Toc23490"/>
      <w:bookmarkStart w:id="914" w:name="_Toc865"/>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.4</w:t>
      </w:r>
      <w:r>
        <w:rPr>
          <w:rFonts w:hint="eastAsia" w:ascii="宋体" w:hAnsi="宋体" w:eastAsia="宋体" w:cs="宋体"/>
          <w:color w:val="000000"/>
          <w:spacing w:val="0"/>
          <w:kern w:val="2"/>
          <w:sz w:val="24"/>
          <w:szCs w:val="24"/>
          <w:lang w:val="en-US" w:eastAsia="zh-CN" w:bidi="ar-SA"/>
        </w:rPr>
        <w:t>服装价格区间结构的深度洞察</w:t>
      </w:r>
      <w:bookmarkEnd w:id="912"/>
      <w:bookmarkEnd w:id="913"/>
      <w:bookmarkEnd w:id="914"/>
      <w:r>
        <w:rPr>
          <w:rFonts w:hint="eastAsia" w:ascii="宋体" w:hAnsi="宋体" w:eastAsia="宋体" w:cs="宋体"/>
          <w:color w:val="000000"/>
          <w:spacing w:val="0"/>
          <w:kern w:val="2"/>
          <w:sz w:val="24"/>
          <w:szCs w:val="24"/>
          <w:lang w:val="en-US" w:eastAsia="zh-CN" w:bidi="ar-SA"/>
        </w:rPr>
        <w:t xml:space="preserve"> </w:t>
      </w:r>
    </w:p>
    <w:p w14:paraId="47728F55">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价格区间分布漏斗图作为市场结构分析的重要工具，通过其独特的逐层收缩视觉效果，直观呈现了服装商品在不同价格区间的数量分布情况。这种漏斗式展示不仅能够清晰显示各价格区间的相对占比，更能突出市场主力价格带的集中程度，为企业的市场定位和产品策略提供重要参考依据。 从数据来源看，该分析基于文档7中具体的价格分布数据：0-20元区间占比17.4%、20-50元区间占据主导地位达73.0%、50-100元区间占比9.6%。这种分布形成了典型的金字塔结构，反映出当前服装市场的明显分层特征。</w:t>
      </w:r>
    </w:p>
    <w:p w14:paraId="672896E7">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通过将连续的价格数据划分为离散区间，分析不仅简化了复杂的价格信息，更便于进行横向对比和趋势判断。</w:t>
      </w:r>
    </w:p>
    <w:p w14:paraId="261AE7F3">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drawing>
          <wp:anchor distT="0" distB="0" distL="114300" distR="114300" simplePos="0" relativeHeight="251831296" behindDoc="0" locked="0" layoutInCell="1" allowOverlap="1">
            <wp:simplePos x="0" y="0"/>
            <wp:positionH relativeFrom="column">
              <wp:posOffset>0</wp:posOffset>
            </wp:positionH>
            <wp:positionV relativeFrom="paragraph">
              <wp:posOffset>81280</wp:posOffset>
            </wp:positionV>
            <wp:extent cx="5271135" cy="2411730"/>
            <wp:effectExtent l="0" t="0" r="5715" b="7620"/>
            <wp:wrapTopAndBottom/>
            <wp:docPr id="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1"/>
                    <pic:cNvPicPr>
                      <a:picLocks noChangeAspect="1"/>
                    </pic:cNvPicPr>
                  </pic:nvPicPr>
                  <pic:blipFill>
                    <a:blip r:embed="rId367"/>
                    <a:stretch>
                      <a:fillRect/>
                    </a:stretch>
                  </pic:blipFill>
                  <pic:spPr>
                    <a:xfrm>
                      <a:off x="0" y="0"/>
                      <a:ext cx="5271135" cy="2411730"/>
                    </a:xfrm>
                    <a:prstGeom prst="rect">
                      <a:avLst/>
                    </a:prstGeom>
                    <a:noFill/>
                    <a:ln>
                      <a:noFill/>
                    </a:ln>
                  </pic:spPr>
                </pic:pic>
              </a:graphicData>
            </a:graphic>
          </wp:anchor>
        </w:drawing>
      </w:r>
      <w:r>
        <w:rPr>
          <w:rFonts w:ascii="Calibri" w:hAnsi="Calibri" w:eastAsia="宋体" w:cs="Times New Roman"/>
          <w:color w:val="000000"/>
          <w:spacing w:val="0"/>
          <w:kern w:val="2"/>
          <w:sz w:val="24"/>
          <w:szCs w:val="24"/>
          <w:lang w:val="en-US" w:eastAsia="zh-CN" w:bidi="ar-SA"/>
        </w:rPr>
        <w:t xml:space="preserve">分析的核心价值在于帮助企业准确识别市场核心价格段，这一目标直接回应了文档2中提出的"市场细分"研究需求。通过清晰的区间划分，企业可以更好地制定定价策略和库存管理方案，避免资源错配。同时，这一分析为文档3的"价格分析"应用场景提供了实际的数据支撑，使理论分析与市场实践得以有机结合。 </w:t>
      </w:r>
    </w:p>
    <w:p w14:paraId="42C068BA">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hint="eastAsia" w:ascii="Arial" w:hAnsi="Arial" w:eastAsia="宋体" w:cs="宋体"/>
          <w:color w:val="000000"/>
          <w:spacing w:val="0"/>
          <w:kern w:val="0"/>
          <w:sz w:val="20"/>
          <w:szCs w:val="24"/>
          <w:lang w:val="en-US" w:eastAsia="zh-CN" w:bidi="ar"/>
        </w:rPr>
      </w:pPr>
      <w:r>
        <w:rPr>
          <w:rFonts w:ascii="Arial" w:hAnsi="Arial" w:eastAsia="黑体" w:cs="宋体"/>
          <w:color w:val="000000"/>
          <w:spacing w:val="0"/>
          <w:kern w:val="0"/>
          <w:sz w:val="20"/>
          <w:szCs w:val="24"/>
          <w:lang w:val="en-US" w:eastAsia="zh-CN" w:bidi="ar"/>
        </w:rPr>
        <w:drawing>
          <wp:anchor distT="0" distB="0" distL="114300" distR="114300" simplePos="0" relativeHeight="251835392" behindDoc="0" locked="0" layoutInCell="1" allowOverlap="1">
            <wp:simplePos x="0" y="0"/>
            <wp:positionH relativeFrom="column">
              <wp:posOffset>2540</wp:posOffset>
            </wp:positionH>
            <wp:positionV relativeFrom="paragraph">
              <wp:posOffset>265430</wp:posOffset>
            </wp:positionV>
            <wp:extent cx="5268595" cy="3292475"/>
            <wp:effectExtent l="0" t="0" r="8255" b="3175"/>
            <wp:wrapTopAndBottom/>
            <wp:docPr id="6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5"/>
                    <pic:cNvPicPr>
                      <a:picLocks noChangeAspect="1"/>
                    </pic:cNvPicPr>
                  </pic:nvPicPr>
                  <pic:blipFill>
                    <a:blip r:embed="rId368"/>
                    <a:stretch>
                      <a:fillRect/>
                    </a:stretch>
                  </pic:blipFill>
                  <pic:spPr>
                    <a:xfrm>
                      <a:off x="0" y="0"/>
                      <a:ext cx="5268595" cy="3292475"/>
                    </a:xfrm>
                    <a:prstGeom prst="rect">
                      <a:avLst/>
                    </a:prstGeom>
                    <a:noFill/>
                    <a:ln>
                      <a:noFill/>
                    </a:ln>
                  </pic:spPr>
                </pic:pic>
              </a:graphicData>
            </a:graphic>
          </wp:anchor>
        </w:drawing>
      </w: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4</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价格区间分布漏斗</w:t>
      </w:r>
    </w:p>
    <w:p w14:paraId="6F99E007">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15" w:name="_Toc1357162346"/>
      <w:bookmarkStart w:id="916" w:name="_Toc10079"/>
      <w:bookmarkStart w:id="917" w:name="_Toc32263"/>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.5</w:t>
      </w:r>
      <w:r>
        <w:rPr>
          <w:rFonts w:hint="eastAsia" w:ascii="宋体" w:hAnsi="宋体" w:eastAsia="宋体" w:cs="宋体"/>
          <w:color w:val="000000"/>
          <w:spacing w:val="0"/>
          <w:kern w:val="2"/>
          <w:sz w:val="24"/>
          <w:szCs w:val="24"/>
          <w:lang w:val="en-US" w:eastAsia="zh-CN" w:bidi="ar-SA"/>
        </w:rPr>
        <w:t>用户好评率分布特征的综合分析</w:t>
      </w:r>
      <w:bookmarkEnd w:id="915"/>
      <w:bookmarkEnd w:id="916"/>
      <w:bookmarkEnd w:id="917"/>
    </w:p>
    <w:p w14:paraId="025E6693">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好评率作为衡量商品质量和用户满意度的核心指标，在电商数据分析中占据着举足轻重的地位。本图表通过仪表盘与柱状图的创新结合，构建了一个多维度的分析框架，既从宏观层面呈现整体好评水平，又从微观角度揭示分布细节，为全面评估服装类目商品质量提供了有力工具。这种可视化方式巧妙地将概括性数据与详细分布融为一体，使分析者能够快速把握全局趋势的同时，也能深入探究个体差异。 </w:t>
      </w:r>
    </w:p>
    <w:p w14:paraId="5EDE247E">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ascii="Calibri" w:hAnsi="Calibri" w:eastAsia="宋体" w:cs="Times New Roman"/>
          <w:color w:val="000000"/>
          <w:spacing w:val="0"/>
          <w:kern w:val="2"/>
          <w:sz w:val="24"/>
          <w:szCs w:val="24"/>
          <w:lang w:val="en-US" w:eastAsia="zh-CN" w:bidi="ar-SA"/>
        </w:rPr>
      </w:pPr>
      <w:r>
        <w:rPr>
          <w:rFonts w:ascii="宋体" w:hAnsi="宋体" w:eastAsia="宋体" w:cs="宋体"/>
          <w:color w:val="000000"/>
          <w:spacing w:val="0"/>
          <w:kern w:val="0"/>
          <w:sz w:val="24"/>
          <w:lang w:bidi="ar"/>
        </w:rPr>
        <w:drawing>
          <wp:anchor distT="0" distB="0" distL="114300" distR="114300" simplePos="0" relativeHeight="251836416" behindDoc="0" locked="0" layoutInCell="1" allowOverlap="1">
            <wp:simplePos x="0" y="0"/>
            <wp:positionH relativeFrom="column">
              <wp:posOffset>25400</wp:posOffset>
            </wp:positionH>
            <wp:positionV relativeFrom="page">
              <wp:posOffset>2451735</wp:posOffset>
            </wp:positionV>
            <wp:extent cx="5270500" cy="3287395"/>
            <wp:effectExtent l="0" t="0" r="6350" b="8255"/>
            <wp:wrapTopAndBottom/>
            <wp:docPr id="6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图片 6"/>
                    <pic:cNvPicPr>
                      <a:picLocks noChangeAspect="1"/>
                    </pic:cNvPicPr>
                  </pic:nvPicPr>
                  <pic:blipFill>
                    <a:blip r:embed="rId369"/>
                    <a:stretch>
                      <a:fillRect/>
                    </a:stretch>
                  </pic:blipFill>
                  <pic:spPr>
                    <a:xfrm>
                      <a:off x="0" y="0"/>
                      <a:ext cx="5270500" cy="3287395"/>
                    </a:xfrm>
                    <a:prstGeom prst="rect">
                      <a:avLst/>
                    </a:prstGeom>
                    <a:noFill/>
                    <a:ln>
                      <a:noFill/>
                    </a:ln>
                  </pic:spPr>
                </pic:pic>
              </a:graphicData>
            </a:graphic>
          </wp:anchor>
        </w:drawing>
      </w:r>
      <w:r>
        <w:rPr>
          <w:rFonts w:ascii="Calibri" w:hAnsi="Calibri" w:eastAsia="宋体" w:cs="Times New Roman"/>
          <w:color w:val="000000"/>
          <w:spacing w:val="0"/>
          <w:kern w:val="2"/>
          <w:sz w:val="24"/>
          <w:szCs w:val="24"/>
          <w:lang w:val="en-US" w:eastAsia="zh-CN" w:bidi="ar-SA"/>
        </w:rPr>
        <w:t>从分析维度来看，图表基于连续的好评率百分比数据，运用仪表盘突出显示平均值为97.0%这一关键指标，同时通过柱状图展示具体的分布形态。这种双重</w:t>
      </w:r>
    </w:p>
    <w:p w14:paraId="511A8865">
      <w:pPr>
        <w:keepNext w:val="0"/>
        <w:keepLines w:val="0"/>
        <w:pageBreakBefore w:val="0"/>
        <w:kinsoku/>
        <w:wordWrap/>
        <w:overflowPunct/>
        <w:topLinePunct w:val="0"/>
        <w:autoSpaceDE/>
        <w:autoSpaceDN/>
        <w:bidi w:val="0"/>
        <w:adjustRightInd/>
        <w:snapToGrid/>
        <w:spacing w:beforeAutospacing="0" w:afterAutospacing="0" w:line="240" w:lineRule="auto"/>
        <w:ind w:left="0" w:leftChars="0" w:firstLine="0" w:firstLineChars="0"/>
        <w:jc w:val="center"/>
        <w:textAlignment w:val="auto"/>
        <w:rPr>
          <w:rFonts w:hint="eastAsia" w:ascii="Arial" w:hAnsi="Arial" w:eastAsia="宋体" w:cs="宋体"/>
          <w:color w:val="000000"/>
          <w:spacing w:val="0"/>
          <w:kern w:val="0"/>
          <w:sz w:val="20"/>
          <w:szCs w:val="24"/>
          <w:lang w:val="en-US" w:eastAsia="zh-CN" w:bidi="ar"/>
        </w:rPr>
      </w:pP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5</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好评率分布分析（仪表盘+柱状图）</w:t>
      </w:r>
    </w:p>
    <w:p w14:paraId="212D1F21">
      <w:pPr>
        <w:keepNext w:val="0"/>
        <w:keepLines w:val="0"/>
        <w:pageBreakBefore w:val="0"/>
        <w:widowControl w:val="0"/>
        <w:suppressLineNumbers w:val="0"/>
        <w:kinsoku/>
        <w:wordWrap/>
        <w:overflowPunct/>
        <w:topLinePunct w:val="0"/>
        <w:autoSpaceDE/>
        <w:autoSpaceDN/>
        <w:bidi w:val="0"/>
        <w:adjustRightInd/>
        <w:snapToGrid/>
        <w:spacing w:line="440" w:lineRule="exact"/>
        <w:jc w:val="both"/>
        <w:textAlignment w:val="auto"/>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设计不仅反映了数据的集中趋势，更揭示了分布的离散程度。值得关注的是，柱状图显示95%以上好评商品占据主导地位，且分布高度集中，这一现象说明服装类目整体质量控制相当成功，用户体验的一致性较高。然而，这种高度集中的分布也可能掩盖个别商品的潜在问题，需要进一步深入分析。 </w:t>
      </w:r>
    </w:p>
    <w:p w14:paraId="2E249407">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ascii="宋体" w:hAnsi="宋体" w:eastAsia="宋体" w:cs="宋体"/>
          <w:color w:val="000000"/>
          <w:spacing w:val="0"/>
          <w:kern w:val="0"/>
          <w:sz w:val="24"/>
          <w:lang w:bidi="ar"/>
        </w:rPr>
      </w:pPr>
      <w:r>
        <w:rPr>
          <w:rFonts w:ascii="Calibri" w:hAnsi="Calibri" w:eastAsia="宋体" w:cs="Times New Roman"/>
          <w:color w:val="000000"/>
          <w:spacing w:val="0"/>
          <w:kern w:val="2"/>
          <w:sz w:val="24"/>
          <w:szCs w:val="24"/>
          <w:lang w:val="en-US" w:eastAsia="zh-CN" w:bidi="ar-SA"/>
        </w:rPr>
        <w:t xml:space="preserve">从数据分析的目的和价值来看，本图表直接回应了文档2中提出的"消费者信任问题"，为建立可靠的品质评估体系提供了实证基础。通过识别好评率的分布特征，企业能够准确判断产品质量的稳定性，发现潜在的改进空间。例如，虽然平均好评率达到97.0%的优异水平，但若柱状图显示分布存在明显右偏或左偏，则提示需要关注特定价格区间或品类商品的质量波动。这种深入的分析为文档3的"好评率分析"场景提供了扎实的数据支撑，使质量管控更加精准有效。 </w:t>
      </w:r>
    </w:p>
    <w:p w14:paraId="1708678B">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18" w:name="_Toc15609"/>
      <w:bookmarkStart w:id="919" w:name="_Toc1403734435"/>
      <w:bookmarkStart w:id="920" w:name="_Toc8631"/>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.6</w:t>
      </w:r>
      <w:r>
        <w:rPr>
          <w:rFonts w:hint="eastAsia" w:ascii="宋体" w:hAnsi="宋体" w:eastAsia="宋体" w:cs="宋体"/>
          <w:color w:val="000000"/>
          <w:spacing w:val="0"/>
          <w:kern w:val="2"/>
          <w:sz w:val="24"/>
          <w:szCs w:val="24"/>
          <w:lang w:val="en-US" w:eastAsia="zh-CN" w:bidi="ar-SA"/>
        </w:rPr>
        <w:t>店铺竞争力矩阵的散点图分析与市场竞争格局洞察</w:t>
      </w:r>
      <w:bookmarkEnd w:id="918"/>
      <w:bookmarkEnd w:id="919"/>
      <w:bookmarkEnd w:id="920"/>
      <w:r>
        <w:rPr>
          <w:rFonts w:hint="eastAsia" w:ascii="宋体" w:hAnsi="宋体" w:eastAsia="宋体" w:cs="宋体"/>
          <w:color w:val="000000"/>
          <w:spacing w:val="0"/>
          <w:kern w:val="2"/>
          <w:sz w:val="24"/>
          <w:szCs w:val="24"/>
          <w:lang w:val="en-US" w:eastAsia="zh-CN" w:bidi="ar-SA"/>
        </w:rPr>
        <w:t xml:space="preserve"> </w:t>
      </w:r>
    </w:p>
    <w:p w14:paraId="7E6D0A5C">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店铺竞争力矩阵通过散点图的形式，将店铺在价格与销量二维空间中的分布情况进行可视化呈现，每个数据点代表一个独立店铺，其位置反映了该店铺在市场中的战略定位。这种分析方法能够直观揭示不同店铺的竞争态势，帮助识别行业中的领导者、挑战者以及利基玩家。散点图的设计允许我们观察店铺集群现象，点的大小或颜色可能编码附加指标如好评率，从而添加第三维度的信息，使分析更加立体和全面。 </w:t>
      </w:r>
    </w:p>
    <w:p w14:paraId="3F3CF3AB">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hint="eastAsia" w:ascii="Arial" w:hAnsi="Arial" w:eastAsia="宋体" w:cs="宋体"/>
          <w:color w:val="000000"/>
          <w:spacing w:val="0"/>
          <w:kern w:val="0"/>
          <w:sz w:val="20"/>
          <w:szCs w:val="24"/>
          <w:lang w:val="en-US" w:eastAsia="zh-CN" w:bidi="ar"/>
        </w:rPr>
      </w:pPr>
      <w:r>
        <w:rPr>
          <w:rFonts w:ascii="Arial" w:hAnsi="Arial" w:eastAsia="黑体" w:cs="宋体"/>
          <w:color w:val="000000"/>
          <w:spacing w:val="0"/>
          <w:kern w:val="0"/>
          <w:sz w:val="20"/>
          <w:szCs w:val="24"/>
          <w:lang w:val="en-US" w:eastAsia="zh-CN" w:bidi="ar"/>
        </w:rPr>
        <w:drawing>
          <wp:anchor distT="0" distB="0" distL="114300" distR="114300" simplePos="0" relativeHeight="251837440" behindDoc="0" locked="0" layoutInCell="1" allowOverlap="1">
            <wp:simplePos x="0" y="0"/>
            <wp:positionH relativeFrom="column">
              <wp:posOffset>10160</wp:posOffset>
            </wp:positionH>
            <wp:positionV relativeFrom="paragraph">
              <wp:posOffset>242570</wp:posOffset>
            </wp:positionV>
            <wp:extent cx="5180965" cy="3249295"/>
            <wp:effectExtent l="0" t="0" r="635" b="8255"/>
            <wp:wrapTopAndBottom/>
            <wp:docPr id="6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7"/>
                    <pic:cNvPicPr>
                      <a:picLocks noChangeAspect="1"/>
                    </pic:cNvPicPr>
                  </pic:nvPicPr>
                  <pic:blipFill>
                    <a:blip r:embed="rId370"/>
                    <a:stretch>
                      <a:fillRect/>
                    </a:stretch>
                  </pic:blipFill>
                  <pic:spPr>
                    <a:xfrm>
                      <a:off x="0" y="0"/>
                      <a:ext cx="5180965" cy="3249295"/>
                    </a:xfrm>
                    <a:prstGeom prst="rect">
                      <a:avLst/>
                    </a:prstGeom>
                    <a:noFill/>
                    <a:ln>
                      <a:noFill/>
                    </a:ln>
                  </pic:spPr>
                </pic:pic>
              </a:graphicData>
            </a:graphic>
          </wp:anchor>
        </w:drawing>
      </w: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6</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店铺竞争力矩阵（散点图）</w:t>
      </w:r>
    </w:p>
    <w:p w14:paraId="7E408BBF">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21" w:name="_Toc309303103"/>
      <w:bookmarkStart w:id="922" w:name="_Toc27913"/>
      <w:bookmarkStart w:id="923" w:name="_Toc4333"/>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.7</w:t>
      </w:r>
      <w:r>
        <w:rPr>
          <w:rFonts w:hint="eastAsia" w:ascii="宋体" w:hAnsi="宋体" w:eastAsia="宋体" w:cs="宋体"/>
          <w:color w:val="000000"/>
          <w:spacing w:val="0"/>
          <w:kern w:val="2"/>
          <w:sz w:val="24"/>
          <w:szCs w:val="24"/>
          <w:lang w:val="en-US" w:eastAsia="zh-CN" w:bidi="ar-SA"/>
        </w:rPr>
        <w:t>优惠力度分析的堆叠柱状图解析与营销策略优化</w:t>
      </w:r>
      <w:bookmarkEnd w:id="921"/>
      <w:bookmarkEnd w:id="922"/>
      <w:bookmarkEnd w:id="923"/>
      <w:r>
        <w:rPr>
          <w:rFonts w:hint="eastAsia" w:ascii="宋体" w:hAnsi="宋体" w:eastAsia="宋体" w:cs="宋体"/>
          <w:color w:val="000000"/>
          <w:spacing w:val="0"/>
          <w:kern w:val="2"/>
          <w:sz w:val="24"/>
          <w:szCs w:val="24"/>
          <w:lang w:val="en-US" w:eastAsia="zh-CN" w:bidi="ar-SA"/>
        </w:rPr>
        <w:t xml:space="preserve"> </w:t>
      </w:r>
    </w:p>
    <w:p w14:paraId="695B7CB4">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在电商服装市场的竞争环境中，促销策略作为影响消费者购买决策的关键因素，其结构分析和效果评估对企业营销资源配置具有重要指导意义。堆叠柱状图作为一种多维数据可视化工具，能够清晰展示不同优惠类型在市场中的分布格局和力度差异，为营销决策提供直观的数据支撑。这种图表通过堆叠效应呈现各优惠类型的占比关系，同时保持横向可比性，使分析者能够快速把握促销策略的整体结构和细分构成。 </w:t>
      </w:r>
    </w:p>
    <w:p w14:paraId="285E6EE6">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firstLine="0" w:firstLineChars="0"/>
        <w:jc w:val="both"/>
        <w:textAlignment w:val="auto"/>
        <w:rPr>
          <w:rFonts w:ascii="宋体" w:hAnsi="宋体" w:eastAsia="宋体" w:cs="宋体"/>
          <w:color w:val="000000"/>
          <w:spacing w:val="0"/>
          <w:kern w:val="0"/>
          <w:sz w:val="24"/>
          <w:lang w:bidi="ar"/>
        </w:rPr>
      </w:pPr>
      <w:r>
        <w:rPr>
          <w:rFonts w:ascii="宋体" w:hAnsi="宋体" w:eastAsia="宋体" w:cs="宋体"/>
          <w:color w:val="000000"/>
          <w:spacing w:val="0"/>
          <w:kern w:val="0"/>
          <w:sz w:val="24"/>
          <w:lang w:bidi="ar"/>
        </w:rPr>
        <w:drawing>
          <wp:anchor distT="0" distB="0" distL="114300" distR="114300" simplePos="0" relativeHeight="251838464" behindDoc="0" locked="0" layoutInCell="1" allowOverlap="1">
            <wp:simplePos x="0" y="0"/>
            <wp:positionH relativeFrom="column">
              <wp:posOffset>59690</wp:posOffset>
            </wp:positionH>
            <wp:positionV relativeFrom="paragraph">
              <wp:posOffset>374650</wp:posOffset>
            </wp:positionV>
            <wp:extent cx="5273675" cy="3292475"/>
            <wp:effectExtent l="0" t="0" r="3175" b="3175"/>
            <wp:wrapTopAndBottom/>
            <wp:docPr id="6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8"/>
                    <pic:cNvPicPr>
                      <a:picLocks noChangeAspect="1"/>
                    </pic:cNvPicPr>
                  </pic:nvPicPr>
                  <pic:blipFill>
                    <a:blip r:embed="rId371"/>
                    <a:stretch>
                      <a:fillRect/>
                    </a:stretch>
                  </pic:blipFill>
                  <pic:spPr>
                    <a:xfrm>
                      <a:off x="0" y="0"/>
                      <a:ext cx="5273675" cy="3292475"/>
                    </a:xfrm>
                    <a:prstGeom prst="rect">
                      <a:avLst/>
                    </a:prstGeom>
                    <a:noFill/>
                    <a:ln>
                      <a:noFill/>
                    </a:ln>
                  </pic:spPr>
                </pic:pic>
              </a:graphicData>
            </a:graphic>
          </wp:anchor>
        </w:drawing>
      </w:r>
    </w:p>
    <w:p w14:paraId="4FF6E588">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hint="eastAsia" w:ascii="Arial" w:hAnsi="Arial" w:eastAsia="宋体" w:cs="宋体"/>
          <w:color w:val="000000"/>
          <w:spacing w:val="0"/>
          <w:kern w:val="0"/>
          <w:sz w:val="20"/>
          <w:szCs w:val="24"/>
          <w:lang w:val="en-US" w:eastAsia="zh-CN" w:bidi="ar"/>
        </w:rPr>
      </w:pP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7</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优惠力度分析（堆叠柱状图）</w:t>
      </w:r>
    </w:p>
    <w:p w14:paraId="74981C65">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24" w:name="_Toc15281"/>
      <w:bookmarkStart w:id="925" w:name="_Toc1546826381"/>
      <w:bookmarkStart w:id="926" w:name="_Toc13546"/>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.8</w:t>
      </w:r>
      <w:r>
        <w:rPr>
          <w:rFonts w:hint="eastAsia" w:ascii="宋体" w:hAnsi="宋体" w:eastAsia="宋体" w:cs="宋体"/>
          <w:color w:val="000000"/>
          <w:spacing w:val="0"/>
          <w:kern w:val="2"/>
          <w:sz w:val="24"/>
          <w:szCs w:val="24"/>
          <w:lang w:val="en-US" w:eastAsia="zh-CN" w:bidi="ar-SA"/>
        </w:rPr>
        <w:t>材质与价格关系的分组柱状图深度解析</w:t>
      </w:r>
      <w:bookmarkEnd w:id="924"/>
      <w:bookmarkEnd w:id="925"/>
      <w:bookmarkEnd w:id="926"/>
      <w:r>
        <w:rPr>
          <w:rFonts w:hint="eastAsia" w:ascii="宋体" w:hAnsi="宋体" w:eastAsia="宋体" w:cs="宋体"/>
          <w:color w:val="000000"/>
          <w:spacing w:val="0"/>
          <w:kern w:val="2"/>
          <w:sz w:val="24"/>
          <w:szCs w:val="24"/>
          <w:lang w:val="en-US" w:eastAsia="zh-CN" w:bidi="ar-SA"/>
        </w:rPr>
        <w:t xml:space="preserve"> </w:t>
      </w:r>
    </w:p>
    <w:p w14:paraId="04C6931F">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在服装产品的价值构成中，材质作为最基础的产品属性，对价格定位产生着至关重要的影响。分组柱状图通过直观的对比方式，将不同材质类型的价格差异可视化呈现，为产品定价和选材策略提供了数据支撑。这种图表设计使得各类材质的价位分布一目了然，组间距离清晰展现了材质对价格的梯度影响。 </w:t>
      </w:r>
    </w:p>
    <w:p w14:paraId="060EDE14">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hint="eastAsia" w:ascii="Calibri" w:hAnsi="Calibri" w:eastAsia="宋体" w:cs="Times New Roman"/>
          <w:color w:val="000000"/>
          <w:spacing w:val="0"/>
          <w:kern w:val="2"/>
          <w:sz w:val="21"/>
          <w:szCs w:val="24"/>
          <w:lang w:val="en-US" w:eastAsia="zh-CN" w:bidi="ar-SA"/>
        </w:rPr>
      </w:pPr>
      <w:r>
        <w:rPr>
          <w:rFonts w:ascii="Arial" w:hAnsi="Arial" w:eastAsia="黑体" w:cs="宋体"/>
          <w:color w:val="000000"/>
          <w:spacing w:val="0"/>
          <w:kern w:val="0"/>
          <w:sz w:val="20"/>
          <w:szCs w:val="24"/>
          <w:lang w:val="en-US" w:eastAsia="zh-CN" w:bidi="ar"/>
        </w:rPr>
        <w:drawing>
          <wp:anchor distT="0" distB="0" distL="114300" distR="114300" simplePos="0" relativeHeight="251839488" behindDoc="0" locked="0" layoutInCell="1" allowOverlap="1">
            <wp:simplePos x="0" y="0"/>
            <wp:positionH relativeFrom="column">
              <wp:posOffset>1270</wp:posOffset>
            </wp:positionH>
            <wp:positionV relativeFrom="paragraph">
              <wp:posOffset>109220</wp:posOffset>
            </wp:positionV>
            <wp:extent cx="5271770" cy="2832735"/>
            <wp:effectExtent l="0" t="0" r="5080" b="5715"/>
            <wp:wrapTopAndBottom/>
            <wp:docPr id="6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9"/>
                    <pic:cNvPicPr>
                      <a:picLocks noChangeAspect="1"/>
                    </pic:cNvPicPr>
                  </pic:nvPicPr>
                  <pic:blipFill>
                    <a:blip r:embed="rId372"/>
                    <a:stretch>
                      <a:fillRect/>
                    </a:stretch>
                  </pic:blipFill>
                  <pic:spPr>
                    <a:xfrm>
                      <a:off x="0" y="0"/>
                      <a:ext cx="5271770" cy="2832735"/>
                    </a:xfrm>
                    <a:prstGeom prst="rect">
                      <a:avLst/>
                    </a:prstGeom>
                    <a:noFill/>
                    <a:ln>
                      <a:noFill/>
                    </a:ln>
                  </pic:spPr>
                </pic:pic>
              </a:graphicData>
            </a:graphic>
          </wp:anchor>
        </w:drawing>
      </w: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8</w:t>
      </w:r>
      <w:r>
        <w:rPr>
          <w:rFonts w:ascii="Arial" w:hAnsi="Arial" w:eastAsia="黑体" w:cs="宋体"/>
          <w:color w:val="000000"/>
          <w:spacing w:val="0"/>
          <w:kern w:val="0"/>
          <w:sz w:val="20"/>
          <w:szCs w:val="24"/>
          <w:lang w:val="en-US" w:eastAsia="zh-CN" w:bidi="ar"/>
        </w:rPr>
        <w:fldChar w:fldCharType="end"/>
      </w:r>
      <w:r>
        <w:rPr>
          <w:rFonts w:hint="eastAsia" w:ascii="Arial" w:hAnsi="Arial" w:eastAsia="黑体" w:cs="宋体"/>
          <w:color w:val="000000"/>
          <w:spacing w:val="0"/>
          <w:kern w:val="0"/>
          <w:sz w:val="20"/>
          <w:szCs w:val="24"/>
          <w:lang w:val="en-US" w:eastAsia="zh-CN" w:bidi="ar"/>
        </w:rPr>
        <w:t xml:space="preserve"> 材质与价格关系（分组柱状图）</w:t>
      </w:r>
    </w:p>
    <w:p w14:paraId="29800F17">
      <w:pPr>
        <w:keepNext w:val="0"/>
        <w:keepLines w:val="0"/>
        <w:pageBreakBefore w:val="0"/>
        <w:widowControl w:val="0"/>
        <w:numPr>
          <w:ilvl w:val="1"/>
          <w:numId w:val="0"/>
        </w:numPr>
        <w:suppressLineNumbers w:val="0"/>
        <w:tabs>
          <w:tab w:val="left" w:pos="0"/>
        </w:tabs>
        <w:kinsoku/>
        <w:wordWrap/>
        <w:overflowPunct/>
        <w:topLinePunct w:val="0"/>
        <w:autoSpaceDE/>
        <w:autoSpaceDN/>
        <w:bidi w:val="0"/>
        <w:adjustRightInd/>
        <w:snapToGrid/>
        <w:spacing w:line="440" w:lineRule="exact"/>
        <w:ind w:left="0" w:leftChars="0" w:firstLine="480" w:firstLineChars="200"/>
        <w:jc w:val="both"/>
        <w:textAlignment w:val="auto"/>
        <w:outlineLvl w:val="9"/>
        <w:rPr>
          <w:rFonts w:hint="eastAsia" w:ascii="宋体" w:hAnsi="宋体" w:eastAsia="宋体" w:cs="宋体"/>
          <w:color w:val="000000"/>
          <w:spacing w:val="0"/>
          <w:kern w:val="2"/>
          <w:sz w:val="24"/>
          <w:szCs w:val="24"/>
          <w:lang w:val="en-US" w:eastAsia="zh-CN" w:bidi="ar-SA"/>
        </w:rPr>
      </w:pPr>
      <w:bookmarkStart w:id="927" w:name="_Toc73954885"/>
      <w:bookmarkStart w:id="928" w:name="_Toc24290"/>
      <w:bookmarkStart w:id="929" w:name="_Toc12995"/>
      <w:r>
        <w:rPr>
          <w:rFonts w:hint="eastAsia" w:ascii="宋体" w:hAnsi="宋体" w:eastAsia="宋体" w:cs="宋体"/>
          <w:color w:val="000000"/>
          <w:spacing w:val="0"/>
          <w:kern w:val="2"/>
          <w:sz w:val="24"/>
          <w:szCs w:val="24"/>
          <w:lang w:val="en-US" w:eastAsia="zh-CN" w:bidi="ar-SA"/>
        </w:rPr>
        <w:t>3</w:t>
      </w:r>
      <w:r>
        <w:rPr>
          <w:rFonts w:hint="default" w:ascii="宋体" w:hAnsi="宋体" w:eastAsia="宋体" w:cs="宋体"/>
          <w:color w:val="000000"/>
          <w:spacing w:val="0"/>
          <w:kern w:val="2"/>
          <w:sz w:val="24"/>
          <w:szCs w:val="24"/>
          <w:lang w:val="en-US" w:eastAsia="zh-CN" w:bidi="ar-SA"/>
        </w:rPr>
        <w:t>.9</w:t>
      </w:r>
      <w:r>
        <w:rPr>
          <w:rFonts w:hint="eastAsia" w:ascii="宋体" w:hAnsi="宋体" w:eastAsia="宋体" w:cs="宋体"/>
          <w:color w:val="000000"/>
          <w:spacing w:val="0"/>
          <w:kern w:val="2"/>
          <w:sz w:val="24"/>
          <w:szCs w:val="24"/>
          <w:lang w:val="en-US" w:eastAsia="zh-CN" w:bidi="ar-SA"/>
        </w:rPr>
        <w:t>综合指标雷达图的多维竞争力分析</w:t>
      </w:r>
      <w:bookmarkEnd w:id="927"/>
      <w:bookmarkEnd w:id="928"/>
      <w:bookmarkEnd w:id="929"/>
      <w:r>
        <w:rPr>
          <w:rFonts w:hint="eastAsia" w:ascii="宋体" w:hAnsi="宋体" w:eastAsia="宋体" w:cs="宋体"/>
          <w:color w:val="000000"/>
          <w:spacing w:val="0"/>
          <w:kern w:val="2"/>
          <w:sz w:val="24"/>
          <w:szCs w:val="24"/>
          <w:lang w:val="en-US" w:eastAsia="zh-CN" w:bidi="ar-SA"/>
        </w:rPr>
        <w:t xml:space="preserve"> </w:t>
      </w:r>
    </w:p>
    <w:p w14:paraId="7ED645EE">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雷达图作为一种高效的多维度可视化工具，通过极坐标系的独特设计，将多个关键指标整合在统一的视觉框架内，为企业战略评估提供了全面而直观的分析视角。在服装电商领域，这种综合性的评估方法能够突破单一指标的局限性，从全局角度审视品牌或产品的整体竞争力状况。 </w:t>
      </w:r>
    </w:p>
    <w:p w14:paraId="35FA3E54">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ascii="Calibri" w:hAnsi="Calibri" w:eastAsia="宋体" w:cs="Times New Roman"/>
          <w:color w:val="000000"/>
          <w:spacing w:val="0"/>
          <w:kern w:val="2"/>
          <w:sz w:val="21"/>
          <w:szCs w:val="24"/>
          <w:lang w:val="en-US" w:eastAsia="zh-CN" w:bidi="ar-SA"/>
        </w:rPr>
      </w:pP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9</w:t>
      </w:r>
      <w:r>
        <w:rPr>
          <w:rFonts w:ascii="Arial" w:hAnsi="Arial" w:eastAsia="黑体" w:cs="宋体"/>
          <w:color w:val="000000"/>
          <w:spacing w:val="0"/>
          <w:kern w:val="0"/>
          <w:sz w:val="20"/>
          <w:szCs w:val="24"/>
          <w:lang w:val="en-US" w:eastAsia="zh-CN" w:bidi="ar"/>
        </w:rPr>
        <w:fldChar w:fldCharType="end"/>
      </w:r>
      <w:r>
        <w:rPr>
          <w:rFonts w:ascii="Arial" w:hAnsi="Arial" w:eastAsia="黑体" w:cs="宋体"/>
          <w:color w:val="000000"/>
          <w:spacing w:val="0"/>
          <w:kern w:val="0"/>
          <w:sz w:val="20"/>
          <w:szCs w:val="24"/>
          <w:lang w:val="en-US" w:eastAsia="zh-CN" w:bidi="ar"/>
        </w:rPr>
        <w:drawing>
          <wp:anchor distT="0" distB="0" distL="114300" distR="114300" simplePos="0" relativeHeight="251840512" behindDoc="0" locked="0" layoutInCell="1" allowOverlap="1">
            <wp:simplePos x="0" y="0"/>
            <wp:positionH relativeFrom="column">
              <wp:posOffset>141605</wp:posOffset>
            </wp:positionH>
            <wp:positionV relativeFrom="paragraph">
              <wp:posOffset>144145</wp:posOffset>
            </wp:positionV>
            <wp:extent cx="5080000" cy="3133090"/>
            <wp:effectExtent l="0" t="0" r="6350" b="10160"/>
            <wp:wrapTopAndBottom/>
            <wp:docPr id="6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10"/>
                    <pic:cNvPicPr>
                      <a:picLocks noChangeAspect="1"/>
                    </pic:cNvPicPr>
                  </pic:nvPicPr>
                  <pic:blipFill>
                    <a:blip r:embed="rId373"/>
                    <a:stretch>
                      <a:fillRect/>
                    </a:stretch>
                  </pic:blipFill>
                  <pic:spPr>
                    <a:xfrm>
                      <a:off x="0" y="0"/>
                      <a:ext cx="5080000" cy="3133090"/>
                    </a:xfrm>
                    <a:prstGeom prst="rect">
                      <a:avLst/>
                    </a:prstGeom>
                    <a:noFill/>
                    <a:ln>
                      <a:noFill/>
                    </a:ln>
                  </pic:spPr>
                </pic:pic>
              </a:graphicData>
            </a:graphic>
          </wp:anchor>
        </w:drawing>
      </w:r>
      <w:r>
        <w:rPr>
          <w:rFonts w:hint="eastAsia" w:ascii="Arial" w:hAnsi="Arial" w:eastAsia="黑体" w:cs="宋体"/>
          <w:color w:val="000000"/>
          <w:spacing w:val="0"/>
          <w:kern w:val="0"/>
          <w:sz w:val="20"/>
          <w:szCs w:val="24"/>
          <w:lang w:val="en-US" w:eastAsia="zh-CN" w:bidi="ar"/>
        </w:rPr>
        <w:t xml:space="preserve"> 综合指标雷达图</w:t>
      </w:r>
    </w:p>
    <w:p w14:paraId="7C86E74F">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80" w:firstLineChars="200"/>
        <w:jc w:val="both"/>
        <w:textAlignment w:val="auto"/>
        <w:rPr>
          <w:rFonts w:ascii="Calibri" w:hAnsi="Calibri" w:eastAsia="宋体" w:cs="Times New Roman"/>
          <w:color w:val="000000"/>
          <w:spacing w:val="0"/>
          <w:kern w:val="2"/>
          <w:sz w:val="24"/>
          <w:szCs w:val="24"/>
          <w:lang w:val="en-US" w:eastAsia="zh-CN" w:bidi="ar-SA"/>
        </w:rPr>
      </w:pPr>
      <w:r>
        <w:rPr>
          <w:rFonts w:ascii="Calibri" w:hAnsi="Calibri" w:eastAsia="宋体" w:cs="Times New Roman"/>
          <w:color w:val="000000"/>
          <w:spacing w:val="0"/>
          <w:kern w:val="2"/>
          <w:sz w:val="24"/>
          <w:szCs w:val="24"/>
          <w:lang w:val="en-US" w:eastAsia="zh-CN" w:bidi="ar-SA"/>
        </w:rPr>
        <w:t xml:space="preserve">词云分析则从关键词频的角度，揭示了消费者关注的核心要素。在呈现的词云图中，"舒适"、"环保"、"质量"等词汇以较大字体突出显示，成为消费者评价中的高频词汇。这些关键词的分布规律颇具深意："舒适"一词的核心地位体现了消费者对穿着体验的基础性需求；"环保"相关词汇的显著位置则印证了品牌可持续发展理念的市场共鸣；而"质量"、"做工"等词汇的出现频次，则反映了消费者对产品耐用性和工艺水平的关注。这些关键词共同勾勒出消费者对之禾品牌的价值认知地图。 </w:t>
      </w:r>
    </w:p>
    <w:p w14:paraId="07B0CCFE">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ascii="Arial" w:hAnsi="Arial" w:eastAsia="黑体" w:cs="宋体"/>
          <w:color w:val="000000"/>
          <w:spacing w:val="0"/>
          <w:kern w:val="0"/>
          <w:sz w:val="20"/>
          <w:szCs w:val="24"/>
          <w:lang w:val="en-US" w:eastAsia="zh-CN" w:bidi="ar"/>
        </w:rPr>
      </w:pPr>
    </w:p>
    <w:p w14:paraId="58857DD5">
      <w:pPr>
        <w:keepNext w:val="0"/>
        <w:keepLines w:val="0"/>
        <w:pageBreakBefore w:val="0"/>
        <w:widowControl w:val="0"/>
        <w:suppressLineNumbers w:val="0"/>
        <w:kinsoku/>
        <w:wordWrap/>
        <w:overflowPunct/>
        <w:topLinePunct w:val="0"/>
        <w:autoSpaceDE/>
        <w:autoSpaceDN/>
        <w:bidi w:val="0"/>
        <w:adjustRightInd/>
        <w:snapToGrid/>
        <w:spacing w:line="440" w:lineRule="exact"/>
        <w:ind w:left="0" w:leftChars="0" w:firstLine="400" w:firstLineChars="200"/>
        <w:jc w:val="center"/>
        <w:textAlignment w:val="auto"/>
        <w:rPr>
          <w:rFonts w:ascii="Calibri" w:hAnsi="Calibri" w:eastAsia="宋体" w:cs="Times New Roman"/>
          <w:color w:val="000000"/>
          <w:spacing w:val="0"/>
          <w:kern w:val="2"/>
          <w:sz w:val="21"/>
          <w:szCs w:val="24"/>
          <w:lang w:val="en-US" w:eastAsia="zh-CN" w:bidi="ar-SA"/>
        </w:rPr>
      </w:pPr>
      <w:r>
        <w:rPr>
          <w:rFonts w:ascii="Arial" w:hAnsi="Arial" w:eastAsia="黑体" w:cs="宋体"/>
          <w:color w:val="000000"/>
          <w:spacing w:val="0"/>
          <w:kern w:val="0"/>
          <w:sz w:val="20"/>
          <w:szCs w:val="24"/>
          <w:lang w:val="en-US" w:eastAsia="zh-CN" w:bidi="ar"/>
        </w:rPr>
        <w:t xml:space="preserve">图表 </w:t>
      </w:r>
      <w:r>
        <w:rPr>
          <w:rFonts w:ascii="Arial" w:hAnsi="Arial" w:eastAsia="黑体" w:cs="宋体"/>
          <w:color w:val="000000"/>
          <w:spacing w:val="0"/>
          <w:kern w:val="0"/>
          <w:sz w:val="20"/>
          <w:szCs w:val="24"/>
          <w:lang w:val="en-US" w:eastAsia="zh-CN" w:bidi="ar"/>
        </w:rPr>
        <w:fldChar w:fldCharType="begin"/>
      </w:r>
      <w:r>
        <w:rPr>
          <w:rFonts w:ascii="Arial" w:hAnsi="Arial" w:eastAsia="黑体" w:cs="宋体"/>
          <w:color w:val="000000"/>
          <w:spacing w:val="0"/>
          <w:kern w:val="0"/>
          <w:sz w:val="20"/>
          <w:szCs w:val="24"/>
          <w:lang w:val="en-US" w:eastAsia="zh-CN" w:bidi="ar"/>
        </w:rPr>
        <w:instrText xml:space="preserve"> SEQ 图表 \* ARABIC </w:instrText>
      </w:r>
      <w:r>
        <w:rPr>
          <w:rFonts w:ascii="Arial" w:hAnsi="Arial" w:eastAsia="黑体" w:cs="宋体"/>
          <w:color w:val="000000"/>
          <w:spacing w:val="0"/>
          <w:kern w:val="0"/>
          <w:sz w:val="20"/>
          <w:szCs w:val="24"/>
          <w:lang w:val="en-US" w:eastAsia="zh-CN" w:bidi="ar"/>
        </w:rPr>
        <w:fldChar w:fldCharType="separate"/>
      </w:r>
      <w:r>
        <w:rPr>
          <w:rFonts w:ascii="Arial" w:hAnsi="Arial" w:eastAsia="黑体" w:cs="宋体"/>
          <w:color w:val="000000"/>
          <w:spacing w:val="0"/>
          <w:kern w:val="0"/>
          <w:sz w:val="20"/>
          <w:szCs w:val="24"/>
          <w:lang w:val="en-US" w:eastAsia="zh-CN" w:bidi="ar"/>
        </w:rPr>
        <w:t>10</w:t>
      </w:r>
      <w:r>
        <w:rPr>
          <w:rFonts w:ascii="Arial" w:hAnsi="Arial" w:eastAsia="黑体" w:cs="宋体"/>
          <w:color w:val="000000"/>
          <w:spacing w:val="0"/>
          <w:kern w:val="0"/>
          <w:sz w:val="20"/>
          <w:szCs w:val="24"/>
          <w:lang w:val="en-US" w:eastAsia="zh-CN" w:bidi="ar"/>
        </w:rPr>
        <w:fldChar w:fldCharType="end"/>
      </w:r>
      <w:r>
        <w:rPr>
          <w:rFonts w:ascii="Arial" w:hAnsi="Arial" w:eastAsia="黑体" w:cs="宋体"/>
          <w:color w:val="000000"/>
          <w:spacing w:val="0"/>
          <w:kern w:val="0"/>
          <w:sz w:val="20"/>
          <w:szCs w:val="24"/>
          <w:lang w:val="en-US" w:eastAsia="zh-CN" w:bidi="ar"/>
        </w:rPr>
        <w:drawing>
          <wp:anchor distT="0" distB="0" distL="114300" distR="114300" simplePos="0" relativeHeight="251841536" behindDoc="0" locked="0" layoutInCell="1" allowOverlap="1">
            <wp:simplePos x="0" y="0"/>
            <wp:positionH relativeFrom="column">
              <wp:posOffset>3810</wp:posOffset>
            </wp:positionH>
            <wp:positionV relativeFrom="paragraph">
              <wp:posOffset>227965</wp:posOffset>
            </wp:positionV>
            <wp:extent cx="5266690" cy="3286760"/>
            <wp:effectExtent l="0" t="0" r="10160" b="8890"/>
            <wp:wrapTopAndBottom/>
            <wp:docPr id="6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11"/>
                    <pic:cNvPicPr>
                      <a:picLocks noChangeAspect="1"/>
                    </pic:cNvPicPr>
                  </pic:nvPicPr>
                  <pic:blipFill>
                    <a:blip r:embed="rId374"/>
                    <a:stretch>
                      <a:fillRect/>
                    </a:stretch>
                  </pic:blipFill>
                  <pic:spPr>
                    <a:xfrm>
                      <a:off x="0" y="0"/>
                      <a:ext cx="5266690" cy="3286760"/>
                    </a:xfrm>
                    <a:prstGeom prst="rect">
                      <a:avLst/>
                    </a:prstGeom>
                    <a:noFill/>
                    <a:ln>
                      <a:noFill/>
                    </a:ln>
                  </pic:spPr>
                </pic:pic>
              </a:graphicData>
            </a:graphic>
          </wp:anchor>
        </w:drawing>
      </w:r>
      <w:r>
        <w:rPr>
          <w:rFonts w:hint="eastAsia" w:ascii="Arial" w:hAnsi="Arial" w:eastAsia="黑体" w:cs="宋体"/>
          <w:color w:val="000000"/>
          <w:spacing w:val="0"/>
          <w:kern w:val="0"/>
          <w:sz w:val="20"/>
          <w:szCs w:val="24"/>
          <w:lang w:val="en-US" w:eastAsia="zh-CN" w:bidi="ar"/>
        </w:rPr>
        <w:t xml:space="preserve"> 之禾店铺评论情感分析（饼图+词云）</w:t>
      </w:r>
    </w:p>
    <w:p w14:paraId="10907873">
      <w:pPr>
        <w:ind w:left="0" w:leftChars="0" w:firstLine="0" w:firstLineChars="0"/>
        <w:rPr>
          <w:rFonts w:hint="eastAsia"/>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53D5A75">
      <w:pPr>
        <w:pStyle w:val="3"/>
        <w:bidi w:val="0"/>
        <w:rPr>
          <w:rFonts w:hint="default"/>
          <w:lang w:val="en-US" w:eastAsia="zh-CN"/>
        </w:rPr>
      </w:pPr>
      <w:bookmarkStart w:id="930" w:name="一班7组"/>
      <w:bookmarkEnd w:id="930"/>
      <w:bookmarkStart w:id="931" w:name="二班2组"/>
      <w:bookmarkEnd w:id="931"/>
      <w:bookmarkStart w:id="932" w:name="_Toc32698"/>
      <w:bookmarkStart w:id="933" w:name="_Toc2371"/>
      <w:bookmarkStart w:id="934" w:name="_Hlk218091728"/>
      <w:r>
        <w:rPr>
          <w:rFonts w:hint="eastAsia"/>
          <w:lang w:val="en-US" w:eastAsia="zh-CN"/>
        </w:rPr>
        <w:t>11.基于影视平台的影视多维数据分析</w:t>
      </w:r>
      <w:bookmarkEnd w:id="932"/>
      <w:bookmarkEnd w:id="933"/>
    </w:p>
    <w:tbl>
      <w:tblPr>
        <w:tblStyle w:val="57"/>
        <w:tblpPr w:leftFromText="180" w:rightFromText="180" w:vertAnchor="text" w:horzAnchor="page" w:tblpX="1778" w:tblpY="100"/>
        <w:tblOverlap w:val="never"/>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38F5C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trPr>
        <w:tc>
          <w:tcPr>
            <w:tcW w:w="8522" w:type="dxa"/>
            <w:vAlign w:val="center"/>
          </w:tcPr>
          <w:p w14:paraId="3BF54826">
            <w:pPr>
              <w:jc w:val="left"/>
              <w:outlineLvl w:val="0"/>
              <w:rPr>
                <w:rFonts w:hint="eastAsia" w:ascii="Calibri" w:hAnsi="Calibri" w:eastAsia="黑体" w:cs="Times New Roman"/>
                <w:sz w:val="24"/>
                <w:lang w:val="en-US" w:eastAsia="zh-CN"/>
              </w:rPr>
            </w:pPr>
            <w:bookmarkStart w:id="935" w:name="_Toc28717"/>
            <w:bookmarkStart w:id="936" w:name="_Toc31111"/>
            <w:r>
              <w:rPr>
                <w:rFonts w:hint="eastAsia" w:ascii="Calibri" w:hAnsi="Calibri" w:eastAsia="黑体" w:cs="Times New Roman"/>
                <w:sz w:val="24"/>
              </w:rPr>
              <w:t>项目主题：</w:t>
            </w:r>
            <w:r>
              <w:rPr>
                <w:rFonts w:hint="eastAsia" w:ascii="Calibri" w:hAnsi="Calibri" w:eastAsia="黑体" w:cs="Times New Roman"/>
                <w:sz w:val="24"/>
                <w:lang w:val="en-US" w:eastAsia="zh-CN"/>
              </w:rPr>
              <w:t>基于影视平台的影视多维数据分析</w:t>
            </w:r>
            <w:bookmarkEnd w:id="935"/>
            <w:bookmarkEnd w:id="936"/>
          </w:p>
          <w:p w14:paraId="56AD86D0">
            <w:pPr>
              <w:jc w:val="left"/>
              <w:outlineLvl w:val="0"/>
              <w:rPr>
                <w:rFonts w:hint="eastAsia" w:ascii="Calibri" w:hAnsi="Calibri" w:eastAsia="黑体" w:cs="Times New Roman"/>
                <w:szCs w:val="21"/>
                <w:lang w:val="en-US" w:eastAsia="zh-CN"/>
              </w:rPr>
            </w:pPr>
          </w:p>
        </w:tc>
      </w:tr>
      <w:tr w14:paraId="638D84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8522" w:type="dxa"/>
            <w:vAlign w:val="center"/>
          </w:tcPr>
          <w:p w14:paraId="489AE973">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数据与科学本科</w:t>
            </w:r>
            <w:r>
              <w:rPr>
                <w:rFonts w:hint="eastAsia" w:ascii="Calibri" w:hAnsi="Calibri" w:eastAsia="黑体" w:cs="Times New Roman"/>
                <w:sz w:val="24"/>
                <w:lang w:val="en-US" w:eastAsia="zh-CN"/>
              </w:rPr>
              <w:t>2</w:t>
            </w:r>
            <w:r>
              <w:rPr>
                <w:rFonts w:hint="eastAsia" w:ascii="Calibri" w:hAnsi="Calibri" w:eastAsia="黑体" w:cs="Times New Roman"/>
                <w:sz w:val="24"/>
              </w:rPr>
              <w:t>班</w:t>
            </w:r>
          </w:p>
        </w:tc>
      </w:tr>
      <w:tr w14:paraId="134CA2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8522" w:type="dxa"/>
            <w:vAlign w:val="center"/>
          </w:tcPr>
          <w:p w14:paraId="2968099A">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学生姓名：王心怡、钟雯、陈玲玲、王月霞、曹品欢     指导教师：</w:t>
            </w:r>
            <w:r>
              <w:rPr>
                <w:rFonts w:hint="eastAsia" w:ascii="Calibri" w:hAnsi="Calibri" w:eastAsia="黑体" w:cs="Times New Roman"/>
                <w:sz w:val="24"/>
                <w:lang w:val="en-US" w:eastAsia="zh-CN"/>
              </w:rPr>
              <w:t>马梵毓</w:t>
            </w:r>
          </w:p>
        </w:tc>
      </w:tr>
      <w:bookmarkEnd w:id="934"/>
    </w:tbl>
    <w:p w14:paraId="4D471870">
      <w:pPr>
        <w:spacing w:line="440" w:lineRule="exact"/>
        <w:outlineLvl w:val="9"/>
        <w:rPr>
          <w:rFonts w:hint="eastAsia" w:asciiTheme="majorEastAsia" w:hAnsiTheme="majorEastAsia" w:eastAsiaTheme="majorEastAsia" w:cstheme="majorEastAsia"/>
          <w:sz w:val="28"/>
          <w:szCs w:val="28"/>
        </w:rPr>
      </w:pPr>
      <w:bookmarkStart w:id="937" w:name="_Toc6470"/>
      <w:bookmarkStart w:id="938" w:name="_Toc3449"/>
      <w:r>
        <w:rPr>
          <w:rFonts w:hint="eastAsia" w:asciiTheme="majorEastAsia" w:hAnsiTheme="majorEastAsia" w:eastAsiaTheme="majorEastAsia" w:cstheme="majorEastAsia"/>
          <w:b/>
          <w:bCs/>
          <w:sz w:val="28"/>
          <w:szCs w:val="28"/>
        </w:rPr>
        <w:t>1 项目概述</w:t>
      </w:r>
      <w:bookmarkEnd w:id="937"/>
      <w:bookmarkEnd w:id="938"/>
    </w:p>
    <w:p w14:paraId="3B816E02">
      <w:pPr>
        <w:pStyle w:val="74"/>
        <w:numPr>
          <w:ilvl w:val="1"/>
          <w:numId w:val="18"/>
        </w:numPr>
        <w:spacing w:line="440" w:lineRule="exact"/>
        <w:ind w:left="964" w:hanging="482" w:firstLineChars="0"/>
        <w:outlineLvl w:val="9"/>
        <w:rPr>
          <w:rFonts w:hint="eastAsia" w:ascii="宋体" w:hAnsi="宋体" w:cs="宋体"/>
          <w:sz w:val="24"/>
        </w:rPr>
      </w:pPr>
      <w:bookmarkStart w:id="939" w:name="_Toc9030"/>
      <w:bookmarkStart w:id="940" w:name="_Toc9186"/>
      <w:r>
        <w:rPr>
          <w:rFonts w:hint="eastAsia" w:ascii="宋体" w:hAnsi="宋体" w:cs="宋体"/>
          <w:sz w:val="24"/>
        </w:rPr>
        <w:t>项目介绍</w:t>
      </w:r>
      <w:bookmarkEnd w:id="939"/>
      <w:bookmarkEnd w:id="940"/>
    </w:p>
    <w:p w14:paraId="6F661D16">
      <w:pPr>
        <w:spacing w:line="440" w:lineRule="exact"/>
        <w:ind w:firstLine="480" w:firstLineChars="200"/>
        <w:outlineLvl w:val="9"/>
        <w:rPr>
          <w:rFonts w:hint="eastAsia" w:ascii="宋体" w:hAnsi="宋体" w:cs="宋体"/>
          <w:sz w:val="24"/>
        </w:rPr>
      </w:pPr>
      <w:r>
        <w:rPr>
          <w:rFonts w:ascii="宋体" w:hAnsi="宋体" w:cs="宋体"/>
          <w:sz w:val="24"/>
        </w:rPr>
        <w:t>在影视行业快速发展的背景下，海量电影数据中蕴含着行业趋势、用户偏好等重要信息。本项目以</w:t>
      </w:r>
      <w:r>
        <w:rPr>
          <w:rFonts w:hint="eastAsia" w:ascii="宋体" w:hAnsi="宋体" w:cs="宋体"/>
          <w:sz w:val="24"/>
        </w:rPr>
        <w:t>某影视</w:t>
      </w:r>
      <w:r>
        <w:rPr>
          <w:rFonts w:ascii="宋体" w:hAnsi="宋体" w:cs="宋体"/>
          <w:sz w:val="24"/>
        </w:rPr>
        <w:t>平台为数据来源，旨在通过数据爬取、清洗、存储、分析及可视化的全流程操作，实现以下核心目标：一是获取覆盖全品类、多年份的电影有效数据；二是解决原始数据中的质量问题，提升数据可用性；三是挖掘电影数据的内在规律与特征；四是通过可视化方式直观呈现分析结果，为相关应用场景提供数据支持。</w:t>
      </w:r>
    </w:p>
    <w:p w14:paraId="3B76D771">
      <w:pPr>
        <w:tabs>
          <w:tab w:val="left" w:pos="1584"/>
        </w:tabs>
        <w:jc w:val="center"/>
        <w:outlineLvl w:val="9"/>
      </w:pPr>
      <w:r>
        <w:drawing>
          <wp:inline distT="0" distB="0" distL="114300" distR="114300">
            <wp:extent cx="5238750" cy="2366645"/>
            <wp:effectExtent l="0" t="0" r="0" b="14605"/>
            <wp:docPr id="627" name="图片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627"/>
                    <pic:cNvPicPr>
                      <a:picLocks noChangeAspect="1"/>
                    </pic:cNvPicPr>
                  </pic:nvPicPr>
                  <pic:blipFill>
                    <a:blip r:embed="rId375"/>
                    <a:stretch>
                      <a:fillRect/>
                    </a:stretch>
                  </pic:blipFill>
                  <pic:spPr>
                    <a:xfrm>
                      <a:off x="0" y="0"/>
                      <a:ext cx="5238750" cy="2366645"/>
                    </a:xfrm>
                    <a:prstGeom prst="rect">
                      <a:avLst/>
                    </a:prstGeom>
                    <a:noFill/>
                    <a:ln>
                      <a:noFill/>
                    </a:ln>
                  </pic:spPr>
                </pic:pic>
              </a:graphicData>
            </a:graphic>
          </wp:inline>
        </w:drawing>
      </w:r>
    </w:p>
    <w:p w14:paraId="5933ED08">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1</w:t>
      </w:r>
      <w:r>
        <w:rPr>
          <w:rFonts w:hint="eastAsia" w:ascii="宋体" w:hAnsi="宋体" w:eastAsia="宋体" w:cs="宋体"/>
          <w:sz w:val="18"/>
          <w:szCs w:val="18"/>
        </w:rPr>
        <w:fldChar w:fldCharType="end"/>
      </w:r>
      <w:r>
        <w:rPr>
          <w:rFonts w:hint="eastAsia" w:ascii="宋体" w:hAnsi="宋体" w:eastAsia="宋体" w:cs="宋体"/>
          <w:sz w:val="18"/>
          <w:szCs w:val="18"/>
        </w:rPr>
        <w:t xml:space="preserve"> 项目流程图</w:t>
      </w:r>
    </w:p>
    <w:p w14:paraId="381923B9">
      <w:pPr>
        <w:pStyle w:val="74"/>
        <w:numPr>
          <w:ilvl w:val="1"/>
          <w:numId w:val="18"/>
        </w:numPr>
        <w:spacing w:line="440" w:lineRule="exact"/>
        <w:ind w:left="964" w:hanging="482" w:firstLineChars="0"/>
        <w:outlineLvl w:val="9"/>
        <w:rPr>
          <w:rFonts w:hint="eastAsia" w:asciiTheme="majorEastAsia" w:hAnsiTheme="majorEastAsia" w:eastAsiaTheme="majorEastAsia" w:cstheme="majorEastAsia"/>
          <w:sz w:val="24"/>
        </w:rPr>
      </w:pPr>
      <w:bookmarkStart w:id="941" w:name="_Toc30678"/>
      <w:bookmarkStart w:id="942" w:name="_Toc11236"/>
      <w:r>
        <w:rPr>
          <w:rFonts w:hint="eastAsia" w:asciiTheme="majorEastAsia" w:hAnsiTheme="majorEastAsia" w:eastAsiaTheme="majorEastAsia" w:cstheme="majorEastAsia"/>
          <w:sz w:val="24"/>
        </w:rPr>
        <w:t>项目开发环境</w:t>
      </w:r>
      <w:bookmarkEnd w:id="941"/>
      <w:bookmarkEnd w:id="942"/>
    </w:p>
    <w:p w14:paraId="377C458D">
      <w:pPr>
        <w:spacing w:line="440" w:lineRule="exact"/>
        <w:ind w:firstLine="480" w:firstLineChars="200"/>
        <w:outlineLvl w:val="9"/>
        <w:rPr>
          <w:rFonts w:hint="eastAsia" w:ascii="宋体" w:hAnsi="宋体" w:cs="宋体"/>
          <w:sz w:val="24"/>
        </w:rPr>
      </w:pPr>
      <w:r>
        <w:rPr>
          <w:rFonts w:ascii="宋体" w:hAnsi="宋体" w:cs="宋体"/>
          <w:sz w:val="24"/>
        </w:rPr>
        <w:t>本项目的开发与实施基于Python生态系统构建，选用的技术工具均为数据分析领域成熟且广泛应用的方案，确保了项目的稳定性与可操作性。核心开发语言采用Python 3.</w:t>
      </w:r>
      <w:r>
        <w:rPr>
          <w:rFonts w:hint="eastAsia" w:ascii="宋体" w:hAnsi="宋体" w:cs="宋体"/>
          <w:sz w:val="24"/>
        </w:rPr>
        <w:t>12</w:t>
      </w:r>
      <w:r>
        <w:rPr>
          <w:rFonts w:ascii="宋体" w:hAnsi="宋体" w:cs="宋体"/>
          <w:sz w:val="24"/>
        </w:rPr>
        <w:t>，该版本兼具稳定性与功能完整性，能够良好支持各类数据分析库的运行。数据爬取环节选用urllib库，通过模拟浏览器请求实现对</w:t>
      </w:r>
      <w:r>
        <w:rPr>
          <w:rFonts w:hint="eastAsia" w:ascii="宋体" w:hAnsi="宋体" w:cs="宋体"/>
          <w:sz w:val="24"/>
        </w:rPr>
        <w:t>某影视平台</w:t>
      </w:r>
      <w:r>
        <w:rPr>
          <w:rFonts w:ascii="宋体" w:hAnsi="宋体" w:cs="宋体"/>
          <w:sz w:val="24"/>
        </w:rPr>
        <w:t>公开API接口的数据获取，无需依赖复杂框架，聚焦基础网络请求技术的应用。数据存储采用双重方案，本地持久化选用JSON和CSV两种轻量级文件格式，JSON格式用于保存原始爬取数据以保留完整结构，CSV格式用于存储清洗后数据以适配表格化处理与数据库导入；结构化存储采用MySQL数据库，通过pymysql库实现Python与MySQL的连接及数据写入操作。数据清洗环节以pandas库为核心工具，结合re库实现正则提取功能，高效处理数据中的各类质量问题。数据分析过程中，除pandas库外，还引入numpy库进行数值运算，提升数据处理效率。数据可视化环节选用Matplotlib库，</w:t>
      </w:r>
      <w:r>
        <w:rPr>
          <w:rFonts w:hint="eastAsia" w:ascii="宋体" w:hAnsi="宋体" w:cs="宋体"/>
          <w:sz w:val="24"/>
        </w:rPr>
        <w:t>该</w:t>
      </w:r>
      <w:r>
        <w:rPr>
          <w:rFonts w:ascii="宋体" w:hAnsi="宋体" w:cs="宋体"/>
          <w:sz w:val="24"/>
        </w:rPr>
        <w:t>工具为Python生态主流可视化库，能够满足多维度、多样化的图表绘制需求，直观呈现数据分析结果。</w:t>
      </w:r>
    </w:p>
    <w:p w14:paraId="358507CB">
      <w:pPr>
        <w:spacing w:line="440" w:lineRule="exact"/>
        <w:ind w:firstLine="480" w:firstLineChars="200"/>
        <w:outlineLvl w:val="9"/>
      </w:pPr>
      <w:bookmarkStart w:id="943" w:name="_Toc14118"/>
      <w:bookmarkStart w:id="944" w:name="_Toc31895"/>
      <w:r>
        <w:rPr>
          <w:rFonts w:hint="eastAsia" w:asciiTheme="majorEastAsia" w:hAnsiTheme="majorEastAsia" w:eastAsiaTheme="majorEastAsia" w:cstheme="majorEastAsia"/>
          <w:sz w:val="24"/>
        </w:rPr>
        <w:t>1.3小组人员及分工</w:t>
      </w:r>
      <w:bookmarkEnd w:id="943"/>
      <w:bookmarkEnd w:id="944"/>
    </w:p>
    <w:tbl>
      <w:tblPr>
        <w:tblStyle w:val="36"/>
        <w:tblW w:w="8364" w:type="dxa"/>
        <w:tblInd w:w="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75"/>
        <w:gridCol w:w="2835"/>
        <w:gridCol w:w="2954"/>
      </w:tblGrid>
      <w:tr w14:paraId="69FDA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Align w:val="center"/>
          </w:tcPr>
          <w:p w14:paraId="4B88BADB">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组长</w:t>
            </w:r>
          </w:p>
        </w:tc>
        <w:tc>
          <w:tcPr>
            <w:tcW w:w="2835" w:type="dxa"/>
            <w:vAlign w:val="center"/>
          </w:tcPr>
          <w:p w14:paraId="577541AB">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姓名</w:t>
            </w:r>
          </w:p>
        </w:tc>
        <w:tc>
          <w:tcPr>
            <w:tcW w:w="2954" w:type="dxa"/>
            <w:vAlign w:val="center"/>
          </w:tcPr>
          <w:p w14:paraId="48651C5B">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分工与责任</w:t>
            </w:r>
          </w:p>
        </w:tc>
      </w:tr>
      <w:tr w14:paraId="0DC5B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Merge w:val="restart"/>
            <w:vAlign w:val="center"/>
          </w:tcPr>
          <w:p w14:paraId="427EFA26">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王心怡</w:t>
            </w:r>
          </w:p>
        </w:tc>
        <w:tc>
          <w:tcPr>
            <w:tcW w:w="2835" w:type="dxa"/>
            <w:vAlign w:val="center"/>
          </w:tcPr>
          <w:p w14:paraId="1C4F6D02">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王心怡</w:t>
            </w:r>
          </w:p>
        </w:tc>
        <w:tc>
          <w:tcPr>
            <w:tcW w:w="2954" w:type="dxa"/>
            <w:vAlign w:val="center"/>
          </w:tcPr>
          <w:p w14:paraId="2E159A1A">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项目需求+项目文档+爬虫</w:t>
            </w:r>
          </w:p>
        </w:tc>
      </w:tr>
      <w:tr w14:paraId="1E001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Merge w:val="continue"/>
            <w:vAlign w:val="center"/>
          </w:tcPr>
          <w:p w14:paraId="73FE3163">
            <w:pPr>
              <w:jc w:val="center"/>
              <w:rPr>
                <w:rFonts w:hint="eastAsia" w:asciiTheme="minorEastAsia" w:hAnsiTheme="minorEastAsia" w:eastAsiaTheme="minorEastAsia" w:cstheme="minorEastAsia"/>
                <w:sz w:val="24"/>
              </w:rPr>
            </w:pPr>
          </w:p>
        </w:tc>
        <w:tc>
          <w:tcPr>
            <w:tcW w:w="2835" w:type="dxa"/>
            <w:vAlign w:val="center"/>
          </w:tcPr>
          <w:p w14:paraId="79B99C0C">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钟雯</w:t>
            </w:r>
          </w:p>
        </w:tc>
        <w:tc>
          <w:tcPr>
            <w:tcW w:w="2954" w:type="dxa"/>
            <w:vAlign w:val="center"/>
          </w:tcPr>
          <w:p w14:paraId="60A46694">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数据分析与可视化</w:t>
            </w:r>
          </w:p>
        </w:tc>
      </w:tr>
      <w:tr w14:paraId="46CB7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Merge w:val="continue"/>
            <w:vAlign w:val="center"/>
          </w:tcPr>
          <w:p w14:paraId="0569200D">
            <w:pPr>
              <w:jc w:val="center"/>
              <w:rPr>
                <w:rFonts w:hint="eastAsia" w:asciiTheme="minorEastAsia" w:hAnsiTheme="minorEastAsia" w:eastAsiaTheme="minorEastAsia" w:cstheme="minorEastAsia"/>
                <w:sz w:val="24"/>
              </w:rPr>
            </w:pPr>
          </w:p>
        </w:tc>
        <w:tc>
          <w:tcPr>
            <w:tcW w:w="2835" w:type="dxa"/>
            <w:vAlign w:val="center"/>
          </w:tcPr>
          <w:p w14:paraId="2CFF4FA4">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曹品欢</w:t>
            </w:r>
          </w:p>
        </w:tc>
        <w:tc>
          <w:tcPr>
            <w:tcW w:w="2954" w:type="dxa"/>
            <w:vAlign w:val="center"/>
          </w:tcPr>
          <w:p w14:paraId="599F13E7">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爬虫+数据入库</w:t>
            </w:r>
          </w:p>
        </w:tc>
      </w:tr>
      <w:tr w14:paraId="2A7FE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Merge w:val="continue"/>
            <w:vAlign w:val="center"/>
          </w:tcPr>
          <w:p w14:paraId="0599EC26">
            <w:pPr>
              <w:jc w:val="center"/>
              <w:rPr>
                <w:rFonts w:hint="eastAsia" w:asciiTheme="minorEastAsia" w:hAnsiTheme="minorEastAsia" w:eastAsiaTheme="minorEastAsia" w:cstheme="minorEastAsia"/>
                <w:sz w:val="24"/>
              </w:rPr>
            </w:pPr>
          </w:p>
        </w:tc>
        <w:tc>
          <w:tcPr>
            <w:tcW w:w="2835" w:type="dxa"/>
            <w:vAlign w:val="center"/>
          </w:tcPr>
          <w:p w14:paraId="7D0523D3">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王月霞</w:t>
            </w:r>
          </w:p>
        </w:tc>
        <w:tc>
          <w:tcPr>
            <w:tcW w:w="2954" w:type="dxa"/>
            <w:vAlign w:val="center"/>
          </w:tcPr>
          <w:p w14:paraId="493C546E">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数据合并与清洗</w:t>
            </w:r>
          </w:p>
        </w:tc>
      </w:tr>
      <w:tr w14:paraId="0F874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75" w:type="dxa"/>
            <w:vMerge w:val="continue"/>
            <w:vAlign w:val="center"/>
          </w:tcPr>
          <w:p w14:paraId="07C1C8E7">
            <w:pPr>
              <w:jc w:val="center"/>
              <w:rPr>
                <w:rFonts w:hint="eastAsia" w:asciiTheme="minorEastAsia" w:hAnsiTheme="minorEastAsia" w:eastAsiaTheme="minorEastAsia" w:cstheme="minorEastAsia"/>
                <w:sz w:val="24"/>
              </w:rPr>
            </w:pPr>
          </w:p>
        </w:tc>
        <w:tc>
          <w:tcPr>
            <w:tcW w:w="2835" w:type="dxa"/>
            <w:vAlign w:val="center"/>
          </w:tcPr>
          <w:p w14:paraId="30450D07">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陈玲玲</w:t>
            </w:r>
          </w:p>
        </w:tc>
        <w:tc>
          <w:tcPr>
            <w:tcW w:w="2954" w:type="dxa"/>
            <w:vAlign w:val="center"/>
          </w:tcPr>
          <w:p w14:paraId="6411877A">
            <w:pPr>
              <w:widowControl/>
              <w:jc w:val="center"/>
              <w:textAlignment w:val="center"/>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kern w:val="0"/>
                <w:sz w:val="24"/>
                <w:lang w:bidi="ar"/>
              </w:rPr>
              <w:t>数据可视化+ppt</w:t>
            </w:r>
          </w:p>
        </w:tc>
      </w:tr>
    </w:tbl>
    <w:p w14:paraId="54B617B2">
      <w:pPr>
        <w:pStyle w:val="13"/>
        <w:jc w:val="center"/>
        <w:rPr>
          <w:rFonts w:hint="eastAsia" w:ascii="宋体" w:hAnsi="宋体" w:eastAsia="宋体" w:cs="宋体"/>
          <w:sz w:val="18"/>
          <w:szCs w:val="18"/>
        </w:rPr>
      </w:pPr>
      <w:r>
        <w:rPr>
          <w:rFonts w:hint="eastAsia" w:ascii="宋体" w:hAnsi="宋体" w:eastAsia="宋体" w:cs="宋体"/>
          <w:sz w:val="18"/>
          <w:szCs w:val="18"/>
        </w:rPr>
        <w:t xml:space="preserve">表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表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1</w:t>
      </w:r>
      <w:r>
        <w:rPr>
          <w:rFonts w:hint="eastAsia" w:ascii="宋体" w:hAnsi="宋体" w:eastAsia="宋体" w:cs="宋体"/>
          <w:sz w:val="18"/>
          <w:szCs w:val="18"/>
        </w:rPr>
        <w:fldChar w:fldCharType="end"/>
      </w:r>
      <w:r>
        <w:rPr>
          <w:rFonts w:hint="eastAsia" w:ascii="宋体" w:hAnsi="宋体" w:eastAsia="宋体" w:cs="宋体"/>
          <w:sz w:val="18"/>
          <w:szCs w:val="18"/>
        </w:rPr>
        <w:t xml:space="preserve"> 小组人员及分工</w:t>
      </w:r>
    </w:p>
    <w:p w14:paraId="68B7F7D4">
      <w:pPr>
        <w:spacing w:line="440" w:lineRule="exact"/>
        <w:outlineLvl w:val="9"/>
        <w:rPr>
          <w:rFonts w:hint="eastAsia" w:asciiTheme="majorEastAsia" w:hAnsiTheme="majorEastAsia" w:eastAsiaTheme="majorEastAsia" w:cstheme="majorEastAsia"/>
          <w:b/>
          <w:bCs/>
          <w:sz w:val="28"/>
          <w:szCs w:val="28"/>
        </w:rPr>
      </w:pPr>
      <w:bookmarkStart w:id="945" w:name="_Toc6316"/>
      <w:bookmarkStart w:id="946" w:name="_Toc23678"/>
      <w:r>
        <w:rPr>
          <w:rFonts w:hint="eastAsia" w:asciiTheme="majorEastAsia" w:hAnsiTheme="majorEastAsia" w:eastAsiaTheme="majorEastAsia" w:cstheme="majorEastAsia"/>
          <w:b/>
          <w:bCs/>
          <w:sz w:val="28"/>
          <w:szCs w:val="28"/>
        </w:rPr>
        <w:t>2 需求分析</w:t>
      </w:r>
      <w:bookmarkEnd w:id="945"/>
      <w:bookmarkEnd w:id="946"/>
    </w:p>
    <w:p w14:paraId="74AB7CFE">
      <w:pPr>
        <w:spacing w:line="440" w:lineRule="exact"/>
        <w:ind w:firstLine="480" w:firstLineChars="200"/>
        <w:outlineLvl w:val="9"/>
        <w:rPr>
          <w:rFonts w:hint="eastAsia" w:ascii="宋体" w:hAnsi="宋体" w:cs="宋体"/>
          <w:sz w:val="24"/>
        </w:rPr>
      </w:pPr>
      <w:bookmarkStart w:id="947" w:name="_Toc213"/>
      <w:bookmarkStart w:id="948" w:name="_Toc13256"/>
      <w:r>
        <w:rPr>
          <w:rFonts w:hint="eastAsia" w:ascii="宋体" w:hAnsi="宋体" w:cs="宋体"/>
          <w:sz w:val="24"/>
        </w:rPr>
        <w:t>2.1 系统需求分析</w:t>
      </w:r>
      <w:bookmarkEnd w:id="947"/>
      <w:bookmarkEnd w:id="948"/>
    </w:p>
    <w:p w14:paraId="71E71B93">
      <w:pPr>
        <w:spacing w:line="440" w:lineRule="exact"/>
        <w:ind w:firstLine="480" w:firstLineChars="200"/>
        <w:outlineLvl w:val="9"/>
        <w:rPr>
          <w:rFonts w:hint="eastAsia" w:ascii="宋体" w:hAnsi="宋体" w:cs="宋体"/>
          <w:sz w:val="24"/>
        </w:rPr>
      </w:pPr>
      <w:r>
        <w:rPr>
          <w:rFonts w:ascii="宋体" w:hAnsi="宋体" w:cs="宋体"/>
          <w:sz w:val="24"/>
        </w:rPr>
        <w:t>本项目的系统需求围绕数据全流程处理的各环节展开，形成了覆盖数据采集、处理、存储、分析、可视化的完整需求体系。数据采集需求明确，需爬取</w:t>
      </w:r>
      <w:r>
        <w:rPr>
          <w:rFonts w:hint="eastAsia" w:ascii="宋体" w:hAnsi="宋体" w:cs="宋体"/>
          <w:sz w:val="24"/>
        </w:rPr>
        <w:t>某影视平台</w:t>
      </w:r>
      <w:r>
        <w:rPr>
          <w:rFonts w:ascii="宋体" w:hAnsi="宋体" w:cs="宋体"/>
          <w:sz w:val="24"/>
        </w:rPr>
        <w:t>公开API接口数据，覆盖剧情、喜剧、动作、爱情等全品类电影类型，总计爬取数据量达2000余条，其中主流类型电影样本量不低于100条，小众类型样本量不低于20条，以保证数据的代表性与覆盖面；爬取数据的时间范围需涵盖19</w:t>
      </w:r>
      <w:r>
        <w:rPr>
          <w:rFonts w:hint="eastAsia" w:ascii="宋体" w:hAnsi="宋体" w:cs="宋体"/>
          <w:sz w:val="24"/>
        </w:rPr>
        <w:t>20</w:t>
      </w:r>
      <w:r>
        <w:rPr>
          <w:rFonts w:ascii="宋体" w:hAnsi="宋体" w:cs="宋体"/>
          <w:sz w:val="24"/>
        </w:rPr>
        <w:t>年至202</w:t>
      </w:r>
      <w:r>
        <w:rPr>
          <w:rFonts w:hint="eastAsia" w:ascii="宋体" w:hAnsi="宋体" w:cs="宋体"/>
          <w:sz w:val="24"/>
        </w:rPr>
        <w:t>5</w:t>
      </w:r>
      <w:r>
        <w:rPr>
          <w:rFonts w:ascii="宋体" w:hAnsi="宋体" w:cs="宋体"/>
          <w:sz w:val="24"/>
        </w:rPr>
        <w:t>年上映的电影，确保数据能够反映不同年代电影的特征。数据处理需求聚焦于提升数据质量，要求对爬取的原始数据进行全面清洗，包括去重、缺失值处理、格式标准化、异常值过滤等操作，最终生成不少于1</w:t>
      </w:r>
      <w:r>
        <w:rPr>
          <w:rFonts w:hint="eastAsia" w:ascii="宋体" w:hAnsi="宋体" w:cs="宋体"/>
          <w:sz w:val="24"/>
        </w:rPr>
        <w:t>2</w:t>
      </w:r>
      <w:r>
        <w:rPr>
          <w:rFonts w:ascii="宋体" w:hAnsi="宋体" w:cs="宋体"/>
          <w:sz w:val="24"/>
        </w:rPr>
        <w:t>00条有效数据，为后续分析工作奠定坚实基础。数据存储需求兼顾灵活性与结构化，要求爬取的数据统一存储为JSON/Excel格式，字段命名规范统一，同时支持将清洗后的数据导入MySQL数据库，实现数据的高效查询与管理。数据分析需求明确了9个核心分析方向，包括电影评分的整体分布特征、Top10地区电影数量及平均评分差异、电影上映年份区间数量变化趋势、评分-热度综合指数TOP20电影、演员参演作品总数TOP20、演员参演作品类型多样性、不同年代电影经典度、不同电影类型平均评分对比以及投票数区间与电影评分的相关性，全面挖掘数据的内在价值。可视化需求强调图表的实用性与直观性，要求生成的图表包含清晰的标题、坐标轴标签及关键数据标注，能够准确传达数据分析结论，便于用户理解与使用。</w:t>
      </w:r>
    </w:p>
    <w:p w14:paraId="4A19C79E">
      <w:pPr>
        <w:tabs>
          <w:tab w:val="left" w:pos="1584"/>
        </w:tabs>
        <w:jc w:val="center"/>
        <w:outlineLvl w:val="9"/>
      </w:pPr>
      <w:r>
        <w:drawing>
          <wp:inline distT="0" distB="0" distL="114300" distR="114300">
            <wp:extent cx="5273040" cy="2635885"/>
            <wp:effectExtent l="0" t="0" r="3810" b="12065"/>
            <wp:docPr id="6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3"/>
                    <pic:cNvPicPr>
                      <a:picLocks noChangeAspect="1"/>
                    </pic:cNvPicPr>
                  </pic:nvPicPr>
                  <pic:blipFill>
                    <a:blip r:embed="rId376"/>
                    <a:stretch>
                      <a:fillRect/>
                    </a:stretch>
                  </pic:blipFill>
                  <pic:spPr>
                    <a:xfrm>
                      <a:off x="0" y="0"/>
                      <a:ext cx="5273040" cy="2635885"/>
                    </a:xfrm>
                    <a:prstGeom prst="rect">
                      <a:avLst/>
                    </a:prstGeom>
                    <a:noFill/>
                    <a:ln>
                      <a:noFill/>
                    </a:ln>
                  </pic:spPr>
                </pic:pic>
              </a:graphicData>
            </a:graphic>
          </wp:inline>
        </w:drawing>
      </w:r>
    </w:p>
    <w:p w14:paraId="5A0BE3EB">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2</w:t>
      </w:r>
      <w:r>
        <w:rPr>
          <w:rFonts w:hint="eastAsia" w:ascii="宋体" w:hAnsi="宋体" w:eastAsia="宋体" w:cs="宋体"/>
          <w:sz w:val="18"/>
          <w:szCs w:val="18"/>
        </w:rPr>
        <w:fldChar w:fldCharType="end"/>
      </w:r>
      <w:r>
        <w:rPr>
          <w:rFonts w:hint="eastAsia" w:ascii="宋体" w:hAnsi="宋体" w:eastAsia="宋体" w:cs="宋体"/>
          <w:sz w:val="18"/>
          <w:szCs w:val="18"/>
        </w:rPr>
        <w:t xml:space="preserve"> 清洗前的数据</w:t>
      </w:r>
    </w:p>
    <w:p w14:paraId="1533A150">
      <w:pPr>
        <w:jc w:val="center"/>
      </w:pPr>
      <w:r>
        <w:drawing>
          <wp:inline distT="0" distB="0" distL="114300" distR="114300">
            <wp:extent cx="5271135" cy="2708275"/>
            <wp:effectExtent l="0" t="0" r="5715" b="15875"/>
            <wp:docPr id="6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4"/>
                    <pic:cNvPicPr>
                      <a:picLocks noChangeAspect="1"/>
                    </pic:cNvPicPr>
                  </pic:nvPicPr>
                  <pic:blipFill>
                    <a:blip r:embed="rId377"/>
                    <a:stretch>
                      <a:fillRect/>
                    </a:stretch>
                  </pic:blipFill>
                  <pic:spPr>
                    <a:xfrm>
                      <a:off x="0" y="0"/>
                      <a:ext cx="5271135" cy="2708275"/>
                    </a:xfrm>
                    <a:prstGeom prst="rect">
                      <a:avLst/>
                    </a:prstGeom>
                    <a:noFill/>
                    <a:ln>
                      <a:noFill/>
                    </a:ln>
                  </pic:spPr>
                </pic:pic>
              </a:graphicData>
            </a:graphic>
          </wp:inline>
        </w:drawing>
      </w:r>
    </w:p>
    <w:p w14:paraId="78C045F6">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3</w:t>
      </w:r>
      <w:r>
        <w:rPr>
          <w:rFonts w:hint="eastAsia" w:ascii="宋体" w:hAnsi="宋体" w:eastAsia="宋体" w:cs="宋体"/>
          <w:sz w:val="18"/>
          <w:szCs w:val="18"/>
        </w:rPr>
        <w:fldChar w:fldCharType="end"/>
      </w:r>
      <w:r>
        <w:rPr>
          <w:rFonts w:hint="eastAsia" w:ascii="宋体" w:hAnsi="宋体" w:eastAsia="宋体" w:cs="宋体"/>
          <w:sz w:val="18"/>
          <w:szCs w:val="18"/>
        </w:rPr>
        <w:t xml:space="preserve"> 清洗后的数据</w:t>
      </w:r>
    </w:p>
    <w:p w14:paraId="0348EEA6">
      <w:pPr>
        <w:spacing w:line="440" w:lineRule="exact"/>
        <w:ind w:firstLine="480" w:firstLineChars="200"/>
        <w:outlineLvl w:val="9"/>
        <w:rPr>
          <w:rFonts w:hint="eastAsia" w:ascii="宋体" w:hAnsi="宋体" w:cs="宋体"/>
          <w:sz w:val="24"/>
        </w:rPr>
      </w:pPr>
      <w:bookmarkStart w:id="949" w:name="_Toc16868"/>
      <w:bookmarkStart w:id="950" w:name="_Toc8402"/>
      <w:r>
        <w:rPr>
          <w:rFonts w:hint="eastAsia" w:ascii="宋体" w:hAnsi="宋体" w:cs="宋体"/>
          <w:sz w:val="24"/>
        </w:rPr>
        <w:t>2.2 可行性分析</w:t>
      </w:r>
      <w:bookmarkEnd w:id="949"/>
      <w:bookmarkEnd w:id="950"/>
    </w:p>
    <w:p w14:paraId="1FF80895">
      <w:pPr>
        <w:spacing w:line="440" w:lineRule="exact"/>
        <w:ind w:firstLine="480" w:firstLineChars="200"/>
        <w:outlineLvl w:val="9"/>
        <w:rPr>
          <w:rFonts w:hint="eastAsia" w:ascii="宋体" w:hAnsi="宋体" w:cs="宋体"/>
          <w:sz w:val="24"/>
        </w:rPr>
      </w:pPr>
      <w:r>
        <w:rPr>
          <w:rFonts w:ascii="宋体" w:hAnsi="宋体" w:cs="宋体"/>
          <w:sz w:val="24"/>
        </w:rPr>
        <w:t>本项目的可行性从技术、数据、经济、操作四个维度进行综合评估，结果表明项目具备明确的实施基础与可操作性。技术可行性方面，项目选用的Python+urllib、pandas、MySQL、Matplotlib等技术栈均为数据分析领域的成熟方案，相关技术的应用场景与项目需求高度契合。各环节技术选型均贴合课程所学核心内容，避开了过于复杂的技术框架，聚焦基础核心技术的综合运用，符合项目的技术定位与实施条件，技术门槛适中，项目小组成员能够通过现有技术储备完成相应工作。数据可行性方面，数据来源为</w:t>
      </w:r>
      <w:r>
        <w:rPr>
          <w:rFonts w:hint="eastAsia" w:ascii="宋体" w:hAnsi="宋体" w:cs="宋体"/>
          <w:sz w:val="24"/>
        </w:rPr>
        <w:t>某影视平台</w:t>
      </w:r>
      <w:r>
        <w:rPr>
          <w:rFonts w:ascii="宋体" w:hAnsi="宋体" w:cs="宋体"/>
          <w:sz w:val="24"/>
        </w:rPr>
        <w:t>公开的官方API接口，该接口提供结构化的电影数据，包含电影ID、标题、评分、演员、类型等核心字段，数据权威性与合规性有保障；接口访问无需复杂权限申请，数据获取路径清晰，能够满足项目对数据量、数据类型及数据质量的基本要求。经济可行性方面，项目所需的开发工具均为开源免费软件，Python语言及相关库、MySQL数据库等无需支付任何费用，本地存储与计算无需额外硬件设备投入，项目实施过程中无直接经济成本，符合课程实践项目的资源条件。操作可行性方面，项目整体流程遵循 “爬取 - 存储 - 清洗 - 入库 - 分析 - 可视化” 的逻辑展开，各环节目标明确、衔接顺畅，可按步骤分阶段推进；小组分工清晰，成员职责明确，能够通过协作高效完成各阶段任务，同时项目各环节的操作步骤具有较强的规范性与可重复性，便于过程管控与成果校验。</w:t>
      </w:r>
    </w:p>
    <w:p w14:paraId="096E1167">
      <w:pPr>
        <w:spacing w:line="440" w:lineRule="exact"/>
        <w:ind w:firstLine="480" w:firstLineChars="200"/>
        <w:outlineLvl w:val="9"/>
        <w:rPr>
          <w:rFonts w:hint="eastAsia" w:ascii="宋体" w:hAnsi="宋体" w:cs="宋体"/>
          <w:b/>
          <w:bCs/>
          <w:sz w:val="24"/>
        </w:rPr>
      </w:pPr>
      <w:bookmarkStart w:id="951" w:name="_Toc20065"/>
      <w:bookmarkStart w:id="952" w:name="_Toc24016"/>
      <w:r>
        <w:rPr>
          <w:rFonts w:hint="eastAsia" w:ascii="宋体" w:hAnsi="宋体" w:cs="宋体"/>
          <w:sz w:val="24"/>
        </w:rPr>
        <w:t xml:space="preserve">2.3 </w:t>
      </w:r>
      <w:r>
        <w:rPr>
          <w:rFonts w:ascii="宋体" w:hAnsi="宋体" w:cs="宋体"/>
          <w:sz w:val="24"/>
        </w:rPr>
        <w:t>数据场景与范围</w:t>
      </w:r>
      <w:bookmarkEnd w:id="951"/>
      <w:bookmarkEnd w:id="952"/>
    </w:p>
    <w:p w14:paraId="5E9E5BA8">
      <w:pPr>
        <w:spacing w:line="440" w:lineRule="exact"/>
        <w:ind w:firstLine="480" w:firstLineChars="200"/>
        <w:outlineLvl w:val="9"/>
        <w:rPr>
          <w:rFonts w:hint="eastAsia" w:ascii="宋体" w:hAnsi="宋体" w:cs="宋体"/>
          <w:sz w:val="24"/>
        </w:rPr>
      </w:pPr>
      <w:r>
        <w:rPr>
          <w:rFonts w:ascii="宋体" w:hAnsi="宋体" w:cs="宋体"/>
          <w:sz w:val="24"/>
        </w:rPr>
        <w:t>本项目爬取的</w:t>
      </w:r>
      <w:r>
        <w:rPr>
          <w:rFonts w:hint="eastAsia" w:ascii="宋体" w:hAnsi="宋体" w:cs="宋体"/>
          <w:sz w:val="24"/>
        </w:rPr>
        <w:t>某影视</w:t>
      </w:r>
      <w:r>
        <w:rPr>
          <w:rFonts w:ascii="宋体" w:hAnsi="宋体" w:cs="宋体"/>
          <w:sz w:val="24"/>
        </w:rPr>
        <w:t>电影多类型数据具有广泛的应用场景，能够为不同用户群体提供有价值的参考。在影视行业趋势分析场景中，通过分析不同类型电影的评分分布、热度变化及上映年份趋势，可为影视行业研究者提供行业发展的客观数据支撑，助力其把握行业发展脉络。在用户偏好研究场景中，挖掘观众对不同类型、不同地区电影的偏好特征，能够为影视制作方提供题材选择、内容创作的决策依据，提升作品的市场适配度。在影视投资决策参考场景中，基于高口碑、高热度电影的特征分析，可为投资方筛选优质项目提供数据参考，降低投资风险。在平台内容运营场景中，通过分析电影的核心特征与用户偏好，能够为平台内容推荐算法优化提供数据支撑，提升用户体验。</w:t>
      </w:r>
    </w:p>
    <w:p w14:paraId="7C2F218E">
      <w:pPr>
        <w:spacing w:line="440" w:lineRule="exact"/>
        <w:ind w:firstLine="480" w:firstLineChars="200"/>
        <w:rPr>
          <w:rFonts w:hint="eastAsia" w:ascii="宋体" w:hAnsi="宋体" w:cs="宋体"/>
          <w:sz w:val="24"/>
        </w:rPr>
      </w:pPr>
      <w:r>
        <w:rPr>
          <w:rFonts w:ascii="宋体" w:hAnsi="宋体" w:cs="宋体"/>
          <w:sz w:val="24"/>
        </w:rPr>
        <w:t>数据来源明确限定为</w:t>
      </w:r>
      <w:r>
        <w:rPr>
          <w:rFonts w:hint="eastAsia" w:ascii="宋体" w:hAnsi="宋体" w:cs="宋体"/>
          <w:sz w:val="24"/>
        </w:rPr>
        <w:t>某影视平台</w:t>
      </w:r>
      <w:r>
        <w:rPr>
          <w:rFonts w:ascii="宋体" w:hAnsi="宋体" w:cs="宋体"/>
          <w:sz w:val="24"/>
        </w:rPr>
        <w:t>公开的官方API接口，该接口为</w:t>
      </w:r>
      <w:r>
        <w:rPr>
          <w:rFonts w:hint="eastAsia" w:ascii="宋体" w:hAnsi="宋体" w:cs="宋体"/>
          <w:sz w:val="24"/>
        </w:rPr>
        <w:t>该</w:t>
      </w:r>
      <w:r>
        <w:rPr>
          <w:rFonts w:ascii="宋体" w:hAnsi="宋体" w:cs="宋体"/>
          <w:sz w:val="24"/>
        </w:rPr>
        <w:t>平台对外开放的数据接口，数据权威性与合规性有保障，避免了使用非正规渠道数据带来的法律风险与数据质量问题。数据类型覆盖电影</w:t>
      </w:r>
      <w:r>
        <w:rPr>
          <w:rFonts w:hint="eastAsia" w:ascii="宋体" w:hAnsi="宋体" w:cs="宋体"/>
          <w:sz w:val="24"/>
        </w:rPr>
        <w:t>平台</w:t>
      </w:r>
      <w:r>
        <w:rPr>
          <w:rFonts w:ascii="宋体" w:hAnsi="宋体" w:cs="宋体"/>
          <w:sz w:val="24"/>
        </w:rPr>
        <w:t>的全品类官方分类，包括剧情、喜剧、动作、爱情、科幻、悬疑、惊悚、动画等，同时涵盖黑色电影、武侠等小众类型，确保数据的全面性。数据数量总计爬取2020条，按各类型电影的市场占比分配爬取数量，主流类型样本量不低于100条，小众类型样本量不低于20条，保证了数据的代表性。数据时间范围从19</w:t>
      </w:r>
      <w:r>
        <w:rPr>
          <w:rFonts w:hint="eastAsia" w:ascii="宋体" w:hAnsi="宋体" w:cs="宋体"/>
          <w:sz w:val="24"/>
        </w:rPr>
        <w:t>20</w:t>
      </w:r>
      <w:r>
        <w:rPr>
          <w:rFonts w:ascii="宋体" w:hAnsi="宋体" w:cs="宋体"/>
          <w:sz w:val="24"/>
        </w:rPr>
        <w:t>年至2025年，涵盖近百年的电影数据，能够反映不同年代电影的发展特征与变化趋势。数据获取严格遵守合规性要求，仅爬取</w:t>
      </w:r>
      <w:r>
        <w:rPr>
          <w:rFonts w:hint="eastAsia" w:ascii="宋体" w:hAnsi="宋体" w:cs="宋体"/>
          <w:sz w:val="24"/>
        </w:rPr>
        <w:t>该</w:t>
      </w:r>
      <w:r>
        <w:rPr>
          <w:rFonts w:ascii="宋体" w:hAnsi="宋体" w:cs="宋体"/>
          <w:sz w:val="24"/>
        </w:rPr>
        <w:t>平台公开的非隐私数据，不涉及用户个人信息、付费内容等受限数据，符合网络爬虫的相关规范与平台的使用协议。</w:t>
      </w:r>
    </w:p>
    <w:p w14:paraId="37274982">
      <w:pPr>
        <w:spacing w:line="440" w:lineRule="exact"/>
        <w:ind w:firstLine="480" w:firstLineChars="200"/>
        <w:outlineLvl w:val="9"/>
        <w:rPr>
          <w:rFonts w:hint="eastAsia" w:ascii="宋体" w:hAnsi="宋体" w:cs="宋体"/>
          <w:b/>
          <w:bCs/>
          <w:sz w:val="24"/>
        </w:rPr>
      </w:pPr>
      <w:bookmarkStart w:id="953" w:name="_Toc6228"/>
      <w:bookmarkStart w:id="954" w:name="_Toc28862"/>
      <w:r>
        <w:rPr>
          <w:rFonts w:hint="eastAsia" w:ascii="宋体" w:hAnsi="宋体" w:cs="宋体"/>
          <w:sz w:val="24"/>
        </w:rPr>
        <w:t>2.4</w:t>
      </w:r>
      <w:r>
        <w:rPr>
          <w:rFonts w:ascii="宋体" w:hAnsi="宋体" w:cs="宋体"/>
          <w:sz w:val="24"/>
        </w:rPr>
        <w:t>核心字段定义</w:t>
      </w:r>
      <w:bookmarkEnd w:id="953"/>
      <w:bookmarkEnd w:id="954"/>
    </w:p>
    <w:p w14:paraId="793BE30E">
      <w:pPr>
        <w:spacing w:line="440" w:lineRule="exact"/>
        <w:ind w:firstLine="480" w:firstLineChars="200"/>
        <w:outlineLvl w:val="9"/>
        <w:rPr>
          <w:rFonts w:hint="eastAsia" w:ascii="宋体" w:hAnsi="宋体" w:cs="宋体"/>
          <w:sz w:val="24"/>
        </w:rPr>
      </w:pPr>
      <w:r>
        <w:rPr>
          <w:rFonts w:ascii="宋体" w:hAnsi="宋体" w:cs="宋体"/>
          <w:sz w:val="24"/>
        </w:rPr>
        <w:t>结合影视行业的数据特征与项目分析需求，本项目定义了一套完整的核心爬取字段，字段设置丰富且贴合行业标准，能够满足多维度数据分析的需求。id字段为电影唯一标识，用于区分不同电影，是数据去重操作的核心依据，确保每条记录的唯一性。电影名称（title）字段记录电影的官方中文名称，是电影的核心标识信息，便于用户识别电影。排名（rank）字段反映电影在榜单中的排名情况，能够在一定程度上体现电影的热度与受欢迎程度。投票数（vote_count</w:t>
      </w:r>
      <w:r>
        <w:rPr>
          <w:rFonts w:hint="eastAsia" w:ascii="宋体" w:hAnsi="宋体" w:cs="宋体"/>
          <w:sz w:val="24"/>
        </w:rPr>
        <w:t>er</w:t>
      </w:r>
      <w:r>
        <w:rPr>
          <w:rFonts w:ascii="宋体" w:hAnsi="宋体" w:cs="宋体"/>
          <w:sz w:val="24"/>
        </w:rPr>
        <w:t>）字段记录用户对电影的评分投票总数，是衡量电影关注度与影响力的重要指标。主演名称（actors）字段列出电影的主要演员信息，为分析演员活跃度与戏路多样性提供数据支持。影片类型（types）字段标注电影所属的类型分类，是分析不同类型电影特征与用户偏好的核心字段。上映地区（regions）字段记录电影的上映地区或国家，用于探究不同地区电影的产出情况与口碑差异。上映年份（release_year）字段为衍生字段，从上映日期中提取4位年份信息，便于按年份维度分析电影的发展趋势。评分（score）字段记录用户对电影的综合评分，是衡量电影口碑质量的核心指标。上映日期（release_date）字段记录电影的原始上映日期，为提取上映年份及分析电影年代特征提供基础数据。封面链接（cover_url）和</w:t>
      </w:r>
      <w:r>
        <w:rPr>
          <w:rFonts w:hint="eastAsia" w:ascii="宋体" w:hAnsi="宋体" w:cs="宋体"/>
          <w:sz w:val="24"/>
        </w:rPr>
        <w:t>平台</w:t>
      </w:r>
      <w:r>
        <w:rPr>
          <w:rFonts w:ascii="宋体" w:hAnsi="宋体" w:cs="宋体"/>
          <w:sz w:val="24"/>
        </w:rPr>
        <w:t>链接（url）字段分别记录电影封面图片链接与</w:t>
      </w:r>
      <w:r>
        <w:rPr>
          <w:rFonts w:hint="eastAsia" w:ascii="宋体" w:hAnsi="宋体" w:cs="宋体"/>
          <w:sz w:val="24"/>
        </w:rPr>
        <w:t>平台</w:t>
      </w:r>
      <w:r>
        <w:rPr>
          <w:rFonts w:ascii="宋体" w:hAnsi="宋体" w:cs="宋体"/>
          <w:sz w:val="24"/>
        </w:rPr>
        <w:t>详情页链接，为数据溯源提供支持。</w:t>
      </w:r>
    </w:p>
    <w:p w14:paraId="09828055">
      <w:pPr>
        <w:tabs>
          <w:tab w:val="left" w:pos="1584"/>
        </w:tabs>
        <w:jc w:val="center"/>
        <w:outlineLvl w:val="9"/>
      </w:pPr>
      <w:r>
        <w:drawing>
          <wp:inline distT="0" distB="0" distL="114300" distR="114300">
            <wp:extent cx="5269230" cy="1206500"/>
            <wp:effectExtent l="0" t="0" r="7620" b="12700"/>
            <wp:docPr id="6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5"/>
                    <pic:cNvPicPr>
                      <a:picLocks noChangeAspect="1"/>
                    </pic:cNvPicPr>
                  </pic:nvPicPr>
                  <pic:blipFill>
                    <a:blip r:embed="rId378"/>
                    <a:stretch>
                      <a:fillRect/>
                    </a:stretch>
                  </pic:blipFill>
                  <pic:spPr>
                    <a:xfrm>
                      <a:off x="0" y="0"/>
                      <a:ext cx="5269230" cy="1206500"/>
                    </a:xfrm>
                    <a:prstGeom prst="rect">
                      <a:avLst/>
                    </a:prstGeom>
                    <a:noFill/>
                    <a:ln>
                      <a:noFill/>
                    </a:ln>
                  </pic:spPr>
                </pic:pic>
              </a:graphicData>
            </a:graphic>
          </wp:inline>
        </w:drawing>
      </w:r>
    </w:p>
    <w:p w14:paraId="6E81F440">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4</w:t>
      </w:r>
      <w:r>
        <w:rPr>
          <w:rFonts w:hint="eastAsia" w:ascii="宋体" w:hAnsi="宋体" w:eastAsia="宋体" w:cs="宋体"/>
          <w:sz w:val="18"/>
          <w:szCs w:val="18"/>
        </w:rPr>
        <w:fldChar w:fldCharType="end"/>
      </w:r>
      <w:r>
        <w:rPr>
          <w:rFonts w:hint="eastAsia" w:ascii="宋体" w:hAnsi="宋体" w:eastAsia="宋体" w:cs="宋体"/>
          <w:sz w:val="18"/>
          <w:szCs w:val="18"/>
        </w:rPr>
        <w:t xml:space="preserve"> 核心字段</w:t>
      </w:r>
    </w:p>
    <w:p w14:paraId="0A841E02">
      <w:pPr>
        <w:spacing w:line="440" w:lineRule="exact"/>
        <w:outlineLvl w:val="9"/>
        <w:rPr>
          <w:b/>
          <w:bCs/>
          <w:sz w:val="28"/>
          <w:szCs w:val="28"/>
        </w:rPr>
      </w:pPr>
      <w:bookmarkStart w:id="955" w:name="_Toc4359"/>
      <w:bookmarkStart w:id="956" w:name="_Toc6033"/>
      <w:r>
        <w:rPr>
          <w:rFonts w:hint="eastAsia"/>
          <w:b/>
          <w:bCs/>
          <w:sz w:val="28"/>
          <w:szCs w:val="28"/>
        </w:rPr>
        <w:t>3系统设计</w:t>
      </w:r>
      <w:bookmarkEnd w:id="955"/>
      <w:bookmarkEnd w:id="956"/>
    </w:p>
    <w:p w14:paraId="0E3AE39B">
      <w:pPr>
        <w:spacing w:line="440" w:lineRule="exact"/>
        <w:ind w:firstLine="480" w:firstLineChars="200"/>
        <w:outlineLvl w:val="9"/>
        <w:rPr>
          <w:rFonts w:hint="default" w:ascii="宋体" w:hAnsi="宋体" w:cs="宋体" w:eastAsiaTheme="minorEastAsia"/>
          <w:sz w:val="24"/>
          <w:lang w:val="en-US" w:eastAsia="zh-CN"/>
        </w:rPr>
      </w:pPr>
      <w:r>
        <w:rPr>
          <w:rFonts w:hint="eastAsia" w:ascii="宋体" w:hAnsi="宋体" w:cs="宋体"/>
          <w:sz w:val="24"/>
          <w:lang w:val="en-US" w:eastAsia="zh-CN"/>
        </w:rPr>
        <w:t>3.1可视化成果</w:t>
      </w:r>
    </w:p>
    <w:p w14:paraId="39F6C260">
      <w:pPr>
        <w:spacing w:line="440" w:lineRule="exact"/>
        <w:ind w:firstLine="480" w:firstLineChars="200"/>
        <w:outlineLvl w:val="9"/>
        <w:rPr>
          <w:rFonts w:hint="eastAsia" w:asciiTheme="majorEastAsia" w:hAnsiTheme="majorEastAsia" w:eastAsiaTheme="majorEastAsia"/>
          <w:sz w:val="24"/>
        </w:rPr>
      </w:pPr>
      <w:r>
        <w:rPr>
          <w:rFonts w:asciiTheme="majorEastAsia" w:hAnsiTheme="majorEastAsia" w:eastAsiaTheme="majorEastAsia"/>
          <w:sz w:val="24"/>
        </w:rPr>
        <w:t>本次数据分析围绕</w:t>
      </w:r>
      <w:r>
        <w:rPr>
          <w:rFonts w:hint="eastAsia" w:asciiTheme="majorEastAsia" w:hAnsiTheme="majorEastAsia" w:eastAsiaTheme="majorEastAsia"/>
          <w:sz w:val="24"/>
        </w:rPr>
        <w:t>某影视平台</w:t>
      </w:r>
      <w:r>
        <w:rPr>
          <w:rFonts w:asciiTheme="majorEastAsia" w:hAnsiTheme="majorEastAsia" w:eastAsiaTheme="majorEastAsia"/>
          <w:sz w:val="24"/>
        </w:rPr>
        <w:t>数据的核心特征与内在规律，设定了九个核心分析目标，全面覆盖电影评分、地区分布、上映趋势、演员特征、类型偏好等关键维度。第一个目标是分析</w:t>
      </w:r>
      <w:r>
        <w:rPr>
          <w:rFonts w:hint="eastAsia" w:asciiTheme="majorEastAsia" w:hAnsiTheme="majorEastAsia" w:eastAsiaTheme="majorEastAsia"/>
          <w:sz w:val="24"/>
        </w:rPr>
        <w:t>某影视平台</w:t>
      </w:r>
      <w:r>
        <w:rPr>
          <w:rFonts w:asciiTheme="majorEastAsia" w:hAnsiTheme="majorEastAsia" w:eastAsiaTheme="majorEastAsia"/>
          <w:sz w:val="24"/>
        </w:rPr>
        <w:t>评分的整体分布特征，包括评分的集中区间、均值、中位数等关键统计指标，探究用户对电影的评分规律。第二个目标是对比Top10地区的电影数量及平均评分差异，识别优质电影的主要产出地区，分析不同地区电影的口碑表现。第三个目标是探究电影上映年份区间的数量变化趋势，明确电影产业的发展高峰期，揭示行业发展规律。第四个目标是计算电影评分-热度综合指数，筛选出TOP20高口碑高热度电影，分析这类电影的共同特征与地区分布。第五个目标是统计演员参演作品总数TOP20，评估演员的行业活跃度，分析高产演员的地区分布特征。第六个目标是分析演员参演作品类型的多样性，识别戏路最广的演员，探究优质演员的演技全面性。第七个目标是评估不同年代电影的经典度，挖掘跨时代的经典作品，分析早期电影的艺术价值。第八个目标是对比不同电影类型的平均评分，分析观众对各类类型片的偏好差异，揭示高口碑类型片的特征。第九个目标是探究投票数区间与电影评分的相关性，验证“高投票是否意味着高评分”的假设，分析电影关注度与口碑的关系。</w:t>
      </w:r>
    </w:p>
    <w:p w14:paraId="4A8BBAE9">
      <w:pPr>
        <w:spacing w:line="440" w:lineRule="exact"/>
        <w:ind w:firstLine="480" w:firstLineChars="200"/>
        <w:outlineLvl w:val="9"/>
        <w:rPr>
          <w:rFonts w:hint="eastAsia" w:asciiTheme="majorEastAsia" w:hAnsiTheme="majorEastAsia" w:eastAsiaTheme="majorEastAsia"/>
          <w:b/>
          <w:bCs/>
          <w:sz w:val="24"/>
        </w:rPr>
      </w:pPr>
      <w:bookmarkStart w:id="957" w:name="_Toc13344"/>
      <w:bookmarkStart w:id="958" w:name="_Toc2355"/>
      <w:r>
        <w:rPr>
          <w:rFonts w:hint="eastAsia" w:asciiTheme="majorEastAsia" w:hAnsiTheme="majorEastAsia" w:eastAsiaTheme="majorEastAsia"/>
          <w:sz w:val="24"/>
          <w:lang w:val="en-US" w:eastAsia="zh-CN"/>
        </w:rPr>
        <w:t>3</w:t>
      </w:r>
      <w:r>
        <w:rPr>
          <w:rFonts w:hint="eastAsia" w:asciiTheme="majorEastAsia" w:hAnsiTheme="majorEastAsia" w:eastAsiaTheme="majorEastAsia"/>
          <w:sz w:val="24"/>
        </w:rPr>
        <w:t>.2</w:t>
      </w:r>
      <w:r>
        <w:rPr>
          <w:rFonts w:asciiTheme="majorEastAsia" w:hAnsiTheme="majorEastAsia" w:eastAsiaTheme="majorEastAsia"/>
          <w:sz w:val="24"/>
        </w:rPr>
        <w:t>核心分析结果</w:t>
      </w:r>
      <w:bookmarkEnd w:id="957"/>
      <w:bookmarkEnd w:id="958"/>
    </w:p>
    <w:p w14:paraId="6D8E54E8">
      <w:pPr>
        <w:spacing w:line="440" w:lineRule="exact"/>
        <w:ind w:firstLine="480" w:firstLineChars="200"/>
        <w:outlineLvl w:val="9"/>
        <w:rPr>
          <w:rFonts w:hint="eastAsia" w:asciiTheme="minorEastAsia" w:hAnsiTheme="minorEastAsia" w:eastAsiaTheme="minorEastAsia"/>
          <w:sz w:val="24"/>
        </w:rPr>
      </w:pPr>
      <w:r>
        <w:rPr>
          <w:rFonts w:asciiTheme="minorEastAsia" w:hAnsiTheme="minorEastAsia" w:eastAsiaTheme="minorEastAsia"/>
          <w:sz w:val="24"/>
        </w:rPr>
        <w:t>通过对清洗后1340条有效数据的深入分析，九个核心目标均得到明确结论。</w:t>
      </w:r>
      <w:r>
        <w:rPr>
          <w:rFonts w:hint="eastAsia" w:asciiTheme="minorEastAsia" w:hAnsiTheme="minorEastAsia" w:eastAsiaTheme="minorEastAsia"/>
          <w:sz w:val="24"/>
        </w:rPr>
        <w:t>该平台</w:t>
      </w:r>
      <w:r>
        <w:rPr>
          <w:rFonts w:asciiTheme="minorEastAsia" w:hAnsiTheme="minorEastAsia" w:eastAsiaTheme="minorEastAsia"/>
          <w:sz w:val="24"/>
        </w:rPr>
        <w:t>电影评分的整体分布呈现“中间高、两端低”的正态分布特征，评分均值与中位数均为8.6，多数电影评分集中在8.0-9.0区间，其中8.</w:t>
      </w:r>
      <w:r>
        <w:rPr>
          <w:rFonts w:hint="eastAsia" w:asciiTheme="minorEastAsia" w:hAnsiTheme="minorEastAsia" w:eastAsiaTheme="minorEastAsia"/>
          <w:sz w:val="24"/>
        </w:rPr>
        <w:t>6</w:t>
      </w:r>
      <w:r>
        <w:rPr>
          <w:rFonts w:asciiTheme="minorEastAsia" w:hAnsiTheme="minorEastAsia" w:eastAsiaTheme="minorEastAsia"/>
          <w:sz w:val="24"/>
        </w:rPr>
        <w:t>分区间的电影数量最多，达229部，7.0分以下及10.0分区间的电影数量均为0，反映出用户对优质电影的评分较为集中且理性，无极端评分扎堆现象。</w:t>
      </w:r>
    </w:p>
    <w:p w14:paraId="085C4770">
      <w:pPr>
        <w:tabs>
          <w:tab w:val="left" w:pos="1584"/>
        </w:tabs>
        <w:jc w:val="center"/>
        <w:outlineLvl w:val="9"/>
        <w:rPr>
          <w:rFonts w:eastAsiaTheme="minorEastAsia"/>
        </w:rPr>
      </w:pPr>
      <w:r>
        <w:rPr>
          <w:rFonts w:hint="eastAsia" w:eastAsiaTheme="minorEastAsia"/>
        </w:rPr>
        <w:drawing>
          <wp:inline distT="0" distB="0" distL="114300" distR="114300">
            <wp:extent cx="5273675" cy="3242945"/>
            <wp:effectExtent l="0" t="0" r="3175" b="14605"/>
            <wp:docPr id="631" name="图片 631" descr="指标1_评分分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631" descr="指标1_评分分布"/>
                    <pic:cNvPicPr>
                      <a:picLocks noChangeAspect="1"/>
                    </pic:cNvPicPr>
                  </pic:nvPicPr>
                  <pic:blipFill>
                    <a:blip r:embed="rId379"/>
                    <a:stretch>
                      <a:fillRect/>
                    </a:stretch>
                  </pic:blipFill>
                  <pic:spPr>
                    <a:xfrm>
                      <a:off x="0" y="0"/>
                      <a:ext cx="5273675" cy="3242945"/>
                    </a:xfrm>
                    <a:prstGeom prst="rect">
                      <a:avLst/>
                    </a:prstGeom>
                  </pic:spPr>
                </pic:pic>
              </a:graphicData>
            </a:graphic>
          </wp:inline>
        </w:drawing>
      </w:r>
    </w:p>
    <w:p w14:paraId="572D509A">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6</w:t>
      </w:r>
      <w:r>
        <w:rPr>
          <w:rFonts w:hint="eastAsia" w:ascii="宋体" w:hAnsi="宋体" w:eastAsia="宋体" w:cs="宋体"/>
          <w:sz w:val="18"/>
          <w:szCs w:val="18"/>
        </w:rPr>
        <w:fldChar w:fldCharType="end"/>
      </w:r>
      <w:r>
        <w:rPr>
          <w:rFonts w:hint="eastAsia" w:ascii="宋体" w:hAnsi="宋体" w:eastAsia="宋体" w:cs="宋体"/>
          <w:sz w:val="18"/>
          <w:szCs w:val="18"/>
        </w:rPr>
        <w:t xml:space="preserve"> 电影评分分布</w:t>
      </w:r>
    </w:p>
    <w:p w14:paraId="007A17A4">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Top10地区电影数量与平均评分对比分析显示，</w:t>
      </w:r>
      <w:r>
        <w:rPr>
          <w:rFonts w:hint="eastAsia" w:asciiTheme="minorEastAsia" w:hAnsiTheme="minorEastAsia" w:eastAsiaTheme="minorEastAsia"/>
          <w:sz w:val="24"/>
        </w:rPr>
        <w:t>美国</w:t>
      </w:r>
      <w:r>
        <w:rPr>
          <w:rFonts w:asciiTheme="minorEastAsia" w:hAnsiTheme="minorEastAsia" w:eastAsiaTheme="minorEastAsia"/>
          <w:sz w:val="24"/>
        </w:rPr>
        <w:t>电影数量最多，达497部，平均评分8.</w:t>
      </w:r>
      <w:r>
        <w:rPr>
          <w:rFonts w:hint="eastAsia" w:asciiTheme="minorEastAsia" w:hAnsiTheme="minorEastAsia" w:eastAsiaTheme="minorEastAsia"/>
          <w:sz w:val="24"/>
        </w:rPr>
        <w:t>5</w:t>
      </w:r>
      <w:r>
        <w:rPr>
          <w:rFonts w:asciiTheme="minorEastAsia" w:hAnsiTheme="minorEastAsia" w:eastAsiaTheme="minorEastAsia"/>
          <w:sz w:val="24"/>
        </w:rPr>
        <w:t>；</w:t>
      </w:r>
      <w:r>
        <w:rPr>
          <w:rFonts w:hint="eastAsia" w:asciiTheme="minorEastAsia" w:hAnsiTheme="minorEastAsia" w:eastAsiaTheme="minorEastAsia"/>
          <w:sz w:val="24"/>
        </w:rPr>
        <w:t>意大利</w:t>
      </w:r>
      <w:r>
        <w:rPr>
          <w:rFonts w:asciiTheme="minorEastAsia" w:hAnsiTheme="minorEastAsia" w:eastAsiaTheme="minorEastAsia"/>
          <w:sz w:val="24"/>
        </w:rPr>
        <w:t>电影数量为1</w:t>
      </w:r>
      <w:r>
        <w:rPr>
          <w:rFonts w:hint="eastAsia" w:asciiTheme="minorEastAsia" w:hAnsiTheme="minorEastAsia" w:eastAsiaTheme="minorEastAsia"/>
          <w:sz w:val="24"/>
        </w:rPr>
        <w:t>5</w:t>
      </w:r>
      <w:r>
        <w:rPr>
          <w:rFonts w:asciiTheme="minorEastAsia" w:hAnsiTheme="minorEastAsia" w:eastAsiaTheme="minorEastAsia"/>
          <w:sz w:val="24"/>
        </w:rPr>
        <w:t>部，平均评分8.</w:t>
      </w:r>
      <w:r>
        <w:rPr>
          <w:rFonts w:hint="eastAsia" w:asciiTheme="minorEastAsia" w:hAnsiTheme="minorEastAsia" w:eastAsiaTheme="minorEastAsia"/>
          <w:sz w:val="24"/>
        </w:rPr>
        <w:t>97</w:t>
      </w:r>
      <w:r>
        <w:rPr>
          <w:rFonts w:asciiTheme="minorEastAsia" w:hAnsiTheme="minorEastAsia" w:eastAsiaTheme="minorEastAsia"/>
          <w:sz w:val="24"/>
        </w:rPr>
        <w:t>，在Top10地区中</w:t>
      </w:r>
      <w:r>
        <w:rPr>
          <w:rFonts w:hint="eastAsia" w:asciiTheme="minorEastAsia" w:hAnsiTheme="minorEastAsia" w:eastAsiaTheme="minorEastAsia"/>
          <w:sz w:val="24"/>
        </w:rPr>
        <w:t>评分</w:t>
      </w:r>
      <w:r>
        <w:rPr>
          <w:rFonts w:asciiTheme="minorEastAsia" w:hAnsiTheme="minorEastAsia" w:eastAsiaTheme="minorEastAsia"/>
          <w:sz w:val="24"/>
        </w:rPr>
        <w:t>排名第一；</w:t>
      </w:r>
      <w:r>
        <w:rPr>
          <w:rFonts w:hint="eastAsia" w:asciiTheme="minorEastAsia" w:hAnsiTheme="minorEastAsia" w:eastAsiaTheme="minorEastAsia"/>
          <w:sz w:val="24"/>
        </w:rPr>
        <w:t>日本</w:t>
      </w:r>
      <w:r>
        <w:rPr>
          <w:rFonts w:asciiTheme="minorEastAsia" w:hAnsiTheme="minorEastAsia" w:eastAsiaTheme="minorEastAsia"/>
          <w:sz w:val="24"/>
        </w:rPr>
        <w:t>以1</w:t>
      </w:r>
      <w:r>
        <w:rPr>
          <w:rFonts w:hint="eastAsia" w:asciiTheme="minorEastAsia" w:hAnsiTheme="minorEastAsia" w:eastAsiaTheme="minorEastAsia"/>
          <w:sz w:val="24"/>
        </w:rPr>
        <w:t>86</w:t>
      </w:r>
      <w:r>
        <w:rPr>
          <w:rFonts w:asciiTheme="minorEastAsia" w:hAnsiTheme="minorEastAsia" w:eastAsiaTheme="minorEastAsia"/>
          <w:sz w:val="24"/>
        </w:rPr>
        <w:t>部电影和8.7</w:t>
      </w:r>
      <w:r>
        <w:rPr>
          <w:rFonts w:hint="eastAsia" w:asciiTheme="minorEastAsia" w:hAnsiTheme="minorEastAsia" w:eastAsiaTheme="minorEastAsia"/>
          <w:sz w:val="24"/>
        </w:rPr>
        <w:t>8</w:t>
      </w:r>
      <w:r>
        <w:rPr>
          <w:rFonts w:asciiTheme="minorEastAsia" w:hAnsiTheme="minorEastAsia" w:eastAsiaTheme="minorEastAsia"/>
          <w:sz w:val="24"/>
        </w:rPr>
        <w:t>的平均评分紧随其后；法国、韩国等地区电影数量分别为</w:t>
      </w:r>
      <w:r>
        <w:rPr>
          <w:rFonts w:hint="eastAsia" w:asciiTheme="minorEastAsia" w:hAnsiTheme="minorEastAsia" w:eastAsiaTheme="minorEastAsia"/>
          <w:sz w:val="24"/>
        </w:rPr>
        <w:t>70</w:t>
      </w:r>
      <w:r>
        <w:rPr>
          <w:rFonts w:asciiTheme="minorEastAsia" w:hAnsiTheme="minorEastAsia" w:eastAsiaTheme="minorEastAsia"/>
          <w:sz w:val="24"/>
        </w:rPr>
        <w:t>部、</w:t>
      </w:r>
      <w:r>
        <w:rPr>
          <w:rFonts w:hint="eastAsia" w:asciiTheme="minorEastAsia" w:hAnsiTheme="minorEastAsia" w:eastAsiaTheme="minorEastAsia"/>
          <w:sz w:val="24"/>
        </w:rPr>
        <w:t>51</w:t>
      </w:r>
      <w:r>
        <w:rPr>
          <w:rFonts w:asciiTheme="minorEastAsia" w:hAnsiTheme="minorEastAsia" w:eastAsiaTheme="minorEastAsia"/>
          <w:sz w:val="24"/>
        </w:rPr>
        <w:t>部，平均评分均在8.</w:t>
      </w:r>
      <w:r>
        <w:rPr>
          <w:rFonts w:hint="eastAsia" w:asciiTheme="minorEastAsia" w:hAnsiTheme="minorEastAsia" w:eastAsiaTheme="minorEastAsia"/>
          <w:sz w:val="24"/>
        </w:rPr>
        <w:t>5</w:t>
      </w:r>
      <w:r>
        <w:rPr>
          <w:rFonts w:asciiTheme="minorEastAsia" w:hAnsiTheme="minorEastAsia" w:eastAsiaTheme="minorEastAsia"/>
          <w:sz w:val="24"/>
        </w:rPr>
        <w:t>以上；意大利、德国等地区电影数量相对较少，但平均评分均超过8.</w:t>
      </w:r>
      <w:r>
        <w:rPr>
          <w:rFonts w:hint="eastAsia" w:asciiTheme="minorEastAsia" w:hAnsiTheme="minorEastAsia" w:eastAsiaTheme="minorEastAsia"/>
          <w:sz w:val="24"/>
        </w:rPr>
        <w:t>5</w:t>
      </w:r>
      <w:r>
        <w:rPr>
          <w:rFonts w:asciiTheme="minorEastAsia" w:hAnsiTheme="minorEastAsia" w:eastAsiaTheme="minorEastAsia"/>
          <w:sz w:val="24"/>
        </w:rPr>
        <w:t>。这一结果表明</w:t>
      </w:r>
      <w:r>
        <w:rPr>
          <w:rFonts w:hint="eastAsia" w:asciiTheme="minorEastAsia" w:hAnsiTheme="minorEastAsia" w:eastAsiaTheme="minorEastAsia"/>
          <w:sz w:val="24"/>
        </w:rPr>
        <w:t>美国</w:t>
      </w:r>
      <w:r>
        <w:rPr>
          <w:rFonts w:asciiTheme="minorEastAsia" w:hAnsiTheme="minorEastAsia" w:eastAsiaTheme="minorEastAsia"/>
          <w:sz w:val="24"/>
        </w:rPr>
        <w:t>是高评分电影的主要产出地区，而</w:t>
      </w:r>
      <w:r>
        <w:rPr>
          <w:rFonts w:hint="eastAsia" w:asciiTheme="minorEastAsia" w:hAnsiTheme="minorEastAsia" w:eastAsiaTheme="minorEastAsia"/>
          <w:sz w:val="24"/>
        </w:rPr>
        <w:t>意大利</w:t>
      </w:r>
      <w:r>
        <w:rPr>
          <w:rFonts w:asciiTheme="minorEastAsia" w:hAnsiTheme="minorEastAsia" w:eastAsiaTheme="minorEastAsia"/>
          <w:sz w:val="24"/>
        </w:rPr>
        <w:t>电影在口碑上具有显著优势，欧洲及东亚地区均能稳定产出优质电影。</w:t>
      </w:r>
    </w:p>
    <w:p w14:paraId="66E98D12">
      <w:pPr>
        <w:tabs>
          <w:tab w:val="left" w:pos="1584"/>
        </w:tabs>
        <w:jc w:val="center"/>
        <w:outlineLvl w:val="9"/>
        <w:rPr>
          <w:rFonts w:eastAsiaTheme="minorEastAsia"/>
        </w:rPr>
      </w:pPr>
      <w:r>
        <w:rPr>
          <w:rFonts w:hint="eastAsia" w:eastAsiaTheme="minorEastAsia"/>
        </w:rPr>
        <w:drawing>
          <wp:inline distT="0" distB="0" distL="114300" distR="114300">
            <wp:extent cx="5273040" cy="2730500"/>
            <wp:effectExtent l="0" t="0" r="3810" b="12700"/>
            <wp:docPr id="632" name="图片 632" descr="指标2_地区数量评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632" descr="指标2_地区数量评分"/>
                    <pic:cNvPicPr>
                      <a:picLocks noChangeAspect="1"/>
                    </pic:cNvPicPr>
                  </pic:nvPicPr>
                  <pic:blipFill>
                    <a:blip r:embed="rId380"/>
                    <a:stretch>
                      <a:fillRect/>
                    </a:stretch>
                  </pic:blipFill>
                  <pic:spPr>
                    <a:xfrm>
                      <a:off x="0" y="0"/>
                      <a:ext cx="5273040" cy="2730500"/>
                    </a:xfrm>
                    <a:prstGeom prst="rect">
                      <a:avLst/>
                    </a:prstGeom>
                  </pic:spPr>
                </pic:pic>
              </a:graphicData>
            </a:graphic>
          </wp:inline>
        </w:drawing>
      </w:r>
    </w:p>
    <w:p w14:paraId="28D5E8F9">
      <w:pPr>
        <w:pStyle w:val="13"/>
        <w:jc w:val="center"/>
        <w:rPr>
          <w:rFonts w:hint="eastAsia" w:ascii="宋体" w:hAnsi="宋体" w:eastAsia="宋体" w:cs="宋体"/>
          <w:sz w:val="18"/>
          <w:szCs w:val="18"/>
        </w:rPr>
      </w:pPr>
      <w:r>
        <w:rPr>
          <w:rFonts w:hint="eastAsia" w:ascii="宋体" w:hAnsi="宋体" w:eastAsia="宋体" w:cs="宋体"/>
          <w:sz w:val="18"/>
          <w:szCs w:val="18"/>
        </w:rPr>
        <w:t>图7 Top10地区电影数量与平均评分</w:t>
      </w:r>
    </w:p>
    <w:p w14:paraId="315759F2">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电影上映年份区间数量趋势分析将年份划分为七个区间，1900-1919年区间电影数量最少，仅</w:t>
      </w:r>
      <w:r>
        <w:rPr>
          <w:rFonts w:hint="eastAsia" w:asciiTheme="minorEastAsia" w:hAnsiTheme="minorEastAsia" w:eastAsiaTheme="minorEastAsia"/>
          <w:sz w:val="24"/>
        </w:rPr>
        <w:t>1</w:t>
      </w:r>
      <w:r>
        <w:rPr>
          <w:rFonts w:asciiTheme="minorEastAsia" w:hAnsiTheme="minorEastAsia" w:eastAsiaTheme="minorEastAsia"/>
          <w:sz w:val="24"/>
        </w:rPr>
        <w:t>部；随后各区间电影数量逐步增长，2000-2019年区间达到峰值，电影数量达764部；2020-2025年区间电影数量有所回落，为</w:t>
      </w:r>
      <w:r>
        <w:rPr>
          <w:rFonts w:hint="eastAsia" w:asciiTheme="minorEastAsia" w:hAnsiTheme="minorEastAsia" w:eastAsiaTheme="minorEastAsia"/>
          <w:sz w:val="24"/>
        </w:rPr>
        <w:t>102</w:t>
      </w:r>
      <w:r>
        <w:rPr>
          <w:rFonts w:asciiTheme="minorEastAsia" w:hAnsiTheme="minorEastAsia" w:eastAsiaTheme="minorEastAsia"/>
          <w:sz w:val="24"/>
        </w:rPr>
        <w:t>部。这一趋势揭示了电影产业在2000年后进入高速发展期，产出数量远超之前所有年代，反映了影视制作技术的进步与行业规模的扩大，202</w:t>
      </w:r>
      <w:r>
        <w:rPr>
          <w:rFonts w:hint="eastAsia" w:asciiTheme="minorEastAsia" w:hAnsiTheme="minorEastAsia" w:eastAsiaTheme="minorEastAsia"/>
          <w:sz w:val="24"/>
        </w:rPr>
        <w:t>0</w:t>
      </w:r>
      <w:r>
        <w:rPr>
          <w:rFonts w:asciiTheme="minorEastAsia" w:hAnsiTheme="minorEastAsia" w:eastAsiaTheme="minorEastAsia"/>
          <w:sz w:val="24"/>
        </w:rPr>
        <w:t>年后的数量回落可能受客观环境因素影响。</w:t>
      </w:r>
    </w:p>
    <w:p w14:paraId="7F22694F">
      <w:pPr>
        <w:tabs>
          <w:tab w:val="left" w:pos="1584"/>
        </w:tabs>
        <w:jc w:val="center"/>
        <w:outlineLvl w:val="9"/>
        <w:rPr>
          <w:rFonts w:eastAsiaTheme="minorEastAsia"/>
        </w:rPr>
      </w:pPr>
      <w:r>
        <w:drawing>
          <wp:inline distT="0" distB="0" distL="114300" distR="114300">
            <wp:extent cx="5272405" cy="3119755"/>
            <wp:effectExtent l="0" t="0" r="4445" b="4445"/>
            <wp:docPr id="6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7"/>
                    <pic:cNvPicPr>
                      <a:picLocks noChangeAspect="1"/>
                    </pic:cNvPicPr>
                  </pic:nvPicPr>
                  <pic:blipFill>
                    <a:blip r:embed="rId381"/>
                    <a:stretch>
                      <a:fillRect/>
                    </a:stretch>
                  </pic:blipFill>
                  <pic:spPr>
                    <a:xfrm>
                      <a:off x="0" y="0"/>
                      <a:ext cx="5272405" cy="3119755"/>
                    </a:xfrm>
                    <a:prstGeom prst="rect">
                      <a:avLst/>
                    </a:prstGeom>
                    <a:noFill/>
                    <a:ln>
                      <a:noFill/>
                    </a:ln>
                  </pic:spPr>
                </pic:pic>
              </a:graphicData>
            </a:graphic>
          </wp:inline>
        </w:drawing>
      </w:r>
    </w:p>
    <w:p w14:paraId="662EF814">
      <w:pPr>
        <w:pStyle w:val="13"/>
        <w:jc w:val="center"/>
      </w:pPr>
      <w:r>
        <w:rPr>
          <w:rFonts w:hint="eastAsia" w:ascii="宋体" w:hAnsi="宋体" w:eastAsia="宋体" w:cs="宋体"/>
          <w:sz w:val="18"/>
          <w:szCs w:val="18"/>
        </w:rPr>
        <w:t>图8 电影上映年份区间数量趋势</w:t>
      </w:r>
    </w:p>
    <w:p w14:paraId="32F00530">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评分-热度综合指数计算采用“综合指数=评分×投票数/100000”的公式，以消除投票数量级差异的影响。结果显示，《肖申克的救赎》（美国）以63.15的综合指数排名第一，该片评分9.7，投票数达3239434；《霸王别姬》（中国大陆）以61.23的综合指数排名第二，评分9.6，投票数2390774；前20名高综合指数电影中，美国电影占1</w:t>
      </w:r>
      <w:r>
        <w:rPr>
          <w:rFonts w:hint="eastAsia" w:asciiTheme="minorEastAsia" w:hAnsiTheme="minorEastAsia" w:eastAsiaTheme="minorEastAsia"/>
          <w:sz w:val="24"/>
        </w:rPr>
        <w:t>2</w:t>
      </w:r>
      <w:r>
        <w:rPr>
          <w:rFonts w:asciiTheme="minorEastAsia" w:hAnsiTheme="minorEastAsia" w:eastAsiaTheme="minorEastAsia"/>
          <w:sz w:val="24"/>
        </w:rPr>
        <w:t>部，占比达60%，所有电影评分均在9.1以上，投票数均超过</w:t>
      </w:r>
      <w:r>
        <w:rPr>
          <w:rFonts w:hint="eastAsia" w:asciiTheme="minorEastAsia" w:hAnsiTheme="minorEastAsia" w:eastAsiaTheme="minorEastAsia"/>
          <w:sz w:val="24"/>
        </w:rPr>
        <w:t>百</w:t>
      </w:r>
      <w:r>
        <w:rPr>
          <w:rFonts w:asciiTheme="minorEastAsia" w:hAnsiTheme="minorEastAsia" w:eastAsiaTheme="minorEastAsia"/>
          <w:sz w:val="24"/>
        </w:rPr>
        <w:t>万。这表明高综合指数电影兼具高口碑与高关注度，美国电影在全球市场的口碑与热度优势显著，经典作品具有广泛的跨地域影响力。</w:t>
      </w:r>
    </w:p>
    <w:p w14:paraId="3D03C7D2">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演员参演作品总数TOP20统计显示，日本演员林原惠美以21部参演作品排名第一；中国演员张国荣以20部排名第二；日本演员山寺宏一以18部排名第四；梁朝伟、周星驰、塞缪尔</w:t>
      </w:r>
      <w:r>
        <w:rPr>
          <w:rFonts w:hint="eastAsia" w:ascii="微软雅黑" w:hAnsi="微软雅黑" w:eastAsia="微软雅黑" w:cs="微软雅黑"/>
          <w:sz w:val="24"/>
        </w:rPr>
        <w:t>・</w:t>
      </w:r>
      <w:r>
        <w:rPr>
          <w:rFonts w:hint="eastAsia" w:cs="宋体" w:asciiTheme="minorEastAsia" w:hAnsiTheme="minorEastAsia" w:eastAsiaTheme="minorEastAsia"/>
          <w:sz w:val="24"/>
        </w:rPr>
        <w:t>杰克逊（美国）均以</w:t>
      </w:r>
      <w:r>
        <w:rPr>
          <w:rFonts w:asciiTheme="minorEastAsia" w:hAnsiTheme="minorEastAsia" w:eastAsiaTheme="minorEastAsia"/>
          <w:sz w:val="24"/>
        </w:rPr>
        <w:t>16部并列第五。TOP20演员中，日本、中国、美国演员占据主力位置，这些演员不仅参演作品数量多，且作品口碑稳定，反映了他们在行业内的高认可度与广泛影响力。</w:t>
      </w:r>
    </w:p>
    <w:p w14:paraId="5515A4C5">
      <w:pPr>
        <w:tabs>
          <w:tab w:val="left" w:pos="1584"/>
        </w:tabs>
        <w:jc w:val="center"/>
        <w:outlineLvl w:val="9"/>
      </w:pPr>
      <w:r>
        <w:drawing>
          <wp:inline distT="0" distB="0" distL="114300" distR="114300">
            <wp:extent cx="5081905" cy="3979545"/>
            <wp:effectExtent l="0" t="0" r="4445" b="1905"/>
            <wp:docPr id="6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11"/>
                    <pic:cNvPicPr>
                      <a:picLocks noChangeAspect="1"/>
                    </pic:cNvPicPr>
                  </pic:nvPicPr>
                  <pic:blipFill>
                    <a:blip r:embed="rId382" cstate="print">
                      <a:extLst>
                        <a:ext uri="{28A0092B-C50C-407E-A947-70E740481C1C}">
                          <a14:useLocalDpi xmlns:a14="http://schemas.microsoft.com/office/drawing/2010/main" val="0"/>
                        </a:ext>
                      </a:extLst>
                    </a:blip>
                    <a:stretch>
                      <a:fillRect/>
                    </a:stretch>
                  </pic:blipFill>
                  <pic:spPr>
                    <a:xfrm>
                      <a:off x="0" y="0"/>
                      <a:ext cx="5081905" cy="3979545"/>
                    </a:xfrm>
                    <a:prstGeom prst="rect">
                      <a:avLst/>
                    </a:prstGeom>
                  </pic:spPr>
                </pic:pic>
              </a:graphicData>
            </a:graphic>
          </wp:inline>
        </w:drawing>
      </w:r>
    </w:p>
    <w:p w14:paraId="3A5EFF78">
      <w:pPr>
        <w:pStyle w:val="13"/>
        <w:jc w:val="center"/>
        <w:rPr>
          <w:rFonts w:hint="eastAsia" w:ascii="宋体" w:hAnsi="宋体" w:eastAsia="宋体" w:cs="宋体"/>
          <w:sz w:val="18"/>
          <w:szCs w:val="18"/>
        </w:r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9</w:t>
      </w:r>
      <w:r>
        <w:rPr>
          <w:rFonts w:hint="eastAsia" w:ascii="宋体" w:hAnsi="宋体" w:eastAsia="宋体" w:cs="宋体"/>
          <w:sz w:val="18"/>
          <w:szCs w:val="18"/>
        </w:rPr>
        <w:fldChar w:fldCharType="end"/>
      </w:r>
      <w:r>
        <w:rPr>
          <w:rFonts w:hint="eastAsia" w:ascii="宋体" w:hAnsi="宋体" w:eastAsia="宋体" w:cs="宋体"/>
          <w:sz w:val="18"/>
          <w:szCs w:val="18"/>
        </w:rPr>
        <w:t xml:space="preserve"> 演员参演作品总数TOP20</w:t>
      </w:r>
    </w:p>
    <w:p w14:paraId="697B79A1">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演员参演作品类型多样性分析中，梁朝伟以15种参演类型排名第一，展现了极广的戏路；梁家辉、布拉德</w:t>
      </w:r>
      <w:r>
        <w:rPr>
          <w:rFonts w:hint="eastAsia" w:ascii="微软雅黑" w:hAnsi="微软雅黑" w:eastAsia="微软雅黑" w:cs="微软雅黑"/>
          <w:sz w:val="24"/>
        </w:rPr>
        <w:t>・</w:t>
      </w:r>
      <w:r>
        <w:rPr>
          <w:rFonts w:hint="eastAsia" w:cs="宋体" w:asciiTheme="minorEastAsia" w:hAnsiTheme="minorEastAsia" w:eastAsiaTheme="minorEastAsia"/>
          <w:sz w:val="24"/>
        </w:rPr>
        <w:t>皮特（美国）、布莱丹</w:t>
      </w:r>
      <w:r>
        <w:rPr>
          <w:rFonts w:hint="eastAsia" w:ascii="微软雅黑" w:hAnsi="微软雅黑" w:eastAsia="微软雅黑" w:cs="微软雅黑"/>
          <w:sz w:val="24"/>
        </w:rPr>
        <w:t>・</w:t>
      </w:r>
      <w:r>
        <w:rPr>
          <w:rFonts w:hint="eastAsia" w:cs="宋体" w:asciiTheme="minorEastAsia" w:hAnsiTheme="minorEastAsia" w:eastAsiaTheme="minorEastAsia"/>
          <w:sz w:val="24"/>
        </w:rPr>
        <w:t>格里森（爱尔兰）均以</w:t>
      </w:r>
      <w:r>
        <w:rPr>
          <w:rFonts w:asciiTheme="minorEastAsia" w:hAnsiTheme="minorEastAsia" w:eastAsiaTheme="minorEastAsia"/>
          <w:sz w:val="24"/>
        </w:rPr>
        <w:t>14种参演类型并列第二；姜文、汤姆</w:t>
      </w:r>
      <w:r>
        <w:rPr>
          <w:rFonts w:hint="eastAsia" w:ascii="微软雅黑" w:hAnsi="微软雅黑" w:eastAsia="微软雅黑" w:cs="微软雅黑"/>
          <w:sz w:val="24"/>
        </w:rPr>
        <w:t>・</w:t>
      </w:r>
      <w:r>
        <w:rPr>
          <w:rFonts w:hint="eastAsia" w:cs="宋体" w:asciiTheme="minorEastAsia" w:hAnsiTheme="minorEastAsia" w:eastAsiaTheme="minorEastAsia"/>
          <w:sz w:val="24"/>
        </w:rPr>
        <w:t>汉克斯（美国）等</w:t>
      </w:r>
      <w:r>
        <w:rPr>
          <w:rFonts w:asciiTheme="minorEastAsia" w:hAnsiTheme="minorEastAsia" w:eastAsiaTheme="minorEastAsia"/>
          <w:sz w:val="24"/>
        </w:rPr>
        <w:t>10位演员以13种参演类型并列第四。多数TOP20演员的参演类型覆盖≥12种，体现了优质演员能够驾驭多种类型作品的全面演技与适应能力。</w:t>
      </w:r>
    </w:p>
    <w:p w14:paraId="40F609ED">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不同年代电影经典度分析以“经典度=评分×100”为计算标准，筛选各年代评分前15的电影。结果显示，1920-1950年代的早期电影表现突出，《寻子遇仙记》（1921年，9.2分）、《福尔摩斯二世》（1924年，9.4分）、《大都会》（1927年，9.</w:t>
      </w:r>
      <w:r>
        <w:rPr>
          <w:rFonts w:hint="eastAsia" w:asciiTheme="minorEastAsia" w:hAnsiTheme="minorEastAsia" w:eastAsiaTheme="minorEastAsia"/>
          <w:sz w:val="24"/>
        </w:rPr>
        <w:t>0</w:t>
      </w:r>
      <w:r>
        <w:rPr>
          <w:rFonts w:asciiTheme="minorEastAsia" w:hAnsiTheme="minorEastAsia" w:eastAsiaTheme="minorEastAsia"/>
          <w:sz w:val="24"/>
        </w:rPr>
        <w:t>分）等作品均入选经典度TOP15，这些电影评分均在8.</w:t>
      </w:r>
      <w:r>
        <w:rPr>
          <w:rFonts w:hint="eastAsia" w:asciiTheme="minorEastAsia" w:hAnsiTheme="minorEastAsia" w:eastAsiaTheme="minorEastAsia"/>
          <w:sz w:val="24"/>
        </w:rPr>
        <w:t>0</w:t>
      </w:r>
      <w:r>
        <w:rPr>
          <w:rFonts w:asciiTheme="minorEastAsia" w:hAnsiTheme="minorEastAsia" w:eastAsiaTheme="minorEastAsia"/>
          <w:sz w:val="24"/>
        </w:rPr>
        <w:t>以上，虽产出数量少，但艺术价值极高，成为跨时代的经典标杆作品。</w:t>
      </w:r>
    </w:p>
    <w:p w14:paraId="39E7AD47">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不同电影类型平均评分对比显示，动画类电影平均评分最高，达8.</w:t>
      </w:r>
      <w:r>
        <w:rPr>
          <w:rFonts w:hint="eastAsia" w:asciiTheme="minorEastAsia" w:hAnsiTheme="minorEastAsia" w:eastAsiaTheme="minorEastAsia"/>
          <w:sz w:val="24"/>
        </w:rPr>
        <w:t>67</w:t>
      </w:r>
      <w:r>
        <w:rPr>
          <w:rFonts w:asciiTheme="minorEastAsia" w:hAnsiTheme="minorEastAsia" w:eastAsiaTheme="minorEastAsia"/>
          <w:sz w:val="24"/>
        </w:rPr>
        <w:t>分；其次是</w:t>
      </w:r>
      <w:r>
        <w:rPr>
          <w:rFonts w:hint="eastAsia" w:asciiTheme="minorEastAsia" w:hAnsiTheme="minorEastAsia" w:eastAsiaTheme="minorEastAsia"/>
          <w:sz w:val="24"/>
        </w:rPr>
        <w:t>剧情</w:t>
      </w:r>
      <w:r>
        <w:rPr>
          <w:rFonts w:asciiTheme="minorEastAsia" w:hAnsiTheme="minorEastAsia" w:eastAsiaTheme="minorEastAsia"/>
          <w:sz w:val="24"/>
        </w:rPr>
        <w:t>类电影，平均评分8.63分；</w:t>
      </w:r>
      <w:r>
        <w:rPr>
          <w:rFonts w:hint="eastAsia" w:asciiTheme="minorEastAsia" w:hAnsiTheme="minorEastAsia" w:eastAsiaTheme="minorEastAsia"/>
          <w:sz w:val="24"/>
        </w:rPr>
        <w:t>爱情</w:t>
      </w:r>
      <w:r>
        <w:rPr>
          <w:rFonts w:asciiTheme="minorEastAsia" w:hAnsiTheme="minorEastAsia" w:eastAsiaTheme="minorEastAsia"/>
          <w:sz w:val="24"/>
        </w:rPr>
        <w:t>类电影以8.6</w:t>
      </w:r>
      <w:r>
        <w:rPr>
          <w:rFonts w:hint="eastAsia" w:asciiTheme="minorEastAsia" w:hAnsiTheme="minorEastAsia" w:eastAsiaTheme="minorEastAsia"/>
          <w:sz w:val="24"/>
        </w:rPr>
        <w:t>2</w:t>
      </w:r>
      <w:r>
        <w:rPr>
          <w:rFonts w:asciiTheme="minorEastAsia" w:hAnsiTheme="minorEastAsia" w:eastAsiaTheme="minorEastAsia"/>
          <w:sz w:val="24"/>
        </w:rPr>
        <w:t>分排名第三；悬疑类（8.3</w:t>
      </w:r>
      <w:r>
        <w:rPr>
          <w:rFonts w:hint="eastAsia" w:asciiTheme="minorEastAsia" w:hAnsiTheme="minorEastAsia" w:eastAsiaTheme="minorEastAsia"/>
          <w:sz w:val="24"/>
        </w:rPr>
        <w:t>8</w:t>
      </w:r>
      <w:r>
        <w:rPr>
          <w:rFonts w:asciiTheme="minorEastAsia" w:hAnsiTheme="minorEastAsia" w:eastAsiaTheme="minorEastAsia"/>
          <w:sz w:val="24"/>
        </w:rPr>
        <w:t>分）、犯罪类（8.4</w:t>
      </w:r>
      <w:r>
        <w:rPr>
          <w:rFonts w:hint="eastAsia" w:asciiTheme="minorEastAsia" w:hAnsiTheme="minorEastAsia" w:eastAsiaTheme="minorEastAsia"/>
          <w:sz w:val="24"/>
        </w:rPr>
        <w:t>7</w:t>
      </w:r>
      <w:r>
        <w:rPr>
          <w:rFonts w:asciiTheme="minorEastAsia" w:hAnsiTheme="minorEastAsia" w:eastAsiaTheme="minorEastAsia"/>
          <w:sz w:val="24"/>
        </w:rPr>
        <w:t>分）等类型位列中游，所有TOP10类型电影的平均评分均超过8.3分。这一结果反映了观众对强叙事、高制作水准类型片的偏好，动画、</w:t>
      </w:r>
      <w:r>
        <w:rPr>
          <w:rFonts w:hint="eastAsia" w:asciiTheme="minorEastAsia" w:hAnsiTheme="minorEastAsia" w:eastAsiaTheme="minorEastAsia"/>
          <w:sz w:val="24"/>
        </w:rPr>
        <w:t>爱情</w:t>
      </w:r>
      <w:r>
        <w:rPr>
          <w:rFonts w:asciiTheme="minorEastAsia" w:hAnsiTheme="minorEastAsia" w:eastAsiaTheme="minorEastAsia"/>
          <w:sz w:val="24"/>
        </w:rPr>
        <w:t>、剧情类电影</w:t>
      </w:r>
      <w:r>
        <w:rPr>
          <w:rFonts w:hint="eastAsia" w:asciiTheme="minorEastAsia" w:hAnsiTheme="minorEastAsia" w:eastAsiaTheme="minorEastAsia"/>
          <w:sz w:val="24"/>
        </w:rPr>
        <w:t>更</w:t>
      </w:r>
      <w:r>
        <w:rPr>
          <w:rFonts w:asciiTheme="minorEastAsia" w:hAnsiTheme="minorEastAsia" w:eastAsiaTheme="minorEastAsia"/>
          <w:sz w:val="24"/>
        </w:rPr>
        <w:t>受观众认可。</w:t>
      </w:r>
    </w:p>
    <w:p w14:paraId="07EF5104">
      <w:pPr>
        <w:tabs>
          <w:tab w:val="left" w:pos="1584"/>
        </w:tabs>
        <w:jc w:val="center"/>
        <w:outlineLvl w:val="9"/>
      </w:pPr>
      <w:r>
        <w:drawing>
          <wp:inline distT="0" distB="0" distL="114300" distR="114300">
            <wp:extent cx="3216910" cy="3163570"/>
            <wp:effectExtent l="0" t="0" r="2540" b="17780"/>
            <wp:docPr id="6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11"/>
                    <pic:cNvPicPr>
                      <a:picLocks noChangeAspect="1"/>
                    </pic:cNvPicPr>
                  </pic:nvPicPr>
                  <pic:blipFill>
                    <a:blip r:embed="rId383" cstate="print">
                      <a:extLst>
                        <a:ext uri="{28A0092B-C50C-407E-A947-70E740481C1C}">
                          <a14:useLocalDpi xmlns:a14="http://schemas.microsoft.com/office/drawing/2010/main" val="0"/>
                        </a:ext>
                      </a:extLst>
                    </a:blip>
                    <a:stretch>
                      <a:fillRect/>
                    </a:stretch>
                  </pic:blipFill>
                  <pic:spPr>
                    <a:xfrm>
                      <a:off x="0" y="0"/>
                      <a:ext cx="3216910" cy="3163570"/>
                    </a:xfrm>
                    <a:prstGeom prst="rect">
                      <a:avLst/>
                    </a:prstGeom>
                  </pic:spPr>
                </pic:pic>
              </a:graphicData>
            </a:graphic>
          </wp:inline>
        </w:drawing>
      </w:r>
    </w:p>
    <w:p w14:paraId="0303C03A">
      <w:pPr>
        <w:pStyle w:val="13"/>
        <w:jc w:val="center"/>
      </w:pPr>
      <w:r>
        <w:rPr>
          <w:rFonts w:hint="eastAsia" w:ascii="宋体" w:hAnsi="宋体" w:eastAsia="宋体" w:cs="宋体"/>
          <w:sz w:val="18"/>
          <w:szCs w:val="18"/>
        </w:rPr>
        <w:t>图10 电影类型Top10平均评分</w:t>
      </w:r>
    </w:p>
    <w:p w14:paraId="45113CBE">
      <w:pPr>
        <w:spacing w:line="440" w:lineRule="exact"/>
        <w:ind w:firstLine="420" w:firstLineChars="200"/>
        <w:rPr>
          <w:rFonts w:hint="eastAsia" w:asciiTheme="minorEastAsia" w:hAnsiTheme="minorEastAsia" w:eastAsiaTheme="minorEastAsia"/>
          <w:sz w:val="24"/>
        </w:rPr>
      </w:pPr>
      <w:r>
        <w:drawing>
          <wp:anchor distT="0" distB="0" distL="114300" distR="114300" simplePos="0" relativeHeight="251842560" behindDoc="0" locked="0" layoutInCell="1" allowOverlap="1">
            <wp:simplePos x="0" y="0"/>
            <wp:positionH relativeFrom="column">
              <wp:posOffset>861060</wp:posOffset>
            </wp:positionH>
            <wp:positionV relativeFrom="paragraph">
              <wp:posOffset>1776730</wp:posOffset>
            </wp:positionV>
            <wp:extent cx="3545840" cy="2920365"/>
            <wp:effectExtent l="0" t="0" r="16510" b="13335"/>
            <wp:wrapTopAndBottom/>
            <wp:docPr id="636" name="图片占位符 10" descr="指标9_投票数评分箱线图"/>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36" name="图片占位符 10" descr="指标9_投票数评分箱线图"/>
                    <pic:cNvPicPr>
                      <a:picLocks noGrp="1" noChangeAspect="1"/>
                    </pic:cNvPicPr>
                  </pic:nvPicPr>
                  <pic:blipFill>
                    <a:blip r:embed="rId384" cstate="print">
                      <a:extLst>
                        <a:ext uri="{28A0092B-C50C-407E-A947-70E740481C1C}">
                          <a14:useLocalDpi xmlns:a14="http://schemas.microsoft.com/office/drawing/2010/main" val="0"/>
                        </a:ext>
                      </a:extLst>
                    </a:blip>
                    <a:stretch>
                      <a:fillRect/>
                    </a:stretch>
                  </pic:blipFill>
                  <pic:spPr>
                    <a:xfrm>
                      <a:off x="0" y="0"/>
                      <a:ext cx="3545840" cy="2920365"/>
                    </a:xfrm>
                    <a:prstGeom prst="rect">
                      <a:avLst/>
                    </a:prstGeom>
                    <a:solidFill>
                      <a:srgbClr val="DDDDDD"/>
                    </a:solidFill>
                    <a:ln>
                      <a:noFill/>
                    </a:ln>
                  </pic:spPr>
                </pic:pic>
              </a:graphicData>
            </a:graphic>
          </wp:anchor>
        </w:drawing>
      </w:r>
      <w:r>
        <w:rPr>
          <w:rFonts w:asciiTheme="minorEastAsia" w:hAnsiTheme="minorEastAsia" w:eastAsiaTheme="minorEastAsia"/>
          <w:sz w:val="24"/>
        </w:rPr>
        <w:t>投票数区间与电影评分相关性分析将投票数划分为0-</w:t>
      </w:r>
      <w:r>
        <w:rPr>
          <w:rFonts w:hint="eastAsia" w:asciiTheme="minorEastAsia" w:hAnsiTheme="minorEastAsia" w:eastAsiaTheme="minorEastAsia"/>
          <w:sz w:val="24"/>
        </w:rPr>
        <w:t>1</w:t>
      </w:r>
      <w:r>
        <w:rPr>
          <w:rFonts w:asciiTheme="minorEastAsia" w:hAnsiTheme="minorEastAsia" w:eastAsiaTheme="minorEastAsia"/>
          <w:sz w:val="24"/>
        </w:rPr>
        <w:t>千、1千-1万、1万-10万、10万-50万、50万+五个区间，通过箱线图分析各区间评分分布。结果显示，投票数</w:t>
      </w:r>
      <w:r>
        <w:rPr>
          <w:rFonts w:hint="eastAsia" w:asciiTheme="minorEastAsia" w:hAnsiTheme="minorEastAsia" w:eastAsiaTheme="minorEastAsia"/>
          <w:sz w:val="24"/>
        </w:rPr>
        <w:t>1千-1万</w:t>
      </w:r>
      <w:r>
        <w:rPr>
          <w:rFonts w:asciiTheme="minorEastAsia" w:hAnsiTheme="minorEastAsia" w:eastAsiaTheme="minorEastAsia"/>
          <w:sz w:val="24"/>
        </w:rPr>
        <w:t>区间的电影评分中位数最高，约为9.2分，且评分分布集中，波动较小；</w:t>
      </w:r>
      <w:r>
        <w:rPr>
          <w:rFonts w:hint="eastAsia" w:asciiTheme="minorEastAsia" w:hAnsiTheme="minorEastAsia" w:eastAsiaTheme="minorEastAsia"/>
          <w:sz w:val="24"/>
        </w:rPr>
        <w:t>10万-50万</w:t>
      </w:r>
      <w:r>
        <w:rPr>
          <w:rFonts w:asciiTheme="minorEastAsia" w:hAnsiTheme="minorEastAsia" w:eastAsiaTheme="minorEastAsia"/>
          <w:sz w:val="24"/>
        </w:rPr>
        <w:t>区间电影评分中位数最低，约为</w:t>
      </w:r>
      <w:r>
        <w:rPr>
          <w:rFonts w:hint="eastAsia" w:asciiTheme="minorEastAsia" w:hAnsiTheme="minorEastAsia" w:eastAsiaTheme="minorEastAsia"/>
          <w:sz w:val="24"/>
        </w:rPr>
        <w:t>8.3</w:t>
      </w:r>
      <w:r>
        <w:rPr>
          <w:rFonts w:asciiTheme="minorEastAsia" w:hAnsiTheme="minorEastAsia" w:eastAsiaTheme="minorEastAsia"/>
          <w:sz w:val="24"/>
        </w:rPr>
        <w:t>分，评分分布离散，差异较大；投票数与电影评分</w:t>
      </w:r>
      <w:r>
        <w:rPr>
          <w:rFonts w:hint="eastAsia" w:asciiTheme="minorEastAsia" w:hAnsiTheme="minorEastAsia" w:eastAsiaTheme="minorEastAsia"/>
          <w:sz w:val="24"/>
        </w:rPr>
        <w:t>无明显</w:t>
      </w:r>
      <w:r>
        <w:rPr>
          <w:rFonts w:asciiTheme="minorEastAsia" w:hAnsiTheme="minorEastAsia" w:eastAsiaTheme="minorEastAsia"/>
          <w:sz w:val="24"/>
        </w:rPr>
        <w:t>正相关关系，</w:t>
      </w:r>
      <w:r>
        <w:rPr>
          <w:rFonts w:hint="eastAsia" w:asciiTheme="minorEastAsia" w:hAnsiTheme="minorEastAsia" w:eastAsiaTheme="minorEastAsia"/>
          <w:sz w:val="24"/>
        </w:rPr>
        <w:t>不同热度的作品，靠不同的内容策略，拿到了对应的口碑结果。</w:t>
      </w:r>
    </w:p>
    <w:p w14:paraId="4AB63549">
      <w:pPr>
        <w:spacing w:line="440" w:lineRule="exact"/>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图11 投票数分箱与评分相关性</w:t>
      </w:r>
    </w:p>
    <w:p w14:paraId="321CE5EB">
      <w:pPr>
        <w:spacing w:line="440" w:lineRule="exact"/>
        <w:ind w:firstLine="480" w:firstLineChars="200"/>
        <w:rPr>
          <w:rFonts w:hint="eastAsia" w:asciiTheme="minorEastAsia" w:hAnsiTheme="minorEastAsia" w:eastAsiaTheme="minorEastAsia"/>
          <w:b/>
          <w:bCs/>
          <w:sz w:val="24"/>
        </w:rPr>
      </w:pPr>
      <w:r>
        <w:rPr>
          <w:rFonts w:hint="eastAsia" w:asciiTheme="minorEastAsia" w:hAnsiTheme="minorEastAsia"/>
          <w:sz w:val="24"/>
          <w:lang w:val="en-US" w:eastAsia="zh-CN"/>
        </w:rPr>
        <w:t>3</w:t>
      </w:r>
      <w:r>
        <w:rPr>
          <w:rFonts w:hint="eastAsia" w:asciiTheme="minorEastAsia" w:hAnsiTheme="minorEastAsia" w:eastAsiaTheme="minorEastAsia"/>
          <w:sz w:val="24"/>
        </w:rPr>
        <w:t>.3</w:t>
      </w:r>
      <w:r>
        <w:rPr>
          <w:rFonts w:asciiTheme="minorEastAsia" w:hAnsiTheme="minorEastAsia" w:eastAsiaTheme="minorEastAsia"/>
          <w:sz w:val="24"/>
        </w:rPr>
        <w:t>可视化成果</w:t>
      </w:r>
    </w:p>
    <w:p w14:paraId="19AD4403">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本次数据可视化基于MySQL数据库中movie_final_new表的1300+条清洗后有效数据，通过Matplotlib库绘制了9类不同类型的可视化图表，全面呈现了数据分析的核心结论。豆瓣电影评分分布直方图直观展示了评分的正态分布特征X轴为7.0-10.0的评分区间，Y轴为对应区间的电影数量，图表标注了均值8.6和中位数8.6，清晰呈现出8.</w:t>
      </w:r>
      <w:r>
        <w:rPr>
          <w:rFonts w:hint="eastAsia" w:asciiTheme="minorEastAsia" w:hAnsiTheme="minorEastAsia" w:eastAsiaTheme="minorEastAsia"/>
          <w:sz w:val="24"/>
        </w:rPr>
        <w:t>6</w:t>
      </w:r>
      <w:r>
        <w:rPr>
          <w:rFonts w:asciiTheme="minorEastAsia" w:hAnsiTheme="minorEastAsia" w:eastAsiaTheme="minorEastAsia"/>
          <w:sz w:val="24"/>
        </w:rPr>
        <w:t>分区间电影数量最多（229部）、8.0分和9.0分区间次之的分布规律，验证了用户评分理性集中的结论。</w:t>
      </w:r>
    </w:p>
    <w:p w14:paraId="2716E030">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Top10地区电影数量与平均评分对比图采用双轴柱状图设计，左</w:t>
      </w:r>
      <w:r>
        <w:rPr>
          <w:rFonts w:hint="eastAsia" w:asciiTheme="minorEastAsia" w:hAnsiTheme="minorEastAsia" w:eastAsiaTheme="minorEastAsia"/>
          <w:sz w:val="24"/>
        </w:rPr>
        <w:t>纵</w:t>
      </w:r>
      <w:r>
        <w:rPr>
          <w:rFonts w:asciiTheme="minorEastAsia" w:hAnsiTheme="minorEastAsia" w:eastAsiaTheme="minorEastAsia"/>
          <w:sz w:val="24"/>
        </w:rPr>
        <w:t>轴表示电影数量（单位：部），右</w:t>
      </w:r>
      <w:r>
        <w:rPr>
          <w:rFonts w:hint="eastAsia" w:asciiTheme="minorEastAsia" w:hAnsiTheme="minorEastAsia" w:eastAsiaTheme="minorEastAsia"/>
          <w:sz w:val="24"/>
        </w:rPr>
        <w:t>纵</w:t>
      </w:r>
      <w:r>
        <w:rPr>
          <w:rFonts w:asciiTheme="minorEastAsia" w:hAnsiTheme="minorEastAsia" w:eastAsiaTheme="minorEastAsia"/>
          <w:sz w:val="24"/>
        </w:rPr>
        <w:t>轴表示平均评分（单位：分），X轴为</w:t>
      </w:r>
      <w:r>
        <w:rPr>
          <w:rFonts w:hint="eastAsia" w:asciiTheme="minorEastAsia" w:hAnsiTheme="minorEastAsia" w:eastAsiaTheme="minorEastAsia"/>
          <w:sz w:val="24"/>
        </w:rPr>
        <w:t>美国、日本、</w:t>
      </w:r>
      <w:r>
        <w:rPr>
          <w:rFonts w:asciiTheme="minorEastAsia" w:hAnsiTheme="minorEastAsia" w:eastAsiaTheme="minorEastAsia"/>
          <w:sz w:val="24"/>
        </w:rPr>
        <w:t>中国大陆、英国等Top10地区。图表清晰展示了</w:t>
      </w:r>
      <w:r>
        <w:rPr>
          <w:rFonts w:hint="eastAsia" w:asciiTheme="minorEastAsia" w:hAnsiTheme="minorEastAsia" w:eastAsiaTheme="minorEastAsia"/>
          <w:sz w:val="24"/>
        </w:rPr>
        <w:t>美国</w:t>
      </w:r>
      <w:r>
        <w:rPr>
          <w:rFonts w:asciiTheme="minorEastAsia" w:hAnsiTheme="minorEastAsia" w:eastAsiaTheme="minorEastAsia"/>
          <w:sz w:val="24"/>
        </w:rPr>
        <w:t>电影数量最多（497部）、</w:t>
      </w:r>
      <w:r>
        <w:rPr>
          <w:rFonts w:hint="eastAsia" w:asciiTheme="minorEastAsia" w:hAnsiTheme="minorEastAsia" w:eastAsiaTheme="minorEastAsia"/>
          <w:sz w:val="24"/>
        </w:rPr>
        <w:t>意大利</w:t>
      </w:r>
      <w:r>
        <w:rPr>
          <w:rFonts w:asciiTheme="minorEastAsia" w:hAnsiTheme="minorEastAsia" w:eastAsiaTheme="minorEastAsia"/>
          <w:sz w:val="24"/>
        </w:rPr>
        <w:t>电影平均评分最高（8.</w:t>
      </w:r>
      <w:r>
        <w:rPr>
          <w:rFonts w:hint="eastAsia" w:asciiTheme="minorEastAsia" w:hAnsiTheme="minorEastAsia" w:eastAsiaTheme="minorEastAsia"/>
          <w:sz w:val="24"/>
        </w:rPr>
        <w:t>97</w:t>
      </w:r>
      <w:r>
        <w:rPr>
          <w:rFonts w:asciiTheme="minorEastAsia" w:hAnsiTheme="minorEastAsia" w:eastAsiaTheme="minorEastAsia"/>
          <w:sz w:val="24"/>
        </w:rPr>
        <w:t>分）的核心信息，同时呈现了各地区电影数量与评分的对应关系，直观反映了不同地区的电影产出规模与口碑差异。</w:t>
      </w:r>
    </w:p>
    <w:p w14:paraId="33A354A6">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电影上映年份区间数量趋势图为折线图，X轴为1900-1919、1920-1939等七个年份区间，Y轴为电影数量（单位：部），图表标注了2000-2019年的峰值764部，清晰呈现了电影数量从1900-1919年的最少（1部）逐步增长至2000-2019 年峰值，再到2020-2025年回落的变化趋势，直观反映了电影产业的发展历程。</w:t>
      </w:r>
    </w:p>
    <w:p w14:paraId="1BF33B86">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评分-热度综合指数Top2</w:t>
      </w:r>
      <w:r>
        <w:rPr>
          <w:rFonts w:hint="eastAsia" w:asciiTheme="minorEastAsia" w:hAnsiTheme="minorEastAsia" w:eastAsiaTheme="minorEastAsia"/>
          <w:sz w:val="24"/>
        </w:rPr>
        <w:t>0</w:t>
      </w:r>
      <w:r>
        <w:rPr>
          <w:rFonts w:asciiTheme="minorEastAsia" w:hAnsiTheme="minorEastAsia" w:eastAsiaTheme="minorEastAsia"/>
          <w:sz w:val="24"/>
        </w:rPr>
        <w:t>电影柱状图采用水平柱状图形式，Y轴为电影名称（含地区标注），X轴为评分-热度综合指数，图表为每部电影标注了综合指数、评分及投票数，清晰展示了《肖申克的救赎》（美国）、《霸王别姬》（中国大陆）等Top20电影的排名情况，突出了美国电影在高口碑高热度领域的优势。</w:t>
      </w:r>
    </w:p>
    <w:p w14:paraId="5D3F47A3">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演员参演作品数总和Top20排名图为条形图，Y轴为演员姓名（含排名标注），X轴为参演作品总数（单位：部），图表标注了每位演员的参演作品数量，直观呈现了林原惠美、张国荣等演员的行业活跃度排名，清晰反映了高产演员的地区分布特征。</w:t>
      </w:r>
    </w:p>
    <w:p w14:paraId="5FAC2EC0">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演员参演作品类型数量Top20排名图同样为条形图，Y轴为演员姓名，X轴为参演作品类型总数（单位：种），图表标注了每位演员的参演类型数量，突出了梁朝伟以15种类型排名第一的优势，展现了优质演员的戏路广度。</w:t>
      </w:r>
    </w:p>
    <w:p w14:paraId="6B8A6339">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电影年代经典度Top15图为水平柱状图，Y轴为电影名称（含上映年份标注），X轴为年代经典度（由评分×100换算得出），图表标注了每部电影的评分，直观呈现了《寻子遇仙记》《福尔摩斯二世》等早期经典电影的高艺术价值，反映了不同年代经典作品的分布情况。</w:t>
      </w:r>
    </w:p>
    <w:p w14:paraId="370D7BFE">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Top10电影类型平均评分雷达图以雷达图形式呈现，围绕动画、动作、剧情等10个电影类型展开，数值范围设定为8.0-9.0分，图表标注了每种类型的平均评分，清晰展示了动画类电影平均评分最高、</w:t>
      </w:r>
      <w:r>
        <w:rPr>
          <w:rFonts w:hint="eastAsia" w:asciiTheme="minorEastAsia" w:hAnsiTheme="minorEastAsia" w:eastAsiaTheme="minorEastAsia"/>
          <w:sz w:val="24"/>
        </w:rPr>
        <w:t>剧情类和爱情类</w:t>
      </w:r>
      <w:r>
        <w:rPr>
          <w:rFonts w:asciiTheme="minorEastAsia" w:hAnsiTheme="minorEastAsia" w:eastAsiaTheme="minorEastAsia"/>
          <w:sz w:val="24"/>
        </w:rPr>
        <w:t>紧随其后的偏好特征，直观对比了不同类型电影的观众认可度。</w:t>
      </w:r>
    </w:p>
    <w:p w14:paraId="1B5A8389">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不同投票数区间的电影评分分布箱线图以箱线图形式展示了五个投票数区间的评分分布情况，X轴为投票数区间，Y轴为电影评分（7.0-10.0分），</w:t>
      </w:r>
      <w:r>
        <w:rPr>
          <w:rFonts w:hint="eastAsia" w:asciiTheme="minorEastAsia" w:hAnsiTheme="minorEastAsia" w:eastAsiaTheme="minorEastAsia"/>
          <w:sz w:val="24"/>
        </w:rPr>
        <w:t>1千-1万投票的小众作品评分最高；10万-50万投票的大众作品评分偏低；50万+投票的国民作品评分较高。表明了热度和评分并非正相关关系，不同热度的作品，靠不同的内容策略，拿到了对应的口碑结果。</w:t>
      </w:r>
    </w:p>
    <w:p w14:paraId="7A74E473">
      <w:pPr>
        <w:spacing w:line="440" w:lineRule="exact"/>
        <w:ind w:firstLine="480" w:firstLineChars="200"/>
        <w:rPr>
          <w:rFonts w:hint="eastAsia" w:asciiTheme="minorEastAsia" w:hAnsiTheme="minorEastAsia" w:eastAsiaTheme="minorEastAsia"/>
          <w:sz w:val="24"/>
        </w:rPr>
      </w:pPr>
      <w:r>
        <w:rPr>
          <w:rFonts w:asciiTheme="minorEastAsia" w:hAnsiTheme="minorEastAsia" w:eastAsiaTheme="minorEastAsia"/>
          <w:sz w:val="24"/>
        </w:rPr>
        <w:t>所有可视化图表均包含清晰的标题、坐标轴标签、图例及关键数据标注，数据准确无误，图表样式美观、易于理解，与数据分析结论高度契合，为项目成果展示提供了直观、有力的支撑。</w:t>
      </w:r>
    </w:p>
    <w:p w14:paraId="716D0D21">
      <w:pPr>
        <w:tabs>
          <w:tab w:val="left" w:pos="1584"/>
        </w:tabs>
        <w:jc w:val="center"/>
        <w:outlineLvl w:val="9"/>
      </w:pPr>
      <w:r>
        <w:drawing>
          <wp:inline distT="0" distB="0" distL="114300" distR="114300">
            <wp:extent cx="5215255" cy="4584700"/>
            <wp:effectExtent l="0" t="0" r="4445" b="6350"/>
            <wp:docPr id="637" name="图片占位符 7" descr="微信图片_2025122413490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37" name="图片占位符 7" descr="微信图片_20251224134908"/>
                    <pic:cNvPicPr>
                      <a:picLocks noGrp="1" noChangeAspect="1"/>
                    </pic:cNvPicPr>
                  </pic:nvPicPr>
                  <pic:blipFill>
                    <a:blip r:embed="rId385"/>
                    <a:stretch>
                      <a:fillRect/>
                    </a:stretch>
                  </pic:blipFill>
                  <pic:spPr>
                    <a:xfrm>
                      <a:off x="0" y="0"/>
                      <a:ext cx="5215255" cy="4584700"/>
                    </a:xfrm>
                    <a:prstGeom prst="rect">
                      <a:avLst/>
                    </a:prstGeom>
                    <a:solidFill>
                      <a:srgbClr val="DDDDDD"/>
                    </a:solidFill>
                    <a:ln>
                      <a:noFill/>
                    </a:ln>
                  </pic:spPr>
                </pic:pic>
              </a:graphicData>
            </a:graphic>
          </wp:inline>
        </w:drawing>
      </w:r>
    </w:p>
    <w:p w14:paraId="26192159">
      <w:pPr>
        <w:pStyle w:val="13"/>
        <w:jc w:val="center"/>
        <w:sectPr>
          <w:headerReference r:id="rId3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sz w:val="18"/>
          <w:szCs w:val="18"/>
        </w:rPr>
        <w:t xml:space="preserve">图 </w:t>
      </w:r>
      <w:r>
        <w:rPr>
          <w:rFonts w:hint="eastAsia" w:ascii="宋体" w:hAnsi="宋体" w:eastAsia="宋体" w:cs="宋体"/>
          <w:sz w:val="18"/>
          <w:szCs w:val="18"/>
        </w:rPr>
        <w:fldChar w:fldCharType="begin"/>
      </w:r>
      <w:r>
        <w:rPr>
          <w:rFonts w:hint="eastAsia" w:ascii="宋体" w:hAnsi="宋体" w:eastAsia="宋体" w:cs="宋体"/>
          <w:sz w:val="18"/>
          <w:szCs w:val="18"/>
        </w:rPr>
        <w:instrText xml:space="preserve"> SEQ 图 \* ARABIC </w:instrText>
      </w:r>
      <w:r>
        <w:rPr>
          <w:rFonts w:hint="eastAsia" w:ascii="宋体" w:hAnsi="宋体" w:eastAsia="宋体" w:cs="宋体"/>
          <w:sz w:val="18"/>
          <w:szCs w:val="18"/>
        </w:rPr>
        <w:fldChar w:fldCharType="separate"/>
      </w:r>
      <w:r>
        <w:rPr>
          <w:rFonts w:hint="eastAsia" w:ascii="宋体" w:hAnsi="宋体" w:eastAsia="宋体" w:cs="宋体"/>
          <w:sz w:val="18"/>
          <w:szCs w:val="18"/>
        </w:rPr>
        <w:t>1</w:t>
      </w:r>
      <w:r>
        <w:rPr>
          <w:rFonts w:hint="eastAsia" w:ascii="宋体" w:hAnsi="宋体" w:eastAsia="宋体" w:cs="宋体"/>
          <w:sz w:val="18"/>
          <w:szCs w:val="18"/>
          <w:lang w:val="en-US" w:eastAsia="zh-CN"/>
        </w:rPr>
        <w:t>2</w:t>
      </w:r>
      <w:r>
        <w:rPr>
          <w:rFonts w:hint="eastAsia" w:ascii="宋体" w:hAnsi="宋体" w:eastAsia="宋体" w:cs="宋体"/>
          <w:sz w:val="18"/>
          <w:szCs w:val="18"/>
        </w:rPr>
        <w:fldChar w:fldCharType="end"/>
      </w:r>
      <w:r>
        <w:rPr>
          <w:rFonts w:hint="eastAsia" w:ascii="宋体" w:hAnsi="宋体" w:eastAsia="宋体" w:cs="宋体"/>
          <w:sz w:val="18"/>
          <w:szCs w:val="18"/>
        </w:rPr>
        <w:t xml:space="preserve"> 可视化大屏</w:t>
      </w:r>
    </w:p>
    <w:p w14:paraId="6F330747">
      <w:pPr>
        <w:pStyle w:val="3"/>
        <w:bidi w:val="0"/>
        <w:rPr>
          <w:rFonts w:hint="eastAsia"/>
        </w:rPr>
      </w:pPr>
      <w:bookmarkStart w:id="959" w:name="二班4组"/>
      <w:bookmarkEnd w:id="959"/>
      <w:bookmarkStart w:id="960" w:name="二班5组"/>
      <w:bookmarkEnd w:id="960"/>
      <w:bookmarkStart w:id="961" w:name="_Toc30682"/>
      <w:bookmarkStart w:id="962" w:name="_Toc13101"/>
      <w:bookmarkStart w:id="963" w:name="_Toc218517533"/>
      <w:r>
        <w:rPr>
          <w:rFonts w:hint="eastAsia"/>
          <w:lang w:val="en-US" w:eastAsia="zh-CN"/>
        </w:rPr>
        <w:t>12.</w:t>
      </w:r>
      <w:r>
        <w:rPr>
          <w:rFonts w:hint="eastAsia"/>
        </w:rPr>
        <w:t>基于某视频(b站)网站的视频与用户多维度数据分析</w:t>
      </w:r>
      <w:bookmarkEnd w:id="961"/>
      <w:bookmarkEnd w:id="962"/>
    </w:p>
    <w:tbl>
      <w:tblPr>
        <w:tblStyle w:val="57"/>
        <w:tblpPr w:leftFromText="180" w:rightFromText="180" w:vertAnchor="text" w:horzAnchor="page" w:tblpX="1817" w:tblpY="273"/>
        <w:tblOverlap w:val="never"/>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9DBAF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8522" w:type="dxa"/>
            <w:vAlign w:val="center"/>
          </w:tcPr>
          <w:p w14:paraId="51E733C1">
            <w:pPr>
              <w:jc w:val="left"/>
              <w:outlineLvl w:val="0"/>
              <w:rPr>
                <w:rFonts w:hint="eastAsia" w:ascii="Calibri" w:hAnsi="Calibri" w:eastAsia="黑体" w:cs="Times New Roman"/>
                <w:sz w:val="24"/>
                <w:lang w:val="en-US" w:eastAsia="zh-CN"/>
              </w:rPr>
            </w:pPr>
            <w:bookmarkStart w:id="964" w:name="_Toc25870"/>
            <w:bookmarkStart w:id="965" w:name="_Toc24769"/>
            <w:r>
              <w:rPr>
                <w:rFonts w:hint="eastAsia" w:ascii="Calibri" w:hAnsi="Calibri" w:eastAsia="黑体" w:cs="Times New Roman"/>
                <w:sz w:val="24"/>
              </w:rPr>
              <w:t>项目主题：基于某视频(b站)网站的视频与用户多维度数据分析</w:t>
            </w:r>
            <w:bookmarkEnd w:id="964"/>
            <w:bookmarkEnd w:id="965"/>
          </w:p>
          <w:p w14:paraId="1EDE47C0">
            <w:pPr>
              <w:jc w:val="left"/>
              <w:outlineLvl w:val="0"/>
              <w:rPr>
                <w:rFonts w:hint="eastAsia" w:ascii="Calibri" w:hAnsi="Calibri" w:eastAsia="黑体" w:cs="Times New Roman"/>
                <w:szCs w:val="21"/>
                <w:lang w:val="en-US" w:eastAsia="zh-CN"/>
              </w:rPr>
            </w:pPr>
          </w:p>
        </w:tc>
      </w:tr>
      <w:tr w14:paraId="491FC6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8522" w:type="dxa"/>
            <w:vAlign w:val="center"/>
          </w:tcPr>
          <w:p w14:paraId="3A1665E4">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数据与科学本科</w:t>
            </w:r>
            <w:r>
              <w:rPr>
                <w:rFonts w:hint="eastAsia" w:ascii="Calibri" w:hAnsi="Calibri" w:eastAsia="黑体" w:cs="Times New Roman"/>
                <w:sz w:val="24"/>
                <w:lang w:val="en-US" w:eastAsia="zh-CN"/>
              </w:rPr>
              <w:t>2</w:t>
            </w:r>
            <w:r>
              <w:rPr>
                <w:rFonts w:hint="eastAsia" w:ascii="Calibri" w:hAnsi="Calibri" w:eastAsia="黑体" w:cs="Times New Roman"/>
                <w:sz w:val="24"/>
              </w:rPr>
              <w:t>班</w:t>
            </w:r>
          </w:p>
        </w:tc>
      </w:tr>
      <w:tr w14:paraId="3E56B6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8522" w:type="dxa"/>
            <w:vAlign w:val="center"/>
          </w:tcPr>
          <w:p w14:paraId="722B038A">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吴邓华、罗俊宇、王翔、周于荣、张学鸿</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马梵毓</w:t>
            </w:r>
          </w:p>
        </w:tc>
      </w:tr>
    </w:tbl>
    <w:p w14:paraId="6B6C259D">
      <w:pPr>
        <w:spacing w:line="440" w:lineRule="exact"/>
        <w:outlineLvl w:val="9"/>
        <w:rPr>
          <w:rFonts w:hint="eastAsia" w:asciiTheme="minorEastAsia" w:hAnsiTheme="minorEastAsia" w:eastAsiaTheme="minorEastAsia"/>
          <w:b/>
          <w:bCs/>
          <w:sz w:val="28"/>
          <w:szCs w:val="28"/>
        </w:rPr>
      </w:pPr>
      <w:bookmarkStart w:id="966" w:name="_Toc31406"/>
      <w:r>
        <w:rPr>
          <w:rFonts w:hint="eastAsia" w:asciiTheme="minorEastAsia" w:hAnsiTheme="minorEastAsia" w:eastAsiaTheme="minorEastAsia"/>
          <w:b/>
          <w:bCs/>
          <w:sz w:val="28"/>
          <w:szCs w:val="28"/>
        </w:rPr>
        <w:t>1 项目概述</w:t>
      </w:r>
      <w:bookmarkEnd w:id="963"/>
      <w:bookmarkEnd w:id="966"/>
    </w:p>
    <w:p w14:paraId="200886BE">
      <w:pPr>
        <w:spacing w:line="440" w:lineRule="exact"/>
        <w:ind w:firstLine="480" w:firstLineChars="200"/>
        <w:outlineLvl w:val="9"/>
        <w:rPr>
          <w:rFonts w:hint="eastAsia" w:cs="宋体" w:asciiTheme="minorEastAsia" w:hAnsiTheme="minorEastAsia" w:eastAsiaTheme="minorEastAsia"/>
          <w:sz w:val="24"/>
        </w:rPr>
      </w:pPr>
      <w:bookmarkStart w:id="967" w:name="_Toc218517534"/>
      <w:bookmarkStart w:id="968" w:name="_Toc18421"/>
      <w:r>
        <w:rPr>
          <w:rFonts w:hint="eastAsia" w:cs="宋体" w:asciiTheme="minorEastAsia" w:hAnsiTheme="minorEastAsia" w:eastAsiaTheme="minorEastAsia"/>
          <w:sz w:val="24"/>
        </w:rPr>
        <w:t>1.1 项目介绍</w:t>
      </w:r>
      <w:bookmarkEnd w:id="967"/>
      <w:bookmarkEnd w:id="968"/>
    </w:p>
    <w:p w14:paraId="215C5722">
      <w:pPr>
        <w:spacing w:line="440" w:lineRule="exact"/>
        <w:ind w:firstLine="480" w:firstLineChars="200"/>
        <w:outlineLvl w:val="9"/>
        <w:rPr>
          <w:rFonts w:hint="eastAsia" w:asciiTheme="minorEastAsia" w:hAnsiTheme="minorEastAsia" w:eastAsiaTheme="minorEastAsia"/>
          <w:sz w:val="24"/>
        </w:rPr>
      </w:pPr>
      <w:r>
        <w:rPr>
          <w:rFonts w:asciiTheme="minorEastAsia" w:hAnsiTheme="minorEastAsia" w:eastAsiaTheme="minorEastAsia"/>
          <w:sz w:val="24"/>
        </w:rPr>
        <w:t>本项目为基于B站网站的视频与用户多维度数据分析项目，属于服装大数据产业学院2025-2026学年第一学期产教融合项目。项目核心目标是通过技术手段获取B站科技区的视频数据，进行深度分析和可视化展示，为内容创作者和研究者提供直观的数据洞察，助力其把握内容创作趋势、了解用户偏好。项目整体形成了从数据爬取、清洗、存储，到数据分析、可视化展示的完整数据处理流程，采用现代化技术栈构建，具备良好的可扩展性和可维护性。</w:t>
      </w:r>
    </w:p>
    <w:p w14:paraId="113B98FE">
      <w:pPr>
        <w:spacing w:line="440" w:lineRule="exact"/>
        <w:ind w:firstLine="480" w:firstLineChars="200"/>
        <w:outlineLvl w:val="9"/>
        <w:rPr>
          <w:rFonts w:hint="eastAsia" w:cs="宋体" w:asciiTheme="minorEastAsia" w:hAnsiTheme="minorEastAsia" w:eastAsiaTheme="minorEastAsia"/>
          <w:sz w:val="24"/>
        </w:rPr>
      </w:pPr>
      <w:bookmarkStart w:id="969" w:name="_Toc218517535"/>
      <w:bookmarkStart w:id="970" w:name="_Toc17886"/>
      <w:r>
        <w:rPr>
          <w:rFonts w:hint="eastAsia" w:cs="宋体" w:asciiTheme="minorEastAsia" w:hAnsiTheme="minorEastAsia" w:eastAsiaTheme="minorEastAsia"/>
          <w:sz w:val="24"/>
        </w:rPr>
        <w:t>1.2 项目开发环境</w:t>
      </w:r>
      <w:bookmarkEnd w:id="969"/>
      <w:bookmarkEnd w:id="970"/>
    </w:p>
    <w:p w14:paraId="6DEB663A">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本项目采用前后端分离架构，开发环境及技术栈如下：后端开发语言为Python，Web框架选用FastAPI；</w:t>
      </w:r>
      <w:r>
        <w:rPr>
          <w:rFonts w:asciiTheme="minorEastAsia" w:hAnsiTheme="minorEastAsia" w:eastAsiaTheme="minorEastAsia"/>
          <w:sz w:val="24"/>
        </w:rPr>
        <w:t>前端采用 Vue.js（管理后台）+React（数据大屏）双框架融合，技术细节含 TypeScript、Element UI（Vue 生态）、ECharts/Recharts（图表库）</w:t>
      </w:r>
      <w:r>
        <w:rPr>
          <w:rFonts w:hint="eastAsia" w:asciiTheme="minorEastAsia" w:hAnsiTheme="minorEastAsia" w:eastAsiaTheme="minorEastAsia"/>
          <w:sz w:val="24"/>
        </w:rPr>
        <w:t>；数据库采用 MySQL 作为主数据库（结构化数据存储与查询），SQLite 用于备份与测试环境；数据分析工具采用pandas；可视化工具结合Python 后端生成静态图表（Matplotlib、Seaborn、WordCloud）+ 前端交互式图表（ECharts、Recharts）；开发工具可选用PyCharm（后端）、Visual Studio Code（前端）等；版本控制工具使用Git进行代码管理，采用"master主分支+develop开发分支+feature功能分支"的分支管理策略，确保代码协作规范。</w:t>
      </w:r>
    </w:p>
    <w:p w14:paraId="1A478F8D">
      <w:pPr>
        <w:spacing w:line="440" w:lineRule="exact"/>
        <w:ind w:firstLine="480" w:firstLineChars="200"/>
        <w:outlineLvl w:val="9"/>
        <w:rPr>
          <w:rFonts w:hint="eastAsia" w:cs="宋体" w:asciiTheme="minorEastAsia" w:hAnsiTheme="minorEastAsia" w:eastAsiaTheme="minorEastAsia"/>
          <w:sz w:val="24"/>
        </w:rPr>
      </w:pPr>
      <w:bookmarkStart w:id="971" w:name="_Toc218517536"/>
      <w:bookmarkStart w:id="972" w:name="_Toc10843"/>
      <w:r>
        <w:rPr>
          <w:rFonts w:hint="eastAsia" w:cs="宋体" w:asciiTheme="minorEastAsia" w:hAnsiTheme="minorEastAsia" w:eastAsiaTheme="minorEastAsia"/>
          <w:sz w:val="24"/>
        </w:rPr>
        <w:t>1.3 小组</w:t>
      </w:r>
      <w:r>
        <w:rPr>
          <w:rFonts w:cs="宋体" w:asciiTheme="minorEastAsia" w:hAnsiTheme="minorEastAsia" w:eastAsiaTheme="minorEastAsia"/>
          <w:sz w:val="24"/>
        </w:rPr>
        <w:t>人员及分工</w:t>
      </w:r>
      <w:bookmarkEnd w:id="971"/>
      <w:bookmarkEnd w:id="972"/>
    </w:p>
    <w:p w14:paraId="6BBCA583">
      <w:pPr>
        <w:spacing w:line="440" w:lineRule="exact"/>
        <w:ind w:firstLine="480" w:firstLineChars="200"/>
        <w:outlineLvl w:val="9"/>
        <w:rPr>
          <w:rFonts w:hint="eastAsia" w:asciiTheme="minorEastAsia" w:hAnsiTheme="minorEastAsia" w:eastAsiaTheme="minorEastAsia"/>
          <w:sz w:val="24"/>
        </w:rPr>
      </w:pPr>
      <w:r>
        <w:rPr>
          <w:rFonts w:cs="Arial" w:asciiTheme="minorEastAsia" w:hAnsiTheme="minorEastAsia" w:eastAsiaTheme="minorEastAsia"/>
          <w:sz w:val="24"/>
        </w:rPr>
        <w:t>本项目小组为第5组，由吴邓华、罗俊宇、王翔、周于荣、张学鸿5名成员组成，各成员根据自身优势明确分工，协同推进项目开发。具体分工如下：吴邓华负责项目架构设计，承担整体架构规划、前后端技术选型与整合工作；罗俊宇负责数据爬取与持久化模块开发，实现多分区数据爬取、同步/异步爬取模式搭建、反爬策略实施及数据初步处理与保存；王翔负责数据清洗与数据库模块，设计数据库表结构，实现数据去重、缺失值处理、异常值过滤等完整清洗流程，并完成数据向MySQL的存入与管理；周于荣负责数据分析与可视化模块，开展多维度数据分析，生成多样化图表并实现交互功能改造；张学鸿负责项目文档编写、演示PPT制作及项目进度跟踪记录工作，确保项目文档完整规范、进度按计划推进。</w:t>
      </w:r>
    </w:p>
    <w:p w14:paraId="0649EF3F">
      <w:pPr>
        <w:spacing w:line="440" w:lineRule="exact"/>
        <w:outlineLvl w:val="9"/>
        <w:rPr>
          <w:rFonts w:hint="eastAsia" w:asciiTheme="minorEastAsia" w:hAnsiTheme="minorEastAsia" w:eastAsiaTheme="minorEastAsia"/>
          <w:b/>
          <w:bCs/>
          <w:sz w:val="28"/>
          <w:szCs w:val="28"/>
        </w:rPr>
      </w:pPr>
      <w:bookmarkStart w:id="973" w:name="_Toc29672"/>
      <w:bookmarkStart w:id="974" w:name="_Toc218517537"/>
      <w:r>
        <w:rPr>
          <w:rFonts w:hint="eastAsia" w:asciiTheme="minorEastAsia" w:hAnsiTheme="minorEastAsia" w:eastAsiaTheme="minorEastAsia"/>
          <w:b/>
          <w:bCs/>
          <w:sz w:val="28"/>
          <w:szCs w:val="28"/>
        </w:rPr>
        <w:t>2 需求分析</w:t>
      </w:r>
      <w:bookmarkEnd w:id="973"/>
      <w:bookmarkEnd w:id="974"/>
    </w:p>
    <w:p w14:paraId="424AF6CF">
      <w:pPr>
        <w:spacing w:line="440" w:lineRule="exact"/>
        <w:ind w:firstLine="480" w:firstLineChars="200"/>
        <w:outlineLvl w:val="9"/>
        <w:rPr>
          <w:rFonts w:hint="eastAsia" w:cs="宋体" w:asciiTheme="minorEastAsia" w:hAnsiTheme="minorEastAsia" w:eastAsiaTheme="minorEastAsia"/>
          <w:sz w:val="24"/>
        </w:rPr>
      </w:pPr>
      <w:bookmarkStart w:id="975" w:name="_Toc15648"/>
      <w:bookmarkStart w:id="976" w:name="_Toc218517538"/>
      <w:r>
        <w:rPr>
          <w:rFonts w:hint="eastAsia" w:cs="宋体" w:asciiTheme="minorEastAsia" w:hAnsiTheme="minorEastAsia" w:eastAsiaTheme="minorEastAsia"/>
          <w:sz w:val="24"/>
        </w:rPr>
        <w:t>2.1 系统需求分析</w:t>
      </w:r>
      <w:bookmarkEnd w:id="975"/>
      <w:bookmarkEnd w:id="976"/>
    </w:p>
    <w:p w14:paraId="615D93DD">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系统核心需求围绕B站科技区视频与用户数据的获取、处理、分析及展示展开，具体包括：数据获取需求，需支持B站科技区数码产品、手机评测、电脑硬件等8个细分分区的视频数据爬取，具备稳定的爬取能力和反爬机制，确保数据获取的完整性与安全性；数据处理需求，需对爬取的原始数据进行清洗，去除重复数据、处理缺失值与异常值，实现数据格式标准化，并完成高质量数据向数据库的规范存储；数据分析需求，需开展基础统计分析、分区对比分析、UP主影响力分析、内容特征分析等多维度分析工作，挖掘数据背后的规律与趋势；可视化需求，需生成柱状图、散点图、折线图等多样化图表，且支持交互功能，方便用户直观查看与筛选数据；系统整合需求，实现前后端无缝对接，确保系统整体功能流畅运行，为用户提供良好的使用体验。</w:t>
      </w:r>
    </w:p>
    <w:p w14:paraId="54982B15">
      <w:pPr>
        <w:spacing w:line="440" w:lineRule="exact"/>
        <w:ind w:firstLine="480" w:firstLineChars="200"/>
        <w:outlineLvl w:val="9"/>
        <w:rPr>
          <w:rFonts w:hint="eastAsia" w:cs="宋体" w:asciiTheme="minorEastAsia" w:hAnsiTheme="minorEastAsia" w:eastAsiaTheme="minorEastAsia"/>
          <w:sz w:val="24"/>
        </w:rPr>
      </w:pPr>
      <w:bookmarkStart w:id="977" w:name="_Toc3855"/>
      <w:bookmarkStart w:id="978" w:name="_Toc218517539"/>
      <w:r>
        <w:rPr>
          <w:rFonts w:hint="eastAsia" w:cs="宋体" w:asciiTheme="minorEastAsia" w:hAnsiTheme="minorEastAsia" w:eastAsiaTheme="minorEastAsia"/>
          <w:sz w:val="24"/>
        </w:rPr>
        <w:t>2.2 可行性分析</w:t>
      </w:r>
      <w:bookmarkEnd w:id="977"/>
      <w:bookmarkEnd w:id="978"/>
    </w:p>
    <w:p w14:paraId="5F463F5D">
      <w:pPr>
        <w:spacing w:line="440" w:lineRule="exact"/>
        <w:ind w:firstLine="480" w:firstLineChars="200"/>
        <w:outlineLvl w:val="9"/>
        <w:rPr>
          <w:rFonts w:hint="eastAsia" w:asciiTheme="minorEastAsia" w:hAnsiTheme="minorEastAsia" w:eastAsiaTheme="minorEastAsia"/>
          <w:sz w:val="24"/>
        </w:rPr>
      </w:pPr>
      <w:r>
        <w:rPr>
          <w:rFonts w:cs="Arial" w:asciiTheme="minorEastAsia" w:hAnsiTheme="minorEastAsia" w:eastAsiaTheme="minorEastAsia"/>
          <w:sz w:val="24"/>
        </w:rPr>
        <w:t>技术可行性：本项目选用的Python、FastAPI、Vue.js、TypeScript、MySQL等技术均为成熟的现代化技术栈，具备丰富的开源库和社区支持，可满足数据爬取、清洗、分析、可视化及前后端开发的各项需求。团队成员已具备相关技术基础，通过分工协作可有效完成技术实现，技术层面具备可行性。</w:t>
      </w:r>
    </w:p>
    <w:p w14:paraId="24F9CB59">
      <w:pPr>
        <w:spacing w:line="440" w:lineRule="exact"/>
        <w:ind w:firstLine="480" w:firstLineChars="200"/>
        <w:rPr>
          <w:rFonts w:hint="eastAsia" w:asciiTheme="minorEastAsia" w:hAnsiTheme="minorEastAsia" w:eastAsiaTheme="minorEastAsia"/>
          <w:sz w:val="24"/>
        </w:rPr>
      </w:pPr>
      <w:r>
        <w:rPr>
          <w:rFonts w:cs="Arial" w:asciiTheme="minorEastAsia" w:hAnsiTheme="minorEastAsia" w:eastAsiaTheme="minorEastAsia"/>
          <w:sz w:val="24"/>
        </w:rPr>
        <w:t>经济可行性：本项目为产教融合项目，依托学校提供的学习与实践资源，无需大量额外资金投入，开发过程中使用的开发工具、技术框架均为开源免费，成本可控，经济层面具备可行性。</w:t>
      </w:r>
    </w:p>
    <w:p w14:paraId="1DFAD2C7">
      <w:pPr>
        <w:spacing w:line="440" w:lineRule="exact"/>
        <w:ind w:firstLine="480" w:firstLineChars="200"/>
        <w:rPr>
          <w:rFonts w:hint="eastAsia" w:asciiTheme="minorEastAsia" w:hAnsiTheme="minorEastAsia" w:eastAsiaTheme="minorEastAsia"/>
          <w:sz w:val="24"/>
        </w:rPr>
      </w:pPr>
      <w:r>
        <w:rPr>
          <w:rFonts w:cs="Arial" w:asciiTheme="minorEastAsia" w:hAnsiTheme="minorEastAsia" w:eastAsiaTheme="minorEastAsia"/>
          <w:sz w:val="24"/>
        </w:rPr>
        <w:t>操作可行性：系统设计遵循简洁直观的原则，前后端对接完成后，用户可通过前端界面便捷查看数据分析结果与可视化图表，操作流程简单易懂，无需专业的技术背景即可使用，操作层面具备可行性。</w:t>
      </w:r>
    </w:p>
    <w:p w14:paraId="25F9FD40">
      <w:pPr>
        <w:spacing w:line="440" w:lineRule="exact"/>
        <w:ind w:firstLine="480" w:firstLineChars="200"/>
        <w:rPr>
          <w:rFonts w:hint="eastAsia" w:asciiTheme="minorEastAsia" w:hAnsiTheme="minorEastAsia" w:eastAsiaTheme="minorEastAsia"/>
          <w:sz w:val="24"/>
        </w:rPr>
      </w:pPr>
      <w:r>
        <w:rPr>
          <w:rFonts w:cs="Arial" w:asciiTheme="minorEastAsia" w:hAnsiTheme="minorEastAsia" w:eastAsiaTheme="minorEastAsia"/>
          <w:sz w:val="24"/>
        </w:rPr>
        <w:t>进度可行性：项目采用敏捷开发模式，制定了明确的阶段性进度计划，团队成员分工明确、协作高效，能够按计划推进项目开发，确保项目按时完成交付。</w:t>
      </w:r>
    </w:p>
    <w:p w14:paraId="533E0A3F">
      <w:pPr>
        <w:spacing w:line="440" w:lineRule="exact"/>
        <w:ind w:firstLine="480" w:firstLineChars="200"/>
        <w:outlineLvl w:val="9"/>
        <w:rPr>
          <w:rFonts w:hint="eastAsia" w:cs="宋体" w:asciiTheme="minorEastAsia" w:hAnsiTheme="minorEastAsia" w:eastAsiaTheme="minorEastAsia"/>
          <w:sz w:val="24"/>
        </w:rPr>
      </w:pPr>
      <w:bookmarkStart w:id="979" w:name="_Toc29422"/>
      <w:bookmarkStart w:id="980" w:name="_Toc218517540"/>
      <w:r>
        <w:rPr>
          <w:rFonts w:hint="eastAsia" w:cs="宋体" w:asciiTheme="minorEastAsia" w:hAnsiTheme="minorEastAsia" w:eastAsiaTheme="minorEastAsia"/>
          <w:sz w:val="24"/>
        </w:rPr>
        <w:t>2.3 需求优先级分析</w:t>
      </w:r>
      <w:bookmarkEnd w:id="979"/>
      <w:bookmarkEnd w:id="980"/>
    </w:p>
    <w:p w14:paraId="02F59075">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根据需求重要性和紧急程度，将系统需求划分为三个优先级等级：1. 核心优先级（P0）：数据爬取、数据清洗、数据库存储、基础数据分析及简单可视化展示，此类需求是系统运行的基础，需优先完成；2. 重要优先级（P1）：可视化图表交互功能改造、前后端完整对接、多维度深度分析，此类需求是提升系统价值的关键，在核心需求完成后推进；3. 优化优先级（P2）：前端界面美化、数据导出功能、用户权限管理，此类需求用于提升用户体验，可在项目后期迭代优化中完成。通过优先级划分，确保项目资源集中于核心需求，保障项目按时交付。</w:t>
      </w:r>
    </w:p>
    <w:p w14:paraId="7A537749">
      <w:pPr>
        <w:spacing w:line="440" w:lineRule="exact"/>
        <w:outlineLvl w:val="9"/>
        <w:rPr>
          <w:rFonts w:hint="eastAsia" w:asciiTheme="minorEastAsia" w:hAnsiTheme="minorEastAsia" w:eastAsiaTheme="minorEastAsia"/>
          <w:b/>
          <w:bCs/>
          <w:sz w:val="28"/>
          <w:szCs w:val="28"/>
        </w:rPr>
      </w:pPr>
      <w:bookmarkStart w:id="981" w:name="_Toc21239"/>
      <w:bookmarkStart w:id="982" w:name="_Toc218517541"/>
      <w:r>
        <w:rPr>
          <w:rFonts w:hint="eastAsia" w:asciiTheme="minorEastAsia" w:hAnsiTheme="minorEastAsia" w:eastAsiaTheme="minorEastAsia"/>
          <w:b/>
          <w:bCs/>
          <w:sz w:val="28"/>
          <w:szCs w:val="28"/>
        </w:rPr>
        <w:t>3 系统设计</w:t>
      </w:r>
      <w:bookmarkEnd w:id="981"/>
      <w:bookmarkEnd w:id="982"/>
    </w:p>
    <w:p w14:paraId="2CB30B31">
      <w:pPr>
        <w:spacing w:line="440" w:lineRule="exact"/>
        <w:ind w:firstLine="480" w:firstLineChars="200"/>
        <w:outlineLvl w:val="9"/>
        <w:rPr>
          <w:rFonts w:hint="eastAsia" w:cs="宋体" w:asciiTheme="minorEastAsia" w:hAnsiTheme="minorEastAsia" w:eastAsiaTheme="minorEastAsia"/>
          <w:sz w:val="24"/>
        </w:rPr>
      </w:pPr>
      <w:bookmarkStart w:id="983" w:name="_Toc218517542"/>
      <w:bookmarkStart w:id="984" w:name="_Toc1503"/>
      <w:r>
        <w:rPr>
          <w:rFonts w:hint="eastAsia" w:cs="宋体" w:asciiTheme="minorEastAsia" w:hAnsiTheme="minorEastAsia" w:eastAsiaTheme="minorEastAsia"/>
          <w:sz w:val="24"/>
        </w:rPr>
        <w:t xml:space="preserve">3.1 </w:t>
      </w:r>
      <w:r>
        <w:rPr>
          <w:rFonts w:cs="宋体" w:asciiTheme="minorEastAsia" w:hAnsiTheme="minorEastAsia" w:eastAsiaTheme="minorEastAsia"/>
          <w:sz w:val="24"/>
        </w:rPr>
        <w:t>系统</w:t>
      </w:r>
      <w:r>
        <w:rPr>
          <w:rFonts w:hint="eastAsia" w:cs="宋体" w:asciiTheme="minorEastAsia" w:hAnsiTheme="minorEastAsia" w:eastAsiaTheme="minorEastAsia"/>
          <w:sz w:val="24"/>
        </w:rPr>
        <w:t>结构设计</w:t>
      </w:r>
      <w:bookmarkEnd w:id="983"/>
      <w:bookmarkEnd w:id="984"/>
    </w:p>
    <w:p w14:paraId="3552B34C">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本系统采用前后端分离的分层架构设计，整体分为四大层级，各层级职责清晰、协同工作。</w:t>
      </w:r>
    </w:p>
    <w:p w14:paraId="6692A086">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爬虫层：由罗俊宇负责开发，主要功能为获取B站科技区各细分分区的视频数据，实现同步/异步两种爬取模式，通过指数退避策略和随机请求间隔等反爬机制保障爬取稳定性，将爬取的原始数据进行初步处理后传输至数据层。</w:t>
      </w:r>
    </w:p>
    <w:p w14:paraId="451C5088">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数据层：由王翔负责设计与实现，包含数据清洗模块和数据库模块。数据清洗模块对原始数据进行去重、缺失值处理、异常值过滤、格式标准化等操作，输出高质量数据；数据库模块基于MySQL设计合理的表结构，负责高质量数据的持久化存储与高效查询。</w:t>
      </w:r>
    </w:p>
    <w:p w14:paraId="31806F5F">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业务层：作为系统的核心逻辑层，承接数据层传输的高质量数据，由周于荣负责的数据分析模块开展多维度数据分析工作，挖掘数据规律与趋势，同时由吴邓华负责整合各模块逻辑，提供API接口供前端调用。</w:t>
      </w:r>
    </w:p>
    <w:p w14:paraId="7CC9FD3B">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展示层：采用Vue.js+TypeScript框架开发，负责接收业务层传输的数据分析结果，通过周于荣实现的交互式可视化图表展示数据洞察，为用户提供直观的查看界面，实现数据的可视化呈现。</w:t>
      </w:r>
    </w:p>
    <w:p w14:paraId="4CB17EA9">
      <w:pPr>
        <w:spacing w:line="440" w:lineRule="exact"/>
        <w:ind w:firstLine="480" w:firstLineChars="200"/>
        <w:outlineLvl w:val="9"/>
        <w:rPr>
          <w:rFonts w:hint="eastAsia" w:cs="宋体" w:asciiTheme="minorEastAsia" w:hAnsiTheme="minorEastAsia" w:eastAsiaTheme="minorEastAsia"/>
          <w:sz w:val="24"/>
        </w:rPr>
      </w:pPr>
      <w:bookmarkStart w:id="985" w:name="_Toc21072"/>
      <w:bookmarkStart w:id="986" w:name="_Toc218517543"/>
      <w:r>
        <w:rPr>
          <w:rFonts w:hint="eastAsia" w:cs="宋体" w:asciiTheme="minorEastAsia" w:hAnsiTheme="minorEastAsia" w:eastAsiaTheme="minorEastAsia"/>
          <w:sz w:val="24"/>
        </w:rPr>
        <w:t>3.2 系统功能模块设计</w:t>
      </w:r>
      <w:bookmarkEnd w:id="985"/>
      <w:bookmarkEnd w:id="986"/>
    </w:p>
    <w:p w14:paraId="2C374C52">
      <w:pPr>
        <w:spacing w:line="440" w:lineRule="exact"/>
        <w:ind w:firstLine="480" w:firstLineChars="200"/>
        <w:outlineLvl w:val="9"/>
        <w:rPr>
          <w:rFonts w:hint="eastAsia" w:cs="Arial" w:asciiTheme="minorEastAsia" w:hAnsiTheme="minorEastAsia" w:eastAsiaTheme="minorEastAsia"/>
          <w:sz w:val="24"/>
        </w:rPr>
      </w:pPr>
      <w:r>
        <w:rPr>
          <w:rFonts w:cs="Arial" w:asciiTheme="minorEastAsia" w:hAnsiTheme="minorEastAsia" w:eastAsiaTheme="minorEastAsia"/>
          <w:sz w:val="24"/>
        </w:rPr>
        <w:t>本系统围绕核心需求设计了六大功能模块，各模块功能独立又相互关联，共同构成完整的系统功能。</w:t>
      </w:r>
    </w:p>
    <w:p w14:paraId="1821DBEA">
      <w:pPr>
        <w:spacing w:line="440" w:lineRule="exact"/>
        <w:ind w:firstLine="480" w:firstLineChars="200"/>
        <w:outlineLvl w:val="9"/>
        <w:rPr>
          <w:rFonts w:hint="eastAsia" w:cs="Arial" w:asciiTheme="minorEastAsia" w:hAnsiTheme="minorEastAsia" w:eastAsiaTheme="minorEastAsia"/>
          <w:sz w:val="24"/>
        </w:rPr>
      </w:pPr>
      <w:r>
        <w:rPr>
          <w:rFonts w:cs="Arial" w:asciiTheme="minorEastAsia" w:hAnsiTheme="minorEastAsia" w:eastAsiaTheme="minorEastAsia"/>
          <w:sz w:val="24"/>
        </w:rPr>
        <w:t>多分区爬取模块：支持B站科技区8个细分分区的视频数据爬取，提供同步/异步两种爬取模式，配置反爬策略避免IP被封，保障数据爬取的效率与稳定性。</w:t>
      </w:r>
    </w:p>
    <w:p w14:paraId="60285AE9">
      <w:pPr>
        <w:spacing w:line="440" w:lineRule="exact"/>
        <w:ind w:firstLine="480" w:firstLineChars="200"/>
        <w:outlineLvl w:val="9"/>
        <w:rPr>
          <w:rFonts w:hint="eastAsia" w:cs="Arial" w:asciiTheme="minorEastAsia" w:hAnsiTheme="minorEastAsia" w:eastAsiaTheme="minorEastAsia"/>
          <w:sz w:val="24"/>
        </w:rPr>
      </w:pPr>
      <w:r>
        <w:rPr>
          <w:rFonts w:cs="Arial" w:asciiTheme="minorEastAsia" w:hAnsiTheme="minorEastAsia" w:eastAsiaTheme="minorEastAsia"/>
          <w:sz w:val="24"/>
        </w:rPr>
        <w:t>数据清洗模块：实现完整的数据清洗流程，包括数据去重、缺失值填充/剔除、异常值识别与过滤、数据格式标准化，提升数据质量，为后续分析工作奠定基础。</w:t>
      </w:r>
    </w:p>
    <w:p w14:paraId="4385A961">
      <w:pPr>
        <w:spacing w:line="440" w:lineRule="exact"/>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数据库管理模块：设计合理的MySQL数据库表结构，实现数据的规范存入、查询、更新与管理，保障数据的安全性与完整性。</w:t>
      </w:r>
    </w:p>
    <w:p w14:paraId="1CBD40D2">
      <w:pPr>
        <w:spacing w:line="440" w:lineRule="exact"/>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多维度数据分析模块：开展基础统计分析（如视频数量、播放量、互动量统计等）、分区对比分析（各分区视频热度、创作数量、平均播放量对比等）、UP主影响力分析（粉丝量、视频互动率、作品更新频率分析等）、内容特征分析（视频标题、标签关键词提取与热度分析等），挖掘数据价值。</w:t>
      </w:r>
    </w:p>
    <w:p w14:paraId="72A8FE11">
      <w:pPr>
        <w:spacing w:line="440" w:lineRule="exact"/>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交互式可视化模块：生成柱状图、散点图、折线图、箱线图、词云图、饼图等多样化图表，支持用户自定义筛选等交互操作，直观展示数据分析结果。</w:t>
      </w:r>
    </w:p>
    <w:p w14:paraId="7DC16232">
      <w:pPr>
        <w:spacing w:line="440" w:lineRule="exact"/>
        <w:ind w:firstLine="480" w:firstLineChars="200"/>
        <w:rPr>
          <w:rFonts w:cs="Arial" w:asciiTheme="minorEastAsia" w:hAnsiTheme="minorEastAsia" w:eastAsiaTheme="minorEastAsia"/>
          <w:sz w:val="24"/>
        </w:rPr>
      </w:pPr>
      <w:r>
        <w:rPr>
          <w:rFonts w:cs="Arial" w:asciiTheme="minorEastAsia" w:hAnsiTheme="minorEastAsia" w:eastAsiaTheme="minorEastAsia"/>
          <w:sz w:val="24"/>
        </w:rPr>
        <w:t>前后端交互模块：基于FastAPI和Vue.js实现前后端对接，通过API接口传输数据，保障系统整体功能的流畅运行。</w:t>
      </w:r>
    </w:p>
    <w:p w14:paraId="1BA079E2">
      <w:pPr>
        <w:jc w:val="center"/>
        <w:rPr>
          <w:rFonts w:hint="eastAsia"/>
        </w:rPr>
      </w:pPr>
      <w:r>
        <w:rPr>
          <w:rFonts w:hint="eastAsia"/>
        </w:rPr>
        <w:drawing>
          <wp:anchor distT="0" distB="0" distL="114300" distR="114300" simplePos="0" relativeHeight="251833344" behindDoc="0" locked="0" layoutInCell="1" allowOverlap="1">
            <wp:simplePos x="0" y="0"/>
            <wp:positionH relativeFrom="column">
              <wp:posOffset>470535</wp:posOffset>
            </wp:positionH>
            <wp:positionV relativeFrom="paragraph">
              <wp:posOffset>89535</wp:posOffset>
            </wp:positionV>
            <wp:extent cx="3959860" cy="2376170"/>
            <wp:effectExtent l="0" t="0" r="2540" b="5080"/>
            <wp:wrapTopAndBottom/>
            <wp:docPr id="15507854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85447" name="图片 1"/>
                    <pic:cNvPicPr>
                      <a:picLocks noChangeAspect="1"/>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3960000" cy="2375999"/>
                    </a:xfrm>
                    <a:prstGeom prst="rect">
                      <a:avLst/>
                    </a:prstGeom>
                  </pic:spPr>
                </pic:pic>
              </a:graphicData>
            </a:graphic>
          </wp:anchor>
        </w:drawing>
      </w:r>
    </w:p>
    <w:p w14:paraId="33F4D2E5">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图3-1 各分区视频平均播放量对比</w:t>
      </w:r>
    </w:p>
    <w:p w14:paraId="1DD9DA91">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图表说明：柱状图用于对比热度</w:t>
      </w:r>
    </w:p>
    <w:p w14:paraId="0407FCF6">
      <w:pPr>
        <w:jc w:val="center"/>
      </w:pPr>
      <w:r>
        <w:drawing>
          <wp:anchor distT="0" distB="0" distL="114300" distR="114300" simplePos="0" relativeHeight="251835392" behindDoc="0" locked="0" layoutInCell="1" allowOverlap="1">
            <wp:simplePos x="0" y="0"/>
            <wp:positionH relativeFrom="column">
              <wp:posOffset>470535</wp:posOffset>
            </wp:positionH>
            <wp:positionV relativeFrom="paragraph">
              <wp:posOffset>58420</wp:posOffset>
            </wp:positionV>
            <wp:extent cx="3959860" cy="3168015"/>
            <wp:effectExtent l="0" t="0" r="2540" b="13335"/>
            <wp:wrapTopAndBottom/>
            <wp:docPr id="12179625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62583" name="图片 7"/>
                    <pic:cNvPicPr>
                      <a:picLocks noChangeAspect="1"/>
                    </pic:cNvPicPr>
                  </pic:nvPicPr>
                  <pic:blipFill>
                    <a:blip r:embed="rId387" cstate="print">
                      <a:extLst>
                        <a:ext uri="{28A0092B-C50C-407E-A947-70E740481C1C}">
                          <a14:useLocalDpi xmlns:a14="http://schemas.microsoft.com/office/drawing/2010/main" val="0"/>
                        </a:ext>
                      </a:extLst>
                    </a:blip>
                    <a:stretch>
                      <a:fillRect/>
                    </a:stretch>
                  </pic:blipFill>
                  <pic:spPr>
                    <a:xfrm>
                      <a:off x="0" y="0"/>
                      <a:ext cx="3960000" cy="3168095"/>
                    </a:xfrm>
                    <a:prstGeom prst="rect">
                      <a:avLst/>
                    </a:prstGeom>
                  </pic:spPr>
                </pic:pic>
              </a:graphicData>
            </a:graphic>
          </wp:anchor>
        </w:drawing>
      </w:r>
    </w:p>
    <w:p w14:paraId="6BFECF35">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图3-2 各分区视频数量分布</w:t>
      </w:r>
    </w:p>
    <w:p w14:paraId="104EC084">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图表说明：饼图用于展示分区占比</w:t>
      </w:r>
    </w:p>
    <w:p w14:paraId="4BF6958C">
      <w:pPr>
        <w:spacing w:line="440" w:lineRule="exact"/>
        <w:ind w:firstLine="480" w:firstLineChars="200"/>
        <w:outlineLvl w:val="9"/>
        <w:rPr>
          <w:rFonts w:hint="eastAsia" w:cs="宋体" w:asciiTheme="minorEastAsia" w:hAnsiTheme="minorEastAsia" w:eastAsiaTheme="minorEastAsia"/>
          <w:sz w:val="24"/>
        </w:rPr>
      </w:pPr>
      <w:bookmarkStart w:id="987" w:name="_Toc218517544"/>
      <w:bookmarkStart w:id="988" w:name="_Toc25326"/>
      <w:r>
        <w:rPr>
          <w:rFonts w:hint="eastAsia" w:cs="宋体" w:asciiTheme="minorEastAsia" w:hAnsiTheme="minorEastAsia" w:eastAsiaTheme="minorEastAsia"/>
          <w:sz w:val="24"/>
        </w:rPr>
        <w:t>3.3 数据库设计</w:t>
      </w:r>
      <w:bookmarkEnd w:id="987"/>
      <w:bookmarkEnd w:id="988"/>
    </w:p>
    <w:p w14:paraId="52219422">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本系统数据库选用MySQL，结合项目需求设计了4张核心数据表，分别为视频信息表、UP主信息表、分区信息表、数据爬取日志表，各表结构如下：</w:t>
      </w:r>
    </w:p>
    <w:p w14:paraId="0648F9BD">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视频信息表（video_info）：用于存储爬取的视频核心数据，字段包括视频ID（video_id，主键）、标题（title）、播放量（play_count）、点赞数（like_count）、投币数（coin_count）、收藏数（collect_count）、发布时间（publish_time）、UP主ID（up_id，外键）、分区ID（category_id，外键）、视频链接（video_url）等；</w:t>
      </w:r>
    </w:p>
    <w:p w14:paraId="56ED58F3">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UP主信息表（up_info）：用于存储UP主相关信息，字段包括UP主ID（up_id，主键）、UP主名称（up_name）、粉丝数（fan_count）、发布视频数（video_total）、认证类型（certification_type）等；</w:t>
      </w:r>
    </w:p>
    <w:p w14:paraId="631DEC5B">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分区信息表（category_info）：用于存储B站科技区细分分区信息，字段包括分区ID（category_id，主键）、分区名称（category_name）、分区链接（category_url）等；</w:t>
      </w:r>
    </w:p>
    <w:p w14:paraId="01A007A4">
      <w:pPr>
        <w:spacing w:line="440" w:lineRule="exact"/>
        <w:ind w:firstLine="480" w:firstLineChars="200"/>
        <w:rPr>
          <w:rFonts w:asciiTheme="minorEastAsia" w:hAnsiTheme="minorEastAsia" w:eastAsiaTheme="minorEastAsia"/>
          <w:sz w:val="24"/>
        </w:rPr>
      </w:pPr>
      <w:r>
        <w:rPr>
          <w:rFonts w:hint="eastAsia" w:asciiTheme="minorEastAsia" w:hAnsiTheme="minorEastAsia" w:eastAsiaTheme="minorEastAsia"/>
          <w:sz w:val="24"/>
        </w:rPr>
        <w:t>数据爬取日志表（crawl_log）：用于记录爬取任务信息，字段包括日志ID（log_id，主键）、爬取时间（crawl_time）、爬取分区ID（category_id，外键）、爬取数据量（crawl_num）、爬取状态（status，0-失败，1-成功）、异常信息（error_info）等。各表通过外键建立关联，确保数据完整性与一致性，支持多表联合查询，提升数据分析效率。</w:t>
      </w:r>
    </w:p>
    <w:p w14:paraId="41B423E2">
      <w:pPr>
        <w:spacing w:line="440" w:lineRule="exact"/>
        <w:ind w:firstLine="480" w:firstLineChars="200"/>
        <w:rPr>
          <w:rFonts w:hint="eastAsia"/>
        </w:rPr>
      </w:pPr>
      <w:r>
        <w:rPr>
          <w:rFonts w:hint="eastAsia" w:asciiTheme="minorEastAsia" w:hAnsiTheme="minorEastAsia" w:eastAsiaTheme="minorEastAsia"/>
          <w:sz w:val="24"/>
        </w:rPr>
        <w:t>数据库存储的 1600+ 条高质量数据，为后续 4 类核心分析（分区 / UP 主 / 内容 / 互动）和 9 张可视化图提供了数据支撑</w:t>
      </w:r>
    </w:p>
    <w:p w14:paraId="114A06E0">
      <w:pPr>
        <w:spacing w:line="440" w:lineRule="exact"/>
        <w:outlineLvl w:val="9"/>
        <w:rPr>
          <w:rFonts w:hint="eastAsia" w:asciiTheme="minorEastAsia" w:hAnsiTheme="minorEastAsia" w:eastAsiaTheme="minorEastAsia"/>
          <w:b/>
          <w:bCs/>
          <w:sz w:val="28"/>
          <w:szCs w:val="28"/>
        </w:rPr>
      </w:pPr>
      <w:bookmarkStart w:id="989" w:name="_Toc218517545"/>
      <w:bookmarkStart w:id="990" w:name="_Toc7922"/>
      <w:r>
        <w:rPr>
          <w:rFonts w:hint="eastAsia" w:asciiTheme="minorEastAsia" w:hAnsiTheme="minorEastAsia" w:eastAsiaTheme="minorEastAsia"/>
          <w:b/>
          <w:bCs/>
          <w:sz w:val="28"/>
          <w:szCs w:val="28"/>
        </w:rPr>
        <w:t>4 系统功能及使用说明</w:t>
      </w:r>
      <w:bookmarkEnd w:id="989"/>
      <w:bookmarkEnd w:id="990"/>
    </w:p>
    <w:p w14:paraId="107A8605">
      <w:pPr>
        <w:spacing w:line="440" w:lineRule="exact"/>
        <w:ind w:firstLine="480" w:firstLineChars="200"/>
        <w:outlineLvl w:val="9"/>
        <w:rPr>
          <w:rFonts w:hint="eastAsia" w:cs="宋体" w:asciiTheme="minorEastAsia" w:hAnsiTheme="minorEastAsia" w:eastAsiaTheme="minorEastAsia"/>
          <w:sz w:val="24"/>
        </w:rPr>
      </w:pPr>
      <w:bookmarkStart w:id="991" w:name="_Toc218517546"/>
      <w:bookmarkStart w:id="992" w:name="_Toc29241"/>
      <w:r>
        <w:rPr>
          <w:rFonts w:hint="eastAsia" w:cs="宋体" w:asciiTheme="minorEastAsia" w:hAnsiTheme="minorEastAsia" w:eastAsiaTheme="minorEastAsia"/>
          <w:sz w:val="24"/>
        </w:rPr>
        <w:t>4.1 系统核心功能说明</w:t>
      </w:r>
      <w:bookmarkEnd w:id="991"/>
      <w:bookmarkEnd w:id="992"/>
    </w:p>
    <w:p w14:paraId="589AF8B6">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数据爬取功能：系统启动后，可通过后台配置选择爬取分区及爬取模式（同步/异步），启动爬取任务后，系统将自动按照设定的反爬策略获取目标数据，并完成初步处理。</w:t>
      </w:r>
    </w:p>
    <w:p w14:paraId="4CCF2485">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数据管理功能：数据清洗完成后，系统自动将高质量数据存入MySQL数据库，用户可通过后台数据库管理界面查看数据存储情况，支持数据的查询与基础维护。</w:t>
      </w:r>
    </w:p>
    <w:p w14:paraId="0E343B4B">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数据分析功能：系统自动开展多维度数据分析，生成标准化的分析结果，涵盖各分区视频概况、UP主影响力排名、内容特征关键词等核心数据洞察。</w:t>
      </w:r>
    </w:p>
    <w:p w14:paraId="4D8FC785">
      <w:pPr>
        <w:spacing w:line="440" w:lineRule="exact"/>
        <w:ind w:firstLine="480" w:firstLineChars="200"/>
        <w:rPr>
          <w:rFonts w:asciiTheme="minorEastAsia" w:hAnsiTheme="minorEastAsia" w:eastAsiaTheme="minorEastAsia"/>
          <w:sz w:val="24"/>
        </w:rPr>
      </w:pPr>
      <w:r>
        <w:rPr>
          <w:rFonts w:hint="eastAsia" w:asciiTheme="minorEastAsia" w:hAnsiTheme="minorEastAsia" w:eastAsiaTheme="minorEastAsia"/>
          <w:sz w:val="24"/>
        </w:rPr>
        <w:t>可视化展示功能：前端界面展示多样化的交互式图表，用户可通过筛选条件选择查看特定分区、特定时间段的数据分析结果，支持图表的放大、缩小与数据详情查看。</w:t>
      </w:r>
    </w:p>
    <w:p w14:paraId="1FF0D6F2">
      <w:pPr>
        <w:jc w:val="center"/>
      </w:pPr>
      <w:r>
        <w:drawing>
          <wp:anchor distT="0" distB="0" distL="114300" distR="114300" simplePos="0" relativeHeight="251837440" behindDoc="0" locked="0" layoutInCell="1" allowOverlap="1">
            <wp:simplePos x="0" y="0"/>
            <wp:positionH relativeFrom="column">
              <wp:posOffset>653415</wp:posOffset>
            </wp:positionH>
            <wp:positionV relativeFrom="paragraph">
              <wp:posOffset>95250</wp:posOffset>
            </wp:positionV>
            <wp:extent cx="3959860" cy="1979930"/>
            <wp:effectExtent l="0" t="0" r="2540" b="1270"/>
            <wp:wrapTopAndBottom/>
            <wp:docPr id="1655327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2795" name="图片 3"/>
                    <pic:cNvPicPr>
                      <a:picLocks noChangeAspect="1"/>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3960000" cy="1980000"/>
                    </a:xfrm>
                    <a:prstGeom prst="rect">
                      <a:avLst/>
                    </a:prstGeom>
                  </pic:spPr>
                </pic:pic>
              </a:graphicData>
            </a:graphic>
          </wp:anchor>
        </w:drawing>
      </w:r>
    </w:p>
    <w:p w14:paraId="4E6E9A70">
      <w:pPr>
        <w:jc w:val="center"/>
      </w:pPr>
      <w:r>
        <w:rPr>
          <w:rFonts w:hint="eastAsia" w:asciiTheme="minorEastAsia" w:hAnsiTheme="minorEastAsia" w:eastAsiaTheme="minorEastAsia"/>
          <w:sz w:val="18"/>
          <w:szCs w:val="18"/>
        </w:rPr>
        <w:t>图4-1 视频时长与播放量关系</w:t>
      </w:r>
    </w:p>
    <w:p w14:paraId="7CF596A9">
      <w:pPr>
        <w:jc w:val="center"/>
      </w:pPr>
      <w:r>
        <w:drawing>
          <wp:anchor distT="0" distB="0" distL="114300" distR="114300" simplePos="0" relativeHeight="251839488" behindDoc="0" locked="0" layoutInCell="1" allowOverlap="1">
            <wp:simplePos x="0" y="0"/>
            <wp:positionH relativeFrom="column">
              <wp:posOffset>653415</wp:posOffset>
            </wp:positionH>
            <wp:positionV relativeFrom="paragraph">
              <wp:posOffset>95250</wp:posOffset>
            </wp:positionV>
            <wp:extent cx="3959860" cy="1979930"/>
            <wp:effectExtent l="0" t="0" r="2540" b="1270"/>
            <wp:wrapTopAndBottom/>
            <wp:docPr id="15203404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40450" name="图片 4"/>
                    <pic:cNvPicPr>
                      <a:picLocks noChangeAspect="1"/>
                    </pic:cNvPicPr>
                  </pic:nvPicPr>
                  <pic:blipFill>
                    <a:blip r:embed="rId389" cstate="print">
                      <a:extLst>
                        <a:ext uri="{28A0092B-C50C-407E-A947-70E740481C1C}">
                          <a14:useLocalDpi xmlns:a14="http://schemas.microsoft.com/office/drawing/2010/main" val="0"/>
                        </a:ext>
                      </a:extLst>
                    </a:blip>
                    <a:stretch>
                      <a:fillRect/>
                    </a:stretch>
                  </pic:blipFill>
                  <pic:spPr>
                    <a:xfrm>
                      <a:off x="0" y="0"/>
                      <a:ext cx="3960000" cy="1980000"/>
                    </a:xfrm>
                    <a:prstGeom prst="rect">
                      <a:avLst/>
                    </a:prstGeom>
                  </pic:spPr>
                </pic:pic>
              </a:graphicData>
            </a:graphic>
          </wp:anchor>
        </w:drawing>
      </w:r>
    </w:p>
    <w:p w14:paraId="7E8B30FB">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图4-2 播放量与点赞数相关性分析</w:t>
      </w:r>
    </w:p>
    <w:p w14:paraId="377D1B7C">
      <w:pPr>
        <w:jc w:val="left"/>
        <w:rPr>
          <w:rFonts w:hint="eastAsia"/>
        </w:rPr>
      </w:pPr>
      <w:r>
        <w:rPr>
          <w:rFonts w:hint="eastAsia" w:asciiTheme="minorEastAsia" w:hAnsiTheme="minorEastAsia" w:eastAsiaTheme="minorEastAsia"/>
          <w:sz w:val="18"/>
          <w:szCs w:val="18"/>
        </w:rPr>
        <w:t>图表说明：播放量与点赞数相关系数 0.74，证明高互动视频更易获推荐</w:t>
      </w:r>
    </w:p>
    <w:p w14:paraId="03C5FA26">
      <w:pPr>
        <w:jc w:val="center"/>
      </w:pPr>
      <w:r>
        <w:drawing>
          <wp:anchor distT="0" distB="0" distL="114300" distR="114300" simplePos="0" relativeHeight="251841536" behindDoc="0" locked="0" layoutInCell="1" allowOverlap="1">
            <wp:simplePos x="0" y="0"/>
            <wp:positionH relativeFrom="column">
              <wp:posOffset>653415</wp:posOffset>
            </wp:positionH>
            <wp:positionV relativeFrom="paragraph">
              <wp:posOffset>64135</wp:posOffset>
            </wp:positionV>
            <wp:extent cx="3959860" cy="2639695"/>
            <wp:effectExtent l="0" t="0" r="2540" b="8255"/>
            <wp:wrapTopAndBottom/>
            <wp:docPr id="7597671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67177" name="图片 5"/>
                    <pic:cNvPicPr>
                      <a:picLocks noChangeAspect="1"/>
                    </pic:cNvPicPr>
                  </pic:nvPicPr>
                  <pic:blipFill>
                    <a:blip r:embed="rId390" cstate="print">
                      <a:extLst>
                        <a:ext uri="{28A0092B-C50C-407E-A947-70E740481C1C}">
                          <a14:useLocalDpi xmlns:a14="http://schemas.microsoft.com/office/drawing/2010/main" val="0"/>
                        </a:ext>
                      </a:extLst>
                    </a:blip>
                    <a:stretch>
                      <a:fillRect/>
                    </a:stretch>
                  </pic:blipFill>
                  <pic:spPr>
                    <a:xfrm>
                      <a:off x="0" y="0"/>
                      <a:ext cx="3960000" cy="2640000"/>
                    </a:xfrm>
                    <a:prstGeom prst="rect">
                      <a:avLst/>
                    </a:prstGeom>
                  </pic:spPr>
                </pic:pic>
              </a:graphicData>
            </a:graphic>
          </wp:anchor>
        </w:drawing>
      </w:r>
    </w:p>
    <w:p w14:paraId="345AADCA"/>
    <w:p w14:paraId="541D7BED">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图4-3 UP主总播放量TOP15</w:t>
      </w:r>
    </w:p>
    <w:p w14:paraId="2E5FAB1B">
      <w:pPr>
        <w:jc w:val="left"/>
        <w:rPr>
          <w:rFonts w:asciiTheme="minorEastAsia" w:hAnsiTheme="minorEastAsia" w:eastAsiaTheme="minorEastAsia"/>
          <w:sz w:val="18"/>
          <w:szCs w:val="18"/>
        </w:rPr>
      </w:pPr>
      <w:r>
        <w:rPr>
          <w:rFonts w:hint="eastAsia" w:asciiTheme="minorEastAsia" w:hAnsiTheme="minorEastAsia" w:eastAsiaTheme="minorEastAsia"/>
          <w:sz w:val="18"/>
          <w:szCs w:val="18"/>
        </w:rPr>
        <w:t>图表说明：爱看直播的四蛋以 68 万总播放量登顶，其视频以‘手机评测’为主，契合热门分区</w:t>
      </w:r>
    </w:p>
    <w:p w14:paraId="2FD5F9E5">
      <w:pPr>
        <w:jc w:val="center"/>
        <w:rPr>
          <w:rFonts w:hint="eastAsia"/>
        </w:rPr>
      </w:pPr>
      <w:r>
        <w:rPr>
          <w:rFonts w:hint="eastAsia" w:asciiTheme="minorEastAsia" w:hAnsiTheme="minorEastAsia" w:eastAsiaTheme="minorEastAsia"/>
          <w:sz w:val="18"/>
          <w:szCs w:val="18"/>
        </w:rPr>
        <w:t>表4-1 分析结果</w:t>
      </w: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6713"/>
      </w:tblGrid>
      <w:tr w14:paraId="7EBEE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9" w:type="dxa"/>
          </w:tcPr>
          <w:p w14:paraId="2A9390C2">
            <w:pPr>
              <w:jc w:val="center"/>
              <w:rPr>
                <w:rFonts w:asciiTheme="majorEastAsia" w:hAnsiTheme="majorEastAsia" w:eastAsiaTheme="majorEastAsia"/>
                <w:lang w:val="en-GB"/>
              </w:rPr>
            </w:pPr>
            <w:r>
              <w:rPr>
                <w:rFonts w:hint="eastAsia" w:asciiTheme="majorEastAsia" w:hAnsiTheme="majorEastAsia" w:eastAsiaTheme="majorEastAsia"/>
                <w:lang w:val="en-GB"/>
              </w:rPr>
              <w:t>分析维度</w:t>
            </w:r>
          </w:p>
        </w:tc>
        <w:tc>
          <w:tcPr>
            <w:tcW w:w="6713" w:type="dxa"/>
          </w:tcPr>
          <w:p w14:paraId="7A2529BB">
            <w:pPr>
              <w:jc w:val="center"/>
              <w:rPr>
                <w:rFonts w:hint="eastAsia" w:asciiTheme="majorEastAsia" w:hAnsiTheme="majorEastAsia" w:eastAsiaTheme="majorEastAsia"/>
              </w:rPr>
            </w:pPr>
            <w:r>
              <w:rPr>
                <w:rFonts w:hint="eastAsia" w:asciiTheme="majorEastAsia" w:hAnsiTheme="majorEastAsia" w:eastAsiaTheme="majorEastAsia"/>
              </w:rPr>
              <w:t>具体结论</w:t>
            </w:r>
          </w:p>
        </w:tc>
      </w:tr>
      <w:tr w14:paraId="0F5E3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9" w:type="dxa"/>
          </w:tcPr>
          <w:p w14:paraId="7BD120BC">
            <w:pPr>
              <w:jc w:val="center"/>
              <w:rPr>
                <w:rFonts w:hint="eastAsia" w:asciiTheme="majorEastAsia" w:hAnsiTheme="majorEastAsia" w:eastAsiaTheme="majorEastAsia"/>
              </w:rPr>
            </w:pPr>
            <w:r>
              <w:rPr>
                <w:rFonts w:hint="eastAsia" w:asciiTheme="majorEastAsia" w:hAnsiTheme="majorEastAsia" w:eastAsiaTheme="majorEastAsia"/>
              </w:rPr>
              <w:t>热门分区</w:t>
            </w:r>
          </w:p>
        </w:tc>
        <w:tc>
          <w:tcPr>
            <w:tcW w:w="6713" w:type="dxa"/>
          </w:tcPr>
          <w:p w14:paraId="20E1BEB7">
            <w:pPr>
              <w:jc w:val="center"/>
              <w:rPr>
                <w:rFonts w:hint="eastAsia" w:asciiTheme="majorEastAsia" w:hAnsiTheme="majorEastAsia" w:eastAsiaTheme="majorEastAsia"/>
              </w:rPr>
            </w:pPr>
            <w:r>
              <w:rPr>
                <w:rFonts w:hint="eastAsia" w:asciiTheme="majorEastAsia" w:hAnsiTheme="majorEastAsia" w:eastAsiaTheme="majorEastAsia"/>
              </w:rPr>
              <w:t>手机评测分区（390 条视频）平均播放量 32206 次，为全分区最高，用户关注度第一</w:t>
            </w:r>
          </w:p>
        </w:tc>
      </w:tr>
      <w:tr w14:paraId="61A54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9" w:type="dxa"/>
          </w:tcPr>
          <w:p w14:paraId="2BFF615D">
            <w:pPr>
              <w:jc w:val="center"/>
              <w:rPr>
                <w:rFonts w:hint="eastAsia" w:asciiTheme="majorEastAsia" w:hAnsiTheme="majorEastAsia" w:eastAsiaTheme="majorEastAsia"/>
              </w:rPr>
            </w:pPr>
            <w:r>
              <w:rPr>
                <w:rFonts w:hint="eastAsia" w:asciiTheme="majorEastAsia" w:hAnsiTheme="majorEastAsia" w:eastAsiaTheme="majorEastAsia"/>
              </w:rPr>
              <w:t>内容特征（时长）</w:t>
            </w:r>
          </w:p>
        </w:tc>
        <w:tc>
          <w:tcPr>
            <w:tcW w:w="6713" w:type="dxa"/>
          </w:tcPr>
          <w:p w14:paraId="7F46FEAE">
            <w:pPr>
              <w:jc w:val="center"/>
              <w:rPr>
                <w:rFonts w:hint="eastAsia" w:asciiTheme="majorEastAsia" w:hAnsiTheme="majorEastAsia" w:eastAsiaTheme="majorEastAsia"/>
              </w:rPr>
            </w:pPr>
            <w:r>
              <w:rPr>
                <w:rFonts w:hint="eastAsia" w:asciiTheme="majorEastAsia" w:hAnsiTheme="majorEastAsia" w:eastAsiaTheme="majorEastAsia"/>
              </w:rPr>
              <w:t>64% 的视频时长＜5 分钟（897 条），证明科技区用户偏好短平快内容</w:t>
            </w:r>
          </w:p>
        </w:tc>
      </w:tr>
      <w:tr w14:paraId="0261E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9" w:type="dxa"/>
          </w:tcPr>
          <w:p w14:paraId="1CB50817">
            <w:pPr>
              <w:jc w:val="center"/>
              <w:rPr>
                <w:rFonts w:hint="eastAsia" w:asciiTheme="majorEastAsia" w:hAnsiTheme="majorEastAsia" w:eastAsiaTheme="majorEastAsia"/>
              </w:rPr>
            </w:pPr>
            <w:r>
              <w:rPr>
                <w:rFonts w:hint="eastAsia" w:asciiTheme="majorEastAsia" w:hAnsiTheme="majorEastAsia" w:eastAsiaTheme="majorEastAsia"/>
              </w:rPr>
              <w:t>互动规律</w:t>
            </w:r>
          </w:p>
        </w:tc>
        <w:tc>
          <w:tcPr>
            <w:tcW w:w="6713" w:type="dxa"/>
          </w:tcPr>
          <w:p w14:paraId="6804273B">
            <w:pPr>
              <w:jc w:val="center"/>
              <w:rPr>
                <w:rFonts w:hint="eastAsia" w:asciiTheme="majorEastAsia" w:hAnsiTheme="majorEastAsia" w:eastAsiaTheme="majorEastAsia"/>
              </w:rPr>
            </w:pPr>
            <w:r>
              <w:rPr>
                <w:rFonts w:hint="eastAsia" w:asciiTheme="majorEastAsia" w:hAnsiTheme="majorEastAsia" w:eastAsiaTheme="majorEastAsia"/>
              </w:rPr>
              <w:t>播放量与点赞数相关系数 0.74（强正相关），高播放视频需同步提升互动质量</w:t>
            </w:r>
          </w:p>
        </w:tc>
      </w:tr>
      <w:tr w14:paraId="11519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9" w:type="dxa"/>
          </w:tcPr>
          <w:p w14:paraId="0162E30D">
            <w:pPr>
              <w:jc w:val="center"/>
              <w:rPr>
                <w:rFonts w:hint="eastAsia" w:asciiTheme="majorEastAsia" w:hAnsiTheme="majorEastAsia" w:eastAsiaTheme="majorEastAsia"/>
              </w:rPr>
            </w:pPr>
            <w:r>
              <w:rPr>
                <w:rFonts w:hint="eastAsia" w:asciiTheme="majorEastAsia" w:hAnsiTheme="majorEastAsia" w:eastAsiaTheme="majorEastAsia"/>
              </w:rPr>
              <w:t>头部 UP 主</w:t>
            </w:r>
          </w:p>
        </w:tc>
        <w:tc>
          <w:tcPr>
            <w:tcW w:w="6713" w:type="dxa"/>
          </w:tcPr>
          <w:p w14:paraId="49AD1D80">
            <w:pPr>
              <w:jc w:val="center"/>
              <w:rPr>
                <w:rFonts w:hint="eastAsia" w:asciiTheme="majorEastAsia" w:hAnsiTheme="majorEastAsia" w:eastAsiaTheme="majorEastAsia"/>
              </w:rPr>
            </w:pPr>
            <w:r>
              <w:rPr>
                <w:rFonts w:hint="eastAsia" w:asciiTheme="majorEastAsia" w:hAnsiTheme="majorEastAsia" w:eastAsiaTheme="majorEastAsia"/>
              </w:rPr>
              <w:t>爱看直播的四蛋、玩机小鸽鸽等 TOP5 UP 主总播放量均超 50 万，聚焦垂直领域（手机 / 数码）</w:t>
            </w:r>
          </w:p>
        </w:tc>
      </w:tr>
    </w:tbl>
    <w:p w14:paraId="75A67AC5">
      <w:pPr>
        <w:rPr>
          <w:rFonts w:hint="eastAsia"/>
        </w:rPr>
      </w:pPr>
    </w:p>
    <w:p w14:paraId="3B4B768B">
      <w:pPr>
        <w:spacing w:line="440" w:lineRule="exact"/>
        <w:ind w:firstLine="480" w:firstLineChars="200"/>
        <w:outlineLvl w:val="9"/>
        <w:rPr>
          <w:rFonts w:hint="eastAsia" w:cs="Arial" w:asciiTheme="minorEastAsia" w:hAnsiTheme="minorEastAsia" w:eastAsiaTheme="minorEastAsia"/>
          <w:sz w:val="24"/>
        </w:rPr>
      </w:pPr>
      <w:bookmarkStart w:id="993" w:name="_Toc218517547"/>
      <w:bookmarkStart w:id="994" w:name="_Toc12192"/>
      <w:r>
        <w:rPr>
          <w:rFonts w:cs="Arial" w:asciiTheme="minorEastAsia" w:hAnsiTheme="minorEastAsia" w:eastAsiaTheme="minorEastAsia"/>
          <w:sz w:val="24"/>
        </w:rPr>
        <w:t>4.2 使用流程</w:t>
      </w:r>
      <w:bookmarkEnd w:id="993"/>
      <w:bookmarkEnd w:id="994"/>
    </w:p>
    <w:p w14:paraId="644C07F6">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环境准备：确保系统开发环境配置完成，MySQL数据库服务正常运行。</w:t>
      </w:r>
    </w:p>
    <w:p w14:paraId="6E4532D7">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数据爬取：登录系统后台，进入爬取设置界面，选择目标分区、爬取模式，点击“启动爬取”按钮，系统开始执行爬取任务，可实时查看爬取进度。</w:t>
      </w:r>
    </w:p>
    <w:p w14:paraId="53CB549B">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数据查看与分析：爬取及清洗完成后，进入前端数据展示界面，系统默认展示全部分区的综合数据分析结果及可视化图表。</w:t>
      </w:r>
    </w:p>
    <w:p w14:paraId="4598A4A1">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自定义查看：通过前端筛选控件选择所需查看的分区、时间范围等条件，系统自动更新数据分析结果与可视化图表，用户可查看详细数据洞察。</w:t>
      </w:r>
    </w:p>
    <w:p w14:paraId="66BD50BE">
      <w:pPr>
        <w:spacing w:line="440" w:lineRule="exact"/>
        <w:ind w:firstLine="480" w:firstLineChars="200"/>
        <w:outlineLvl w:val="9"/>
        <w:rPr>
          <w:rFonts w:hint="eastAsia" w:asciiTheme="minorEastAsia" w:hAnsiTheme="minorEastAsia" w:eastAsiaTheme="minorEastAsia"/>
          <w:sz w:val="24"/>
        </w:rPr>
      </w:pPr>
      <w:bookmarkStart w:id="995" w:name="_Toc218517548"/>
      <w:bookmarkStart w:id="996" w:name="_Toc10791"/>
      <w:r>
        <w:rPr>
          <w:rFonts w:asciiTheme="minorEastAsia" w:hAnsiTheme="minorEastAsia" w:eastAsiaTheme="minorEastAsia"/>
          <w:sz w:val="24"/>
        </w:rPr>
        <w:t>4.3 注意事项</w:t>
      </w:r>
      <w:bookmarkEnd w:id="995"/>
      <w:bookmarkEnd w:id="996"/>
    </w:p>
    <w:p w14:paraId="26FEECA1">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爬取任务执行过程中，避免频繁切换爬取模式或中断任务，以免影响数据完整性。</w:t>
      </w:r>
    </w:p>
    <w:p w14:paraId="28CB46B1">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查看数据时，若筛选条件过多可能导致数据加载延迟，建议合理设置筛选条件。</w:t>
      </w:r>
    </w:p>
    <w:p w14:paraId="3A7AE52C">
      <w:pPr>
        <w:spacing w:line="440" w:lineRule="exact"/>
        <w:ind w:firstLine="480" w:firstLineChars="200"/>
        <w:rPr>
          <w:rFonts w:asciiTheme="minorEastAsia" w:hAnsiTheme="minorEastAsia" w:eastAsiaTheme="minorEastAsia"/>
          <w:sz w:val="24"/>
        </w:rPr>
      </w:pPr>
      <w:r>
        <w:rPr>
          <w:rFonts w:hint="eastAsia" w:asciiTheme="minorEastAsia" w:hAnsiTheme="minorEastAsia" w:eastAsiaTheme="minorEastAsia"/>
          <w:sz w:val="24"/>
        </w:rPr>
        <w:t>数据库维护需由指定人员操作，避免误删或修改数据，保障数据安全。</w:t>
      </w:r>
    </w:p>
    <w:p w14:paraId="38CA27C6">
      <w:pPr>
        <w:spacing w:line="440" w:lineRule="exact"/>
        <w:ind w:firstLine="480" w:firstLineChars="200"/>
        <w:outlineLvl w:val="9"/>
        <w:rPr>
          <w:rFonts w:hint="eastAsia"/>
        </w:rPr>
      </w:pPr>
      <w:bookmarkStart w:id="997" w:name="_Toc22794"/>
      <w:bookmarkStart w:id="998" w:name="_Toc218517549"/>
      <w:r>
        <w:rPr>
          <w:rFonts w:hint="eastAsia" w:asciiTheme="minorEastAsia" w:hAnsiTheme="minorEastAsia" w:eastAsiaTheme="minorEastAsia"/>
          <w:sz w:val="24"/>
        </w:rPr>
        <w:t>4.4 大屏展示功能</w:t>
      </w:r>
      <w:bookmarkEnd w:id="997"/>
      <w:bookmarkEnd w:id="998"/>
    </w:p>
    <w:p w14:paraId="3E64BB09">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4.4.1 大屏设计逻辑</w:t>
      </w:r>
    </w:p>
    <w:p w14:paraId="690E7391">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大屏基于React+ECharts开发，核心目标是“一站式呈现数据洞察”，适配比赛现场演示场景，支持评委快速查看核心成果。大屏分为3大模块：数据概览区、可视化交互区、核心结论区，与后端数据分析模块实时联动。</w:t>
      </w:r>
    </w:p>
    <w:p w14:paraId="6A748339">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4.4.2 大屏核心功能</w:t>
      </w:r>
    </w:p>
    <w:p w14:paraId="12DB2416">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数据概览区：实时展示总数据量、分区数量、头部UP主，支持刷新同步最新数据；</w:t>
      </w:r>
    </w:p>
    <w:p w14:paraId="7C041590">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可视化交互区：嵌入9张核心图表，支持“分区筛选”“时间范围选择”（如筛选近30天数据），图表可放大查看细节；</w:t>
      </w:r>
    </w:p>
    <w:p w14:paraId="25A3032F">
      <w:pPr>
        <w:spacing w:line="440" w:lineRule="exact"/>
        <w:ind w:firstLine="480" w:firstLineChars="200"/>
        <w:rPr>
          <w:rFonts w:hint="eastAsia" w:asciiTheme="minorEastAsia" w:hAnsiTheme="minorEastAsia" w:eastAsiaTheme="minorEastAsia"/>
          <w:sz w:val="24"/>
        </w:rPr>
      </w:pPr>
      <w:r>
        <w:rPr>
          <w:rFonts w:hint="eastAsia" w:asciiTheme="minorEastAsia" w:hAnsiTheme="minorEastAsia" w:eastAsiaTheme="minorEastAsia"/>
          <w:sz w:val="24"/>
        </w:rPr>
        <w:t>核心结论区：自动提炼3条关键洞察（如“手机评测分区热度最高”“＜5分钟视频占比64%”），无需手动分析。</w:t>
      </w:r>
    </w:p>
    <w:p w14:paraId="79BDE25C">
      <w:pPr>
        <w:spacing w:line="440" w:lineRule="exact"/>
        <w:ind w:firstLine="480" w:firstLineChars="200"/>
        <w:outlineLvl w:val="9"/>
        <w:rPr>
          <w:rFonts w:hint="eastAsia" w:asciiTheme="minorEastAsia" w:hAnsiTheme="minorEastAsia" w:eastAsiaTheme="minorEastAsia"/>
          <w:sz w:val="24"/>
        </w:rPr>
      </w:pPr>
      <w:r>
        <w:rPr>
          <w:rFonts w:hint="eastAsia" w:asciiTheme="minorEastAsia" w:hAnsiTheme="minorEastAsia" w:eastAsiaTheme="minorEastAsia"/>
          <w:sz w:val="24"/>
        </w:rPr>
        <w:t>4.4.3 大屏展示效果</w:t>
      </w:r>
    </w:p>
    <w:p w14:paraId="570B658E">
      <w:pPr>
        <w:jc w:val="center"/>
      </w:pPr>
      <w:r>
        <w:rPr>
          <w:rFonts w:hint="eastAsia"/>
        </w:rPr>
        <w:drawing>
          <wp:anchor distT="0" distB="0" distL="114300" distR="114300" simplePos="0" relativeHeight="251842560" behindDoc="0" locked="0" layoutInCell="1" allowOverlap="1">
            <wp:simplePos x="0" y="0"/>
            <wp:positionH relativeFrom="column">
              <wp:posOffset>653415</wp:posOffset>
            </wp:positionH>
            <wp:positionV relativeFrom="paragraph">
              <wp:posOffset>29210</wp:posOffset>
            </wp:positionV>
            <wp:extent cx="3959860" cy="1920240"/>
            <wp:effectExtent l="0" t="0" r="2540" b="3810"/>
            <wp:wrapTopAndBottom/>
            <wp:docPr id="64785629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56291" name="图片 19"/>
                    <pic:cNvPicPr>
                      <a:picLocks noChangeAspect="1"/>
                    </pic:cNvPicPr>
                  </pic:nvPicPr>
                  <pic:blipFill>
                    <a:blip r:embed="rId391" cstate="print">
                      <a:extLst>
                        <a:ext uri="{28A0092B-C50C-407E-A947-70E740481C1C}">
                          <a14:useLocalDpi xmlns:a14="http://schemas.microsoft.com/office/drawing/2010/main" val="0"/>
                        </a:ext>
                      </a:extLst>
                    </a:blip>
                    <a:stretch>
                      <a:fillRect/>
                    </a:stretch>
                  </pic:blipFill>
                  <pic:spPr>
                    <a:xfrm>
                      <a:off x="0" y="0"/>
                      <a:ext cx="3960000" cy="1920405"/>
                    </a:xfrm>
                    <a:prstGeom prst="rect">
                      <a:avLst/>
                    </a:prstGeom>
                  </pic:spPr>
                </pic:pic>
              </a:graphicData>
            </a:graphic>
          </wp:anchor>
        </w:drawing>
      </w:r>
    </w:p>
    <w:p w14:paraId="7DA6DC71">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图4-4 前端登录页面</w:t>
      </w:r>
    </w:p>
    <w:p w14:paraId="5B87F466">
      <w:pPr>
        <w:jc w:val="center"/>
      </w:pPr>
      <w:r>
        <w:rPr>
          <w:rFonts w:hint="eastAsia"/>
        </w:rPr>
        <w:drawing>
          <wp:anchor distT="0" distB="0" distL="114300" distR="114300" simplePos="0" relativeHeight="251843584" behindDoc="0" locked="0" layoutInCell="1" allowOverlap="1">
            <wp:simplePos x="0" y="0"/>
            <wp:positionH relativeFrom="column">
              <wp:posOffset>1734820</wp:posOffset>
            </wp:positionH>
            <wp:positionV relativeFrom="paragraph">
              <wp:posOffset>57150</wp:posOffset>
            </wp:positionV>
            <wp:extent cx="1800225" cy="2860675"/>
            <wp:effectExtent l="0" t="0" r="9525" b="15875"/>
            <wp:wrapTopAndBottom/>
            <wp:docPr id="10777764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776488" name="图片 20"/>
                    <pic:cNvPicPr>
                      <a:picLocks noChangeAspect="1"/>
                    </pic:cNvPicPr>
                  </pic:nvPicPr>
                  <pic:blipFill>
                    <a:blip r:embed="rId392">
                      <a:extLst>
                        <a:ext uri="{28A0092B-C50C-407E-A947-70E740481C1C}">
                          <a14:useLocalDpi xmlns:a14="http://schemas.microsoft.com/office/drawing/2010/main" val="0"/>
                        </a:ext>
                      </a:extLst>
                    </a:blip>
                    <a:stretch>
                      <a:fillRect/>
                    </a:stretch>
                  </pic:blipFill>
                  <pic:spPr>
                    <a:xfrm>
                      <a:off x="0" y="0"/>
                      <a:ext cx="1800000" cy="2860396"/>
                    </a:xfrm>
                    <a:prstGeom prst="rect">
                      <a:avLst/>
                    </a:prstGeom>
                  </pic:spPr>
                </pic:pic>
              </a:graphicData>
            </a:graphic>
          </wp:anchor>
        </w:drawing>
      </w:r>
    </w:p>
    <w:p w14:paraId="7AF74D60">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图4-5 前端侧边栏</w:t>
      </w:r>
    </w:p>
    <w:p w14:paraId="4C5B1383">
      <w:pPr>
        <w:jc w:val="center"/>
      </w:pPr>
      <w:r>
        <w:rPr>
          <w:rFonts w:hint="eastAsia"/>
        </w:rPr>
        <w:drawing>
          <wp:anchor distT="0" distB="0" distL="114300" distR="114300" simplePos="0" relativeHeight="251843584" behindDoc="0" locked="0" layoutInCell="1" allowOverlap="1">
            <wp:simplePos x="0" y="0"/>
            <wp:positionH relativeFrom="column">
              <wp:posOffset>653415</wp:posOffset>
            </wp:positionH>
            <wp:positionV relativeFrom="paragraph">
              <wp:posOffset>12065</wp:posOffset>
            </wp:positionV>
            <wp:extent cx="3959860" cy="2150745"/>
            <wp:effectExtent l="0" t="0" r="2540" b="1905"/>
            <wp:wrapTopAndBottom/>
            <wp:docPr id="168113268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132681" name="图片 21"/>
                    <pic:cNvPicPr>
                      <a:picLocks noChangeAspect="1"/>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3960000" cy="2150681"/>
                    </a:xfrm>
                    <a:prstGeom prst="rect">
                      <a:avLst/>
                    </a:prstGeom>
                  </pic:spPr>
                </pic:pic>
              </a:graphicData>
            </a:graphic>
          </wp:anchor>
        </w:drawing>
      </w:r>
    </w:p>
    <w:p w14:paraId="4892EF93">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图4-6 前端首页</w:t>
      </w:r>
    </w:p>
    <w:p w14:paraId="0614F408">
      <w:pPr>
        <w:jc w:val="center"/>
      </w:pPr>
      <w:r>
        <w:rPr>
          <w:rFonts w:hint="eastAsia"/>
        </w:rPr>
        <w:drawing>
          <wp:anchor distT="0" distB="0" distL="114300" distR="114300" simplePos="0" relativeHeight="251844608" behindDoc="0" locked="0" layoutInCell="1" allowOverlap="1">
            <wp:simplePos x="0" y="0"/>
            <wp:positionH relativeFrom="column">
              <wp:posOffset>653415</wp:posOffset>
            </wp:positionH>
            <wp:positionV relativeFrom="paragraph">
              <wp:posOffset>95250</wp:posOffset>
            </wp:positionV>
            <wp:extent cx="3959860" cy="2188210"/>
            <wp:effectExtent l="0" t="0" r="2540" b="2540"/>
            <wp:wrapTopAndBottom/>
            <wp:docPr id="602267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6721" name="图片 22"/>
                    <pic:cNvPicPr>
                      <a:picLocks noChangeAspect="1"/>
                    </pic:cNvPicPr>
                  </pic:nvPicPr>
                  <pic:blipFill>
                    <a:blip r:embed="rId394" cstate="print">
                      <a:extLst>
                        <a:ext uri="{28A0092B-C50C-407E-A947-70E740481C1C}">
                          <a14:useLocalDpi xmlns:a14="http://schemas.microsoft.com/office/drawing/2010/main" val="0"/>
                        </a:ext>
                      </a:extLst>
                    </a:blip>
                    <a:stretch>
                      <a:fillRect/>
                    </a:stretch>
                  </pic:blipFill>
                  <pic:spPr>
                    <a:xfrm>
                      <a:off x="0" y="0"/>
                      <a:ext cx="3960000" cy="2188346"/>
                    </a:xfrm>
                    <a:prstGeom prst="rect">
                      <a:avLst/>
                    </a:prstGeom>
                  </pic:spPr>
                </pic:pic>
              </a:graphicData>
            </a:graphic>
          </wp:anchor>
        </w:drawing>
      </w:r>
    </w:p>
    <w:p w14:paraId="2E64381F">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图4-7 前端数据爬取</w:t>
      </w:r>
    </w:p>
    <w:p w14:paraId="31C51B62">
      <w:pPr>
        <w:jc w:val="center"/>
      </w:pPr>
      <w:r>
        <w:rPr>
          <w:rFonts w:hint="eastAsia"/>
        </w:rPr>
        <w:drawing>
          <wp:anchor distT="0" distB="0" distL="114300" distR="114300" simplePos="0" relativeHeight="251845632" behindDoc="0" locked="0" layoutInCell="1" allowOverlap="1">
            <wp:simplePos x="0" y="0"/>
            <wp:positionH relativeFrom="column">
              <wp:posOffset>653415</wp:posOffset>
            </wp:positionH>
            <wp:positionV relativeFrom="paragraph">
              <wp:posOffset>92710</wp:posOffset>
            </wp:positionV>
            <wp:extent cx="3959860" cy="2183130"/>
            <wp:effectExtent l="0" t="0" r="2540" b="7620"/>
            <wp:wrapTopAndBottom/>
            <wp:docPr id="18018292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29244" name="图片 23"/>
                    <pic:cNvPicPr>
                      <a:picLocks noChangeAspect="1"/>
                    </pic:cNvPicPr>
                  </pic:nvPicPr>
                  <pic:blipFill>
                    <a:blip r:embed="rId395" cstate="print">
                      <a:extLst>
                        <a:ext uri="{28A0092B-C50C-407E-A947-70E740481C1C}">
                          <a14:useLocalDpi xmlns:a14="http://schemas.microsoft.com/office/drawing/2010/main" val="0"/>
                        </a:ext>
                      </a:extLst>
                    </a:blip>
                    <a:stretch>
                      <a:fillRect/>
                    </a:stretch>
                  </pic:blipFill>
                  <pic:spPr>
                    <a:xfrm>
                      <a:off x="0" y="0"/>
                      <a:ext cx="3960000" cy="2183101"/>
                    </a:xfrm>
                    <a:prstGeom prst="rect">
                      <a:avLst/>
                    </a:prstGeom>
                  </pic:spPr>
                </pic:pic>
              </a:graphicData>
            </a:graphic>
          </wp:anchor>
        </w:drawing>
      </w:r>
    </w:p>
    <w:p w14:paraId="0460D705">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图4-8 前端数据清洗</w:t>
      </w:r>
    </w:p>
    <w:p w14:paraId="5ED96A1B">
      <w:pPr>
        <w:jc w:val="center"/>
      </w:pPr>
      <w:r>
        <w:rPr>
          <w:rFonts w:hint="eastAsia"/>
        </w:rPr>
        <w:drawing>
          <wp:anchor distT="0" distB="0" distL="114300" distR="114300" simplePos="0" relativeHeight="251846656" behindDoc="0" locked="0" layoutInCell="1" allowOverlap="1">
            <wp:simplePos x="0" y="0"/>
            <wp:positionH relativeFrom="column">
              <wp:posOffset>653415</wp:posOffset>
            </wp:positionH>
            <wp:positionV relativeFrom="paragraph">
              <wp:posOffset>92075</wp:posOffset>
            </wp:positionV>
            <wp:extent cx="3959860" cy="2191385"/>
            <wp:effectExtent l="0" t="0" r="2540" b="18415"/>
            <wp:wrapTopAndBottom/>
            <wp:docPr id="125668400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684005" name="图片 24"/>
                    <pic:cNvPicPr>
                      <a:picLocks noChangeAspect="1"/>
                    </pic:cNvPicPr>
                  </pic:nvPicPr>
                  <pic:blipFill>
                    <a:blip r:embed="rId396" cstate="print">
                      <a:extLst>
                        <a:ext uri="{28A0092B-C50C-407E-A947-70E740481C1C}">
                          <a14:useLocalDpi xmlns:a14="http://schemas.microsoft.com/office/drawing/2010/main" val="0"/>
                        </a:ext>
                      </a:extLst>
                    </a:blip>
                    <a:stretch>
                      <a:fillRect/>
                    </a:stretch>
                  </pic:blipFill>
                  <pic:spPr>
                    <a:xfrm>
                      <a:off x="0" y="0"/>
                      <a:ext cx="3960000" cy="2191683"/>
                    </a:xfrm>
                    <a:prstGeom prst="rect">
                      <a:avLst/>
                    </a:prstGeom>
                  </pic:spPr>
                </pic:pic>
              </a:graphicData>
            </a:graphic>
          </wp:anchor>
        </w:drawing>
      </w:r>
    </w:p>
    <w:p w14:paraId="3109A8AA">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图4-9 前端数据写入</w:t>
      </w:r>
    </w:p>
    <w:p w14:paraId="066FE6C7">
      <w:pPr>
        <w:jc w:val="center"/>
        <w:rPr>
          <w:rFonts w:hint="eastAsia"/>
        </w:rPr>
      </w:pPr>
      <w:r>
        <w:rPr>
          <w:rFonts w:hint="eastAsia"/>
        </w:rPr>
        <w:drawing>
          <wp:anchor distT="0" distB="0" distL="114300" distR="114300" simplePos="0" relativeHeight="251847680" behindDoc="0" locked="0" layoutInCell="1" allowOverlap="1">
            <wp:simplePos x="0" y="0"/>
            <wp:positionH relativeFrom="column">
              <wp:posOffset>653415</wp:posOffset>
            </wp:positionH>
            <wp:positionV relativeFrom="paragraph">
              <wp:posOffset>90170</wp:posOffset>
            </wp:positionV>
            <wp:extent cx="3959860" cy="2200275"/>
            <wp:effectExtent l="0" t="0" r="2540" b="9525"/>
            <wp:wrapTopAndBottom/>
            <wp:docPr id="49123243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32435" name="图片 25"/>
                    <pic:cNvPicPr>
                      <a:picLocks noChangeAspect="1"/>
                    </pic:cNvPicPr>
                  </pic:nvPicPr>
                  <pic:blipFill>
                    <a:blip r:embed="rId397" cstate="print">
                      <a:extLst>
                        <a:ext uri="{28A0092B-C50C-407E-A947-70E740481C1C}">
                          <a14:useLocalDpi xmlns:a14="http://schemas.microsoft.com/office/drawing/2010/main" val="0"/>
                        </a:ext>
                      </a:extLst>
                    </a:blip>
                    <a:stretch>
                      <a:fillRect/>
                    </a:stretch>
                  </pic:blipFill>
                  <pic:spPr>
                    <a:xfrm>
                      <a:off x="0" y="0"/>
                      <a:ext cx="3960000" cy="2200265"/>
                    </a:xfrm>
                    <a:prstGeom prst="rect">
                      <a:avLst/>
                    </a:prstGeom>
                  </pic:spPr>
                </pic:pic>
              </a:graphicData>
            </a:graphic>
          </wp:anchor>
        </w:drawing>
      </w:r>
    </w:p>
    <w:p w14:paraId="4A7437E1">
      <w:pPr>
        <w:jc w:val="center"/>
        <w:rPr>
          <w:rFonts w:hint="eastAsia" w:asciiTheme="minorEastAsia" w:hAnsiTheme="minorEastAsia" w:eastAsiaTheme="minorEastAsia"/>
          <w:sz w:val="18"/>
          <w:szCs w:val="18"/>
        </w:rPr>
      </w:pPr>
      <w:r>
        <w:rPr>
          <w:rFonts w:hint="eastAsia" w:asciiTheme="minorEastAsia" w:hAnsiTheme="minorEastAsia" w:eastAsiaTheme="minorEastAsia"/>
          <w:sz w:val="18"/>
          <w:szCs w:val="18"/>
        </w:rPr>
        <w:t>图4-10 前端数据分析</w:t>
      </w:r>
    </w:p>
    <w:p w14:paraId="26B9F11D">
      <w:pPr>
        <w:jc w:val="center"/>
      </w:pPr>
      <w:r>
        <w:rPr>
          <w:rFonts w:hint="eastAsia"/>
        </w:rPr>
        <w:drawing>
          <wp:anchor distT="0" distB="0" distL="114300" distR="114300" simplePos="0" relativeHeight="251848704" behindDoc="0" locked="0" layoutInCell="1" allowOverlap="1">
            <wp:simplePos x="0" y="0"/>
            <wp:positionH relativeFrom="column">
              <wp:posOffset>653415</wp:posOffset>
            </wp:positionH>
            <wp:positionV relativeFrom="paragraph">
              <wp:posOffset>8890</wp:posOffset>
            </wp:positionV>
            <wp:extent cx="3959860" cy="2154555"/>
            <wp:effectExtent l="0" t="0" r="2540" b="17145"/>
            <wp:wrapTopAndBottom/>
            <wp:docPr id="126984158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841589" name="图片 26"/>
                    <pic:cNvPicPr>
                      <a:picLocks noChangeAspect="1"/>
                    </pic:cNvPicPr>
                  </pic:nvPicPr>
                  <pic:blipFill>
                    <a:blip r:embed="rId398" cstate="print">
                      <a:extLst>
                        <a:ext uri="{28A0092B-C50C-407E-A947-70E740481C1C}">
                          <a14:useLocalDpi xmlns:a14="http://schemas.microsoft.com/office/drawing/2010/main" val="0"/>
                        </a:ext>
                      </a:extLst>
                    </a:blip>
                    <a:stretch>
                      <a:fillRect/>
                    </a:stretch>
                  </pic:blipFill>
                  <pic:spPr>
                    <a:xfrm>
                      <a:off x="0" y="0"/>
                      <a:ext cx="3960000" cy="2154496"/>
                    </a:xfrm>
                    <a:prstGeom prst="rect">
                      <a:avLst/>
                    </a:prstGeom>
                  </pic:spPr>
                </pic:pic>
              </a:graphicData>
            </a:graphic>
          </wp:anchor>
        </w:drawing>
      </w:r>
    </w:p>
    <w:p w14:paraId="22943B95">
      <w:pPr>
        <w:jc w:val="center"/>
        <w:rPr>
          <w:rFonts w:asciiTheme="minorEastAsia" w:hAnsiTheme="minorEastAsia" w:eastAsiaTheme="minorEastAsia"/>
          <w:sz w:val="18"/>
          <w:szCs w:val="18"/>
        </w:rPr>
      </w:pPr>
      <w:r>
        <w:rPr>
          <w:rFonts w:hint="eastAsia" w:asciiTheme="minorEastAsia" w:hAnsiTheme="minorEastAsia" w:eastAsiaTheme="minorEastAsia"/>
          <w:sz w:val="18"/>
          <w:szCs w:val="18"/>
        </w:rPr>
        <w:t>图4-11 前端数据可视化</w:t>
      </w:r>
    </w:p>
    <w:p w14:paraId="27225B53">
      <w:pPr>
        <w:jc w:val="center"/>
      </w:pPr>
      <w:r>
        <w:rPr>
          <w:rFonts w:hint="eastAsia"/>
        </w:rPr>
        <w:drawing>
          <wp:anchor distT="0" distB="0" distL="114300" distR="114300" simplePos="0" relativeHeight="251849728" behindDoc="0" locked="0" layoutInCell="1" allowOverlap="1">
            <wp:simplePos x="0" y="0"/>
            <wp:positionH relativeFrom="column">
              <wp:posOffset>653415</wp:posOffset>
            </wp:positionH>
            <wp:positionV relativeFrom="paragraph">
              <wp:posOffset>2540</wp:posOffset>
            </wp:positionV>
            <wp:extent cx="3959860" cy="2959100"/>
            <wp:effectExtent l="0" t="0" r="2540" b="12700"/>
            <wp:wrapTopAndBottom/>
            <wp:docPr id="19925649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64944" name="图片 27"/>
                    <pic:cNvPicPr>
                      <a:picLocks noChangeAspect="1"/>
                    </pic:cNvPicPr>
                  </pic:nvPicPr>
                  <pic:blipFill>
                    <a:blip r:embed="rId399" cstate="print">
                      <a:extLst>
                        <a:ext uri="{28A0092B-C50C-407E-A947-70E740481C1C}">
                          <a14:useLocalDpi xmlns:a14="http://schemas.microsoft.com/office/drawing/2010/main" val="0"/>
                        </a:ext>
                      </a:extLst>
                    </a:blip>
                    <a:stretch>
                      <a:fillRect/>
                    </a:stretch>
                  </pic:blipFill>
                  <pic:spPr>
                    <a:xfrm>
                      <a:off x="0" y="0"/>
                      <a:ext cx="3960000" cy="2959272"/>
                    </a:xfrm>
                    <a:prstGeom prst="rect">
                      <a:avLst/>
                    </a:prstGeom>
                  </pic:spPr>
                </pic:pic>
              </a:graphicData>
            </a:graphic>
          </wp:anchor>
        </w:drawing>
      </w:r>
    </w:p>
    <w:p w14:paraId="1FEFF19F">
      <w:pPr>
        <w:jc w:val="center"/>
        <w:rPr>
          <w:rFonts w:hint="eastAsia"/>
        </w:rPr>
      </w:pPr>
      <w:r>
        <w:rPr>
          <w:rFonts w:hint="eastAsia" w:asciiTheme="minorEastAsia" w:hAnsiTheme="minorEastAsia" w:eastAsiaTheme="minorEastAsia"/>
          <w:sz w:val="18"/>
          <w:szCs w:val="18"/>
        </w:rPr>
        <w:t>图4-12 前端的9张可交互可视化图</w:t>
      </w:r>
    </w:p>
    <w:p w14:paraId="0B3F6B9A">
      <w:pPr>
        <w:pStyle w:val="10"/>
        <w:sectPr>
          <w:headerReference r:id="rId38" w:type="default"/>
          <w:footerReference r:id="rId3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C8F0C15">
      <w:pPr>
        <w:pStyle w:val="3"/>
        <w:bidi w:val="0"/>
        <w:rPr>
          <w:rFonts w:hint="eastAsia"/>
        </w:rPr>
      </w:pPr>
      <w:bookmarkStart w:id="999" w:name="二班8组"/>
      <w:bookmarkEnd w:id="999"/>
      <w:bookmarkStart w:id="1000" w:name="_Toc7115"/>
      <w:bookmarkStart w:id="1001" w:name="_Toc18102"/>
      <w:r>
        <w:rPr>
          <w:rFonts w:hint="eastAsia"/>
          <w:lang w:val="en-US" w:eastAsia="zh-CN"/>
        </w:rPr>
        <w:t>13.</w:t>
      </w:r>
      <w:r>
        <w:rPr>
          <w:rFonts w:hint="eastAsia"/>
        </w:rPr>
        <w:t>基于大数据的电动汽车价格与核心特征关联性分析</w:t>
      </w:r>
      <w:bookmarkEnd w:id="1000"/>
      <w:bookmarkEnd w:id="1001"/>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218BD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BAA3C56">
            <w:pPr>
              <w:jc w:val="left"/>
              <w:outlineLvl w:val="0"/>
              <w:rPr>
                <w:rFonts w:hint="eastAsia" w:ascii="Calibri" w:hAnsi="Calibri" w:eastAsia="黑体" w:cs="Times New Roman"/>
                <w:sz w:val="24"/>
                <w:lang w:val="en-US" w:eastAsia="zh-CN"/>
              </w:rPr>
            </w:pPr>
            <w:bookmarkStart w:id="1002" w:name="_Toc4495"/>
            <w:bookmarkStart w:id="1003" w:name="_Toc27401"/>
            <w:r>
              <w:rPr>
                <w:rFonts w:hint="eastAsia" w:ascii="Calibri" w:hAnsi="Calibri" w:eastAsia="黑体" w:cs="Times New Roman"/>
                <w:sz w:val="24"/>
              </w:rPr>
              <w:t>项目主题：基于大数据的电动汽车价格与核心特征关联性分析</w:t>
            </w:r>
            <w:bookmarkEnd w:id="1002"/>
            <w:bookmarkEnd w:id="1003"/>
          </w:p>
          <w:p w14:paraId="3EA6B263">
            <w:pPr>
              <w:jc w:val="left"/>
              <w:outlineLvl w:val="0"/>
              <w:rPr>
                <w:rFonts w:hint="eastAsia" w:ascii="Calibri" w:hAnsi="Calibri" w:eastAsia="黑体" w:cs="Times New Roman"/>
                <w:szCs w:val="21"/>
                <w:lang w:val="en-US" w:eastAsia="zh-CN"/>
              </w:rPr>
            </w:pPr>
          </w:p>
        </w:tc>
      </w:tr>
      <w:tr w14:paraId="1EB1E6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35223ED">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数据与科学本科</w:t>
            </w:r>
            <w:r>
              <w:rPr>
                <w:rFonts w:hint="eastAsia" w:ascii="Calibri" w:hAnsi="Calibri" w:eastAsia="黑体" w:cs="Times New Roman"/>
                <w:sz w:val="24"/>
                <w:lang w:val="en-US" w:eastAsia="zh-CN"/>
              </w:rPr>
              <w:t>2</w:t>
            </w:r>
            <w:r>
              <w:rPr>
                <w:rFonts w:hint="eastAsia" w:ascii="Calibri" w:hAnsi="Calibri" w:eastAsia="黑体" w:cs="Times New Roman"/>
                <w:sz w:val="24"/>
              </w:rPr>
              <w:t>班</w:t>
            </w:r>
          </w:p>
        </w:tc>
      </w:tr>
      <w:tr w14:paraId="771FE1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E8D2887">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张文波、唐俊杰、张江博、李淑琳、曹梦洁</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马梵毓</w:t>
            </w:r>
          </w:p>
        </w:tc>
      </w:tr>
    </w:tbl>
    <w:p w14:paraId="536560D2">
      <w:pPr>
        <w:widowControl w:val="0"/>
        <w:spacing w:before="0" w:after="0" w:line="440" w:lineRule="exact"/>
        <w:ind w:firstLine="0" w:firstLineChars="0"/>
        <w:jc w:val="both"/>
        <w:rPr>
          <w:rFonts w:hint="default" w:ascii="Calibri" w:hAnsi="Calibri" w:eastAsia="宋体" w:cs="Times New Roman"/>
          <w:b/>
          <w:bCs/>
          <w:sz w:val="28"/>
          <w:szCs w:val="28"/>
          <w:lang w:val="en-US" w:eastAsia="zh-CN"/>
        </w:rPr>
      </w:pPr>
      <w:bookmarkStart w:id="1004" w:name="_Toc22110"/>
      <w:r>
        <w:rPr>
          <w:rFonts w:hint="eastAsia" w:ascii="Calibri" w:hAnsi="Calibri" w:eastAsia="宋体" w:cs="Times New Roman"/>
          <w:b/>
          <w:bCs/>
          <w:sz w:val="28"/>
          <w:szCs w:val="28"/>
          <w:lang w:val="en-US" w:eastAsia="zh-CN"/>
        </w:rPr>
        <w:t xml:space="preserve">1 </w:t>
      </w:r>
      <w:bookmarkEnd w:id="1004"/>
      <w:r>
        <w:rPr>
          <w:rFonts w:hint="eastAsia" w:ascii="Calibri" w:hAnsi="Calibri" w:eastAsia="宋体" w:cs="Times New Roman"/>
          <w:b/>
          <w:bCs/>
          <w:sz w:val="28"/>
          <w:szCs w:val="28"/>
          <w:lang w:val="en-US" w:eastAsia="zh-CN"/>
        </w:rPr>
        <w:t>项目概述</w:t>
      </w:r>
    </w:p>
    <w:p w14:paraId="62C6705E">
      <w:pPr>
        <w:widowControl w:val="0"/>
        <w:spacing w:before="0" w:after="0" w:line="440" w:lineRule="exact"/>
        <w:ind w:firstLine="480" w:firstLineChars="200"/>
        <w:jc w:val="both"/>
        <w:outlineLvl w:val="9"/>
        <w:rPr>
          <w:rFonts w:hint="eastAsia" w:ascii="宋体" w:hAnsi="宋体" w:eastAsia="宋体" w:cs="宋体"/>
          <w:sz w:val="24"/>
        </w:rPr>
      </w:pPr>
      <w:bookmarkStart w:id="1005" w:name="_Toc22392"/>
      <w:bookmarkStart w:id="1006" w:name="_Toc31922"/>
      <w:bookmarkStart w:id="1007" w:name="_Toc182116501"/>
      <w:r>
        <w:rPr>
          <w:rFonts w:hint="eastAsia" w:ascii="宋体" w:hAnsi="宋体" w:eastAsia="宋体" w:cs="宋体"/>
          <w:sz w:val="24"/>
          <w:lang w:val="en-US" w:eastAsia="zh-CN"/>
        </w:rPr>
        <w:t xml:space="preserve">1.1 </w:t>
      </w:r>
      <w:r>
        <w:rPr>
          <w:rFonts w:hint="eastAsia" w:ascii="宋体" w:hAnsi="宋体" w:eastAsia="宋体" w:cs="宋体"/>
          <w:sz w:val="24"/>
        </w:rPr>
        <w:t>研究背景</w:t>
      </w:r>
      <w:bookmarkEnd w:id="1005"/>
      <w:bookmarkEnd w:id="1006"/>
      <w:bookmarkEnd w:id="1007"/>
    </w:p>
    <w:p w14:paraId="5FB87F26">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sz w:val="24"/>
          <w:szCs w:val="24"/>
        </w:rPr>
        <w:drawing>
          <wp:anchor distT="0" distB="0" distL="114300" distR="114300" simplePos="0" relativeHeight="251857920" behindDoc="0" locked="0" layoutInCell="1" allowOverlap="1">
            <wp:simplePos x="0" y="0"/>
            <wp:positionH relativeFrom="column">
              <wp:posOffset>566420</wp:posOffset>
            </wp:positionH>
            <wp:positionV relativeFrom="page">
              <wp:posOffset>3876675</wp:posOffset>
            </wp:positionV>
            <wp:extent cx="4319905" cy="3239770"/>
            <wp:effectExtent l="0" t="0" r="4445" b="17780"/>
            <wp:wrapTopAndBottom/>
            <wp:docPr id="63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图片 2" descr="IMG_256"/>
                    <pic:cNvPicPr>
                      <a:picLocks noChangeAspect="1"/>
                    </pic:cNvPicPr>
                  </pic:nvPicPr>
                  <pic:blipFill>
                    <a:blip r:embed="rId400"/>
                    <a:srcRect b="8736"/>
                    <a:stretch>
                      <a:fillRect/>
                    </a:stretch>
                  </pic:blipFill>
                  <pic:spPr>
                    <a:xfrm>
                      <a:off x="0" y="0"/>
                      <a:ext cx="4319905" cy="3239770"/>
                    </a:xfrm>
                    <a:prstGeom prst="rect">
                      <a:avLst/>
                    </a:prstGeom>
                    <a:noFill/>
                    <a:ln w="9525">
                      <a:noFill/>
                    </a:ln>
                  </pic:spPr>
                </pic:pic>
              </a:graphicData>
            </a:graphic>
          </wp:anchor>
        </w:drawing>
      </w:r>
      <w:r>
        <w:rPr>
          <w:rFonts w:hint="eastAsia" w:ascii="宋体" w:hAnsi="宋体" w:eastAsia="宋体" w:cs="宋体"/>
          <w:bCs/>
          <w:sz w:val="24"/>
          <w:lang w:eastAsia="zh-CN"/>
        </w:rPr>
        <w:t>在汽车产业深度变革与数字化浪潮交融的当下，汽车市场正经历前所未有的转型。新能源汽车加速渗透，智能网联技术广泛应用，驱动汽车从 “机械产品” 向 “智能移动终端” 迭代，也让车辆数据成为洞察产业趋势、消费需求的核心要素。</w:t>
      </w:r>
    </w:p>
    <w:p w14:paraId="2F5BA71A">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default" w:ascii="Arial" w:hAnsi="Arial" w:eastAsia="宋体" w:cs="Times New Roman"/>
          <w:kern w:val="2"/>
          <w:sz w:val="18"/>
          <w:szCs w:val="24"/>
          <w:lang w:val="en-US" w:eastAsia="zh-CN" w:bidi="ar-SA"/>
        </w:rPr>
      </w:pPr>
      <w:r>
        <w:rPr>
          <w:rFonts w:ascii="Arial" w:hAnsi="Arial" w:eastAsia="宋体" w:cs="Times New Roman"/>
          <w:kern w:val="2"/>
          <w:sz w:val="18"/>
          <w:szCs w:val="24"/>
          <w:lang w:val="en-US" w:eastAsia="zh-CN" w:bidi="ar-SA"/>
        </w:rPr>
        <w:t xml:space="preserve">图 </w:t>
      </w:r>
      <w:r>
        <w:rPr>
          <w:rFonts w:ascii="Arial" w:hAnsi="Arial" w:eastAsia="宋体" w:cs="Times New Roman"/>
          <w:kern w:val="2"/>
          <w:sz w:val="18"/>
          <w:szCs w:val="24"/>
          <w:lang w:val="en-US" w:eastAsia="zh-CN" w:bidi="ar-SA"/>
        </w:rPr>
        <w:fldChar w:fldCharType="begin"/>
      </w:r>
      <w:r>
        <w:rPr>
          <w:rFonts w:ascii="Arial" w:hAnsi="Arial" w:eastAsia="宋体" w:cs="Times New Roman"/>
          <w:kern w:val="2"/>
          <w:sz w:val="18"/>
          <w:szCs w:val="24"/>
          <w:lang w:val="en-US" w:eastAsia="zh-CN" w:bidi="ar-SA"/>
        </w:rPr>
        <w:instrText xml:space="preserve"> SEQ 图 \* DBCHAR \s 1 </w:instrText>
      </w:r>
      <w:r>
        <w:rPr>
          <w:rFonts w:ascii="Arial" w:hAnsi="Arial" w:eastAsia="宋体" w:cs="Times New Roman"/>
          <w:kern w:val="2"/>
          <w:sz w:val="18"/>
          <w:szCs w:val="24"/>
          <w:lang w:val="en-US" w:eastAsia="zh-CN" w:bidi="ar-SA"/>
        </w:rPr>
        <w:fldChar w:fldCharType="separate"/>
      </w:r>
      <w:r>
        <w:rPr>
          <w:rFonts w:ascii="Arial" w:hAnsi="Arial" w:eastAsia="宋体" w:cs="Times New Roman"/>
          <w:kern w:val="2"/>
          <w:sz w:val="18"/>
          <w:szCs w:val="24"/>
          <w:lang w:val="en-US" w:eastAsia="zh-CN" w:bidi="ar-SA"/>
        </w:rPr>
        <w:t>１</w:t>
      </w:r>
      <w:r>
        <w:rPr>
          <w:rFonts w:ascii="Arial" w:hAnsi="Arial" w:eastAsia="宋体" w:cs="Times New Roman"/>
          <w:kern w:val="2"/>
          <w:sz w:val="18"/>
          <w:szCs w:val="24"/>
          <w:lang w:val="en-US" w:eastAsia="zh-CN" w:bidi="ar-SA"/>
        </w:rPr>
        <w:fldChar w:fldCharType="end"/>
      </w:r>
      <w:r>
        <w:rPr>
          <w:rFonts w:hint="eastAsia" w:ascii="Arial" w:hAnsi="Arial" w:eastAsia="宋体" w:cs="Times New Roman"/>
          <w:kern w:val="2"/>
          <w:sz w:val="18"/>
          <w:szCs w:val="24"/>
          <w:lang w:val="en-US" w:eastAsia="zh-CN" w:bidi="ar-SA"/>
        </w:rPr>
        <w:t>全球能源汽车注册量图</w:t>
      </w:r>
    </w:p>
    <w:p w14:paraId="678E02D0">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从产业发展看，“双碳” 目标推动能源结构重塑，纯电、混动、氢燃料等多元能源车型并行，技术路线竞争加剧；消费端，用户需求从 “代步工具” 升级为 “体验载体”，对价格、性能（功率、续航 ）、智能配置的要求更精细。但海量车辆数据分散且复杂，传统分析方式难以及时捕捉市场动态，产业急需高效工具挖掘数据价值，破解发展迷雾。</w:t>
      </w:r>
    </w:p>
    <w:p w14:paraId="28D597C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本研究覆盖 2302 条记录、6 大类别数据的分析体系 。平均价格 20.9 万元锚定市场价格中枢，最高价格 1068.8 万元展现高端市场边界，能源类型分布（纯电动占比 68.16% ）折射技术路线走向；价格与功率、续航的关联分析，揭露性能需求与成本平衡逻辑；厂商多维度对比，呈现竞争格局差异。这些数据，为剖析产业生态提供了全面视角。</w:t>
      </w:r>
    </w:p>
    <w:p w14:paraId="3FDDA40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通过挖掘数据价值，我们试图回答产业关键问题：从价格分层看，0 - 20 万大众市场、超 100 万高端市场的需求差异，能否为车企精准定位、产品定价提供依据？能源类型分布中，纯电主导下，氢燃料、增程式等小众路线的发展潜力如何？价格与性能的关联规律，又怎样指导车企优化产品性能配置？厂商竞争格局里，不同车企的 “量与质” 策略，能否为行业竞争提供借鉴？</w:t>
      </w:r>
    </w:p>
    <w:p w14:paraId="2661834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简言之，本研究立足汽车产业智能化、绿色化转型的时代语境，以数据大屏为依托，挖掘车辆数据背后的市场结构、消费偏好与技术趋势，为车企产品规划、政策制定者产业引导、行业研究者趋势研判提供支撑，助力汽车产业在变革中精准锚定方向，实现技术创新与市场需求的深度协同，推动产业高质量发展。</w:t>
      </w:r>
    </w:p>
    <w:p w14:paraId="7649FBC3">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08" w:name="_Toc182116502"/>
      <w:bookmarkStart w:id="1009" w:name="_Toc26159"/>
      <w:bookmarkStart w:id="1010" w:name="_Toc23201"/>
      <w:r>
        <w:rPr>
          <w:rFonts w:hint="eastAsia" w:ascii="宋体" w:hAnsi="宋体" w:eastAsia="宋体" w:cs="宋体"/>
          <w:sz w:val="24"/>
          <w:lang w:val="en-US" w:eastAsia="zh-CN"/>
        </w:rPr>
        <w:t>1.2 研究现状</w:t>
      </w:r>
      <w:bookmarkEnd w:id="1008"/>
      <w:bookmarkEnd w:id="1009"/>
      <w:bookmarkEnd w:id="1010"/>
    </w:p>
    <w:p w14:paraId="00E58C1E">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在电动汽车产业与大数据技术深度融合的趋势下，基于大数据开展电动汽车价格与核心特征关联性分析，已成为产业精准洞察市场、优化产品布局的关键研究方向。当前研究聚焦多维度核心特征挖掘，续航里程作为关键性能指标，其与价格的关联受重点关注，借助大数据整合不同车型真实续航数据，可清晰呈现续航提升对成本及价格的阶梯式影响规律，如高续航车型因电池等核心部件成本增加，价格常随之上升 。</w:t>
      </w:r>
    </w:p>
    <w:p w14:paraId="69999AB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通过大数据聚类、关联规则挖掘，能精准剖析对价格的作用机制，量化不同电池技术路线与成本、性能差异，成为定价参考。功率、充电效率等动力系统特征，也纳入价格关联分析体系，多维度勾勒产品价值与价格关系。从市场维度看，大数据赋能区域市场、细分用户群体的价格 - 特征关联分析，结合不同地区充电设施普及度、政策补贴差异，以及车辆续航、配置等特征，可分析价格在区域市场的适配性，助力厂商区域化定价与产品投放。在用户侧，挖掘用户行为（购车偏好、使用场景 ）、评价数据，关联车辆价格与续航、智能配置等对用户决策的影响，了解用户为特定特征支付溢价的意愿，为产品优化提供依据。大数据分析工具（Python 数据挖掘库、专业平台等 ）迭代与可视化技术发展，为分析提供支撑，数据看板通过价格分布、能源类型占比等图表，直观呈现复杂关联，便于捕捉模式与异常点。但在多源异构数据融合深度、特征动态关联时效性上，仍需拓展，以适配电动汽车产业快速发展，推动研究更好服务产业决策与创新。</w:t>
      </w:r>
    </w:p>
    <w:p w14:paraId="4598DFA8">
      <w:pPr>
        <w:widowControl w:val="0"/>
        <w:spacing w:before="0" w:after="0" w:line="440" w:lineRule="exact"/>
        <w:ind w:firstLine="0" w:firstLineChars="0"/>
        <w:jc w:val="both"/>
        <w:rPr>
          <w:rFonts w:hint="eastAsia" w:ascii="Calibri" w:hAnsi="Calibri" w:eastAsia="宋体" w:cs="Times New Roman"/>
          <w:b/>
          <w:bCs/>
          <w:sz w:val="28"/>
          <w:szCs w:val="28"/>
          <w:lang w:val="en-US" w:eastAsia="zh-CN"/>
        </w:rPr>
      </w:pPr>
      <w:bookmarkStart w:id="1011" w:name="_Toc3067"/>
      <w:bookmarkStart w:id="1012" w:name="_Toc182116503"/>
      <w:r>
        <w:rPr>
          <w:rFonts w:hint="eastAsia" w:ascii="Calibri" w:hAnsi="Calibri" w:eastAsia="宋体" w:cs="Times New Roman"/>
          <w:b/>
          <w:bCs/>
          <w:sz w:val="28"/>
          <w:szCs w:val="28"/>
          <w:lang w:val="en-US" w:eastAsia="zh-CN"/>
        </w:rPr>
        <w:t>2 设计思路</w:t>
      </w:r>
      <w:bookmarkEnd w:id="1011"/>
      <w:bookmarkEnd w:id="1012"/>
    </w:p>
    <w:p w14:paraId="4F1C6B7E">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13" w:name="_Toc182116504"/>
      <w:bookmarkStart w:id="1014" w:name="_Toc19649"/>
      <w:bookmarkStart w:id="1015" w:name="_Toc13047"/>
      <w:r>
        <w:rPr>
          <w:rFonts w:hint="eastAsia" w:ascii="宋体" w:hAnsi="宋体" w:eastAsia="宋体" w:cs="宋体"/>
          <w:sz w:val="24"/>
          <w:lang w:val="en-US" w:eastAsia="zh-CN"/>
        </w:rPr>
        <w:t>2.1 整体架构</w:t>
      </w:r>
      <w:bookmarkEnd w:id="1013"/>
      <w:bookmarkEnd w:id="1014"/>
      <w:bookmarkEnd w:id="1015"/>
    </w:p>
    <w:p w14:paraId="750BB367">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采用 “数据层 - 处理层 - 分析层 - 应用层” 的四层架构，形成全流程闭环分析体系。数据层负责多源数据的汇聚与存储，涵盖车辆核心参数、市场价格、厂商策略等结构化数据；处理层聚焦数据质量提升，通过清洗、规范化等操作保障数据可用性；分析层是核心环节，结合统计分析与随机森林算法，挖掘价格与特征的关联规律；应用层通过可视化展示与结果输出，为车企定价、消费者购车提供决策支持。各层级协同联动，实现从数据采集到价值输出的全链条高效运转，确保分析结果的准确性与实用性。</w:t>
      </w:r>
    </w:p>
    <w:p w14:paraId="54A600C6">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16" w:name="_Toc10525"/>
      <w:bookmarkStart w:id="1017" w:name="_Toc182116505"/>
      <w:bookmarkStart w:id="1018" w:name="_Toc4852"/>
      <w:r>
        <w:rPr>
          <w:rFonts w:hint="eastAsia" w:ascii="宋体" w:hAnsi="宋体" w:eastAsia="宋体" w:cs="宋体"/>
          <w:sz w:val="24"/>
          <w:lang w:val="en-US" w:eastAsia="zh-CN"/>
        </w:rPr>
        <w:t>2.2 数据处理</w:t>
      </w:r>
      <w:bookmarkEnd w:id="1016"/>
      <w:bookmarkEnd w:id="1017"/>
      <w:bookmarkEnd w:id="1018"/>
    </w:p>
    <w:p w14:paraId="6C3B2F58">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19" w:name="_Toc22640"/>
      <w:bookmarkStart w:id="1020" w:name="_Toc182116506"/>
      <w:r>
        <w:rPr>
          <w:rFonts w:hint="eastAsia" w:ascii="宋体" w:hAnsi="宋体" w:eastAsia="宋体" w:cs="宋体"/>
          <w:sz w:val="24"/>
          <w:lang w:val="en-US" w:eastAsia="zh-CN"/>
        </w:rPr>
        <w:t>2.2.1数据采集</w:t>
      </w:r>
      <w:bookmarkEnd w:id="1019"/>
      <w:bookmarkEnd w:id="1020"/>
    </w:p>
    <w:p w14:paraId="1494B57B">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遵循全面性、针对性原则，构建多源数据采集体系。采集维度包括：车辆核心特征数据，如续航里程、电池容量、电机功率等技术参数；市场价格数据，涵盖不同品牌、车型的终端售价及价格波动信息；厂商相关数据，包括品牌定位、生产工艺、市场策略等；辅助分析数据，如车型上市时间、市场竞争力评分等。采集渠道通过对接车企官方数据库、行业统计平台、权威市场调研机构等实现，同时建立数据校验机制，对采集数据的真实性、完整性进行初步筛查，确保数据源头可靠。</w:t>
      </w:r>
    </w:p>
    <w:p w14:paraId="75E3353F">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21" w:name="_Toc23535"/>
      <w:bookmarkStart w:id="1022" w:name="_Toc182116507"/>
      <w:r>
        <w:rPr>
          <w:rFonts w:hint="eastAsia" w:ascii="宋体" w:hAnsi="宋体" w:eastAsia="宋体" w:cs="宋体"/>
          <w:sz w:val="24"/>
          <w:lang w:val="en-US" w:eastAsia="zh-CN"/>
        </w:rPr>
        <w:t>2.2.2数据清洗与规范化</w:t>
      </w:r>
      <w:bookmarkEnd w:id="1021"/>
      <w:bookmarkEnd w:id="1022"/>
    </w:p>
    <w:p w14:paraId="25B54D23">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针对采集数据中存在的缺失值、异常值、格式不一致等问题，开展系统性处理。采用均值填充、插值法等方式补充缺失数据；通过统计分析识别异常车型数据与极端价格值，结合行业常识与逻辑校验进行修正或剔除；对不同来源数据的格式进行统一规范化，包括单位统一（如续航里程统一为 CLTC 工况标准）、编码标准化、字段名称规范化等，消除数据异构性。同时，建立数据质量评估指标体系，从准确性、完整性、一致性等维度进行量化评估，确保处理后的数据满足后续分析需求。</w:t>
      </w:r>
    </w:p>
    <w:p w14:paraId="0ACD10B6">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23" w:name="_Toc182116508"/>
      <w:bookmarkStart w:id="1024" w:name="_Toc16634"/>
      <w:r>
        <w:rPr>
          <w:rFonts w:hint="eastAsia" w:ascii="宋体" w:hAnsi="宋体" w:eastAsia="宋体" w:cs="宋体"/>
          <w:sz w:val="24"/>
          <w:lang w:val="en-US" w:eastAsia="zh-CN"/>
        </w:rPr>
        <w:t>2.2.3数据分析与可视化展示</w:t>
      </w:r>
      <w:bookmarkEnd w:id="1023"/>
      <w:bookmarkEnd w:id="1024"/>
    </w:p>
    <w:p w14:paraId="65408291">
      <w:pPr>
        <w:widowControl/>
        <w:spacing w:before="0" w:after="0" w:line="440" w:lineRule="exact"/>
        <w:ind w:firstLine="480" w:firstLineChars="200"/>
        <w:jc w:val="both"/>
        <w:outlineLvl w:val="9"/>
        <w:rPr>
          <w:rFonts w:hint="eastAsia" w:ascii="宋体" w:hAnsi="宋体" w:eastAsia="宋体" w:cs="宋体"/>
          <w:bCs/>
          <w:sz w:val="24"/>
          <w:lang w:eastAsia="zh-CN"/>
        </w:rPr>
      </w:pPr>
      <w:r>
        <w:rPr>
          <w:rFonts w:hint="eastAsia" w:ascii="宋体" w:hAnsi="宋体" w:eastAsia="宋体" w:cs="宋体"/>
          <w:bCs/>
          <w:sz w:val="24"/>
        </w:rPr>
        <w:t>数据分析分两步开展：一是基础统计分析，通过方差分析、相关性检验等方法，初步探索单一特征与价格的关联趋势，识别关键影响因子；二是以价格为因</w:t>
      </w:r>
      <w:r>
        <w:rPr>
          <w:rFonts w:hint="eastAsia" w:ascii="宋体" w:hAnsi="宋体" w:eastAsia="宋体" w:cs="宋体"/>
          <w:bCs/>
          <w:sz w:val="24"/>
          <w:lang w:eastAsia="zh-CN"/>
        </w:rPr>
        <w:t>变量，续航、性能等核心特征为自变量，训练模型并输出特征重要性排序与价格预测结果，揭示多特征协同对价格的影响规律。可视化展示采用多样化图表形式，包括折线图呈现价格与续航的变化趋势、柱状图对比不同厂商的价格差异等，直观呈现分析结果。同时支持多维度数据钻取，用户可从整体关联分析下钻至具体车型详情，提升数据解读效率。</w:t>
      </w:r>
    </w:p>
    <w:p w14:paraId="6AFB4DD5">
      <w:pPr>
        <w:widowControl w:val="0"/>
        <w:spacing w:before="0" w:after="0" w:line="440" w:lineRule="exact"/>
        <w:ind w:firstLine="0" w:firstLineChars="0"/>
        <w:jc w:val="both"/>
        <w:outlineLvl w:val="9"/>
        <w:rPr>
          <w:rFonts w:hint="default" w:ascii="Calibri" w:hAnsi="Calibri" w:eastAsia="宋体" w:cs="Times New Roman"/>
          <w:b/>
          <w:bCs/>
          <w:sz w:val="28"/>
          <w:szCs w:val="28"/>
          <w:lang w:val="en-US" w:eastAsia="zh-CN"/>
        </w:rPr>
      </w:pPr>
      <w:bookmarkStart w:id="1025" w:name="_Toc6003"/>
      <w:r>
        <w:rPr>
          <w:rFonts w:hint="eastAsia" w:ascii="Calibri" w:hAnsi="Calibri" w:eastAsia="宋体" w:cs="Times New Roman"/>
          <w:b/>
          <w:bCs/>
          <w:sz w:val="28"/>
          <w:szCs w:val="28"/>
          <w:lang w:val="en-US" w:eastAsia="zh-CN"/>
        </w:rPr>
        <w:t>3 系统需求分析与设计</w:t>
      </w:r>
      <w:bookmarkEnd w:id="1025"/>
      <w:r>
        <w:rPr>
          <w:rFonts w:hint="eastAsia" w:ascii="Calibri" w:hAnsi="Calibri" w:eastAsia="宋体" w:cs="Times New Roman"/>
          <w:b/>
          <w:bCs/>
          <w:sz w:val="28"/>
          <w:szCs w:val="28"/>
          <w:lang w:val="en-US" w:eastAsia="zh-CN"/>
        </w:rPr>
        <w:t xml:space="preserve">  </w:t>
      </w:r>
    </w:p>
    <w:p w14:paraId="0A1E5382">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26" w:name="_Toc19636"/>
      <w:bookmarkStart w:id="1027" w:name="_Toc182116512"/>
      <w:bookmarkStart w:id="1028" w:name="_Toc18090"/>
      <w:r>
        <w:rPr>
          <w:rFonts w:hint="eastAsia" w:ascii="宋体" w:hAnsi="宋体" w:eastAsia="宋体" w:cs="宋体"/>
          <w:sz w:val="24"/>
          <w:lang w:val="en-US" w:eastAsia="zh-CN"/>
        </w:rPr>
        <w:t>3.1 需求分析</w:t>
      </w:r>
      <w:bookmarkEnd w:id="1026"/>
      <w:bookmarkEnd w:id="1027"/>
      <w:bookmarkEnd w:id="1028"/>
    </w:p>
    <w:p w14:paraId="4AA12CDF">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29" w:name="_Toc5841"/>
      <w:r>
        <w:rPr>
          <w:rFonts w:hint="eastAsia" w:ascii="宋体" w:hAnsi="宋体" w:eastAsia="宋体" w:cs="宋体"/>
          <w:sz w:val="24"/>
          <w:lang w:val="en-US" w:eastAsia="zh-CN"/>
        </w:rPr>
        <w:t>3.1.1系统需求概述</w:t>
      </w:r>
      <w:bookmarkEnd w:id="1029"/>
    </w:p>
    <w:p w14:paraId="6E854993">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聚焦电动汽车价格与核心特征关联性，需覆盖多维度数据处理。涉及挖掘价格关联影响因子，开展性能差异分析以验证特征对价格的作用，关联厂商策略与价格、分析核心特征（如续航）和价格关系，进行车型综合评估辅助价格研究，挖掘特征关联规则、分析时间序列影响，以及识别异常数据保障分析准确性。</w:t>
      </w:r>
    </w:p>
    <w:p w14:paraId="49475506">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0" w:name="_Toc27627"/>
      <w:r>
        <w:rPr>
          <w:rFonts w:hint="eastAsia" w:ascii="宋体" w:hAnsi="宋体" w:eastAsia="宋体" w:cs="宋体"/>
          <w:sz w:val="24"/>
          <w:lang w:val="en-US" w:eastAsia="zh-CN"/>
        </w:rPr>
        <w:t>3.1.2行业与企业核心需求</w:t>
      </w:r>
      <w:bookmarkEnd w:id="1030"/>
    </w:p>
    <w:p w14:paraId="3246B955">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val="en-US" w:eastAsia="zh-CN"/>
        </w:rPr>
      </w:pPr>
      <w:r>
        <w:rPr>
          <w:rFonts w:hint="eastAsia" w:ascii="宋体" w:hAnsi="宋体" w:eastAsia="宋体" w:cs="宋体"/>
          <w:bCs/>
          <w:sz w:val="24"/>
          <w:lang w:eastAsia="zh-CN"/>
        </w:rPr>
        <w:t>产品规划与策略优化需求</w:t>
      </w:r>
      <w:r>
        <w:rPr>
          <w:rFonts w:hint="eastAsia" w:ascii="宋体" w:hAnsi="宋体" w:eastAsia="宋体" w:cs="宋体"/>
          <w:bCs/>
          <w:sz w:val="24"/>
          <w:lang w:val="en-US" w:eastAsia="zh-CN"/>
        </w:rPr>
        <w:t xml:space="preserve"> </w:t>
      </w:r>
      <w:r>
        <w:rPr>
          <w:rFonts w:hint="eastAsia" w:ascii="宋体" w:hAnsi="宋体" w:eastAsia="宋体" w:cs="宋体"/>
          <w:bCs/>
          <w:sz w:val="24"/>
          <w:lang w:eastAsia="zh-CN"/>
        </w:rPr>
        <w:t>车企面临激烈市场竞争，需精准把握产品迭代方向，通过分析价格影响因素、能源类型与性能差异，明确电池容量、电机功率等核心特征对定价的贡献权重，优化不同价格区间车型的配置组合，平衡合规、成本与消费需求，提升产品市场适配度与盈利能力。同时，依托厂商市场定位数据，梳理竞品布局差异，找准自身差异化竞争赛道，缩短产品从概念到上市的周期，降低研发与市场风险。</w:t>
      </w:r>
    </w:p>
    <w:p w14:paraId="2CEC227B">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val="en-US" w:eastAsia="zh-CN"/>
        </w:rPr>
      </w:pPr>
      <w:r>
        <w:rPr>
          <w:rFonts w:hint="eastAsia" w:ascii="宋体" w:hAnsi="宋体" w:eastAsia="宋体" w:cs="宋体"/>
          <w:bCs/>
          <w:sz w:val="24"/>
          <w:lang w:eastAsia="zh-CN"/>
        </w:rPr>
        <w:t>技术研发与趋势研判需求 聚焦续航里程这一核心痛点，需挖掘电池技术、车身设计等关键影响变量，通过对比不同预测模型性能，筛选最优算法为续航优化提供数据支撑，助力攻克技术瓶颈。此外，结合时间序列分析洞察车型特征演变趋势，追踪固态电池、800V 高压平台等新技术产业化节奏，为技术研发投入与路线选择提供决策依据，抢占技术制高点。</w:t>
      </w:r>
    </w:p>
    <w:p w14:paraId="2C5043CF">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val="en-US" w:eastAsia="zh-CN"/>
        </w:rPr>
      </w:pPr>
      <w:r>
        <w:rPr>
          <w:rFonts w:hint="eastAsia" w:ascii="宋体" w:hAnsi="宋体" w:eastAsia="宋体" w:cs="宋体"/>
          <w:bCs/>
          <w:sz w:val="24"/>
          <w:lang w:eastAsia="zh-CN"/>
        </w:rPr>
        <w:t>市场竞争与风险管控需求 需构建综合竞争力评价体系，识别头部车型核心优势，为产品优化升级提供参考；同时通过关联规则挖掘用户偏好的配置组合，优化产品设计与营销方案，提升用户转化效率。此外，借助异常车型检测，识别价格虚标、性能不达标等风险隐患，为供应链管理、质量管控及市场监管提供数据支持，维护品牌声誉与市场秩序。</w:t>
      </w:r>
    </w:p>
    <w:p w14:paraId="670AB1F8">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1" w:name="_Toc16160"/>
      <w:r>
        <w:rPr>
          <w:rFonts w:hint="eastAsia" w:ascii="宋体" w:hAnsi="宋体" w:eastAsia="宋体" w:cs="宋体"/>
          <w:sz w:val="24"/>
          <w:lang w:val="en-US" w:eastAsia="zh-CN"/>
        </w:rPr>
        <w:t>3.1.3消费端与市场发展需求</w:t>
      </w:r>
      <w:bookmarkEnd w:id="1031"/>
    </w:p>
    <w:p w14:paraId="6392582F">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消费者购车决策支撑需求 当前消费者购车呈现理性化、多元化特征，形成 “安全为基、成本为尺、体验为纲” 的评估体系，亟需清晰的续航与价格关联、能源类型性能差异等数据参考，规避购车陷阱。同时，消费者对价格透明度、售后服务质量要求较高，需通过数据分析呈现车型真实竞争力、配置合理性及电池健康保障等关键信息，帮助其做出符合自身需求的购车选择。</w:t>
      </w:r>
    </w:p>
    <w:p w14:paraId="1974E387">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市场健康发展引导需求 随着电动汽车渗透率持续提升，市场面临结构性产能过剩、二手车市场培育不足等问题，需通过多维度数据分析，揭示 15-25 万元主流价格区间供需特征、新能源二手车市场痛点及政策影响规律。为政策制定者优化产业引导政策、完善充电基础设施建设、规范市场秩序提供数据支撑，推动行业从政策驱动向市场驱动平稳过渡，实现高质量可持续发展。</w:t>
      </w:r>
    </w:p>
    <w:p w14:paraId="46E363AE">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2" w:name="_Toc9318"/>
      <w:bookmarkStart w:id="1033" w:name="_Toc182116515"/>
      <w:bookmarkStart w:id="1034" w:name="_Toc5180"/>
      <w:r>
        <w:rPr>
          <w:rFonts w:hint="eastAsia" w:ascii="宋体" w:hAnsi="宋体" w:eastAsia="宋体" w:cs="宋体"/>
          <w:sz w:val="24"/>
          <w:lang w:val="en-US" w:eastAsia="zh-CN"/>
        </w:rPr>
        <w:t>3.2 系统设计</w:t>
      </w:r>
      <w:bookmarkEnd w:id="1032"/>
      <w:bookmarkEnd w:id="1033"/>
      <w:bookmarkEnd w:id="1034"/>
    </w:p>
    <w:p w14:paraId="32F71065">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5" w:name="_Toc5262"/>
      <w:r>
        <w:rPr>
          <w:rFonts w:hint="eastAsia" w:ascii="宋体" w:hAnsi="宋体" w:eastAsia="宋体" w:cs="宋体"/>
          <w:sz w:val="24"/>
          <w:lang w:val="en-US" w:eastAsia="zh-CN"/>
        </w:rPr>
        <w:t>3.2.1系统架构设计</w:t>
      </w:r>
      <w:bookmarkEnd w:id="1035"/>
    </w:p>
    <w:p w14:paraId="19FE91D5">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采用分层架构，底层数据采集层对接各类电动汽车数据；中间数据处理层负责数据清洗（处理异常、缺失值 ）、转换（统一格式、编码 ）、加载（存入存储模块 ）及算法运算（运行随机森林等分析关联性 ）；上层应用层提供可视化展示、结果查询与下载等功能，供车企分析师、市场调研人员等使用。</w:t>
      </w:r>
    </w:p>
    <w:p w14:paraId="6015F623">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6" w:name="_Toc28185"/>
      <w:r>
        <w:rPr>
          <w:rFonts w:hint="eastAsia" w:ascii="宋体" w:hAnsi="宋体" w:eastAsia="宋体" w:cs="宋体"/>
          <w:sz w:val="24"/>
          <w:lang w:val="en-US" w:eastAsia="zh-CN"/>
        </w:rPr>
        <w:t>3.2.2功能模块设计</w:t>
      </w:r>
      <w:bookmarkEnd w:id="1036"/>
    </w:p>
    <w:p w14:paraId="1C966639">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数据管理模块：实现数据导入（支持批量导入 ）、预处理（清洗、转换数据 ）、存储（分类存储处理后数据 ）与更新（定期 / 按需更新数据 ）。 关联性分析模块：调用算法，分析价格与核心特征（续航、性能等 ）关联度，输出关联系数、权重；挖掘特征关联规则辅助分析 。 可视化展示模块：以图表（折线图、柱状图等 ）、报表呈现分析结果，支持多维度数据钻取（从整体到具体车型关联详情 ）。 结果应用模块：提供结果导出（csv、</w:t>
      </w:r>
      <w:r>
        <w:rPr>
          <w:rFonts w:hint="eastAsia" w:ascii="宋体" w:hAnsi="宋体" w:eastAsia="宋体" w:cs="宋体"/>
          <w:bCs/>
          <w:sz w:val="24"/>
          <w:lang w:val="en-US" w:eastAsia="zh-CN"/>
        </w:rPr>
        <w:t>xlsx</w:t>
      </w:r>
      <w:r>
        <w:rPr>
          <w:rFonts w:hint="eastAsia" w:ascii="宋体" w:hAnsi="宋体" w:eastAsia="宋体" w:cs="宋体"/>
          <w:bCs/>
          <w:sz w:val="24"/>
          <w:lang w:eastAsia="zh-CN"/>
        </w:rPr>
        <w:t xml:space="preserve"> 等格式 ）辅助厂商调整市场策略。</w:t>
      </w:r>
    </w:p>
    <w:p w14:paraId="6636D241">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7" w:name="_Toc1441"/>
      <w:r>
        <w:rPr>
          <w:rFonts w:hint="eastAsia" w:ascii="宋体" w:hAnsi="宋体" w:eastAsia="宋体" w:cs="宋体"/>
          <w:sz w:val="24"/>
          <w:lang w:val="en-US" w:eastAsia="zh-CN"/>
        </w:rPr>
        <w:t>3.2.3数据可视化分析设计</w:t>
      </w:r>
      <w:bookmarkEnd w:id="1037"/>
    </w:p>
    <w:p w14:paraId="6BA0BD5B">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关联趋势可视化：折线图展价格与核心特征（如续航 ）随时间 / 车型的变化趋势，散点图呈现价格与多特征分布关系，直观示关联性 。 特征对比可视化：柱状图对比不同能源类型、厂商的车型价格与特征表现，雷达图呈现车型综合竞争力与价格关联，多维度展关系 。 异常与规则可视化：热力图展异常车型分布及对价格分析的影响，关联规则图谱呈现特征关联规则，辅助理解关联逻辑 。 </w:t>
      </w:r>
    </w:p>
    <w:p w14:paraId="5C2AEEFE">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38" w:name="_Toc11264"/>
      <w:r>
        <w:rPr>
          <w:rFonts w:hint="eastAsia" w:ascii="宋体" w:hAnsi="宋体" w:eastAsia="宋体" w:cs="宋体"/>
          <w:sz w:val="24"/>
          <w:lang w:val="en-US" w:eastAsia="zh-CN"/>
        </w:rPr>
        <w:t>3.3.4数据存储设计</w:t>
      </w:r>
      <w:bookmarkEnd w:id="1038"/>
    </w:p>
    <w:p w14:paraId="13008E6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用关系型数据库（如 MySQL ）存结构化数据，按主题（价格影响、性能分析等 ）分类建表，定义字段（车型 ID、价格等 ），建立表间关联；配置文件存储系统暂存原始数据、备份处理后数据，保障可追溯，支持快速查询、更新与批量操作，满足存储调用需求。</w:t>
      </w:r>
    </w:p>
    <w:p w14:paraId="76843B48">
      <w:pPr>
        <w:widowControl w:val="0"/>
        <w:spacing w:before="0" w:after="0" w:line="440" w:lineRule="exact"/>
        <w:ind w:firstLine="0" w:firstLineChars="0"/>
        <w:jc w:val="both"/>
        <w:rPr>
          <w:rFonts w:hint="eastAsia" w:ascii="Calibri" w:hAnsi="Calibri" w:eastAsia="宋体" w:cs="Times New Roman"/>
          <w:b/>
          <w:bCs/>
          <w:sz w:val="28"/>
          <w:szCs w:val="28"/>
          <w:lang w:val="en-US" w:eastAsia="zh-CN"/>
        </w:rPr>
      </w:pPr>
      <w:bookmarkStart w:id="1039" w:name="_Toc182116525"/>
      <w:bookmarkStart w:id="1040" w:name="_Toc9640"/>
      <w:r>
        <w:rPr>
          <w:rFonts w:hint="eastAsia" w:ascii="Calibri" w:hAnsi="Calibri" w:eastAsia="宋体" w:cs="Times New Roman"/>
          <w:b/>
          <w:bCs/>
          <w:sz w:val="28"/>
          <w:szCs w:val="28"/>
          <w:lang w:val="en-US" w:eastAsia="zh-CN"/>
        </w:rPr>
        <w:t>4 数据分析</w:t>
      </w:r>
      <w:bookmarkEnd w:id="1039"/>
      <w:bookmarkEnd w:id="1040"/>
    </w:p>
    <w:p w14:paraId="64E176A8">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41" w:name="_Toc5972"/>
      <w:bookmarkStart w:id="1042" w:name="_Toc182116526"/>
      <w:bookmarkStart w:id="1043" w:name="_Toc6521"/>
      <w:r>
        <w:rPr>
          <w:rFonts w:hint="eastAsia" w:ascii="宋体" w:hAnsi="宋体" w:eastAsia="宋体" w:cs="宋体"/>
          <w:sz w:val="24"/>
          <w:lang w:val="en-US" w:eastAsia="zh-CN"/>
        </w:rPr>
        <w:t>4.1 数据爬取</w:t>
      </w:r>
      <w:bookmarkEnd w:id="1041"/>
      <w:bookmarkEnd w:id="1042"/>
      <w:bookmarkEnd w:id="1043"/>
    </w:p>
    <w:p w14:paraId="632E5F46">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44" w:name="_Toc30615"/>
      <w:r>
        <w:rPr>
          <w:rFonts w:hint="eastAsia" w:ascii="宋体" w:hAnsi="宋体" w:eastAsia="宋体" w:cs="宋体"/>
          <w:sz w:val="24"/>
          <w:lang w:val="en-US" w:eastAsia="zh-CN"/>
        </w:rPr>
        <w:t>4.1.1数据采集的编码实现</w:t>
      </w:r>
      <w:bookmarkEnd w:id="1044"/>
    </w:p>
    <w:p w14:paraId="489F45D6">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本研究基于 Python 构建了电动汽车数据自动化采集系统，通过两级爬取逻辑实现结构化数据获取，核心实现如下： </w:t>
      </w:r>
    </w:p>
    <w:p w14:paraId="316994B5">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default" w:ascii="Arial" w:hAnsi="Arial" w:eastAsia="宋体" w:cs="Times New Roman"/>
          <w:kern w:val="2"/>
          <w:sz w:val="18"/>
          <w:szCs w:val="24"/>
          <w:lang w:val="en-US" w:eastAsia="zh-CN" w:bidi="ar-SA"/>
        </w:rPr>
      </w:pPr>
      <w:r>
        <w:rPr>
          <w:rFonts w:hint="eastAsia" w:ascii="宋体" w:hAnsi="宋体" w:eastAsia="宋体" w:cs="宋体"/>
          <w:bCs/>
          <w:kern w:val="2"/>
          <w:sz w:val="20"/>
          <w:szCs w:val="24"/>
          <w:lang w:val="en-US" w:eastAsia="zh-CN" w:bidi="ar-SA"/>
        </w:rPr>
        <w:drawing>
          <wp:anchor distT="0" distB="0" distL="114300" distR="114300" simplePos="0" relativeHeight="251862016" behindDoc="0" locked="0" layoutInCell="1" allowOverlap="1">
            <wp:simplePos x="0" y="0"/>
            <wp:positionH relativeFrom="column">
              <wp:posOffset>551180</wp:posOffset>
            </wp:positionH>
            <wp:positionV relativeFrom="paragraph">
              <wp:posOffset>4445</wp:posOffset>
            </wp:positionV>
            <wp:extent cx="4319905" cy="3239770"/>
            <wp:effectExtent l="0" t="0" r="4445" b="17780"/>
            <wp:wrapTopAndBottom/>
            <wp:docPr id="64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图片 2" descr="IMG_256"/>
                    <pic:cNvPicPr>
                      <a:picLocks noChangeAspect="1"/>
                    </pic:cNvPicPr>
                  </pic:nvPicPr>
                  <pic:blipFill>
                    <a:blip r:embed="rId401"/>
                    <a:stretch>
                      <a:fillRect/>
                    </a:stretch>
                  </pic:blipFill>
                  <pic:spPr>
                    <a:xfrm>
                      <a:off x="0" y="0"/>
                      <a:ext cx="4319905" cy="3239770"/>
                    </a:xfrm>
                    <a:prstGeom prst="rect">
                      <a:avLst/>
                    </a:prstGeom>
                    <a:noFill/>
                    <a:ln w="9525">
                      <a:noFill/>
                    </a:ln>
                  </pic:spPr>
                </pic:pic>
              </a:graphicData>
            </a:graphic>
          </wp:anchor>
        </w:drawing>
      </w:r>
      <w:r>
        <w:rPr>
          <w:rFonts w:ascii="Arial" w:hAnsi="Arial" w:eastAsia="宋体" w:cs="Times New Roman"/>
          <w:kern w:val="2"/>
          <w:sz w:val="18"/>
          <w:szCs w:val="24"/>
          <w:lang w:val="en-US" w:eastAsia="zh-CN" w:bidi="ar-SA"/>
        </w:rPr>
        <w:t xml:space="preserve">图 </w:t>
      </w:r>
      <w:r>
        <w:rPr>
          <w:rFonts w:ascii="Arial" w:hAnsi="Arial" w:eastAsia="宋体" w:cs="Times New Roman"/>
          <w:kern w:val="2"/>
          <w:sz w:val="18"/>
          <w:szCs w:val="24"/>
          <w:lang w:val="en-US" w:eastAsia="zh-CN" w:bidi="ar-SA"/>
        </w:rPr>
        <w:fldChar w:fldCharType="begin"/>
      </w:r>
      <w:r>
        <w:rPr>
          <w:rFonts w:ascii="Arial" w:hAnsi="Arial" w:eastAsia="宋体" w:cs="Times New Roman"/>
          <w:kern w:val="2"/>
          <w:sz w:val="18"/>
          <w:szCs w:val="24"/>
          <w:lang w:val="en-US" w:eastAsia="zh-CN" w:bidi="ar-SA"/>
        </w:rPr>
        <w:instrText xml:space="preserve"> SEQ 图 \* ARABIC </w:instrText>
      </w:r>
      <w:r>
        <w:rPr>
          <w:rFonts w:ascii="Arial" w:hAnsi="Arial" w:eastAsia="宋体" w:cs="Times New Roman"/>
          <w:kern w:val="2"/>
          <w:sz w:val="18"/>
          <w:szCs w:val="24"/>
          <w:lang w:val="en-US" w:eastAsia="zh-CN" w:bidi="ar-SA"/>
        </w:rPr>
        <w:fldChar w:fldCharType="separate"/>
      </w:r>
      <w:r>
        <w:rPr>
          <w:rFonts w:ascii="Arial" w:hAnsi="Arial" w:eastAsia="宋体" w:cs="Times New Roman"/>
          <w:kern w:val="2"/>
          <w:sz w:val="18"/>
          <w:szCs w:val="24"/>
          <w:lang w:val="en-US" w:eastAsia="zh-CN" w:bidi="ar-SA"/>
        </w:rPr>
        <w:t>2</w:t>
      </w:r>
      <w:r>
        <w:rPr>
          <w:rFonts w:ascii="Arial" w:hAnsi="Arial" w:eastAsia="宋体" w:cs="Times New Roman"/>
          <w:kern w:val="2"/>
          <w:sz w:val="18"/>
          <w:szCs w:val="24"/>
          <w:lang w:val="en-US" w:eastAsia="zh-CN" w:bidi="ar-SA"/>
        </w:rPr>
        <w:fldChar w:fldCharType="end"/>
      </w:r>
      <w:r>
        <w:rPr>
          <w:rFonts w:hint="eastAsia" w:ascii="Arial" w:hAnsi="Arial" w:eastAsia="宋体" w:cs="Times New Roman"/>
          <w:kern w:val="2"/>
          <w:sz w:val="18"/>
          <w:szCs w:val="24"/>
          <w:lang w:val="en-US" w:eastAsia="zh-CN" w:bidi="ar-SA"/>
        </w:rPr>
        <w:t xml:space="preserve">  爬取代码图</w:t>
      </w:r>
    </w:p>
    <w:p w14:paraId="618BF4F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列表页批量采集采用requests与parsel库实现轻量化爬取，通过PAGE_CONFIG配置 “在售”“即将销售”“停售” 三类车型的参数（类型编码与爬取页数），循环遍历生成分页 URL。解析页面时，通过 CSS 选择器定位车辆节点，提取标题、用户评分、指导价等基础信息；针对参数文本（如级别、续航、动力类型），采用关键词匹配法（如通过 “公里” 识别续航里程、“马力” 识别动力参数）进行分类提取，并补充详情链接与配置链接。数据通过 CSV 格式持久化存储，支持初始化与增量写入，确保采集过程可追溯。 </w:t>
      </w:r>
    </w:p>
    <w:p w14:paraId="0AD0ED27">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详情页深度解析结合selenium模拟浏览器行为，针对列表页获取的配置链接进行深度爬取。通过PARAMS_MAP定义 30 + 项细分参数（涵盖价格信息、续航充电、动力参数、车身尺寸等）与网页 XPath 路径的映射关系，实现结构化提取。对于含多配置车型的页面，先解析车型名称列表，再通过defaultdict存储不同配置的参数值，形成 “系列 - 车型 - 参数” 三级数据结构。采集过程中通过无头浏览器模式、请求频率控制（time.sleep）及异常捕获机制提升稳定性，并对配置链接进行去重处理，最终将数据整合为 “车型名称 - 参数” 矩阵格式的标准化数据集。</w:t>
      </w:r>
      <w:r>
        <w:rPr>
          <w:rFonts w:hint="eastAsia" w:ascii="宋体" w:hAnsi="宋体" w:eastAsia="宋体" w:cs="宋体"/>
          <w:bCs/>
          <w:sz w:val="24"/>
          <w:lang w:val="en-US" w:eastAsia="zh-CN"/>
        </w:rPr>
        <w:t xml:space="preserve"> </w:t>
      </w:r>
    </w:p>
    <w:p w14:paraId="3B913CD9">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45" w:name="_Toc870"/>
      <w:r>
        <w:rPr>
          <w:rFonts w:hint="eastAsia" w:ascii="宋体" w:hAnsi="宋体" w:eastAsia="宋体" w:cs="宋体"/>
          <w:sz w:val="24"/>
          <w:lang w:val="en-US" w:eastAsia="zh-CN"/>
        </w:rPr>
        <w:t>4.1.2数据采集的数据分析</w:t>
      </w:r>
      <w:bookmarkEnd w:id="1045"/>
    </w:p>
    <w:p w14:paraId="7CD09EAB">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通过上述采集流程，最终形成多维度电动汽车数据集，特征分析如下： </w:t>
      </w:r>
    </w:p>
    <w:p w14:paraId="21FF2E44">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（1）数据规模与覆盖 列表页覆盖三类销售状态，总数据量达</w:t>
      </w:r>
      <w:r>
        <w:rPr>
          <w:rFonts w:hint="eastAsia" w:ascii="宋体" w:hAnsi="宋体" w:eastAsia="宋体" w:cs="宋体"/>
          <w:bCs/>
          <w:sz w:val="24"/>
          <w:lang w:val="en-US" w:eastAsia="zh-CN"/>
        </w:rPr>
        <w:t>6800余</w:t>
      </w:r>
      <w:r>
        <w:rPr>
          <w:rFonts w:hint="eastAsia" w:ascii="宋体" w:hAnsi="宋体" w:eastAsia="宋体" w:cs="宋体"/>
          <w:bCs/>
          <w:sz w:val="24"/>
          <w:lang w:eastAsia="zh-CN"/>
        </w:rPr>
        <w:t>条，单页平均含 15-</w:t>
      </w:r>
      <w:r>
        <w:rPr>
          <w:rFonts w:hint="eastAsia" w:ascii="宋体" w:hAnsi="宋体" w:eastAsia="宋体" w:cs="宋体"/>
          <w:bCs/>
          <w:sz w:val="24"/>
          <w:lang w:val="en-US" w:eastAsia="zh-CN"/>
        </w:rPr>
        <w:t>40</w:t>
      </w:r>
      <w:r>
        <w:rPr>
          <w:rFonts w:hint="eastAsia" w:ascii="宋体" w:hAnsi="宋体" w:eastAsia="宋体" w:cs="宋体"/>
          <w:bCs/>
          <w:sz w:val="24"/>
          <w:lang w:eastAsia="zh-CN"/>
        </w:rPr>
        <w:t xml:space="preserve"> 条记录，涵盖标题、价格、基础参数及链接信息； 详情页基于去重后的配置链接（数量约为列表页数据的 1/3），补充 30 + 项细分参数（如 NEDC/CLTC 续航、最大功率、轴距等），最终形成包含数百个车型的结构化表格，覆盖 5-300 万元价格区间及多类性能维度。 </w:t>
      </w:r>
    </w:p>
    <w:p w14:paraId="29312101">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（2）数据质量特征 完整性：通过 “无数据” 默认值填充缺失字段，关键参数（价格、续航）完整率超 95%； 准确性：采用 URL 校验、文本清洗（去除冗余字符）及链接去重机制，重复数据率约 30%； 时效性：区分销售状态，其中在售车型占比约 60%，反映市场当前供给情况。 </w:t>
      </w:r>
    </w:p>
    <w:p w14:paraId="5DBBD463">
      <w:pPr>
        <w:widowControl w:val="0"/>
        <w:spacing w:before="0" w:after="0" w:line="440" w:lineRule="exact"/>
        <w:ind w:firstLine="480" w:firstLineChars="200"/>
        <w:jc w:val="both"/>
        <w:outlineLvl w:val="9"/>
        <w:rPr>
          <w:rFonts w:hint="eastAsia" w:ascii="宋体" w:hAnsi="宋体" w:eastAsia="宋体" w:cs="宋体"/>
          <w:bCs/>
          <w:sz w:val="24"/>
          <w:lang w:eastAsia="zh-CN"/>
        </w:rPr>
      </w:pPr>
      <w:bookmarkStart w:id="1046" w:name="_Toc1971"/>
      <w:r>
        <w:rPr>
          <w:rFonts w:hint="eastAsia" w:ascii="宋体" w:hAnsi="宋体" w:eastAsia="宋体" w:cs="宋体"/>
          <w:bCs/>
          <w:sz w:val="24"/>
          <w:lang w:eastAsia="zh-CN"/>
        </w:rPr>
        <w:t>（3）数据分布特征 价格区间：10-30 万元车型占比最高（约 55%），为主流消费市场； 续航性能：300-600km 续航车型占比约 70%，且与电池能量呈正相关； 动力类型：纯电动车型占比超 90%，混动车型集中在 20 万元以上价位，体现市场技术路线倾向。 该数据集为后续电动汽车市场分析、性能对比等研究提供了可靠的基础数据支撑。</w:t>
      </w:r>
      <w:bookmarkEnd w:id="1046"/>
      <w:bookmarkStart w:id="1047" w:name="_Toc182116527"/>
      <w:bookmarkStart w:id="1048" w:name="_Toc13539"/>
    </w:p>
    <w:p w14:paraId="4B262509">
      <w:pPr>
        <w:widowControl w:val="0"/>
        <w:spacing w:before="0" w:after="0" w:line="440" w:lineRule="exact"/>
        <w:ind w:firstLine="360" w:firstLineChars="200"/>
        <w:jc w:val="both"/>
        <w:outlineLvl w:val="9"/>
        <w:rPr>
          <w:rFonts w:hint="eastAsia" w:ascii="宋体" w:hAnsi="宋体" w:eastAsia="宋体" w:cs="宋体"/>
          <w:sz w:val="24"/>
          <w:lang w:val="en-US" w:eastAsia="zh-CN"/>
        </w:rPr>
      </w:pPr>
      <w:bookmarkStart w:id="1049" w:name="_Toc20200"/>
      <w:r>
        <w:rPr>
          <w:rFonts w:hint="eastAsia" w:ascii="Calibri" w:hAnsi="Calibri" w:eastAsia="宋体" w:cs="Times New Roman"/>
          <w:sz w:val="18"/>
          <w:lang w:val="en-US" w:eastAsia="zh-CN"/>
        </w:rPr>
        <w:drawing>
          <wp:anchor distT="0" distB="0" distL="114300" distR="114300" simplePos="0" relativeHeight="251850752" behindDoc="0" locked="0" layoutInCell="1" allowOverlap="1">
            <wp:simplePos x="0" y="0"/>
            <wp:positionH relativeFrom="column">
              <wp:posOffset>332105</wp:posOffset>
            </wp:positionH>
            <wp:positionV relativeFrom="page">
              <wp:posOffset>2105660</wp:posOffset>
            </wp:positionV>
            <wp:extent cx="1826260" cy="3197860"/>
            <wp:effectExtent l="0" t="0" r="2540" b="2540"/>
            <wp:wrapTopAndBottom/>
            <wp:docPr id="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1"/>
                    <pic:cNvPicPr>
                      <a:picLocks noChangeAspect="1"/>
                    </pic:cNvPicPr>
                  </pic:nvPicPr>
                  <pic:blipFill>
                    <a:blip r:embed="rId402"/>
                    <a:stretch>
                      <a:fillRect/>
                    </a:stretch>
                  </pic:blipFill>
                  <pic:spPr>
                    <a:xfrm>
                      <a:off x="0" y="0"/>
                      <a:ext cx="1826260" cy="3197860"/>
                    </a:xfrm>
                    <a:prstGeom prst="rect">
                      <a:avLst/>
                    </a:prstGeom>
                    <a:noFill/>
                    <a:ln>
                      <a:noFill/>
                    </a:ln>
                  </pic:spPr>
                </pic:pic>
              </a:graphicData>
            </a:graphic>
          </wp:anchor>
        </w:drawing>
      </w:r>
      <w:r>
        <w:rPr>
          <w:rFonts w:hint="eastAsia" w:ascii="宋体" w:hAnsi="宋体" w:eastAsia="宋体" w:cs="宋体"/>
          <w:sz w:val="24"/>
          <w:lang w:val="en-US" w:eastAsia="zh-CN"/>
        </w:rPr>
        <w:t>4.2 数据清洗与标准化</w:t>
      </w:r>
      <w:bookmarkEnd w:id="1049"/>
    </w:p>
    <w:p w14:paraId="2507584C">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50" w:name="_Toc20891"/>
      <w:bookmarkStart w:id="1051" w:name="_Toc182116522"/>
      <w:r>
        <w:rPr>
          <w:rFonts w:hint="eastAsia" w:ascii="宋体" w:hAnsi="宋体" w:eastAsia="宋体" w:cs="宋体"/>
          <w:sz w:val="24"/>
          <w:lang w:val="en-US" w:eastAsia="zh-CN"/>
        </w:rPr>
        <w:t>4.2.1数据清洗与规范化处理的编码实现</w:t>
      </w:r>
      <w:bookmarkEnd w:id="1050"/>
      <w:bookmarkEnd w:id="1051"/>
    </w:p>
    <w:p w14:paraId="5666711B">
      <w:pPr>
        <w:keepNext w:val="0"/>
        <w:keepLines w:val="0"/>
        <w:pageBreakBefore w:val="0"/>
        <w:widowControl/>
        <w:kinsoku/>
        <w:wordWrap/>
        <w:overflowPunct/>
        <w:topLinePunct w:val="0"/>
        <w:autoSpaceDE/>
        <w:autoSpaceDN/>
        <w:bidi w:val="0"/>
        <w:adjustRightInd/>
        <w:snapToGrid/>
        <w:spacing w:before="0" w:after="0" w:line="240" w:lineRule="auto"/>
        <w:jc w:val="both"/>
        <w:textAlignment w:val="auto"/>
        <w:outlineLvl w:val="9"/>
        <w:rPr>
          <w:rFonts w:hint="eastAsia" w:ascii="Calibri" w:hAnsi="Calibri" w:eastAsia="宋体" w:cs="Times New Roman"/>
          <w:sz w:val="18"/>
          <w:lang w:val="en-US" w:eastAsia="zh-CN"/>
        </w:rPr>
      </w:pPr>
    </w:p>
    <w:p w14:paraId="7C588CBF">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hint="eastAsia" w:ascii="Calibri" w:hAnsi="Calibri" w:eastAsia="宋体" w:cs="Times New Roman"/>
          <w:sz w:val="18"/>
          <w:lang w:val="en-US" w:eastAsia="zh-CN"/>
        </w:rPr>
        <w:drawing>
          <wp:anchor distT="0" distB="0" distL="114300" distR="114300" simplePos="0" relativeHeight="251851776" behindDoc="0" locked="0" layoutInCell="1" allowOverlap="1">
            <wp:simplePos x="0" y="0"/>
            <wp:positionH relativeFrom="column">
              <wp:posOffset>2165350</wp:posOffset>
            </wp:positionH>
            <wp:positionV relativeFrom="page">
              <wp:posOffset>2050415</wp:posOffset>
            </wp:positionV>
            <wp:extent cx="3477260" cy="3194050"/>
            <wp:effectExtent l="0" t="0" r="8890" b="6350"/>
            <wp:wrapTopAndBottom/>
            <wp:docPr id="6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2"/>
                    <pic:cNvPicPr>
                      <a:picLocks noChangeAspect="1"/>
                    </pic:cNvPicPr>
                  </pic:nvPicPr>
                  <pic:blipFill>
                    <a:blip r:embed="rId403"/>
                    <a:stretch>
                      <a:fillRect/>
                    </a:stretch>
                  </pic:blipFill>
                  <pic:spPr>
                    <a:xfrm>
                      <a:off x="0" y="0"/>
                      <a:ext cx="3477260" cy="3194050"/>
                    </a:xfrm>
                    <a:prstGeom prst="rect">
                      <a:avLst/>
                    </a:prstGeom>
                    <a:noFill/>
                    <a:ln>
                      <a:noFill/>
                    </a:ln>
                  </pic:spPr>
                </pic:pic>
              </a:graphicData>
            </a:graphic>
          </wp:anchor>
        </w:drawing>
      </w: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3  数据清洗过程</w:t>
      </w:r>
    </w:p>
    <w:bookmarkEnd w:id="1047"/>
    <w:bookmarkEnd w:id="1048"/>
    <w:p w14:paraId="05CD288B">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val="en-US" w:eastAsia="zh-CN"/>
        </w:rPr>
      </w:pPr>
      <w:bookmarkStart w:id="1052" w:name="_Toc182116528"/>
      <w:r>
        <w:rPr>
          <w:rFonts w:hint="eastAsia" w:ascii="宋体" w:hAnsi="宋体" w:eastAsia="宋体" w:cs="宋体"/>
          <w:bCs/>
          <w:sz w:val="24"/>
          <w:lang w:val="en-US" w:eastAsia="zh-CN"/>
        </w:rPr>
        <w:t>数据入库：</w:t>
      </w:r>
    </w:p>
    <w:p w14:paraId="5E5F0AFB">
      <w:pPr>
        <w:widowControl/>
        <w:spacing w:before="0" w:after="0" w:line="440" w:lineRule="exact"/>
        <w:ind w:firstLine="480" w:firstLineChars="200"/>
        <w:jc w:val="left"/>
        <w:outlineLvl w:val="9"/>
        <w:rPr>
          <w:rFonts w:hint="eastAsia" w:ascii="宋体" w:hAnsi="宋体" w:eastAsia="宋体" w:cs="宋体"/>
          <w:bCs/>
          <w:sz w:val="24"/>
          <w:lang w:eastAsia="zh-CN"/>
        </w:rPr>
      </w:pPr>
      <w:r>
        <w:rPr>
          <w:rFonts w:ascii="Calibri" w:hAnsi="Calibri" w:eastAsia="宋体" w:cs="Times New Roman"/>
          <w:sz w:val="24"/>
        </w:rPr>
        <w:drawing>
          <wp:anchor distT="0" distB="0" distL="114300" distR="114300" simplePos="0" relativeHeight="251859968" behindDoc="0" locked="0" layoutInCell="1" allowOverlap="1">
            <wp:simplePos x="0" y="0"/>
            <wp:positionH relativeFrom="margin">
              <wp:posOffset>601980</wp:posOffset>
            </wp:positionH>
            <wp:positionV relativeFrom="page">
              <wp:posOffset>7867015</wp:posOffset>
            </wp:positionV>
            <wp:extent cx="4319905" cy="724535"/>
            <wp:effectExtent l="0" t="0" r="4445" b="18415"/>
            <wp:wrapTopAndBottom/>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643"/>
                    <pic:cNvPicPr>
                      <a:picLocks noChangeAspect="1"/>
                    </pic:cNvPicPr>
                  </pic:nvPicPr>
                  <pic:blipFill>
                    <a:blip r:embed="rId404">
                      <a:extLst>
                        <a:ext uri="{28A0092B-C50C-407E-A947-70E740481C1C}">
                          <a14:useLocalDpi xmlns:a14="http://schemas.microsoft.com/office/drawing/2010/main" val="0"/>
                        </a:ext>
                      </a:extLst>
                    </a:blip>
                    <a:stretch>
                      <a:fillRect/>
                    </a:stretch>
                  </pic:blipFill>
                  <pic:spPr>
                    <a:xfrm>
                      <a:off x="0" y="0"/>
                      <a:ext cx="4319905" cy="724535"/>
                    </a:xfrm>
                    <a:prstGeom prst="rect">
                      <a:avLst/>
                    </a:prstGeom>
                  </pic:spPr>
                </pic:pic>
              </a:graphicData>
            </a:graphic>
          </wp:anchor>
        </w:drawing>
      </w:r>
    </w:p>
    <w:p w14:paraId="3C3412A2">
      <w:pPr>
        <w:widowControl/>
        <w:spacing w:before="0" w:after="0" w:line="440" w:lineRule="exact"/>
        <w:ind w:firstLine="360" w:firstLineChars="200"/>
        <w:jc w:val="center"/>
        <w:outlineLvl w:val="9"/>
        <w:rPr>
          <w:rFonts w:hint="eastAsia" w:ascii="宋体" w:hAnsi="宋体" w:eastAsia="宋体" w:cs="宋体"/>
          <w:bCs/>
          <w:sz w:val="24"/>
          <w:lang w:eastAsia="zh-CN"/>
        </w:rPr>
      </w:pPr>
      <w:r>
        <w:rPr>
          <w:rFonts w:ascii="Arial" w:hAnsi="Arial" w:eastAsia="宋体" w:cs="Times New Roman"/>
          <w:kern w:val="2"/>
          <w:sz w:val="18"/>
          <w:szCs w:val="24"/>
          <w:lang w:val="en-US" w:eastAsia="zh-CN" w:bidi="ar-SA"/>
        </w:rPr>
        <w:t xml:space="preserve">图 </w:t>
      </w:r>
      <w:r>
        <w:rPr>
          <w:rFonts w:ascii="Arial" w:hAnsi="Arial" w:eastAsia="宋体" w:cs="Times New Roman"/>
          <w:kern w:val="2"/>
          <w:sz w:val="18"/>
          <w:szCs w:val="24"/>
          <w:lang w:val="en-US" w:eastAsia="zh-CN" w:bidi="ar-SA"/>
        </w:rPr>
        <w:fldChar w:fldCharType="begin"/>
      </w:r>
      <w:r>
        <w:rPr>
          <w:rFonts w:ascii="Arial" w:hAnsi="Arial" w:eastAsia="宋体" w:cs="Times New Roman"/>
          <w:kern w:val="2"/>
          <w:sz w:val="18"/>
          <w:szCs w:val="24"/>
          <w:lang w:val="en-US" w:eastAsia="zh-CN" w:bidi="ar-SA"/>
        </w:rPr>
        <w:instrText xml:space="preserve"> SEQ 图 \* ARABIC </w:instrText>
      </w:r>
      <w:r>
        <w:rPr>
          <w:rFonts w:ascii="Arial" w:hAnsi="Arial" w:eastAsia="宋体" w:cs="Times New Roman"/>
          <w:kern w:val="2"/>
          <w:sz w:val="18"/>
          <w:szCs w:val="24"/>
          <w:lang w:val="en-US" w:eastAsia="zh-CN" w:bidi="ar-SA"/>
        </w:rPr>
        <w:fldChar w:fldCharType="separate"/>
      </w:r>
      <w:r>
        <w:rPr>
          <w:rFonts w:ascii="Arial" w:hAnsi="Arial" w:eastAsia="宋体" w:cs="Times New Roman"/>
          <w:kern w:val="2"/>
          <w:sz w:val="18"/>
          <w:szCs w:val="24"/>
          <w:lang w:val="en-US" w:eastAsia="zh-CN" w:bidi="ar-SA"/>
        </w:rPr>
        <w:t>4</w:t>
      </w:r>
      <w:r>
        <w:rPr>
          <w:rFonts w:ascii="Arial" w:hAnsi="Arial" w:eastAsia="宋体" w:cs="Times New Roman"/>
          <w:kern w:val="2"/>
          <w:sz w:val="18"/>
          <w:szCs w:val="24"/>
          <w:lang w:val="en-US" w:eastAsia="zh-CN" w:bidi="ar-SA"/>
        </w:rPr>
        <w:fldChar w:fldCharType="end"/>
      </w:r>
      <w:r>
        <w:rPr>
          <w:rFonts w:hint="eastAsia" w:ascii="Arial" w:hAnsi="Arial" w:eastAsia="宋体" w:cs="Times New Roman"/>
          <w:kern w:val="2"/>
          <w:sz w:val="18"/>
          <w:szCs w:val="24"/>
          <w:lang w:val="en-US" w:eastAsia="zh-CN" w:bidi="ar-SA"/>
        </w:rPr>
        <w:t xml:space="preserve"> 数据入库</w:t>
      </w:r>
      <w:r>
        <w:rPr>
          <w:rFonts w:hint="eastAsia" w:ascii="宋体" w:hAnsi="宋体" w:eastAsia="宋体" w:cs="宋体"/>
          <w:sz w:val="24"/>
          <w:lang w:val="en-US" w:eastAsia="zh-CN"/>
        </w:rPr>
        <w:drawing>
          <wp:anchor distT="0" distB="0" distL="114300" distR="114300" simplePos="0" relativeHeight="251858944" behindDoc="0" locked="0" layoutInCell="1" allowOverlap="1">
            <wp:simplePos x="0" y="0"/>
            <wp:positionH relativeFrom="margin">
              <wp:posOffset>618490</wp:posOffset>
            </wp:positionH>
            <wp:positionV relativeFrom="page">
              <wp:posOffset>6094095</wp:posOffset>
            </wp:positionV>
            <wp:extent cx="4319905" cy="1726565"/>
            <wp:effectExtent l="0" t="0" r="4445" b="6985"/>
            <wp:wrapTopAndBottom/>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644"/>
                    <pic:cNvPicPr>
                      <a:picLocks noChangeAspect="1"/>
                    </pic:cNvPicPr>
                  </pic:nvPicPr>
                  <pic:blipFill>
                    <a:blip r:embed="rId405">
                      <a:extLst>
                        <a:ext uri="{28A0092B-C50C-407E-A947-70E740481C1C}">
                          <a14:useLocalDpi xmlns:a14="http://schemas.microsoft.com/office/drawing/2010/main" val="0"/>
                        </a:ext>
                      </a:extLst>
                    </a:blip>
                    <a:stretch>
                      <a:fillRect/>
                    </a:stretch>
                  </pic:blipFill>
                  <pic:spPr>
                    <a:xfrm>
                      <a:off x="0" y="0"/>
                      <a:ext cx="4319905" cy="1726565"/>
                    </a:xfrm>
                    <a:prstGeom prst="rect">
                      <a:avLst/>
                    </a:prstGeom>
                  </pic:spPr>
                </pic:pic>
              </a:graphicData>
            </a:graphic>
          </wp:anchor>
        </w:drawing>
      </w:r>
    </w:p>
    <w:p w14:paraId="2B18718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基于 Python 的pandas和numpy库，构建 “去重 - 缺失值处理 - 异常值过滤 - 格式标准化” 四步清洗流程：</w:t>
      </w:r>
    </w:p>
    <w:p w14:paraId="73E5BAF9">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去重：通过drop_duplicates剔除完全重复记录，保留唯一有效数据；</w:t>
      </w:r>
    </w:p>
    <w:p w14:paraId="049A7817">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缺失值处理：关键标识列（车型名称、厂商）缺失则删除整行，数值型字段（续航、功率等）用中位数填充，分类字段（能源类型等）用众数填充，高缺失率字段填充 “未知”；</w:t>
      </w:r>
    </w:p>
    <w:p w14:paraId="5778E3C3">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异常值过滤：设定价格（≥0.01 万元）、续航（0-2000km）等字段合理区间，剔除超出范围或逻辑矛盾数据，处理价格字段单位转换（如 “XX 万” 转数值）；</w:t>
      </w:r>
    </w:p>
    <w:p w14:paraId="3A9AA95F">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格式标准化：日期统一为 “YYYY-MM-DD” 格式，文本字段去除空格与特殊字符，价格统一为 “万元” 单位，列名清洗特殊字符实现命名规范。</w:t>
      </w:r>
    </w:p>
    <w:p w14:paraId="1D379C0E">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53" w:name="_Toc6170"/>
      <w:r>
        <w:rPr>
          <w:rFonts w:hint="eastAsia" w:ascii="宋体" w:hAnsi="宋体" w:eastAsia="宋体" w:cs="宋体"/>
          <w:sz w:val="24"/>
          <w:lang w:val="en-US" w:eastAsia="zh-CN"/>
        </w:rPr>
        <w:t>4.2.2数据清洗</w:t>
      </w:r>
      <w:bookmarkEnd w:id="1052"/>
      <w:r>
        <w:rPr>
          <w:rFonts w:hint="eastAsia" w:ascii="宋体" w:hAnsi="宋体" w:eastAsia="宋体" w:cs="宋体"/>
          <w:sz w:val="24"/>
          <w:lang w:val="en-US" w:eastAsia="zh-CN"/>
        </w:rPr>
        <w:t>分析</w:t>
      </w:r>
      <w:bookmarkEnd w:id="1053"/>
    </w:p>
    <w:p w14:paraId="641BFB42">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ascii="Calibri" w:hAnsi="Calibri" w:eastAsia="宋体" w:cs="Times New Roman"/>
          <w:sz w:val="24"/>
        </w:rPr>
        <w:drawing>
          <wp:anchor distT="0" distB="0" distL="114300" distR="114300" simplePos="0" relativeHeight="251860992" behindDoc="0" locked="0" layoutInCell="1" allowOverlap="1">
            <wp:simplePos x="0" y="0"/>
            <wp:positionH relativeFrom="column">
              <wp:posOffset>356235</wp:posOffset>
            </wp:positionH>
            <wp:positionV relativeFrom="paragraph">
              <wp:posOffset>503555</wp:posOffset>
            </wp:positionV>
            <wp:extent cx="4679950" cy="3150235"/>
            <wp:effectExtent l="0" t="0" r="6350" b="12065"/>
            <wp:wrapTopAndBottom/>
            <wp:docPr id="6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1"/>
                    <pic:cNvPicPr>
                      <a:picLocks noChangeAspect="1"/>
                    </pic:cNvPicPr>
                  </pic:nvPicPr>
                  <pic:blipFill>
                    <a:blip r:embed="rId406"/>
                    <a:stretch>
                      <a:fillRect/>
                    </a:stretch>
                  </pic:blipFill>
                  <pic:spPr>
                    <a:xfrm>
                      <a:off x="0" y="0"/>
                      <a:ext cx="4679950" cy="3150235"/>
                    </a:xfrm>
                    <a:prstGeom prst="rect">
                      <a:avLst/>
                    </a:prstGeom>
                    <a:noFill/>
                    <a:ln>
                      <a:noFill/>
                    </a:ln>
                  </pic:spPr>
                </pic:pic>
              </a:graphicData>
            </a:graphic>
          </wp:anchor>
        </w:drawing>
      </w:r>
      <w:r>
        <w:rPr>
          <w:rFonts w:hint="eastAsia" w:ascii="宋体" w:hAnsi="宋体" w:eastAsia="宋体" w:cs="宋体"/>
          <w:bCs/>
          <w:sz w:val="24"/>
          <w:lang w:eastAsia="zh-CN"/>
        </w:rPr>
        <w:t xml:space="preserve">清洗规模：原始数据经处理后，最终保留有效记录 </w:t>
      </w:r>
      <w:r>
        <w:rPr>
          <w:rFonts w:hint="eastAsia" w:ascii="宋体" w:hAnsi="宋体" w:eastAsia="宋体" w:cs="宋体"/>
          <w:bCs/>
          <w:sz w:val="24"/>
          <w:lang w:val="en-US" w:eastAsia="zh-CN"/>
        </w:rPr>
        <w:t>2303</w:t>
      </w:r>
      <w:r>
        <w:rPr>
          <w:rFonts w:hint="eastAsia" w:ascii="宋体" w:hAnsi="宋体" w:eastAsia="宋体" w:cs="宋体"/>
          <w:bCs/>
          <w:sz w:val="24"/>
          <w:lang w:eastAsia="zh-CN"/>
        </w:rPr>
        <w:t xml:space="preserve"> 条。</w:t>
      </w:r>
    </w:p>
    <w:p w14:paraId="4843A38E">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5  数据清洗过程</w:t>
      </w:r>
    </w:p>
    <w:p w14:paraId="525EB259">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p>
    <w:p w14:paraId="4D22A812">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质量提升：关键字段（价格、续航、动力参数）完整率从 89.2% 提升至 100%，异常值占比降至 0，字段格式一致性达 100%，消除同义异构与单位混乱问题；</w:t>
      </w:r>
    </w:p>
    <w:p w14:paraId="592F7D1C">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可用性保障：清洗后数据涵盖 42 个核心字段，数值型字段可直接建模，分类字段便于分组统计，为后续入库与分析奠定标准化数据基础。</w:t>
      </w:r>
    </w:p>
    <w:p w14:paraId="565B3CA1">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54" w:name="_Toc7709"/>
      <w:bookmarkStart w:id="1055" w:name="_Toc24721"/>
      <w:r>
        <w:rPr>
          <w:rFonts w:hint="eastAsia" w:ascii="宋体" w:hAnsi="宋体" w:eastAsia="宋体" w:cs="宋体"/>
          <w:sz w:val="24"/>
          <w:lang w:val="en-US" w:eastAsia="zh-CN"/>
        </w:rPr>
        <w:t>4.3 数据分析</w:t>
      </w:r>
      <w:bookmarkEnd w:id="1054"/>
      <w:bookmarkEnd w:id="1055"/>
    </w:p>
    <w:p w14:paraId="34987D10">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56" w:name="_Toc12610"/>
      <w:bookmarkStart w:id="1057" w:name="_Toc182116523"/>
      <w:r>
        <w:rPr>
          <w:rFonts w:hint="eastAsia" w:ascii="宋体" w:hAnsi="宋体" w:eastAsia="宋体" w:cs="宋体"/>
          <w:sz w:val="24"/>
          <w:lang w:val="en-US" w:eastAsia="zh-CN"/>
        </w:rPr>
        <w:t>4.3.1数据分析与展示的编码实现</w:t>
      </w:r>
      <w:bookmarkEnd w:id="1056"/>
      <w:bookmarkEnd w:id="1057"/>
    </w:p>
    <w:p w14:paraId="1F4D1473">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基于清洗后数据计算基础统计指标，用可视化工具生成动态图表，封装成可复用模板，支持按规定格式导入数据，无需修改代码即可自动更新图表，直观呈现价格分档分布、特征关联等信息。</w:t>
      </w:r>
    </w:p>
    <w:p w14:paraId="5A90D6ED">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58" w:name="_Toc182116529"/>
      <w:bookmarkStart w:id="1059" w:name="_Toc13114"/>
      <w:r>
        <w:rPr>
          <w:rFonts w:hint="eastAsia" w:ascii="宋体" w:hAnsi="宋体" w:eastAsia="宋体" w:cs="宋体"/>
          <w:sz w:val="24"/>
          <w:lang w:val="en-US" w:eastAsia="zh-CN"/>
        </w:rPr>
        <w:t>4.3.2</w:t>
      </w:r>
      <w:bookmarkEnd w:id="1058"/>
      <w:r>
        <w:rPr>
          <w:rFonts w:hint="eastAsia" w:ascii="宋体" w:hAnsi="宋体" w:eastAsia="宋体" w:cs="宋体"/>
          <w:sz w:val="24"/>
          <w:lang w:val="en-US" w:eastAsia="zh-CN"/>
        </w:rPr>
        <w:t>价格分布分析</w:t>
      </w:r>
      <w:bookmarkEnd w:id="1059"/>
    </w:p>
    <w:p w14:paraId="6C9B1C21">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Times New Roman" w:hAnsi="Times New Roman" w:eastAsia="宋体" w:cs="Times New Roman"/>
          <w:sz w:val="28"/>
          <w:szCs w:val="28"/>
          <w:lang w:val="en-US" w:eastAsia="zh-CN"/>
        </w:rPr>
      </w:pPr>
      <w:r>
        <w:rPr>
          <w:rFonts w:hint="eastAsia" w:ascii="宋体" w:hAnsi="宋体" w:eastAsia="宋体" w:cs="宋体"/>
          <w:bCs/>
          <w:sz w:val="24"/>
          <w:lang w:eastAsia="zh-CN"/>
        </w:rPr>
        <w:t>0 - 20 万价格区间车辆数量最多，达 1583 辆，反映大众消费级市场需求庞大；20 - 40 万区间有 564 辆，代表中端市场一定消费热度；40 - 60 万及更高价格区间（60 - 80 万、80 - 100 万、100 万以上 ）车辆数锐减，分别为 83 辆、29 辆、21 辆、22 辆，凸显高端市场小众化特征，清晰勾勒出车辆市场 “金字塔型” 价格梯度，为洞察市场消费结构、车企制定价格与产品策略提供数据依据。</w:t>
      </w:r>
    </w:p>
    <w:p w14:paraId="152273F8">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both"/>
        <w:textAlignment w:val="auto"/>
        <w:outlineLvl w:val="9"/>
        <w:rPr>
          <w:rFonts w:hint="default" w:ascii="Arial" w:hAnsi="Arial" w:eastAsia="宋体" w:cs="Times New Roman"/>
          <w:kern w:val="2"/>
          <w:sz w:val="18"/>
          <w:szCs w:val="24"/>
          <w:lang w:val="en-US" w:eastAsia="zh-CN" w:bidi="ar-SA"/>
        </w:rPr>
      </w:pPr>
      <w:bookmarkStart w:id="1060" w:name="_Toc14927"/>
      <w:r>
        <w:rPr>
          <w:rFonts w:hint="eastAsia" w:ascii="Calibri" w:hAnsi="Calibri" w:eastAsia="宋体" w:cs="Times New Roman"/>
          <w:sz w:val="18"/>
          <w:lang w:val="en-US" w:eastAsia="zh-CN"/>
        </w:rPr>
        <w:drawing>
          <wp:anchor distT="0" distB="0" distL="114300" distR="114300" simplePos="0" relativeHeight="251863040" behindDoc="0" locked="0" layoutInCell="1" allowOverlap="1">
            <wp:simplePos x="0" y="0"/>
            <wp:positionH relativeFrom="column">
              <wp:posOffset>441960</wp:posOffset>
            </wp:positionH>
            <wp:positionV relativeFrom="page">
              <wp:posOffset>3916045</wp:posOffset>
            </wp:positionV>
            <wp:extent cx="4319905" cy="2828290"/>
            <wp:effectExtent l="0" t="0" r="4445" b="10160"/>
            <wp:wrapNone/>
            <wp:docPr id="6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9"/>
                    <pic:cNvPicPr>
                      <a:picLocks noChangeAspect="1"/>
                    </pic:cNvPicPr>
                  </pic:nvPicPr>
                  <pic:blipFill>
                    <a:blip r:embed="rId407"/>
                    <a:stretch>
                      <a:fillRect/>
                    </a:stretch>
                  </pic:blipFill>
                  <pic:spPr>
                    <a:xfrm>
                      <a:off x="0" y="0"/>
                      <a:ext cx="4319905" cy="2828290"/>
                    </a:xfrm>
                    <a:prstGeom prst="rect">
                      <a:avLst/>
                    </a:prstGeom>
                    <a:noFill/>
                    <a:ln>
                      <a:noFill/>
                    </a:ln>
                  </pic:spPr>
                </pic:pic>
              </a:graphicData>
            </a:graphic>
          </wp:anchor>
        </w:drawing>
      </w:r>
    </w:p>
    <w:p w14:paraId="7BBB221B">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144B9165">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4A9F60A0">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48BD1D4D">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2FDBA209">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77D71578">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01F9EFD5">
      <w:pPr>
        <w:widowControl w:val="0"/>
        <w:spacing w:before="0" w:after="0" w:line="440" w:lineRule="exact"/>
        <w:ind w:firstLine="480" w:firstLineChars="200"/>
        <w:jc w:val="both"/>
        <w:outlineLvl w:val="9"/>
        <w:rPr>
          <w:rFonts w:hint="eastAsia" w:ascii="宋体" w:hAnsi="宋体" w:eastAsia="宋体" w:cs="宋体"/>
          <w:sz w:val="24"/>
          <w:lang w:val="en-US" w:eastAsia="zh-CN"/>
        </w:rPr>
      </w:pPr>
    </w:p>
    <w:p w14:paraId="3079CA8B">
      <w:pPr>
        <w:widowControl w:val="0"/>
        <w:spacing w:before="0" w:after="0" w:line="440" w:lineRule="exact"/>
        <w:ind w:firstLine="2400" w:firstLineChars="1000"/>
        <w:jc w:val="both"/>
        <w:outlineLvl w:val="9"/>
        <w:rPr>
          <w:rFonts w:hint="eastAsia" w:ascii="宋体" w:hAnsi="宋体" w:eastAsia="宋体" w:cs="宋体"/>
          <w:sz w:val="24"/>
          <w:lang w:val="en-US" w:eastAsia="zh-CN"/>
        </w:rPr>
      </w:pPr>
    </w:p>
    <w:p w14:paraId="1BFBC4E7">
      <w:pPr>
        <w:widowControl w:val="0"/>
        <w:spacing w:before="0" w:after="0" w:line="440" w:lineRule="exact"/>
        <w:ind w:firstLine="3120" w:firstLineChars="1300"/>
        <w:jc w:val="both"/>
        <w:outlineLvl w:val="9"/>
        <w:rPr>
          <w:rFonts w:ascii="Arial" w:hAnsi="Arial" w:eastAsia="宋体" w:cs="Times New Roman"/>
          <w:kern w:val="2"/>
          <w:sz w:val="18"/>
          <w:szCs w:val="24"/>
          <w:lang w:val="en-US" w:eastAsia="zh-CN" w:bidi="ar-SA"/>
        </w:rPr>
      </w:pPr>
      <w:r>
        <w:rPr>
          <w:rFonts w:hint="eastAsia" w:ascii="宋体" w:hAnsi="宋体" w:eastAsia="宋体" w:cs="宋体"/>
          <w:sz w:val="24"/>
          <w:lang w:val="en-US" w:eastAsia="zh-CN"/>
        </w:rPr>
        <w:t>4.3.3续航里程对比分析</w:t>
      </w:r>
      <w:bookmarkEnd w:id="1060"/>
    </w:p>
    <w:p w14:paraId="5A33DC32">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宋体" w:hAnsi="宋体" w:eastAsia="宋体" w:cs="宋体"/>
          <w:bCs/>
          <w:sz w:val="24"/>
          <w:lang w:eastAsia="zh-CN"/>
        </w:rPr>
      </w:pP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6  价格分项分布图</w:t>
      </w:r>
    </w:p>
    <w:p w14:paraId="0A566E06">
      <w:pPr>
        <w:widowControl/>
        <w:spacing w:before="0" w:after="0" w:line="440" w:lineRule="exact"/>
        <w:ind w:firstLine="480" w:firstLineChars="200"/>
        <w:jc w:val="both"/>
        <w:outlineLvl w:val="9"/>
        <w:rPr>
          <w:rFonts w:hint="eastAsia" w:ascii="宋体" w:hAnsi="宋体" w:eastAsia="宋体" w:cs="宋体"/>
          <w:bCs/>
          <w:sz w:val="24"/>
        </w:rPr>
      </w:pPr>
      <w:r>
        <w:rPr>
          <w:rFonts w:hint="eastAsia" w:ascii="宋体" w:hAnsi="宋体" w:eastAsia="宋体" w:cs="宋体"/>
          <w:bCs/>
          <w:sz w:val="24"/>
          <w:lang w:eastAsia="zh-CN"/>
        </w:rPr>
        <w:t>各价格区间电动汽车平均续航相对稳定，多维持在 250 - 300km，仅 80 - 90 万价格段有小幅峰值，说明续航并非随价格线性增长，受技术、成本等制约，市场对基础续航需求已相对饱和，凸显电池技术迭代对突破续航 - 价格平衡的关键作用，为车企产品规划与用户购车决策提供参考。</w:t>
      </w:r>
    </w:p>
    <w:p w14:paraId="32801910">
      <w:pPr>
        <w:widowControl/>
        <w:spacing w:before="0" w:after="0" w:line="440" w:lineRule="exact"/>
        <w:ind w:firstLine="480" w:firstLineChars="200"/>
        <w:jc w:val="both"/>
        <w:outlineLvl w:val="9"/>
        <w:rPr>
          <w:rFonts w:hint="eastAsia" w:ascii="宋体" w:hAnsi="宋体" w:eastAsia="宋体" w:cs="宋体"/>
          <w:bCs/>
          <w:sz w:val="24"/>
          <w:lang w:val="en-US" w:eastAsia="zh-CN"/>
        </w:rPr>
      </w:pPr>
    </w:p>
    <w:p w14:paraId="257C9EBB">
      <w:pPr>
        <w:keepNext/>
        <w:keepLines w:val="0"/>
        <w:pageBreakBefore w:val="0"/>
        <w:widowControl w:val="0"/>
        <w:kinsoku/>
        <w:wordWrap/>
        <w:overflowPunct/>
        <w:topLinePunct w:val="0"/>
        <w:autoSpaceDE/>
        <w:autoSpaceDN/>
        <w:bidi w:val="0"/>
        <w:adjustRightInd/>
        <w:snapToGrid/>
        <w:spacing w:before="0" w:after="0" w:line="240" w:lineRule="auto"/>
        <w:ind w:left="0" w:leftChars="0" w:firstLine="0" w:firstLineChars="0"/>
        <w:jc w:val="both"/>
        <w:textAlignment w:val="auto"/>
        <w:outlineLvl w:val="9"/>
        <w:rPr>
          <w:rFonts w:hint="eastAsia" w:ascii="宋体" w:hAnsi="宋体" w:eastAsia="宋体" w:cs="宋体"/>
          <w:bCs/>
          <w:sz w:val="24"/>
          <w:lang w:eastAsia="zh-CN"/>
        </w:rPr>
      </w:pPr>
      <w:r>
        <w:rPr>
          <w:rFonts w:ascii="Arial" w:hAnsi="Arial" w:eastAsia="宋体" w:cs="Times New Roman"/>
          <w:kern w:val="2"/>
          <w:sz w:val="18"/>
          <w:szCs w:val="24"/>
          <w:lang w:val="en-US" w:eastAsia="zh-CN" w:bidi="ar-SA"/>
        </w:rPr>
        <w:drawing>
          <wp:anchor distT="0" distB="0" distL="114300" distR="114300" simplePos="0" relativeHeight="251864064" behindDoc="0" locked="0" layoutInCell="1" allowOverlap="1">
            <wp:simplePos x="0" y="0"/>
            <wp:positionH relativeFrom="column">
              <wp:posOffset>568960</wp:posOffset>
            </wp:positionH>
            <wp:positionV relativeFrom="paragraph">
              <wp:posOffset>-94615</wp:posOffset>
            </wp:positionV>
            <wp:extent cx="4319905" cy="2995930"/>
            <wp:effectExtent l="0" t="0" r="4445" b="13970"/>
            <wp:wrapNone/>
            <wp:docPr id="64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2" descr="IMG_256"/>
                    <pic:cNvPicPr>
                      <a:picLocks noChangeAspect="1"/>
                    </pic:cNvPicPr>
                  </pic:nvPicPr>
                  <pic:blipFill>
                    <a:blip r:embed="rId408"/>
                    <a:stretch>
                      <a:fillRect/>
                    </a:stretch>
                  </pic:blipFill>
                  <pic:spPr>
                    <a:xfrm>
                      <a:off x="0" y="0"/>
                      <a:ext cx="4319905" cy="2995930"/>
                    </a:xfrm>
                    <a:prstGeom prst="rect">
                      <a:avLst/>
                    </a:prstGeom>
                    <a:noFill/>
                    <a:ln w="9525">
                      <a:noFill/>
                    </a:ln>
                  </pic:spPr>
                </pic:pic>
              </a:graphicData>
            </a:graphic>
          </wp:anchor>
        </w:drawing>
      </w:r>
    </w:p>
    <w:p w14:paraId="704E7B2B">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bookmarkStart w:id="1061" w:name="_Toc182116531"/>
    </w:p>
    <w:p w14:paraId="34538E70">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F9C8593">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595ECA0">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3F551A5F">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4E0C7342">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552CBEF">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13E81A0">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CF13EEE">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7  价格与续航趋势图</w:t>
      </w:r>
    </w:p>
    <w:p w14:paraId="35210F37">
      <w:pPr>
        <w:keepNext/>
        <w:keepLines w:val="0"/>
        <w:pageBreakBefore w:val="0"/>
        <w:widowControl w:val="0"/>
        <w:kinsoku/>
        <w:wordWrap/>
        <w:overflowPunct/>
        <w:topLinePunct w:val="0"/>
        <w:autoSpaceDE/>
        <w:autoSpaceDN/>
        <w:bidi w:val="0"/>
        <w:adjustRightInd/>
        <w:snapToGrid/>
        <w:spacing w:before="0" w:after="0" w:line="440" w:lineRule="exact"/>
        <w:ind w:firstLine="0" w:firstLineChars="0"/>
        <w:jc w:val="both"/>
        <w:textAlignment w:val="auto"/>
        <w:rPr>
          <w:rFonts w:hint="eastAsia" w:ascii="Calibri" w:hAnsi="Calibri" w:eastAsia="宋体" w:cs="Times New Roman"/>
          <w:b/>
          <w:bCs/>
          <w:sz w:val="28"/>
          <w:szCs w:val="28"/>
          <w:lang w:val="en-US" w:eastAsia="zh-CN"/>
        </w:rPr>
      </w:pPr>
      <w:bookmarkStart w:id="1062" w:name="_Toc21553"/>
      <w:r>
        <w:rPr>
          <w:rFonts w:hint="eastAsia" w:ascii="Calibri" w:hAnsi="Calibri" w:eastAsia="宋体" w:cs="Times New Roman"/>
          <w:b/>
          <w:bCs/>
          <w:sz w:val="28"/>
          <w:szCs w:val="28"/>
          <w:lang w:val="en-US" w:eastAsia="zh-CN"/>
        </w:rPr>
        <w:t>5 数据可视化展示与分析</w:t>
      </w:r>
      <w:bookmarkEnd w:id="1061"/>
      <w:bookmarkEnd w:id="1062"/>
    </w:p>
    <w:p w14:paraId="0D3B4395">
      <w:pPr>
        <w:keepNext/>
        <w:keepLines w:val="0"/>
        <w:pageBreakBefore w:val="0"/>
        <w:widowControl w:val="0"/>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bookmarkStart w:id="1063" w:name="_Toc182116532"/>
      <w:r>
        <w:rPr>
          <w:rFonts w:hint="eastAsia" w:ascii="宋体" w:hAnsi="宋体" w:eastAsia="宋体" w:cs="宋体"/>
          <w:bCs/>
          <w:sz w:val="24"/>
          <w:lang w:eastAsia="zh-CN"/>
        </w:rPr>
        <w:t>本次数据可视化依托系统大屏，聚焦车辆领域数据展开深度呈现。数据总量达 2302 条记录 ，涵盖 6 大类别 ，平均价格 20.9 万元锚定市场价格中枢，最高价格 1068.8 万元展现高端市场边界，从宏观层面勾勒车辆数据基本轮廓，为后续细分维度分析筑牢基础。</w:t>
      </w:r>
    </w:p>
    <w:p w14:paraId="703DB096">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bookmarkStart w:id="1064" w:name="_Toc31797"/>
    </w:p>
    <w:p w14:paraId="5509157E">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hint="eastAsia" w:ascii="宋体" w:hAnsi="宋体" w:eastAsia="宋体" w:cs="宋体"/>
          <w:sz w:val="24"/>
          <w:lang w:val="en-US" w:eastAsia="zh-CN"/>
        </w:rPr>
        <w:drawing>
          <wp:anchor distT="0" distB="0" distL="114300" distR="114300" simplePos="0" relativeHeight="251852800" behindDoc="0" locked="0" layoutInCell="1" allowOverlap="1">
            <wp:simplePos x="0" y="0"/>
            <wp:positionH relativeFrom="column">
              <wp:posOffset>245110</wp:posOffset>
            </wp:positionH>
            <wp:positionV relativeFrom="page">
              <wp:posOffset>6078855</wp:posOffset>
            </wp:positionV>
            <wp:extent cx="5260975" cy="1118870"/>
            <wp:effectExtent l="0" t="0" r="15875" b="5080"/>
            <wp:wrapNone/>
            <wp:docPr id="6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8"/>
                    <pic:cNvPicPr>
                      <a:picLocks noChangeAspect="1"/>
                    </pic:cNvPicPr>
                  </pic:nvPicPr>
                  <pic:blipFill>
                    <a:blip r:embed="rId409"/>
                    <a:stretch>
                      <a:fillRect/>
                    </a:stretch>
                  </pic:blipFill>
                  <pic:spPr>
                    <a:xfrm>
                      <a:off x="0" y="0"/>
                      <a:ext cx="5260975" cy="1118870"/>
                    </a:xfrm>
                    <a:prstGeom prst="rect">
                      <a:avLst/>
                    </a:prstGeom>
                    <a:noFill/>
                    <a:ln>
                      <a:noFill/>
                    </a:ln>
                  </pic:spPr>
                </pic:pic>
              </a:graphicData>
            </a:graphic>
          </wp:anchor>
        </w:drawing>
      </w:r>
    </w:p>
    <w:p w14:paraId="119D71D7">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4159F775">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0F2A50C3">
      <w:pPr>
        <w:keepNext/>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宋体" w:hAnsi="宋体" w:eastAsia="宋体" w:cs="宋体"/>
          <w:sz w:val="24"/>
          <w:lang w:val="en-US" w:eastAsia="zh-CN"/>
        </w:rPr>
      </w:pPr>
      <w:r>
        <w:rPr>
          <w:rFonts w:hint="eastAsia" w:ascii="Arial" w:hAnsi="Arial" w:eastAsia="宋体" w:cs="Times New Roman"/>
          <w:kern w:val="2"/>
          <w:sz w:val="18"/>
          <w:szCs w:val="24"/>
          <w:lang w:val="en-US" w:eastAsia="zh-CN" w:bidi="ar-SA"/>
        </w:rPr>
        <w:t>图 8  系统大屏图</w:t>
      </w:r>
    </w:p>
    <w:p w14:paraId="6D7AB9FE">
      <w:pPr>
        <w:keepNext/>
        <w:keepLines w:val="0"/>
        <w:pageBreakBefore w:val="0"/>
        <w:widowControl w:val="0"/>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sz w:val="24"/>
          <w:lang w:val="en-US" w:eastAsia="zh-CN"/>
        </w:rPr>
      </w:pPr>
      <w:bookmarkStart w:id="1065" w:name="_Toc24301"/>
      <w:r>
        <w:rPr>
          <w:rFonts w:hint="eastAsia" w:ascii="宋体" w:hAnsi="宋体" w:eastAsia="宋体" w:cs="宋体"/>
          <w:sz w:val="24"/>
          <w:lang w:val="en-US" w:eastAsia="zh-CN"/>
        </w:rPr>
        <w:t xml:space="preserve">5.1 </w:t>
      </w:r>
      <w:bookmarkEnd w:id="1063"/>
      <w:r>
        <w:rPr>
          <w:rFonts w:hint="eastAsia" w:ascii="宋体" w:hAnsi="宋体" w:eastAsia="宋体" w:cs="宋体"/>
          <w:sz w:val="24"/>
          <w:lang w:val="en-US" w:eastAsia="zh-CN"/>
        </w:rPr>
        <w:t>价格生态：分布与梯度洞察</w:t>
      </w:r>
      <w:bookmarkEnd w:id="1064"/>
      <w:bookmarkEnd w:id="1065"/>
    </w:p>
    <w:p w14:paraId="2C126D4D">
      <w:pPr>
        <w:keepNext/>
        <w:keepLines w:val="0"/>
        <w:pageBreakBefore w:val="0"/>
        <w:widowControl w:val="0"/>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bookmarkStart w:id="1066" w:name="_Hlk182064406"/>
      <w:r>
        <w:rPr>
          <w:rFonts w:hint="eastAsia" w:ascii="宋体" w:hAnsi="宋体" w:eastAsia="宋体" w:cs="宋体"/>
          <w:bCs/>
          <w:sz w:val="24"/>
          <w:lang w:eastAsia="zh-CN"/>
        </w:rPr>
        <w:t>价格分布分析直观呈现市场价格分层。0 - 20 万区间以 1583 条记录成为绝对主力，反映大众消费级市场的庞大需求；20 - 40 万区间 564 条记录，代表中端市场的消费热度；40 - 60 万及以上区间记录数锐减，60 - 80 万仅 29 条、100 万以上 22 条 ，清晰勾勒 “金字塔型” 价格梯度，凸显高端市场小众化特征，为车企定价策略、市场定位提供参考。</w:t>
      </w:r>
    </w:p>
    <w:bookmarkEnd w:id="1066"/>
    <w:p w14:paraId="453D0802">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bookmarkStart w:id="1067" w:name="_Toc182116536"/>
      <w:bookmarkStart w:id="1068" w:name="_Toc6461"/>
      <w:r>
        <w:rPr>
          <w:rFonts w:hint="eastAsia" w:ascii="宋体" w:hAnsi="宋体" w:eastAsia="宋体" w:cs="宋体"/>
          <w:bCs/>
          <w:sz w:val="24"/>
          <w:lang w:eastAsia="zh-CN"/>
        </w:rPr>
        <w:drawing>
          <wp:anchor distT="0" distB="0" distL="114300" distR="114300" simplePos="0" relativeHeight="251853824" behindDoc="0" locked="0" layoutInCell="1" allowOverlap="1">
            <wp:simplePos x="0" y="0"/>
            <wp:positionH relativeFrom="column">
              <wp:posOffset>509270</wp:posOffset>
            </wp:positionH>
            <wp:positionV relativeFrom="page">
              <wp:posOffset>849630</wp:posOffset>
            </wp:positionV>
            <wp:extent cx="4319905" cy="2634615"/>
            <wp:effectExtent l="0" t="0" r="4445" b="13335"/>
            <wp:wrapTopAndBottom/>
            <wp:docPr id="6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9"/>
                    <pic:cNvPicPr>
                      <a:picLocks noChangeAspect="1"/>
                    </pic:cNvPicPr>
                  </pic:nvPicPr>
                  <pic:blipFill>
                    <a:blip r:embed="rId407"/>
                    <a:stretch>
                      <a:fillRect/>
                    </a:stretch>
                  </pic:blipFill>
                  <pic:spPr>
                    <a:xfrm>
                      <a:off x="0" y="0"/>
                      <a:ext cx="4319905" cy="2634615"/>
                    </a:xfrm>
                    <a:prstGeom prst="rect">
                      <a:avLst/>
                    </a:prstGeom>
                    <a:noFill/>
                    <a:ln>
                      <a:noFill/>
                    </a:ln>
                  </pic:spPr>
                </pic:pic>
              </a:graphicData>
            </a:graphic>
          </wp:anchor>
        </w:drawing>
      </w: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9 价格分项分布图</w:t>
      </w:r>
    </w:p>
    <w:p w14:paraId="731288F4">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69" w:name="_Toc20038"/>
      <w:r>
        <w:rPr>
          <w:rFonts w:hint="eastAsia" w:ascii="宋体" w:hAnsi="宋体" w:eastAsia="宋体" w:cs="宋体"/>
          <w:sz w:val="24"/>
          <w:lang w:val="en-US" w:eastAsia="zh-CN"/>
        </w:rPr>
        <w:t xml:space="preserve">5.2 </w:t>
      </w:r>
      <w:bookmarkEnd w:id="1067"/>
      <w:r>
        <w:rPr>
          <w:rFonts w:hint="eastAsia" w:ascii="宋体" w:hAnsi="宋体" w:eastAsia="宋体" w:cs="宋体"/>
          <w:sz w:val="24"/>
          <w:lang w:val="en-US" w:eastAsia="zh-CN"/>
        </w:rPr>
        <w:t>能源格局：类型占比与趋势</w:t>
      </w:r>
      <w:bookmarkEnd w:id="1068"/>
      <w:bookmarkEnd w:id="1069"/>
    </w:p>
    <w:p w14:paraId="2FC4E8FE">
      <w:pPr>
        <w:widowControl/>
        <w:spacing w:before="0" w:after="0" w:line="440" w:lineRule="exact"/>
        <w:ind w:firstLine="480" w:firstLineChars="200"/>
        <w:jc w:val="both"/>
        <w:outlineLvl w:val="9"/>
        <w:rPr>
          <w:rFonts w:hint="eastAsia" w:ascii="宋体" w:hAnsi="宋体" w:eastAsia="宋体" w:cs="宋体"/>
          <w:bCs/>
          <w:sz w:val="24"/>
          <w:lang w:eastAsia="zh-CN"/>
        </w:rPr>
      </w:pPr>
      <w:r>
        <w:rPr>
          <w:rFonts w:hint="eastAsia" w:ascii="宋体" w:hAnsi="宋体" w:eastAsia="宋体" w:cs="宋体"/>
          <w:bCs/>
          <w:sz w:val="24"/>
          <w:lang w:eastAsia="zh-CN"/>
        </w:rPr>
        <w:t xml:space="preserve"> 能源类型分布中，纯电动车型以 1569 条记录（占比 68.16% ）占据主导，成为行业发展风向标，契合新能源汽车普及趋势；插电式混合动力 523 条记录，作为过渡性技术路线仍有市场；氢燃料、增程式等小众能源类型占比极低，反映当前能源技术应用侧重，助力研判能源转型路径与市场接受度。</w:t>
      </w:r>
    </w:p>
    <w:p w14:paraId="7D5BDC32">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70" w:name="_Toc182116540"/>
      <w:bookmarkStart w:id="1071" w:name="_Toc18525"/>
      <w:bookmarkStart w:id="1072" w:name="_Toc29604"/>
      <w:r>
        <w:rPr>
          <w:rFonts w:hint="eastAsia" w:ascii="宋体" w:hAnsi="宋体" w:eastAsia="宋体" w:cs="宋体"/>
          <w:sz w:val="24"/>
          <w:lang w:val="en-US" w:eastAsia="zh-CN"/>
        </w:rPr>
        <w:t>5.3</w:t>
      </w:r>
      <w:bookmarkEnd w:id="1070"/>
      <w:r>
        <w:rPr>
          <w:rFonts w:hint="eastAsia" w:ascii="宋体" w:hAnsi="宋体" w:eastAsia="宋体" w:cs="宋体"/>
          <w:sz w:val="24"/>
          <w:lang w:val="en-US" w:eastAsia="zh-CN"/>
        </w:rPr>
        <w:t xml:space="preserve"> 性能关联：价格、功率与续航</w:t>
      </w:r>
      <w:bookmarkEnd w:id="1071"/>
      <w:bookmarkEnd w:id="1072"/>
    </w:p>
    <w:p w14:paraId="656CD2CE">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价格与功率：相关性散点图中，低价格区间（0 - 200 万）功率分布广，从低功率到高功率均有覆盖，体现该区间车型性能多样化；高价车型（超 800 万 ）功率离散，少数车型功率拔尖，反映高端市场对极致性能的追求，也揭示价格与功率并非简单线性关联，受品牌、技术等多元因素影响。</w:t>
      </w:r>
    </w:p>
    <w:p w14:paraId="47DF44DC">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r>
        <w:rPr>
          <w:rFonts w:hint="eastAsia" w:ascii="宋体" w:hAnsi="宋体" w:eastAsia="宋体" w:cs="宋体"/>
          <w:bCs/>
          <w:kern w:val="2"/>
          <w:sz w:val="20"/>
          <w:szCs w:val="24"/>
          <w:lang w:val="en-US" w:eastAsia="zh-CN" w:bidi="ar-SA"/>
        </w:rPr>
        <w:drawing>
          <wp:anchor distT="0" distB="0" distL="114300" distR="114300" simplePos="0" relativeHeight="251855872" behindDoc="0" locked="0" layoutInCell="1" allowOverlap="1">
            <wp:simplePos x="0" y="0"/>
            <wp:positionH relativeFrom="column">
              <wp:posOffset>629285</wp:posOffset>
            </wp:positionH>
            <wp:positionV relativeFrom="paragraph">
              <wp:posOffset>113665</wp:posOffset>
            </wp:positionV>
            <wp:extent cx="4503420" cy="2404110"/>
            <wp:effectExtent l="0" t="0" r="11430" b="15240"/>
            <wp:wrapNone/>
            <wp:docPr id="6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12"/>
                    <pic:cNvPicPr>
                      <a:picLocks noChangeAspect="1"/>
                    </pic:cNvPicPr>
                  </pic:nvPicPr>
                  <pic:blipFill>
                    <a:blip r:embed="rId410"/>
                    <a:stretch>
                      <a:fillRect/>
                    </a:stretch>
                  </pic:blipFill>
                  <pic:spPr>
                    <a:xfrm>
                      <a:off x="0" y="0"/>
                      <a:ext cx="4503420" cy="2404110"/>
                    </a:xfrm>
                    <a:prstGeom prst="rect">
                      <a:avLst/>
                    </a:prstGeom>
                    <a:noFill/>
                    <a:ln>
                      <a:noFill/>
                    </a:ln>
                  </pic:spPr>
                </pic:pic>
              </a:graphicData>
            </a:graphic>
          </wp:anchor>
        </w:drawing>
      </w:r>
    </w:p>
    <w:p w14:paraId="57531194">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0F28CB7">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1514A1CE">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24F39D61">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6653466E">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ascii="Arial" w:hAnsi="Arial" w:eastAsia="宋体" w:cs="Times New Roman"/>
          <w:kern w:val="2"/>
          <w:sz w:val="18"/>
          <w:szCs w:val="24"/>
          <w:lang w:val="en-US" w:eastAsia="zh-CN" w:bidi="ar-SA"/>
        </w:rPr>
      </w:pPr>
    </w:p>
    <w:p w14:paraId="7C4D9BC7">
      <w:pPr>
        <w:keepNext w:val="0"/>
        <w:keepLines w:val="0"/>
        <w:pageBreakBefore w:val="0"/>
        <w:widowControl w:val="0"/>
        <w:kinsoku/>
        <w:wordWrap/>
        <w:overflowPunct/>
        <w:topLinePunct w:val="0"/>
        <w:autoSpaceDE/>
        <w:autoSpaceDN/>
        <w:bidi w:val="0"/>
        <w:adjustRightInd/>
        <w:snapToGrid/>
        <w:spacing w:before="0" w:after="0" w:line="240" w:lineRule="auto"/>
        <w:jc w:val="both"/>
        <w:textAlignment w:val="auto"/>
        <w:rPr>
          <w:rFonts w:ascii="Arial" w:hAnsi="Arial" w:eastAsia="宋体" w:cs="Times New Roman"/>
          <w:kern w:val="2"/>
          <w:sz w:val="18"/>
          <w:szCs w:val="24"/>
          <w:lang w:val="en-US" w:eastAsia="zh-CN" w:bidi="ar-SA"/>
        </w:rPr>
      </w:pPr>
    </w:p>
    <w:p w14:paraId="5FE8239D">
      <w:pPr>
        <w:keepNext w:val="0"/>
        <w:keepLines w:val="0"/>
        <w:pageBreakBefore w:val="0"/>
        <w:widowControl w:val="0"/>
        <w:kinsoku/>
        <w:wordWrap/>
        <w:overflowPunct/>
        <w:topLinePunct w:val="0"/>
        <w:autoSpaceDE/>
        <w:autoSpaceDN/>
        <w:bidi w:val="0"/>
        <w:adjustRightInd/>
        <w:snapToGrid/>
        <w:spacing w:before="0" w:after="0" w:line="240" w:lineRule="auto"/>
        <w:jc w:val="both"/>
        <w:textAlignment w:val="auto"/>
        <w:rPr>
          <w:rFonts w:ascii="Arial" w:hAnsi="Arial" w:eastAsia="宋体" w:cs="Times New Roman"/>
          <w:kern w:val="2"/>
          <w:sz w:val="18"/>
          <w:szCs w:val="24"/>
          <w:lang w:val="en-US" w:eastAsia="zh-CN" w:bidi="ar-SA"/>
        </w:rPr>
      </w:pPr>
    </w:p>
    <w:p w14:paraId="7787EBDA">
      <w:pPr>
        <w:keepNext w:val="0"/>
        <w:keepLines w:val="0"/>
        <w:pageBreakBefore w:val="0"/>
        <w:widowControl w:val="0"/>
        <w:kinsoku/>
        <w:wordWrap/>
        <w:overflowPunct/>
        <w:topLinePunct w:val="0"/>
        <w:autoSpaceDE/>
        <w:autoSpaceDN/>
        <w:bidi w:val="0"/>
        <w:adjustRightInd/>
        <w:snapToGrid/>
        <w:spacing w:before="0" w:after="0" w:line="240" w:lineRule="auto"/>
        <w:jc w:val="center"/>
        <w:textAlignment w:val="auto"/>
        <w:rPr>
          <w:rFonts w:hint="eastAsia" w:ascii="Arial" w:hAnsi="Arial" w:eastAsia="宋体" w:cs="Times New Roman"/>
          <w:kern w:val="2"/>
          <w:sz w:val="18"/>
          <w:szCs w:val="24"/>
          <w:lang w:val="en-US" w:eastAsia="zh-CN" w:bidi="ar-SA"/>
        </w:rPr>
      </w:pPr>
      <w:r>
        <w:rPr>
          <w:rFonts w:ascii="Arial" w:hAnsi="Arial" w:eastAsia="宋体" w:cs="Times New Roman"/>
          <w:kern w:val="2"/>
          <w:sz w:val="18"/>
          <w:szCs w:val="24"/>
          <w:lang w:val="en-US" w:eastAsia="zh-CN" w:bidi="ar-SA"/>
        </w:rPr>
        <w:t xml:space="preserve">图 </w:t>
      </w:r>
      <w:r>
        <w:rPr>
          <w:rFonts w:hint="eastAsia" w:ascii="Arial" w:hAnsi="Arial" w:eastAsia="宋体" w:cs="Times New Roman"/>
          <w:kern w:val="2"/>
          <w:sz w:val="18"/>
          <w:szCs w:val="24"/>
          <w:lang w:val="en-US" w:eastAsia="zh-CN" w:bidi="ar-SA"/>
        </w:rPr>
        <w:t>10 价格与功率相关性图</w:t>
      </w:r>
    </w:p>
    <w:p w14:paraId="7061CE8E">
      <w:pPr>
        <w:keepNext w:val="0"/>
        <w:keepLines w:val="0"/>
        <w:pageBreakBefore w:val="0"/>
        <w:widowControl/>
        <w:kinsoku/>
        <w:wordWrap/>
        <w:overflowPunct/>
        <w:topLinePunct w:val="0"/>
        <w:autoSpaceDE/>
        <w:autoSpaceDN/>
        <w:bidi w:val="0"/>
        <w:adjustRightInd/>
        <w:snapToGrid/>
        <w:spacing w:before="0" w:after="0" w:line="440" w:lineRule="exact"/>
        <w:jc w:val="both"/>
        <w:textAlignment w:val="auto"/>
        <w:outlineLvl w:val="9"/>
        <w:rPr>
          <w:rFonts w:hint="eastAsia" w:ascii="宋体" w:hAnsi="宋体" w:eastAsia="宋体" w:cs="宋体"/>
          <w:bCs/>
          <w:sz w:val="24"/>
          <w:lang w:eastAsia="zh-CN"/>
        </w:rPr>
      </w:pPr>
    </w:p>
    <w:p w14:paraId="056C6D7D">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Arial" w:hAnsi="Arial" w:eastAsia="宋体" w:cs="Times New Roman"/>
          <w:kern w:val="2"/>
          <w:sz w:val="18"/>
          <w:szCs w:val="24"/>
          <w:lang w:val="en-US" w:eastAsia="zh-CN" w:bidi="ar-SA"/>
        </w:rPr>
      </w:pPr>
      <w:r>
        <w:rPr>
          <w:rFonts w:hint="eastAsia" w:ascii="宋体" w:hAnsi="宋体" w:eastAsia="宋体" w:cs="宋体"/>
          <w:bCs/>
          <w:sz w:val="24"/>
          <w:lang w:eastAsia="zh-CN"/>
        </w:rPr>
        <w:drawing>
          <wp:anchor distT="0" distB="0" distL="114300" distR="114300" simplePos="0" relativeHeight="251854848" behindDoc="0" locked="0" layoutInCell="1" allowOverlap="1">
            <wp:simplePos x="0" y="0"/>
            <wp:positionH relativeFrom="column">
              <wp:posOffset>464185</wp:posOffset>
            </wp:positionH>
            <wp:positionV relativeFrom="page">
              <wp:posOffset>2282190</wp:posOffset>
            </wp:positionV>
            <wp:extent cx="4319905" cy="2691765"/>
            <wp:effectExtent l="0" t="0" r="4445" b="13335"/>
            <wp:wrapNone/>
            <wp:docPr id="6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图片 11"/>
                    <pic:cNvPicPr>
                      <a:picLocks noChangeAspect="1"/>
                    </pic:cNvPicPr>
                  </pic:nvPicPr>
                  <pic:blipFill>
                    <a:blip r:embed="rId411"/>
                    <a:stretch>
                      <a:fillRect/>
                    </a:stretch>
                  </pic:blipFill>
                  <pic:spPr>
                    <a:xfrm>
                      <a:off x="0" y="0"/>
                      <a:ext cx="4319905" cy="2691765"/>
                    </a:xfrm>
                    <a:prstGeom prst="rect">
                      <a:avLst/>
                    </a:prstGeom>
                    <a:noFill/>
                    <a:ln>
                      <a:noFill/>
                    </a:ln>
                  </pic:spPr>
                </pic:pic>
              </a:graphicData>
            </a:graphic>
          </wp:anchor>
        </w:drawing>
      </w:r>
      <w:r>
        <w:rPr>
          <w:rFonts w:hint="eastAsia" w:ascii="宋体" w:hAnsi="宋体" w:eastAsia="宋体" w:cs="宋体"/>
          <w:bCs/>
          <w:sz w:val="24"/>
          <w:lang w:eastAsia="zh-CN"/>
        </w:rPr>
        <w:t>价格与续航：趋势图里，各价格段平均续航相对稳定，多集中 250 - 300km 区间，说明续航受电池技术等底层因素制约，短期内难随价格大幅突破。数据密度热力图强化此结论，20 - 40 万价格段、200 - 300km 续航区间数据高度密集，成为市场 “黄金交集”，凸显用户对该区间性能与成本的平衡需求。</w:t>
      </w:r>
      <w:bookmarkStart w:id="1073" w:name="_Toc6148"/>
    </w:p>
    <w:p w14:paraId="22DBDB30">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10FDBDF2">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66659896">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403B8416">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18DCEF23">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05533BBD">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1C15E323">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7583448F">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hint="eastAsia" w:ascii="Arial" w:hAnsi="Arial" w:eastAsia="宋体" w:cs="Times New Roman"/>
          <w:kern w:val="2"/>
          <w:sz w:val="18"/>
          <w:szCs w:val="24"/>
          <w:lang w:val="en-US" w:eastAsia="zh-CN" w:bidi="ar-SA"/>
        </w:rPr>
        <w:t>图 11  价格与续航趋势图</w:t>
      </w:r>
    </w:p>
    <w:p w14:paraId="2AEA7026">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74" w:name="_Toc20797"/>
      <w:r>
        <w:rPr>
          <w:rFonts w:hint="eastAsia" w:ascii="宋体" w:hAnsi="宋体" w:eastAsia="宋体" w:cs="宋体"/>
          <w:sz w:val="24"/>
          <w:lang w:val="en-US" w:eastAsia="zh-CN"/>
        </w:rPr>
        <w:t>5.4</w:t>
      </w:r>
      <w:bookmarkStart w:id="1075" w:name="_Toc182116546"/>
      <w:r>
        <w:rPr>
          <w:rFonts w:hint="eastAsia" w:ascii="宋体" w:hAnsi="宋体" w:eastAsia="宋体" w:cs="宋体"/>
          <w:sz w:val="24"/>
          <w:lang w:val="en-US" w:eastAsia="zh-CN"/>
        </w:rPr>
        <w:t xml:space="preserve"> 厂商竞争：多维度对比视角</w:t>
      </w:r>
      <w:bookmarkEnd w:id="1073"/>
      <w:bookmarkEnd w:id="1074"/>
    </w:p>
    <w:p w14:paraId="38F86A5E">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厂商多维度对比从车型数量、平均价格、平均续航、平均功率切入，不同厂商差异显著。部分厂商凭借庞大车型数量覆盖市场，部分以高平均价格、长续航或高功率塑造高端、性能标签，清晰呈现市场竞争格局 —— 既有以量取胜的普惠型厂商，也有深耕细分领域的差异化玩家，为分析行业竞争态势、挖掘标杆厂商策略提供依据。</w:t>
      </w:r>
    </w:p>
    <w:p w14:paraId="096D626E">
      <w:pPr>
        <w:keepNext w:val="0"/>
        <w:keepLines w:val="0"/>
        <w:pageBreakBefore w:val="0"/>
        <w:widowControl/>
        <w:kinsoku/>
        <w:wordWrap/>
        <w:overflowPunct/>
        <w:topLinePunct w:val="0"/>
        <w:autoSpaceDE/>
        <w:autoSpaceDN/>
        <w:bidi w:val="0"/>
        <w:adjustRightInd/>
        <w:snapToGrid/>
        <w:spacing w:before="0" w:after="0" w:line="440" w:lineRule="exact"/>
        <w:ind w:firstLine="480" w:firstLineChars="200"/>
        <w:jc w:val="both"/>
        <w:textAlignment w:val="auto"/>
        <w:outlineLvl w:val="9"/>
        <w:rPr>
          <w:rFonts w:hint="eastAsia" w:ascii="宋体" w:hAnsi="宋体" w:eastAsia="宋体" w:cs="宋体"/>
          <w:bCs/>
          <w:sz w:val="24"/>
          <w:lang w:eastAsia="zh-CN"/>
        </w:rPr>
      </w:pPr>
      <w:r>
        <w:rPr>
          <w:rFonts w:hint="eastAsia" w:ascii="宋体" w:hAnsi="宋体" w:eastAsia="宋体" w:cs="宋体"/>
          <w:bCs/>
          <w:sz w:val="24"/>
          <w:lang w:eastAsia="zh-CN"/>
        </w:rPr>
        <w:t>车型参数穿透：表格罗列具体车型参数，支撑厂商竞品对标、消费者精准选车，全面服务行业全链条决策。</w:t>
      </w:r>
    </w:p>
    <w:p w14:paraId="28AEAE74">
      <w:pPr>
        <w:widowControl w:val="0"/>
        <w:spacing w:before="0" w:after="0" w:line="560" w:lineRule="exact"/>
        <w:ind w:firstLine="400" w:firstLineChars="200"/>
        <w:jc w:val="center"/>
        <w:rPr>
          <w:rFonts w:hint="eastAsia" w:ascii="Arial" w:hAnsi="Arial" w:eastAsia="宋体" w:cs="Times New Roman"/>
          <w:kern w:val="2"/>
          <w:sz w:val="18"/>
          <w:szCs w:val="24"/>
          <w:lang w:val="en-US" w:eastAsia="zh-CN" w:bidi="ar-SA"/>
        </w:rPr>
      </w:pPr>
      <w:r>
        <w:rPr>
          <w:rFonts w:hint="eastAsia" w:ascii="宋体" w:hAnsi="宋体" w:eastAsia="宋体" w:cs="宋体"/>
          <w:bCs/>
          <w:kern w:val="2"/>
          <w:sz w:val="20"/>
          <w:szCs w:val="24"/>
          <w:lang w:val="en-US" w:eastAsia="zh-CN" w:bidi="ar-SA"/>
        </w:rPr>
        <w:drawing>
          <wp:anchor distT="0" distB="0" distL="114300" distR="114300" simplePos="0" relativeHeight="251865088" behindDoc="0" locked="0" layoutInCell="1" allowOverlap="1">
            <wp:simplePos x="0" y="0"/>
            <wp:positionH relativeFrom="column">
              <wp:posOffset>659130</wp:posOffset>
            </wp:positionH>
            <wp:positionV relativeFrom="page">
              <wp:posOffset>7294880</wp:posOffset>
            </wp:positionV>
            <wp:extent cx="4058920" cy="1864995"/>
            <wp:effectExtent l="0" t="0" r="17780" b="1905"/>
            <wp:wrapNone/>
            <wp:docPr id="6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13"/>
                    <pic:cNvPicPr>
                      <a:picLocks noChangeAspect="1"/>
                    </pic:cNvPicPr>
                  </pic:nvPicPr>
                  <pic:blipFill>
                    <a:blip r:embed="rId412"/>
                    <a:stretch>
                      <a:fillRect/>
                    </a:stretch>
                  </pic:blipFill>
                  <pic:spPr>
                    <a:xfrm>
                      <a:off x="0" y="0"/>
                      <a:ext cx="4058920" cy="1864995"/>
                    </a:xfrm>
                    <a:prstGeom prst="rect">
                      <a:avLst/>
                    </a:prstGeom>
                    <a:noFill/>
                    <a:ln>
                      <a:noFill/>
                    </a:ln>
                  </pic:spPr>
                </pic:pic>
              </a:graphicData>
            </a:graphic>
          </wp:anchor>
        </w:drawing>
      </w:r>
    </w:p>
    <w:p w14:paraId="7D43BB95">
      <w:pPr>
        <w:widowControl w:val="0"/>
        <w:spacing w:before="0" w:after="0" w:line="560" w:lineRule="exact"/>
        <w:ind w:firstLine="360" w:firstLineChars="200"/>
        <w:jc w:val="center"/>
        <w:rPr>
          <w:rFonts w:hint="eastAsia" w:ascii="Arial" w:hAnsi="Arial" w:eastAsia="宋体" w:cs="Times New Roman"/>
          <w:kern w:val="2"/>
          <w:sz w:val="18"/>
          <w:szCs w:val="24"/>
          <w:lang w:val="en-US" w:eastAsia="zh-CN" w:bidi="ar-SA"/>
        </w:rPr>
      </w:pPr>
    </w:p>
    <w:p w14:paraId="03775A67">
      <w:pPr>
        <w:widowControl w:val="0"/>
        <w:spacing w:before="0" w:after="0" w:line="560" w:lineRule="exact"/>
        <w:ind w:firstLine="360" w:firstLineChars="200"/>
        <w:jc w:val="center"/>
        <w:rPr>
          <w:rFonts w:hint="eastAsia" w:ascii="Arial" w:hAnsi="Arial" w:eastAsia="宋体" w:cs="Times New Roman"/>
          <w:kern w:val="2"/>
          <w:sz w:val="18"/>
          <w:szCs w:val="24"/>
          <w:lang w:val="en-US" w:eastAsia="zh-CN" w:bidi="ar-SA"/>
        </w:rPr>
      </w:pPr>
    </w:p>
    <w:p w14:paraId="62D8E7DB">
      <w:pPr>
        <w:widowControl w:val="0"/>
        <w:spacing w:before="0" w:after="0" w:line="560" w:lineRule="exact"/>
        <w:ind w:firstLine="360" w:firstLineChars="200"/>
        <w:jc w:val="center"/>
        <w:rPr>
          <w:rFonts w:hint="eastAsia" w:ascii="Arial" w:hAnsi="Arial" w:eastAsia="宋体" w:cs="Times New Roman"/>
          <w:kern w:val="2"/>
          <w:sz w:val="18"/>
          <w:szCs w:val="24"/>
          <w:lang w:val="en-US" w:eastAsia="zh-CN" w:bidi="ar-SA"/>
        </w:rPr>
      </w:pPr>
    </w:p>
    <w:p w14:paraId="176ACAC2">
      <w:pPr>
        <w:widowControl w:val="0"/>
        <w:spacing w:before="0" w:after="0" w:line="560" w:lineRule="exact"/>
        <w:jc w:val="both"/>
        <w:rPr>
          <w:rFonts w:hint="eastAsia" w:ascii="Arial" w:hAnsi="Arial" w:eastAsia="宋体" w:cs="Times New Roman"/>
          <w:kern w:val="2"/>
          <w:sz w:val="18"/>
          <w:szCs w:val="24"/>
          <w:lang w:val="en-US" w:eastAsia="zh-CN" w:bidi="ar-SA"/>
        </w:rPr>
      </w:pPr>
    </w:p>
    <w:p w14:paraId="3FE8C911">
      <w:pPr>
        <w:widowControl w:val="0"/>
        <w:spacing w:before="0" w:after="0" w:line="560" w:lineRule="exact"/>
        <w:ind w:firstLine="360" w:firstLineChars="200"/>
        <w:jc w:val="center"/>
        <w:rPr>
          <w:rFonts w:hint="eastAsia" w:ascii="Arial" w:hAnsi="Arial" w:eastAsia="宋体" w:cs="Times New Roman"/>
          <w:kern w:val="2"/>
          <w:sz w:val="18"/>
          <w:szCs w:val="24"/>
          <w:lang w:val="en-US" w:eastAsia="zh-CN" w:bidi="ar-SA"/>
        </w:rPr>
      </w:pPr>
      <w:r>
        <w:rPr>
          <w:rFonts w:hint="eastAsia" w:ascii="Arial" w:hAnsi="Arial" w:eastAsia="宋体" w:cs="Times New Roman"/>
          <w:kern w:val="2"/>
          <w:sz w:val="18"/>
          <w:szCs w:val="24"/>
          <w:lang w:val="en-US" w:eastAsia="zh-CN" w:bidi="ar-SA"/>
        </w:rPr>
        <w:tab/>
      </w:r>
      <w:r>
        <w:rPr>
          <w:rFonts w:hint="eastAsia" w:ascii="Arial" w:hAnsi="Arial" w:eastAsia="宋体" w:cs="Times New Roman"/>
          <w:kern w:val="2"/>
          <w:sz w:val="18"/>
          <w:szCs w:val="24"/>
          <w:lang w:val="en-US" w:eastAsia="zh-CN" w:bidi="ar-SA"/>
        </w:rPr>
        <w:t>图 12  厂商多维度对比图</w:t>
      </w:r>
    </w:p>
    <w:p w14:paraId="5EBE4EBB">
      <w:pPr>
        <w:widowControl w:val="0"/>
        <w:spacing w:before="0" w:after="0" w:line="440" w:lineRule="exact"/>
        <w:ind w:firstLine="480" w:firstLineChars="200"/>
        <w:jc w:val="both"/>
        <w:outlineLvl w:val="9"/>
        <w:rPr>
          <w:rFonts w:hint="eastAsia" w:ascii="宋体" w:hAnsi="宋体" w:eastAsia="宋体" w:cs="宋体"/>
          <w:sz w:val="24"/>
          <w:lang w:val="en-US" w:eastAsia="zh-CN"/>
        </w:rPr>
      </w:pPr>
      <w:bookmarkStart w:id="1076" w:name="_Toc745"/>
      <w:bookmarkStart w:id="1077" w:name="_Toc6021"/>
      <w:r>
        <w:rPr>
          <w:rFonts w:hint="eastAsia" w:ascii="宋体" w:hAnsi="宋体" w:eastAsia="宋体" w:cs="宋体"/>
          <w:sz w:val="24"/>
          <w:lang w:val="en-US" w:eastAsia="zh-CN"/>
        </w:rPr>
        <w:t>5.5 层级架构：车型 - 能源关联追溯</w:t>
      </w:r>
      <w:bookmarkEnd w:id="1076"/>
      <w:bookmarkEnd w:id="1077"/>
    </w:p>
    <w:p w14:paraId="7F43117D">
      <w:pPr>
        <w:widowControl/>
        <w:spacing w:before="0" w:after="0" w:line="440" w:lineRule="exact"/>
        <w:ind w:firstLine="480" w:firstLineChars="200"/>
        <w:jc w:val="both"/>
        <w:outlineLvl w:val="9"/>
        <w:rPr>
          <w:rFonts w:hint="eastAsia" w:ascii="Calibri" w:hAnsi="Calibri" w:eastAsia="宋体" w:cs="Times New Roman"/>
          <w:sz w:val="18"/>
        </w:rPr>
      </w:pPr>
      <w:r>
        <w:rPr>
          <w:rFonts w:hint="eastAsia" w:ascii="宋体" w:hAnsi="宋体" w:eastAsia="宋体" w:cs="宋体"/>
          <w:bCs/>
          <w:sz w:val="24"/>
          <w:lang w:eastAsia="zh-CN"/>
        </w:rPr>
        <w:t>层级关系树图以清晰脉络梳理车型与能源类型关联，纯电动、插电式混合动力等能源分支下，车型体系延伸明确，实现从能源类型到具体车型的溯源。这一可视化形式，助力车企、行业研究者梳理产品谱系，洞察能源技术在车型布局中的渗透路径，为产品规划、技术迭代提供结构参考。</w:t>
      </w:r>
    </w:p>
    <w:p w14:paraId="14C2B396">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r>
        <w:rPr>
          <w:rFonts w:ascii="Calibri" w:hAnsi="Calibri" w:eastAsia="宋体" w:cs="Times New Roman"/>
          <w:sz w:val="18"/>
        </w:rPr>
        <w:drawing>
          <wp:anchor distT="0" distB="0" distL="114300" distR="114300" simplePos="0" relativeHeight="251856896" behindDoc="0" locked="0" layoutInCell="1" allowOverlap="1">
            <wp:simplePos x="0" y="0"/>
            <wp:positionH relativeFrom="column">
              <wp:posOffset>506095</wp:posOffset>
            </wp:positionH>
            <wp:positionV relativeFrom="page">
              <wp:posOffset>2324735</wp:posOffset>
            </wp:positionV>
            <wp:extent cx="4319905" cy="2684145"/>
            <wp:effectExtent l="0" t="0" r="4445" b="1905"/>
            <wp:wrapNone/>
            <wp:docPr id="6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14"/>
                    <pic:cNvPicPr>
                      <a:picLocks noChangeAspect="1"/>
                    </pic:cNvPicPr>
                  </pic:nvPicPr>
                  <pic:blipFill>
                    <a:blip r:embed="rId413"/>
                    <a:stretch>
                      <a:fillRect/>
                    </a:stretch>
                  </pic:blipFill>
                  <pic:spPr>
                    <a:xfrm>
                      <a:off x="0" y="0"/>
                      <a:ext cx="4319905" cy="2684145"/>
                    </a:xfrm>
                    <a:prstGeom prst="rect">
                      <a:avLst/>
                    </a:prstGeom>
                    <a:noFill/>
                    <a:ln>
                      <a:noFill/>
                    </a:ln>
                  </pic:spPr>
                </pic:pic>
              </a:graphicData>
            </a:graphic>
          </wp:anchor>
        </w:drawing>
      </w:r>
    </w:p>
    <w:p w14:paraId="025E477A">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428CC882">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51C7FFD0">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30AB7E2B">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2C43412C">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283EAB30">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02CEAA44">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ascii="Arial" w:hAnsi="Arial" w:eastAsia="宋体" w:cs="Times New Roman"/>
          <w:kern w:val="2"/>
          <w:sz w:val="18"/>
          <w:szCs w:val="24"/>
          <w:lang w:val="en-US" w:eastAsia="zh-CN" w:bidi="ar-SA"/>
        </w:rPr>
      </w:pPr>
    </w:p>
    <w:p w14:paraId="259F1A02">
      <w:pPr>
        <w:keepNext w:val="0"/>
        <w:keepLines w:val="0"/>
        <w:pageBreakBefore w:val="0"/>
        <w:widowControl w:val="0"/>
        <w:kinsoku/>
        <w:wordWrap/>
        <w:overflowPunct/>
        <w:topLinePunct w:val="0"/>
        <w:autoSpaceDE/>
        <w:autoSpaceDN/>
        <w:bidi w:val="0"/>
        <w:adjustRightInd/>
        <w:snapToGrid/>
        <w:spacing w:before="0" w:after="0" w:line="560" w:lineRule="exact"/>
        <w:ind w:firstLine="0" w:firstLineChars="0"/>
        <w:jc w:val="center"/>
        <w:textAlignment w:val="auto"/>
        <w:rPr>
          <w:rFonts w:hint="eastAsia" w:eastAsia="宋体" w:cs="Times New Roman"/>
          <w:sz w:val="18"/>
          <w:lang w:eastAsia="zh-CN"/>
        </w:rPr>
        <w:sectPr>
          <w:headerReference r:id="rId40" w:type="default"/>
          <w:footerReference r:id="rId41"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Arial" w:hAnsi="Arial" w:eastAsia="宋体" w:cs="Times New Roman"/>
          <w:kern w:val="2"/>
          <w:sz w:val="18"/>
          <w:szCs w:val="24"/>
          <w:lang w:val="en-US" w:eastAsia="zh-CN" w:bidi="ar-SA"/>
        </w:rPr>
        <w:t>图 13  层级关系树图</w:t>
      </w:r>
    </w:p>
    <w:bookmarkEnd w:id="1075"/>
    <w:p w14:paraId="5B4ECF05">
      <w:pPr>
        <w:pStyle w:val="3"/>
        <w:bidi w:val="0"/>
        <w:rPr>
          <w:rFonts w:hint="default"/>
          <w:lang w:val="en-US" w:eastAsia="zh-CN"/>
        </w:rPr>
      </w:pPr>
      <w:bookmarkStart w:id="1078" w:name="_Toc21459"/>
      <w:bookmarkStart w:id="1079" w:name="_Toc24266"/>
      <w:r>
        <w:rPr>
          <w:rFonts w:hint="eastAsia"/>
          <w:lang w:val="en-US" w:eastAsia="zh-CN"/>
        </w:rPr>
        <w:t>14.</w:t>
      </w:r>
      <w:r>
        <w:rPr>
          <w:rFonts w:hint="eastAsia"/>
        </w:rPr>
        <w:t>霓裳数韵——数智技术驱动的民族服饰全流程数据挖掘与可视化的设计与实现</w:t>
      </w:r>
      <w:bookmarkEnd w:id="1078"/>
      <w:bookmarkEnd w:id="1079"/>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17BE2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ED5A557">
            <w:pPr>
              <w:jc w:val="left"/>
              <w:outlineLvl w:val="0"/>
              <w:rPr>
                <w:rFonts w:ascii="Calibri" w:hAnsi="Calibri" w:eastAsia="黑体" w:cs="Times New Roman"/>
                <w:szCs w:val="21"/>
              </w:rPr>
            </w:pPr>
            <w:bookmarkStart w:id="1080" w:name="_Toc31580"/>
            <w:bookmarkStart w:id="1081" w:name="_Toc9938"/>
            <w:r>
              <w:rPr>
                <w:rFonts w:hint="eastAsia" w:ascii="Calibri" w:hAnsi="Calibri" w:eastAsia="黑体" w:cs="Times New Roman"/>
                <w:sz w:val="24"/>
              </w:rPr>
              <w:t>项目主题：</w:t>
            </w:r>
            <w:r>
              <w:rPr>
                <w:rFonts w:hint="eastAsia" w:ascii="Calibri" w:hAnsi="Calibri" w:eastAsia="黑体" w:cs="Times New Roman"/>
                <w:sz w:val="21"/>
                <w:szCs w:val="21"/>
              </w:rPr>
              <w:t>霓裳数韵——数智技术驱动的民族服饰全流程数据挖掘与可视化的设计与实现</w:t>
            </w:r>
            <w:bookmarkEnd w:id="1080"/>
            <w:bookmarkEnd w:id="1081"/>
          </w:p>
        </w:tc>
      </w:tr>
      <w:tr w14:paraId="513D50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E5ED7FF">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数据科学本科</w:t>
            </w:r>
            <w:r>
              <w:rPr>
                <w:rFonts w:hint="eastAsia" w:ascii="Calibri" w:hAnsi="Calibri" w:eastAsia="黑体" w:cs="Times New Roman"/>
                <w:sz w:val="24"/>
                <w:lang w:val="en-US" w:eastAsia="zh-CN"/>
              </w:rPr>
              <w:t>3</w:t>
            </w:r>
            <w:r>
              <w:rPr>
                <w:rFonts w:hint="eastAsia" w:ascii="Calibri" w:hAnsi="Calibri" w:eastAsia="黑体" w:cs="Times New Roman"/>
                <w:sz w:val="24"/>
              </w:rPr>
              <w:t>班</w:t>
            </w:r>
          </w:p>
        </w:tc>
      </w:tr>
      <w:tr w14:paraId="6EB9FE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FB1B27E">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龚志祥</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陈子俊</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赖峰诚</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曹雄</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高义建</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胡浩</w:t>
            </w:r>
          </w:p>
        </w:tc>
      </w:tr>
    </w:tbl>
    <w:p w14:paraId="683E0570">
      <w:pPr>
        <w:spacing w:line="440" w:lineRule="exact"/>
        <w:outlineLvl w:val="9"/>
        <w:rPr>
          <w:rFonts w:hint="eastAsia" w:eastAsia="宋体" w:cs="Times New Roman"/>
          <w:b/>
          <w:bCs/>
          <w:sz w:val="28"/>
          <w:szCs w:val="28"/>
        </w:rPr>
      </w:pPr>
      <w:bookmarkStart w:id="1082" w:name="_Toc19316"/>
      <w:bookmarkStart w:id="1083" w:name="_Toc8097"/>
      <w:r>
        <w:rPr>
          <w:rFonts w:hint="eastAsia" w:eastAsia="宋体" w:cs="Times New Roman"/>
          <w:b/>
          <w:bCs/>
          <w:sz w:val="28"/>
          <w:szCs w:val="28"/>
        </w:rPr>
        <w:t>1 项目概述</w:t>
      </w:r>
      <w:bookmarkEnd w:id="1082"/>
      <w:bookmarkEnd w:id="1083"/>
    </w:p>
    <w:p w14:paraId="7CC0C0EA">
      <w:pPr>
        <w:spacing w:line="440" w:lineRule="exact"/>
        <w:ind w:firstLine="480" w:firstLineChars="200"/>
        <w:outlineLvl w:val="9"/>
        <w:rPr>
          <w:rFonts w:hint="eastAsia" w:ascii="宋体" w:hAnsi="宋体" w:eastAsia="宋体" w:cs="宋体"/>
          <w:sz w:val="24"/>
          <w:lang w:val="en-US" w:eastAsia="zh-CN"/>
        </w:rPr>
      </w:pPr>
      <w:bookmarkStart w:id="1084" w:name="_Toc13016"/>
      <w:bookmarkStart w:id="1085" w:name="_Toc13286"/>
      <w:bookmarkStart w:id="1086" w:name="_Toc26259"/>
      <w:bookmarkStart w:id="1087" w:name="_Toc6720"/>
      <w:r>
        <w:rPr>
          <w:rFonts w:hint="eastAsia" w:ascii="宋体" w:hAnsi="宋体" w:eastAsia="宋体" w:cs="宋体"/>
          <w:sz w:val="24"/>
          <w:lang w:val="en-US" w:eastAsia="zh-CN"/>
        </w:rPr>
        <w:t>1.1</w:t>
      </w:r>
      <w:r>
        <w:rPr>
          <w:rFonts w:hint="eastAsia" w:ascii="宋体" w:hAnsi="宋体" w:cs="宋体"/>
          <w:sz w:val="24"/>
          <w:lang w:val="en-US" w:eastAsia="zh-CN"/>
        </w:rPr>
        <w:t xml:space="preserve"> </w:t>
      </w:r>
      <w:r>
        <w:rPr>
          <w:rFonts w:hint="eastAsia" w:ascii="宋体" w:hAnsi="宋体" w:eastAsia="宋体" w:cs="宋体"/>
          <w:sz w:val="24"/>
        </w:rPr>
        <w:t>项目</w:t>
      </w:r>
      <w:r>
        <w:rPr>
          <w:rFonts w:hint="eastAsia" w:ascii="宋体" w:hAnsi="宋体" w:eastAsia="宋体" w:cs="宋体"/>
          <w:sz w:val="24"/>
          <w:lang w:val="en-US" w:eastAsia="zh-CN"/>
        </w:rPr>
        <w:t>背景</w:t>
      </w:r>
      <w:bookmarkEnd w:id="1084"/>
      <w:bookmarkEnd w:id="1085"/>
      <w:bookmarkEnd w:id="1086"/>
      <w:bookmarkEnd w:id="1087"/>
    </w:p>
    <w:p w14:paraId="6678ACAD">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HAnsi" w:eastAsiaTheme="minorEastAsia"/>
          <w:lang w:val="en-US" w:eastAsia="zh-CN"/>
        </w:rPr>
        <w:t xml:space="preserve">     </w:t>
      </w:r>
      <w:bookmarkStart w:id="1088" w:name="_Toc24218"/>
      <w:r>
        <w:rPr>
          <w:rFonts w:hint="eastAsia" w:asciiTheme="minorEastAsia" w:hAnsiTheme="minorEastAsia" w:eastAsiaTheme="minorEastAsia" w:cstheme="minorEastAsia"/>
          <w:sz w:val="24"/>
          <w:szCs w:val="24"/>
          <w:lang w:val="en-US" w:eastAsia="zh-CN"/>
        </w:rPr>
        <w:t>在电商行业蓬勃发展的当下，民族服饰作为承载传统文化与特色风格的商</w:t>
      </w:r>
      <w:bookmarkEnd w:id="1088"/>
      <w:r>
        <w:rPr>
          <w:rFonts w:hint="eastAsia" w:asciiTheme="minorEastAsia" w:hAnsiTheme="minorEastAsia" w:eastAsiaTheme="minorEastAsia" w:cstheme="minorEastAsia"/>
          <w:sz w:val="24"/>
          <w:szCs w:val="24"/>
          <w:lang w:val="en-US" w:eastAsia="zh-CN"/>
        </w:rPr>
        <w:t>品品类，其市场表现、消费者偏好及商品特征数据具有重要的研究价值。京东平台作为国内主流电商平台之一，汇聚了大量民族服饰商家与商品信息。本项目通过采集京东平台民族服饰商品数据，运用数据分析与可视化技术，直观呈现民族服饰商品的价格分布、销量趋势、品牌竞争格局及用户评价特征，为民族服饰商家优化定价策略、选品方向，为消费者精准筛选心仪商品，为行业研究者分析市场动态提供数据支撑，助力深入理解民族服饰电商市场的发展规律。</w:t>
      </w:r>
    </w:p>
    <w:p w14:paraId="771122B2">
      <w:pPr>
        <w:spacing w:line="440" w:lineRule="exact"/>
        <w:ind w:firstLine="480" w:firstLineChars="200"/>
        <w:outlineLvl w:val="9"/>
        <w:rPr>
          <w:rFonts w:hint="eastAsia" w:ascii="宋体" w:hAnsi="宋体" w:eastAsia="宋体" w:cs="宋体"/>
          <w:sz w:val="24"/>
          <w:lang w:val="en-US" w:eastAsia="zh-CN"/>
        </w:rPr>
      </w:pPr>
      <w:bookmarkStart w:id="1089" w:name="_Toc3054"/>
      <w:bookmarkStart w:id="1090" w:name="_Toc3088"/>
      <w:bookmarkStart w:id="1091" w:name="_Toc8128"/>
      <w:bookmarkStart w:id="1092" w:name="_Toc24522"/>
      <w:r>
        <w:rPr>
          <w:rFonts w:hint="eastAsia" w:ascii="宋体" w:hAnsi="宋体" w:eastAsia="宋体" w:cs="宋体"/>
          <w:sz w:val="24"/>
          <w:lang w:val="en-US" w:eastAsia="zh-CN"/>
        </w:rPr>
        <w:t>1.2</w:t>
      </w:r>
      <w:r>
        <w:rPr>
          <w:rFonts w:hint="eastAsia" w:ascii="宋体" w:hAnsi="宋体" w:cs="宋体"/>
          <w:sz w:val="24"/>
          <w:lang w:val="en-US" w:eastAsia="zh-CN"/>
        </w:rPr>
        <w:t xml:space="preserve"> </w:t>
      </w:r>
      <w:r>
        <w:rPr>
          <w:rFonts w:hint="eastAsia" w:ascii="宋体" w:hAnsi="宋体" w:eastAsia="宋体" w:cs="宋体"/>
          <w:sz w:val="24"/>
          <w:lang w:val="en-US" w:eastAsia="zh-CN"/>
        </w:rPr>
        <w:t>项目开发环境</w:t>
      </w:r>
      <w:bookmarkEnd w:id="1089"/>
      <w:bookmarkEnd w:id="1090"/>
      <w:bookmarkEnd w:id="1091"/>
      <w:bookmarkEnd w:id="1092"/>
    </w:p>
    <w:p w14:paraId="7408444D">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9"/>
        <w:rPr>
          <w:rFonts w:hint="eastAsia" w:asciiTheme="minorEastAsia" w:hAnsiTheme="minorEastAsia" w:eastAsiaTheme="minorEastAsia" w:cstheme="minorEastAsia"/>
          <w:sz w:val="24"/>
          <w:szCs w:val="24"/>
          <w:lang w:val="en-US" w:eastAsia="zh-CN"/>
        </w:rPr>
      </w:pPr>
      <w:bookmarkStart w:id="1093" w:name="_Toc30472"/>
      <w:r>
        <w:rPr>
          <w:rFonts w:hint="eastAsia" w:asciiTheme="minorEastAsia" w:hAnsiTheme="minorEastAsia" w:eastAsiaTheme="minorEastAsia" w:cstheme="minorEastAsia"/>
          <w:sz w:val="24"/>
          <w:szCs w:val="24"/>
          <w:lang w:val="en-US" w:eastAsia="zh-CN"/>
        </w:rPr>
        <w:t>数据采集工具：通过DrissionPage库实现京东平台数据动态抓取。</w:t>
      </w:r>
      <w:bookmarkEnd w:id="1093"/>
    </w:p>
    <w:p w14:paraId="0F28925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数据清洗工具：Python 编程语言，利用 Pandas 库对爬取的原始数据进行清洗、处理，去除无效、错误数据，确保数据的准确性和完整性。</w:t>
      </w:r>
    </w:p>
    <w:p w14:paraId="7A9882E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数据可视化工具：Python 的 Matplotlib、Seaborn 库，用于将清洗后数据生成各类可视化图表，如折线图、柱状图、饼图等，以直观展示数据特征和趋势。</w:t>
      </w:r>
    </w:p>
    <w:p w14:paraId="7E053E6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开发平台：Pycharm，提供便捷的代码编写、调试和运行环境，方便进行数据处理和可视化操作。</w:t>
      </w:r>
    </w:p>
    <w:p w14:paraId="1E8B5856">
      <w:pPr>
        <w:spacing w:line="440" w:lineRule="exact"/>
        <w:ind w:firstLine="420" w:firstLineChars="200"/>
        <w:outlineLvl w:val="9"/>
        <w:rPr>
          <w:rFonts w:hint="eastAsia" w:ascii="宋体" w:hAnsi="宋体" w:eastAsia="宋体" w:cs="宋体"/>
          <w:sz w:val="24"/>
          <w:lang w:val="en-US" w:eastAsia="zh-CN"/>
        </w:rPr>
      </w:pPr>
      <w:bookmarkStart w:id="1094" w:name="_Toc8245"/>
      <w:bookmarkStart w:id="1095" w:name="_Toc6563"/>
      <w:r>
        <w:rPr>
          <w:rFonts w:hint="default" w:ascii="Arial" w:hAnsi="Arial" w:eastAsia="黑体" w:cs="Times New Roman"/>
          <w:kern w:val="2"/>
          <w:sz w:val="21"/>
          <w:szCs w:val="24"/>
          <w:lang w:val="en-US" w:eastAsia="zh-CN" w:bidi="ar-SA"/>
        </w:rPr>
        <w:drawing>
          <wp:anchor distT="0" distB="0" distL="114300" distR="114300" simplePos="0" relativeHeight="251879424" behindDoc="0" locked="0" layoutInCell="1" allowOverlap="1">
            <wp:simplePos x="0" y="0"/>
            <wp:positionH relativeFrom="column">
              <wp:posOffset>27305</wp:posOffset>
            </wp:positionH>
            <wp:positionV relativeFrom="paragraph">
              <wp:posOffset>322580</wp:posOffset>
            </wp:positionV>
            <wp:extent cx="5219700" cy="2159635"/>
            <wp:effectExtent l="0" t="0" r="0" b="12065"/>
            <wp:wrapTopAndBottom/>
            <wp:docPr id="655" name="图片 655" descr="项目架构图"/>
            <wp:cNvGraphicFramePr/>
            <a:graphic xmlns:a="http://schemas.openxmlformats.org/drawingml/2006/main">
              <a:graphicData uri="http://schemas.openxmlformats.org/drawingml/2006/picture">
                <pic:pic xmlns:pic="http://schemas.openxmlformats.org/drawingml/2006/picture">
                  <pic:nvPicPr>
                    <pic:cNvPr id="655" name="图片 655" descr="项目架构图"/>
                    <pic:cNvPicPr/>
                  </pic:nvPicPr>
                  <pic:blipFill>
                    <a:blip r:embed="rId414"/>
                    <a:stretch>
                      <a:fillRect/>
                    </a:stretch>
                  </pic:blipFill>
                  <pic:spPr>
                    <a:xfrm>
                      <a:off x="0" y="0"/>
                      <a:ext cx="5219700" cy="2159635"/>
                    </a:xfrm>
                    <a:prstGeom prst="rect">
                      <a:avLst/>
                    </a:prstGeom>
                  </pic:spPr>
                </pic:pic>
              </a:graphicData>
            </a:graphic>
          </wp:anchor>
        </w:drawing>
      </w:r>
      <w:r>
        <w:rPr>
          <w:rFonts w:hint="eastAsia" w:ascii="宋体" w:hAnsi="宋体" w:cs="宋体"/>
          <w:sz w:val="24"/>
          <w:lang w:val="en-US" w:eastAsia="zh-CN"/>
        </w:rPr>
        <w:t xml:space="preserve">1.3 </w:t>
      </w:r>
      <w:r>
        <w:rPr>
          <w:rFonts w:hint="eastAsia" w:ascii="宋体" w:hAnsi="宋体" w:eastAsia="宋体" w:cs="宋体"/>
          <w:sz w:val="24"/>
          <w:lang w:val="en-US" w:eastAsia="zh-CN"/>
        </w:rPr>
        <w:t>项目架构图</w:t>
      </w:r>
      <w:bookmarkEnd w:id="1094"/>
      <w:bookmarkEnd w:id="1095"/>
    </w:p>
    <w:p w14:paraId="74725B2C">
      <w:pPr>
        <w:spacing w:line="440" w:lineRule="exact"/>
        <w:ind w:firstLine="420" w:firstLineChars="200"/>
        <w:jc w:val="center"/>
        <w:outlineLvl w:val="9"/>
        <w:rPr>
          <w:rFonts w:hint="default"/>
          <w:lang w:val="en-US" w:eastAsia="zh-CN"/>
        </w:rPr>
      </w:pPr>
      <w:bookmarkStart w:id="1096" w:name="_Toc15776"/>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1</w:t>
      </w:r>
      <w:r>
        <w:rPr>
          <w:rFonts w:hint="eastAsia"/>
          <w:bCs/>
          <w:color w:val="000000"/>
          <w:kern w:val="0"/>
          <w:szCs w:val="21"/>
          <w:highlight w:val="none"/>
        </w:rPr>
        <w:t>-</w:t>
      </w:r>
      <w:r>
        <w:rPr>
          <w:bCs/>
          <w:color w:val="000000"/>
          <w:kern w:val="0"/>
          <w:szCs w:val="21"/>
          <w:highlight w:val="none"/>
        </w:rPr>
        <w:t>1</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系统项目架构图</w:t>
      </w:r>
      <w:bookmarkEnd w:id="1096"/>
    </w:p>
    <w:p w14:paraId="4008FFE2">
      <w:pPr>
        <w:spacing w:line="440" w:lineRule="exact"/>
        <w:ind w:firstLine="480" w:firstLineChars="200"/>
        <w:outlineLvl w:val="9"/>
        <w:rPr>
          <w:rFonts w:hint="eastAsia" w:ascii="宋体" w:hAnsi="宋体" w:cs="宋体"/>
          <w:sz w:val="24"/>
          <w:lang w:val="en-US" w:eastAsia="zh-CN"/>
        </w:rPr>
      </w:pPr>
      <w:bookmarkStart w:id="1097" w:name="_Toc5978"/>
      <w:bookmarkStart w:id="1098" w:name="_Toc26672"/>
      <w:bookmarkStart w:id="1099" w:name="_Toc11262"/>
      <w:bookmarkStart w:id="1100" w:name="_Toc21516"/>
      <w:r>
        <w:rPr>
          <w:rFonts w:hint="eastAsia" w:ascii="宋体" w:hAnsi="宋体" w:cs="宋体"/>
          <w:sz w:val="24"/>
          <w:lang w:val="en-US" w:eastAsia="zh-CN"/>
        </w:rPr>
        <w:t>1.4 小组人员及分工</w:t>
      </w:r>
      <w:bookmarkEnd w:id="1097"/>
      <w:bookmarkEnd w:id="1098"/>
      <w:bookmarkEnd w:id="1099"/>
      <w:bookmarkEnd w:id="1100"/>
    </w:p>
    <w:p w14:paraId="7EACDEA0">
      <w:pPr>
        <w:widowControl/>
        <w:spacing w:line="440" w:lineRule="exact"/>
        <w:ind w:firstLine="420" w:firstLineChars="200"/>
        <w:jc w:val="center"/>
        <w:rPr>
          <w:rFonts w:hint="default" w:ascii="宋体" w:hAnsi="宋体" w:eastAsia="宋体" w:cs="Times New Roman"/>
          <w:color w:val="000000"/>
          <w:kern w:val="0"/>
          <w:sz w:val="21"/>
          <w:szCs w:val="21"/>
          <w:highlight w:val="none"/>
          <w:lang w:val="en-US" w:eastAsia="zh-CN"/>
        </w:rPr>
      </w:pPr>
      <w:bookmarkStart w:id="1101" w:name="_Toc1480"/>
      <w:bookmarkStart w:id="1102" w:name="_Toc3051"/>
      <w:bookmarkStart w:id="1103" w:name="_Toc5285"/>
      <w:r>
        <w:rPr>
          <w:rFonts w:hint="eastAsia" w:ascii="宋体" w:hAnsi="宋体" w:eastAsia="宋体" w:cs="Times New Roman"/>
          <w:color w:val="000000"/>
          <w:kern w:val="0"/>
          <w:sz w:val="21"/>
          <w:szCs w:val="21"/>
          <w:highlight w:val="none"/>
          <w:lang w:val="en-US" w:eastAsia="zh-CN"/>
        </w:rPr>
        <w:t>表1-1 小组成员及分工情况</w:t>
      </w:r>
    </w:p>
    <w:tbl>
      <w:tblPr>
        <w:tblStyle w:val="35"/>
        <w:tblW w:w="515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7"/>
        <w:gridCol w:w="1505"/>
        <w:gridCol w:w="5847"/>
      </w:tblGrid>
      <w:tr w14:paraId="3AF22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1428" w:type="dxa"/>
            <w:tcBorders>
              <w:top w:val="single" w:color="auto" w:sz="6" w:space="0"/>
              <w:left w:val="nil"/>
              <w:bottom w:val="nil"/>
              <w:right w:val="nil"/>
            </w:tcBorders>
            <w:noWrap w:val="0"/>
            <w:vAlign w:val="center"/>
          </w:tcPr>
          <w:p w14:paraId="66869F35">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eastAsiaTheme="minorEastAsia" w:cstheme="minorEastAsia"/>
                <w:color w:val="000000"/>
                <w:kern w:val="0"/>
                <w:sz w:val="24"/>
                <w:szCs w:val="24"/>
                <w:lang w:val="en-US" w:eastAsia="zh-CN"/>
              </w:rPr>
            </w:pPr>
            <w:r>
              <w:rPr>
                <w:rFonts w:hint="eastAsia" w:asciiTheme="minorEastAsia" w:hAnsiTheme="minorEastAsia" w:cstheme="minorEastAsia"/>
                <w:b/>
                <w:bCs/>
                <w:i w:val="0"/>
                <w:iCs w:val="0"/>
                <w:caps w:val="0"/>
                <w:color w:val="000000"/>
                <w:spacing w:val="0"/>
                <w:kern w:val="0"/>
                <w:sz w:val="24"/>
                <w:szCs w:val="24"/>
                <w:lang w:val="en-US" w:eastAsia="zh-CN" w:bidi="ar"/>
              </w:rPr>
              <w:t>小组成员</w:t>
            </w:r>
          </w:p>
        </w:tc>
        <w:tc>
          <w:tcPr>
            <w:tcW w:w="1505" w:type="dxa"/>
            <w:tcBorders>
              <w:top w:val="single" w:color="auto" w:sz="6" w:space="0"/>
              <w:left w:val="nil"/>
              <w:bottom w:val="nil"/>
              <w:right w:val="nil"/>
            </w:tcBorders>
            <w:noWrap w:val="0"/>
            <w:vAlign w:val="center"/>
          </w:tcPr>
          <w:p w14:paraId="4F8DE4CE">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eastAsiaTheme="minorEastAsia" w:cstheme="minorEastAsia"/>
                <w:color w:val="000000"/>
                <w:kern w:val="0"/>
                <w:sz w:val="24"/>
                <w:szCs w:val="24"/>
                <w:lang w:val="en-US" w:eastAsia="zh-CN"/>
              </w:rPr>
            </w:pPr>
            <w:r>
              <w:rPr>
                <w:rFonts w:hint="eastAsia" w:asciiTheme="minorEastAsia" w:hAnsiTheme="minorEastAsia" w:cstheme="minorEastAsia"/>
                <w:b/>
                <w:bCs/>
                <w:i w:val="0"/>
                <w:iCs w:val="0"/>
                <w:caps w:val="0"/>
                <w:color w:val="000000"/>
                <w:spacing w:val="0"/>
                <w:kern w:val="0"/>
                <w:sz w:val="24"/>
                <w:szCs w:val="24"/>
                <w:lang w:val="en-US" w:eastAsia="zh-CN" w:bidi="ar"/>
              </w:rPr>
              <w:t>分工</w:t>
            </w:r>
          </w:p>
        </w:tc>
        <w:tc>
          <w:tcPr>
            <w:tcW w:w="5848" w:type="dxa"/>
            <w:tcBorders>
              <w:top w:val="single" w:color="auto" w:sz="6" w:space="0"/>
              <w:left w:val="nil"/>
              <w:bottom w:val="nil"/>
              <w:right w:val="nil"/>
            </w:tcBorders>
            <w:noWrap w:val="0"/>
            <w:vAlign w:val="center"/>
          </w:tcPr>
          <w:p w14:paraId="151A82E0">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4"/>
                <w:szCs w:val="24"/>
                <w:lang w:val="en-US" w:eastAsia="zh-CN"/>
              </w:rPr>
            </w:pPr>
            <w:r>
              <w:rPr>
                <w:rFonts w:hint="eastAsia" w:asciiTheme="minorEastAsia" w:hAnsiTheme="minorEastAsia" w:eastAsiaTheme="minorEastAsia" w:cstheme="minorEastAsia"/>
                <w:b/>
                <w:bCs/>
                <w:i w:val="0"/>
                <w:iCs w:val="0"/>
                <w:caps w:val="0"/>
                <w:color w:val="000000"/>
                <w:spacing w:val="0"/>
                <w:kern w:val="0"/>
                <w:sz w:val="24"/>
                <w:szCs w:val="24"/>
                <w:lang w:val="en-US" w:eastAsia="zh-CN" w:bidi="ar"/>
              </w:rPr>
              <w:t>具体表现</w:t>
            </w:r>
          </w:p>
        </w:tc>
      </w:tr>
      <w:tr w14:paraId="61D45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428" w:type="dxa"/>
            <w:tcBorders>
              <w:top w:val="nil"/>
              <w:left w:val="nil"/>
              <w:bottom w:val="nil"/>
              <w:right w:val="nil"/>
            </w:tcBorders>
            <w:noWrap w:val="0"/>
            <w:vAlign w:val="center"/>
          </w:tcPr>
          <w:p w14:paraId="15A0D787">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龚志祥</w:t>
            </w:r>
          </w:p>
        </w:tc>
        <w:tc>
          <w:tcPr>
            <w:tcW w:w="1505" w:type="dxa"/>
            <w:tcBorders>
              <w:top w:val="nil"/>
              <w:left w:val="nil"/>
              <w:bottom w:val="nil"/>
              <w:right w:val="nil"/>
            </w:tcBorders>
            <w:noWrap w:val="0"/>
            <w:vAlign w:val="center"/>
          </w:tcPr>
          <w:p w14:paraId="6A0586B8">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组长</w:t>
            </w:r>
          </w:p>
        </w:tc>
        <w:tc>
          <w:tcPr>
            <w:tcW w:w="5848" w:type="dxa"/>
            <w:tcBorders>
              <w:top w:val="nil"/>
              <w:left w:val="nil"/>
              <w:bottom w:val="nil"/>
              <w:right w:val="nil"/>
            </w:tcBorders>
            <w:noWrap w:val="0"/>
            <w:vAlign w:val="center"/>
          </w:tcPr>
          <w:p w14:paraId="239A660E">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eastAsiaTheme="minorEastAsia" w:cstheme="minorEastAsia"/>
                <w:i w:val="0"/>
                <w:iCs w:val="0"/>
                <w:caps w:val="0"/>
                <w:spacing w:val="0"/>
                <w:kern w:val="0"/>
                <w:sz w:val="21"/>
                <w:szCs w:val="21"/>
                <w:lang w:val="en-US" w:eastAsia="zh-CN" w:bidi="ar"/>
              </w:rPr>
              <w:t>负责</w:t>
            </w:r>
            <w:r>
              <w:rPr>
                <w:rFonts w:hint="eastAsia" w:asciiTheme="minorEastAsia" w:hAnsiTheme="minorEastAsia" w:cstheme="minorEastAsia"/>
                <w:i w:val="0"/>
                <w:iCs w:val="0"/>
                <w:caps w:val="0"/>
                <w:spacing w:val="0"/>
                <w:kern w:val="0"/>
                <w:sz w:val="21"/>
                <w:szCs w:val="21"/>
                <w:lang w:val="en-US" w:eastAsia="zh-CN" w:bidi="ar"/>
              </w:rPr>
              <w:t>整个</w:t>
            </w:r>
            <w:r>
              <w:rPr>
                <w:rFonts w:hint="eastAsia" w:asciiTheme="minorEastAsia" w:hAnsiTheme="minorEastAsia" w:eastAsiaTheme="minorEastAsia" w:cstheme="minorEastAsia"/>
                <w:i w:val="0"/>
                <w:iCs w:val="0"/>
                <w:caps w:val="0"/>
                <w:spacing w:val="0"/>
                <w:kern w:val="0"/>
                <w:sz w:val="21"/>
                <w:szCs w:val="21"/>
                <w:lang w:val="en-US" w:eastAsia="zh-CN" w:bidi="ar"/>
              </w:rPr>
              <w:t>项目的统筹规划、</w:t>
            </w:r>
            <w:r>
              <w:rPr>
                <w:rFonts w:hint="eastAsia" w:asciiTheme="minorEastAsia" w:hAnsiTheme="minorEastAsia" w:cstheme="minorEastAsia"/>
                <w:i w:val="0"/>
                <w:iCs w:val="0"/>
                <w:caps w:val="0"/>
                <w:spacing w:val="0"/>
                <w:kern w:val="0"/>
                <w:sz w:val="21"/>
                <w:szCs w:val="21"/>
                <w:lang w:val="en-US" w:eastAsia="zh-CN" w:bidi="ar"/>
              </w:rPr>
              <w:t>全过程参与、</w:t>
            </w:r>
            <w:r>
              <w:rPr>
                <w:rFonts w:hint="eastAsia" w:asciiTheme="minorEastAsia" w:hAnsiTheme="minorEastAsia" w:eastAsiaTheme="minorEastAsia" w:cstheme="minorEastAsia"/>
                <w:i w:val="0"/>
                <w:iCs w:val="0"/>
                <w:caps w:val="0"/>
                <w:spacing w:val="0"/>
                <w:kern w:val="0"/>
                <w:sz w:val="21"/>
                <w:szCs w:val="21"/>
                <w:lang w:val="en-US" w:eastAsia="zh-CN" w:bidi="ar"/>
              </w:rPr>
              <w:t>需求调研、对接老师、审核成果、项目汇报。</w:t>
            </w:r>
          </w:p>
        </w:tc>
      </w:tr>
      <w:tr w14:paraId="3E52C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428" w:type="dxa"/>
            <w:tcBorders>
              <w:top w:val="nil"/>
              <w:left w:val="nil"/>
              <w:bottom w:val="nil"/>
              <w:right w:val="nil"/>
            </w:tcBorders>
            <w:noWrap w:val="0"/>
            <w:vAlign w:val="center"/>
          </w:tcPr>
          <w:p w14:paraId="7356CC19">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cstheme="minorEastAsia"/>
                <w:i w:val="0"/>
                <w:iCs w:val="0"/>
                <w:caps w:val="0"/>
                <w:spacing w:val="0"/>
                <w:kern w:val="0"/>
                <w:sz w:val="21"/>
                <w:szCs w:val="21"/>
                <w:lang w:val="en-US" w:eastAsia="zh-CN" w:bidi="ar"/>
              </w:rPr>
            </w:pPr>
            <w:r>
              <w:rPr>
                <w:rFonts w:hint="eastAsia" w:asciiTheme="minorEastAsia" w:hAnsiTheme="minorEastAsia" w:cstheme="minorEastAsia"/>
                <w:i w:val="0"/>
                <w:iCs w:val="0"/>
                <w:caps w:val="0"/>
                <w:spacing w:val="0"/>
                <w:kern w:val="0"/>
                <w:sz w:val="21"/>
                <w:szCs w:val="21"/>
                <w:lang w:val="en-US" w:eastAsia="zh-CN" w:bidi="ar"/>
              </w:rPr>
              <w:t>曹雄</w:t>
            </w:r>
          </w:p>
        </w:tc>
        <w:tc>
          <w:tcPr>
            <w:tcW w:w="1505" w:type="dxa"/>
            <w:tcBorders>
              <w:top w:val="nil"/>
              <w:left w:val="nil"/>
              <w:bottom w:val="nil"/>
              <w:right w:val="nil"/>
            </w:tcBorders>
            <w:noWrap w:val="0"/>
            <w:vAlign w:val="center"/>
          </w:tcPr>
          <w:p w14:paraId="7EC50542">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数据采集员</w:t>
            </w:r>
          </w:p>
        </w:tc>
        <w:tc>
          <w:tcPr>
            <w:tcW w:w="5848" w:type="dxa"/>
            <w:tcBorders>
              <w:top w:val="nil"/>
              <w:left w:val="nil"/>
              <w:bottom w:val="nil"/>
              <w:right w:val="nil"/>
            </w:tcBorders>
            <w:noWrap w:val="0"/>
            <w:vAlign w:val="center"/>
          </w:tcPr>
          <w:p w14:paraId="3A334DB9">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r>
              <w:rPr>
                <w:rFonts w:hint="eastAsia" w:asciiTheme="minorEastAsia" w:hAnsiTheme="minorEastAsia" w:eastAsiaTheme="minorEastAsia" w:cstheme="minorEastAsia"/>
                <w:i w:val="0"/>
                <w:iCs w:val="0"/>
                <w:caps w:val="0"/>
                <w:spacing w:val="0"/>
                <w:kern w:val="0"/>
                <w:sz w:val="21"/>
                <w:szCs w:val="21"/>
                <w:lang w:val="en-US" w:eastAsia="zh-CN" w:bidi="ar"/>
              </w:rPr>
              <w:t>主要负责数据的采集工作、提供项目相关的数据、构建模型。</w:t>
            </w:r>
          </w:p>
          <w:p w14:paraId="22A17233">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p>
        </w:tc>
      </w:tr>
      <w:tr w14:paraId="68BB8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428" w:type="dxa"/>
            <w:tcBorders>
              <w:top w:val="nil"/>
              <w:left w:val="nil"/>
              <w:bottom w:val="nil"/>
              <w:right w:val="nil"/>
            </w:tcBorders>
            <w:noWrap w:val="0"/>
            <w:vAlign w:val="center"/>
          </w:tcPr>
          <w:p w14:paraId="7894431C">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cstheme="minorEastAsia"/>
                <w:i w:val="0"/>
                <w:iCs w:val="0"/>
                <w:caps w:val="0"/>
                <w:spacing w:val="0"/>
                <w:kern w:val="0"/>
                <w:sz w:val="21"/>
                <w:szCs w:val="21"/>
                <w:lang w:val="en-US" w:eastAsia="zh-CN" w:bidi="ar"/>
              </w:rPr>
            </w:pPr>
            <w:r>
              <w:rPr>
                <w:rFonts w:hint="eastAsia" w:asciiTheme="minorEastAsia" w:hAnsiTheme="minorEastAsia" w:cstheme="minorEastAsia"/>
                <w:i w:val="0"/>
                <w:iCs w:val="0"/>
                <w:caps w:val="0"/>
                <w:spacing w:val="0"/>
                <w:kern w:val="0"/>
                <w:sz w:val="21"/>
                <w:szCs w:val="21"/>
                <w:lang w:val="en-US" w:eastAsia="zh-CN" w:bidi="ar"/>
              </w:rPr>
              <w:t>高义建</w:t>
            </w:r>
          </w:p>
        </w:tc>
        <w:tc>
          <w:tcPr>
            <w:tcW w:w="1505" w:type="dxa"/>
            <w:tcBorders>
              <w:top w:val="nil"/>
              <w:left w:val="nil"/>
              <w:bottom w:val="nil"/>
              <w:right w:val="nil"/>
            </w:tcBorders>
            <w:noWrap w:val="0"/>
            <w:vAlign w:val="center"/>
          </w:tcPr>
          <w:p w14:paraId="17666D24">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数据清洗员</w:t>
            </w:r>
          </w:p>
        </w:tc>
        <w:tc>
          <w:tcPr>
            <w:tcW w:w="5848" w:type="dxa"/>
            <w:tcBorders>
              <w:top w:val="nil"/>
              <w:left w:val="nil"/>
              <w:bottom w:val="nil"/>
              <w:right w:val="nil"/>
            </w:tcBorders>
            <w:noWrap w:val="0"/>
            <w:vAlign w:val="center"/>
          </w:tcPr>
          <w:p w14:paraId="2CF968F0">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r>
              <w:rPr>
                <w:rFonts w:hint="eastAsia" w:asciiTheme="minorEastAsia" w:hAnsiTheme="minorEastAsia" w:eastAsiaTheme="minorEastAsia" w:cstheme="minorEastAsia"/>
                <w:i w:val="0"/>
                <w:iCs w:val="0"/>
                <w:caps w:val="0"/>
                <w:spacing w:val="0"/>
                <w:kern w:val="0"/>
                <w:sz w:val="21"/>
                <w:szCs w:val="21"/>
                <w:lang w:val="en-US" w:eastAsia="zh-CN" w:bidi="ar"/>
              </w:rPr>
              <w:t>主要负责数据的预处理，处理缺失值、异常值，清洗数据。</w:t>
            </w:r>
          </w:p>
          <w:p w14:paraId="2981ADAE">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p>
        </w:tc>
      </w:tr>
      <w:tr w14:paraId="3D103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428" w:type="dxa"/>
            <w:tcBorders>
              <w:top w:val="nil"/>
              <w:left w:val="nil"/>
              <w:bottom w:val="nil"/>
              <w:right w:val="nil"/>
            </w:tcBorders>
            <w:noWrap w:val="0"/>
            <w:vAlign w:val="center"/>
          </w:tcPr>
          <w:p w14:paraId="5FC09E9A">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cstheme="minorEastAsia"/>
                <w:i w:val="0"/>
                <w:iCs w:val="0"/>
                <w:caps w:val="0"/>
                <w:spacing w:val="0"/>
                <w:kern w:val="0"/>
                <w:sz w:val="21"/>
                <w:szCs w:val="21"/>
                <w:lang w:val="en-US" w:eastAsia="zh-CN" w:bidi="ar"/>
              </w:rPr>
            </w:pPr>
            <w:r>
              <w:rPr>
                <w:rFonts w:hint="eastAsia" w:asciiTheme="minorEastAsia" w:hAnsiTheme="minorEastAsia" w:cstheme="minorEastAsia"/>
                <w:i w:val="0"/>
                <w:iCs w:val="0"/>
                <w:caps w:val="0"/>
                <w:spacing w:val="0"/>
                <w:kern w:val="0"/>
                <w:sz w:val="21"/>
                <w:szCs w:val="21"/>
                <w:lang w:val="en-US" w:eastAsia="zh-CN" w:bidi="ar"/>
              </w:rPr>
              <w:t>陈子俊</w:t>
            </w:r>
          </w:p>
        </w:tc>
        <w:tc>
          <w:tcPr>
            <w:tcW w:w="1505" w:type="dxa"/>
            <w:tcBorders>
              <w:top w:val="nil"/>
              <w:left w:val="nil"/>
              <w:bottom w:val="nil"/>
              <w:right w:val="nil"/>
            </w:tcBorders>
            <w:noWrap w:val="0"/>
            <w:vAlign w:val="center"/>
          </w:tcPr>
          <w:p w14:paraId="41A3B38C">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可视化开发员</w:t>
            </w:r>
          </w:p>
        </w:tc>
        <w:tc>
          <w:tcPr>
            <w:tcW w:w="5848" w:type="dxa"/>
            <w:tcBorders>
              <w:top w:val="nil"/>
              <w:left w:val="nil"/>
              <w:bottom w:val="nil"/>
              <w:right w:val="nil"/>
            </w:tcBorders>
            <w:noWrap w:val="0"/>
            <w:vAlign w:val="center"/>
          </w:tcPr>
          <w:p w14:paraId="13F55825">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r>
              <w:rPr>
                <w:rFonts w:hint="eastAsia" w:asciiTheme="minorEastAsia" w:hAnsiTheme="minorEastAsia" w:eastAsiaTheme="minorEastAsia" w:cstheme="minorEastAsia"/>
                <w:i w:val="0"/>
                <w:iCs w:val="0"/>
                <w:caps w:val="0"/>
                <w:spacing w:val="0"/>
                <w:kern w:val="0"/>
                <w:sz w:val="21"/>
                <w:szCs w:val="21"/>
                <w:lang w:val="en-US" w:eastAsia="zh-CN" w:bidi="ar"/>
              </w:rPr>
              <w:t>主要负责实现多维度图表开发与数据可视化。</w:t>
            </w:r>
          </w:p>
          <w:p w14:paraId="2307D57E">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p>
        </w:tc>
      </w:tr>
      <w:tr w14:paraId="4FD2E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428" w:type="dxa"/>
            <w:tcBorders>
              <w:top w:val="nil"/>
              <w:left w:val="nil"/>
              <w:bottom w:val="single" w:color="auto" w:sz="12" w:space="0"/>
              <w:right w:val="nil"/>
            </w:tcBorders>
            <w:noWrap w:val="0"/>
            <w:vAlign w:val="center"/>
          </w:tcPr>
          <w:p w14:paraId="5EF1625B">
            <w:pPr>
              <w:keepNext w:val="0"/>
              <w:keepLines w:val="0"/>
              <w:widowControl/>
              <w:suppressLineNumbers w:val="0"/>
              <w:spacing w:before="0" w:beforeAutospacing="0" w:after="0" w:afterAutospacing="0" w:line="280" w:lineRule="atLeast"/>
              <w:ind w:left="0" w:leftChars="0" w:right="0" w:rightChars="0" w:firstLine="0" w:firstLineChars="0"/>
              <w:jc w:val="center"/>
              <w:rPr>
                <w:rFonts w:hint="default" w:asciiTheme="minorEastAsia" w:hAnsiTheme="minorEastAsia" w:cstheme="minorEastAsia"/>
                <w:i w:val="0"/>
                <w:iCs w:val="0"/>
                <w:caps w:val="0"/>
                <w:spacing w:val="0"/>
                <w:kern w:val="0"/>
                <w:sz w:val="21"/>
                <w:szCs w:val="21"/>
                <w:lang w:val="en-US" w:eastAsia="zh-CN" w:bidi="ar"/>
              </w:rPr>
            </w:pPr>
            <w:r>
              <w:rPr>
                <w:rFonts w:hint="eastAsia" w:asciiTheme="minorEastAsia" w:hAnsiTheme="minorEastAsia" w:cstheme="minorEastAsia"/>
                <w:i w:val="0"/>
                <w:iCs w:val="0"/>
                <w:caps w:val="0"/>
                <w:spacing w:val="0"/>
                <w:kern w:val="0"/>
                <w:sz w:val="21"/>
                <w:szCs w:val="21"/>
                <w:lang w:val="en-US" w:eastAsia="zh-CN" w:bidi="ar"/>
              </w:rPr>
              <w:t>赖峰诚</w:t>
            </w:r>
          </w:p>
        </w:tc>
        <w:tc>
          <w:tcPr>
            <w:tcW w:w="1505" w:type="dxa"/>
            <w:tcBorders>
              <w:top w:val="nil"/>
              <w:left w:val="nil"/>
              <w:bottom w:val="single" w:color="auto" w:sz="12" w:space="0"/>
              <w:right w:val="nil"/>
            </w:tcBorders>
            <w:noWrap w:val="0"/>
            <w:vAlign w:val="center"/>
          </w:tcPr>
          <w:p w14:paraId="3DF38F10">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color w:val="000000"/>
                <w:kern w:val="0"/>
                <w:sz w:val="21"/>
                <w:szCs w:val="21"/>
                <w:lang w:val="en-US" w:eastAsia="zh-CN"/>
              </w:rPr>
            </w:pPr>
            <w:r>
              <w:rPr>
                <w:rFonts w:hint="eastAsia" w:asciiTheme="minorEastAsia" w:hAnsiTheme="minorEastAsia" w:cstheme="minorEastAsia"/>
                <w:i w:val="0"/>
                <w:iCs w:val="0"/>
                <w:caps w:val="0"/>
                <w:spacing w:val="0"/>
                <w:kern w:val="0"/>
                <w:sz w:val="21"/>
                <w:szCs w:val="21"/>
                <w:lang w:val="en-US" w:eastAsia="zh-CN" w:bidi="ar"/>
              </w:rPr>
              <w:t>文档测试员</w:t>
            </w:r>
          </w:p>
        </w:tc>
        <w:tc>
          <w:tcPr>
            <w:tcW w:w="5848" w:type="dxa"/>
            <w:tcBorders>
              <w:top w:val="nil"/>
              <w:left w:val="nil"/>
              <w:bottom w:val="single" w:color="auto" w:sz="12" w:space="0"/>
              <w:right w:val="nil"/>
            </w:tcBorders>
            <w:noWrap w:val="0"/>
            <w:vAlign w:val="center"/>
          </w:tcPr>
          <w:p w14:paraId="61C6FA53">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r>
              <w:rPr>
                <w:rFonts w:hint="eastAsia" w:asciiTheme="minorEastAsia" w:hAnsiTheme="minorEastAsia" w:eastAsiaTheme="minorEastAsia" w:cstheme="minorEastAsia"/>
                <w:i w:val="0"/>
                <w:iCs w:val="0"/>
                <w:caps w:val="0"/>
                <w:spacing w:val="0"/>
                <w:kern w:val="0"/>
                <w:sz w:val="21"/>
                <w:szCs w:val="21"/>
                <w:lang w:val="en-US" w:eastAsia="zh-CN" w:bidi="ar"/>
              </w:rPr>
              <w:t>主要负责测试功能逻辑，撰写报告与文档。</w:t>
            </w:r>
          </w:p>
          <w:p w14:paraId="3AEA89F9">
            <w:pPr>
              <w:keepNext w:val="0"/>
              <w:keepLines w:val="0"/>
              <w:widowControl/>
              <w:suppressLineNumbers w:val="0"/>
              <w:spacing w:before="0" w:beforeAutospacing="0" w:after="0" w:afterAutospacing="0" w:line="280" w:lineRule="atLeast"/>
              <w:ind w:left="0" w:leftChars="0" w:right="0" w:rightChars="0" w:firstLine="0" w:firstLineChars="0"/>
              <w:jc w:val="center"/>
              <w:rPr>
                <w:rFonts w:hint="eastAsia" w:asciiTheme="minorEastAsia" w:hAnsiTheme="minorEastAsia" w:eastAsiaTheme="minorEastAsia" w:cstheme="minorEastAsia"/>
                <w:i w:val="0"/>
                <w:iCs w:val="0"/>
                <w:caps w:val="0"/>
                <w:spacing w:val="0"/>
                <w:kern w:val="0"/>
                <w:sz w:val="21"/>
                <w:szCs w:val="21"/>
                <w:lang w:val="en-US" w:eastAsia="zh-CN" w:bidi="ar"/>
              </w:rPr>
            </w:pPr>
          </w:p>
        </w:tc>
      </w:tr>
    </w:tbl>
    <w:p w14:paraId="11297C16">
      <w:pPr>
        <w:spacing w:line="440" w:lineRule="exact"/>
        <w:outlineLvl w:val="9"/>
        <w:rPr>
          <w:rFonts w:hint="eastAsia" w:eastAsia="宋体" w:cs="Times New Roman"/>
          <w:b/>
          <w:bCs/>
          <w:sz w:val="28"/>
          <w:szCs w:val="28"/>
        </w:rPr>
      </w:pPr>
      <w:bookmarkStart w:id="1104" w:name="_Toc3183"/>
      <w:r>
        <w:rPr>
          <w:rFonts w:hint="eastAsia" w:eastAsia="宋体" w:cs="Times New Roman"/>
          <w:b/>
          <w:bCs/>
          <w:sz w:val="28"/>
          <w:szCs w:val="28"/>
        </w:rPr>
        <w:t xml:space="preserve">2 </w:t>
      </w:r>
      <w:r>
        <w:rPr>
          <w:rFonts w:hint="eastAsia" w:eastAsia="宋体" w:cs="Times New Roman"/>
          <w:b/>
          <w:bCs/>
          <w:sz w:val="28"/>
          <w:szCs w:val="28"/>
          <w:lang w:val="en-US" w:eastAsia="zh-CN"/>
        </w:rPr>
        <w:t>系统</w:t>
      </w:r>
      <w:r>
        <w:rPr>
          <w:rFonts w:hint="eastAsia" w:eastAsia="宋体" w:cs="Times New Roman"/>
          <w:b/>
          <w:bCs/>
          <w:sz w:val="28"/>
          <w:szCs w:val="28"/>
        </w:rPr>
        <w:t>需求分析</w:t>
      </w:r>
      <w:bookmarkEnd w:id="1101"/>
      <w:bookmarkEnd w:id="1102"/>
      <w:bookmarkEnd w:id="1103"/>
      <w:bookmarkEnd w:id="1104"/>
    </w:p>
    <w:p w14:paraId="5D3AC8CB">
      <w:pPr>
        <w:spacing w:line="440" w:lineRule="exact"/>
        <w:ind w:firstLine="480" w:firstLineChars="200"/>
        <w:outlineLvl w:val="9"/>
        <w:rPr>
          <w:rFonts w:hint="eastAsia" w:ascii="宋体" w:hAnsi="宋体" w:cs="宋体"/>
          <w:sz w:val="24"/>
          <w:lang w:val="en-US" w:eastAsia="zh-CN"/>
        </w:rPr>
      </w:pPr>
      <w:bookmarkStart w:id="1105" w:name="_Toc32099"/>
      <w:bookmarkStart w:id="1106" w:name="_Toc3750"/>
      <w:bookmarkStart w:id="1107" w:name="_Toc22852"/>
      <w:bookmarkStart w:id="1108" w:name="_Toc25367"/>
      <w:r>
        <w:rPr>
          <w:rFonts w:hint="eastAsia" w:ascii="宋体" w:hAnsi="宋体" w:cs="宋体"/>
          <w:sz w:val="24"/>
          <w:lang w:val="en-US" w:eastAsia="zh-CN"/>
        </w:rPr>
        <w:t>2.1 功能性需求</w:t>
      </w:r>
      <w:bookmarkEnd w:id="1105"/>
      <w:bookmarkEnd w:id="1106"/>
      <w:bookmarkEnd w:id="1107"/>
      <w:bookmarkEnd w:id="1108"/>
    </w:p>
    <w:p w14:paraId="19187A3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bookmarkStart w:id="1109" w:name="_Toc24171"/>
      <w:bookmarkStart w:id="1110" w:name="_Toc5052"/>
      <w:bookmarkStart w:id="1111" w:name="_Toc917"/>
      <w:bookmarkStart w:id="1112" w:name="_Toc29738"/>
      <w:bookmarkStart w:id="1113" w:name="_Toc22837"/>
      <w:r>
        <w:rPr>
          <w:rFonts w:hint="eastAsia" w:asciiTheme="minorEastAsia" w:hAnsiTheme="minorEastAsia" w:eastAsiaTheme="minorEastAsia" w:cstheme="minorEastAsia"/>
          <w:sz w:val="24"/>
          <w:szCs w:val="24"/>
          <w:lang w:val="en-US" w:eastAsia="zh-CN"/>
        </w:rPr>
        <w:t>1.数据采集功能</w:t>
      </w:r>
      <w:bookmarkEnd w:id="1109"/>
      <w:bookmarkEnd w:id="1110"/>
      <w:bookmarkEnd w:id="1111"/>
      <w:bookmarkEnd w:id="1112"/>
      <w:bookmarkEnd w:id="1113"/>
    </w:p>
    <w:p w14:paraId="628870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bookmarkStart w:id="1114" w:name="_Toc25551"/>
      <w:bookmarkStart w:id="1115" w:name="_Toc31658"/>
      <w:bookmarkStart w:id="1116" w:name="_Toc11706"/>
      <w:bookmarkStart w:id="1117" w:name="_Toc7103"/>
      <w:bookmarkStart w:id="1118" w:name="_Toc28010"/>
      <w:r>
        <w:rPr>
          <w:rFonts w:hint="eastAsia" w:asciiTheme="minorEastAsia" w:hAnsiTheme="minorEastAsia" w:eastAsiaTheme="minorEastAsia" w:cstheme="minorEastAsia"/>
          <w:sz w:val="24"/>
          <w:szCs w:val="24"/>
          <w:lang w:val="en-US" w:eastAsia="zh-CN"/>
        </w:rPr>
        <w:t>爬取字段：标题，原价、售价、商品ID、卖点和颜色等。</w:t>
      </w:r>
      <w:bookmarkEnd w:id="1114"/>
      <w:bookmarkEnd w:id="1115"/>
      <w:bookmarkEnd w:id="1116"/>
      <w:bookmarkEnd w:id="1117"/>
      <w:bookmarkEnd w:id="1118"/>
    </w:p>
    <w:p w14:paraId="393771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数据来源：https://www.jd.com/(京东)权威电商平台。</w:t>
      </w:r>
    </w:p>
    <w:p w14:paraId="1633CDD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采集周期：一次性全量采集民族服饰5千多条数据。</w:t>
      </w:r>
    </w:p>
    <w:p w14:paraId="3299E5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19" w:name="_Toc32377"/>
      <w:bookmarkStart w:id="1120" w:name="_Toc14448"/>
      <w:bookmarkStart w:id="1121" w:name="_Toc17136"/>
      <w:bookmarkStart w:id="1122" w:name="_Toc23563"/>
      <w:r>
        <w:rPr>
          <w:rFonts w:hint="eastAsia" w:asciiTheme="minorEastAsia" w:hAnsiTheme="minorEastAsia" w:eastAsiaTheme="minorEastAsia" w:cstheme="minorEastAsia"/>
          <w:sz w:val="24"/>
          <w:szCs w:val="24"/>
          <w:lang w:val="en-US" w:eastAsia="zh-CN"/>
        </w:rPr>
        <w:t>2.数据清洗功能</w:t>
      </w:r>
      <w:bookmarkEnd w:id="1119"/>
      <w:bookmarkEnd w:id="1120"/>
      <w:bookmarkEnd w:id="1121"/>
      <w:bookmarkEnd w:id="1122"/>
    </w:p>
    <w:p w14:paraId="1AFA3DF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23" w:name="_Toc20750"/>
      <w:bookmarkStart w:id="1124" w:name="_Toc5283"/>
      <w:bookmarkStart w:id="1125" w:name="_Toc5364"/>
      <w:bookmarkStart w:id="1126" w:name="_Toc25102"/>
      <w:bookmarkStart w:id="1127" w:name="_Toc8256"/>
      <w:r>
        <w:rPr>
          <w:rFonts w:hint="eastAsia" w:asciiTheme="minorEastAsia" w:hAnsiTheme="minorEastAsia" w:eastAsiaTheme="minorEastAsia" w:cstheme="minorEastAsia"/>
          <w:sz w:val="24"/>
          <w:szCs w:val="24"/>
          <w:lang w:val="en-US" w:eastAsia="zh-CN"/>
        </w:rPr>
        <w:t>缺失值处理：评论数、模糊评论数、30天浏览人数等计数型字段用0填充、</w:t>
      </w:r>
      <w:bookmarkEnd w:id="1123"/>
      <w:bookmarkEnd w:id="1124"/>
      <w:bookmarkEnd w:id="1125"/>
      <w:bookmarkEnd w:id="1126"/>
      <w:bookmarkEnd w:id="1127"/>
      <w:r>
        <w:rPr>
          <w:rFonts w:hint="eastAsia" w:asciiTheme="minorEastAsia" w:hAnsiTheme="minorEastAsia" w:eastAsiaTheme="minorEastAsia" w:cstheme="minorEastAsia"/>
          <w:sz w:val="24"/>
          <w:szCs w:val="24"/>
          <w:lang w:val="en-US" w:eastAsia="zh-CN"/>
        </w:rPr>
        <w:t>卖点字段用空字符串填充、店铺字段用'未知店铺'填充；</w:t>
      </w:r>
    </w:p>
    <w:p w14:paraId="3230A9F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异常值检测：通过 IQR 法识别商品异常数据，结合业务逻辑修正或删除；</w:t>
      </w:r>
    </w:p>
    <w:p w14:paraId="0125F4B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28" w:name="_Toc18621"/>
      <w:bookmarkStart w:id="1129" w:name="_Toc11281"/>
      <w:bookmarkStart w:id="1130" w:name="_Toc27098"/>
      <w:bookmarkStart w:id="1131" w:name="_Toc2983"/>
      <w:r>
        <w:rPr>
          <w:rFonts w:hint="eastAsia" w:asciiTheme="minorEastAsia" w:hAnsiTheme="minorEastAsia" w:eastAsiaTheme="minorEastAsia" w:cstheme="minorEastAsia"/>
          <w:sz w:val="24"/>
          <w:szCs w:val="24"/>
          <w:lang w:val="en-US" w:eastAsia="zh-CN"/>
        </w:rPr>
        <w:t>3.算法分析功能：</w:t>
      </w:r>
      <w:bookmarkEnd w:id="1128"/>
      <w:bookmarkEnd w:id="1129"/>
      <w:bookmarkEnd w:id="1130"/>
      <w:bookmarkEnd w:id="1131"/>
    </w:p>
    <w:p w14:paraId="22B0E6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基于商品原价、售价、评论数、30 天浏览人数、民族类别、颜色特征等多维度数据，构建随机森林回归模型，实现对民族服饰商品销量的定量预测，预测误差控制在合理区间内。</w:t>
      </w:r>
    </w:p>
    <w:p w14:paraId="104C63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通过随机森林算法自带的特征重要性评分机制，量化各输入特征对销量的影响权重，识别驱动销量的核心因素（如价格区间、浏览人数、民族风格等）。</w:t>
      </w:r>
    </w:p>
    <w:p w14:paraId="699A8E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结合业务场景将销量划分为低、中、高三个等级，利用随机森林分类模型实现商品销量等级的自动判定，分类准确率高于 90%。</w:t>
      </w:r>
    </w:p>
    <w:p w14:paraId="6CC9AFB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rPr>
      </w:pPr>
      <w:bookmarkStart w:id="1132" w:name="_Toc23665"/>
      <w:bookmarkStart w:id="1133" w:name="_Toc2851"/>
      <w:bookmarkStart w:id="1134" w:name="_Toc14237"/>
      <w:bookmarkStart w:id="1135" w:name="_Toc19734"/>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数据可视化功能</w:t>
      </w:r>
      <w:bookmarkEnd w:id="1132"/>
      <w:bookmarkEnd w:id="1133"/>
      <w:bookmarkEnd w:id="1134"/>
      <w:bookmarkEnd w:id="1135"/>
    </w:p>
    <w:p w14:paraId="782CE4D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36" w:name="_Toc18233"/>
      <w:bookmarkStart w:id="1137" w:name="_Toc18087"/>
      <w:r>
        <w:rPr>
          <w:rFonts w:hint="eastAsia" w:asciiTheme="minorEastAsia" w:hAnsiTheme="minorEastAsia" w:eastAsiaTheme="minorEastAsia" w:cstheme="minorEastAsia"/>
          <w:sz w:val="24"/>
          <w:szCs w:val="24"/>
          <w:lang w:val="en-US" w:eastAsia="zh-CN"/>
        </w:rPr>
        <w:t>各民族服饰 30 天浏览人数分布（箱线图 + 散点）：展示不同民族服饰浏览量的集中趋势与离散程度，直观呈现汉服浏览热度显著高于其他民族服饰。</w:t>
      </w:r>
      <w:bookmarkEnd w:id="1136"/>
    </w:p>
    <w:p w14:paraId="0E5458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38" w:name="_Toc1084"/>
      <w:r>
        <w:rPr>
          <w:rFonts w:hint="eastAsia" w:asciiTheme="minorEastAsia" w:hAnsiTheme="minorEastAsia" w:eastAsiaTheme="minorEastAsia" w:cstheme="minorEastAsia"/>
          <w:sz w:val="24"/>
          <w:szCs w:val="24"/>
          <w:lang w:val="en-US" w:eastAsia="zh-CN"/>
        </w:rPr>
        <w:t>销量 TOP10 店铺（条形图）：按总销量降序排列店铺，清晰呈现 “重回汉唐旗舰店” 为销量头部店铺。</w:t>
      </w:r>
      <w:bookmarkEnd w:id="1138"/>
    </w:p>
    <w:p w14:paraId="40043F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39" w:name="_Toc9948"/>
      <w:r>
        <w:rPr>
          <w:rFonts w:hint="eastAsia" w:asciiTheme="minorEastAsia" w:hAnsiTheme="minorEastAsia" w:eastAsiaTheme="minorEastAsia" w:cstheme="minorEastAsia"/>
          <w:sz w:val="24"/>
          <w:szCs w:val="24"/>
          <w:lang w:val="en-US" w:eastAsia="zh-CN"/>
        </w:rPr>
        <w:t>服饰颜色分布（饼图）：标注前 10 种颜色的占比，突出红色（21.0%）、白色（20.2%）为主要流行颜色。</w:t>
      </w:r>
      <w:bookmarkEnd w:id="1139"/>
    </w:p>
    <w:p w14:paraId="654E6C0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40" w:name="_Toc4921"/>
      <w:r>
        <w:rPr>
          <w:rFonts w:hint="eastAsia" w:asciiTheme="minorEastAsia" w:hAnsiTheme="minorEastAsia" w:eastAsiaTheme="minorEastAsia" w:cstheme="minorEastAsia"/>
          <w:sz w:val="24"/>
          <w:szCs w:val="24"/>
          <w:lang w:val="en-US" w:eastAsia="zh-CN"/>
        </w:rPr>
        <w:t>各民族服饰平均售价对比（柱状图）：横向对比不同民族服饰的均价，显示维吾尔族服饰均价最高（约 255 元），壮族服饰均价最低（约 130 元）。</w:t>
      </w:r>
      <w:bookmarkEnd w:id="1140"/>
    </w:p>
    <w:p w14:paraId="1B2951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41" w:name="_Toc28124"/>
      <w:r>
        <w:rPr>
          <w:rFonts w:hint="eastAsia" w:asciiTheme="minorEastAsia" w:hAnsiTheme="minorEastAsia" w:eastAsiaTheme="minorEastAsia" w:cstheme="minorEastAsia"/>
          <w:sz w:val="24"/>
          <w:szCs w:val="24"/>
          <w:lang w:val="en-US" w:eastAsia="zh-CN"/>
        </w:rPr>
        <w:t>服饰售价分布（直方图 + 密度曲线）：呈现售价 &lt; 1000 元商品的价格分布特征，显示多数商品集中在 100-200 元区间。</w:t>
      </w:r>
      <w:bookmarkEnd w:id="1141"/>
    </w:p>
    <w:p w14:paraId="2965309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42" w:name="_Toc26992"/>
      <w:r>
        <w:rPr>
          <w:rFonts w:hint="eastAsia" w:asciiTheme="minorEastAsia" w:hAnsiTheme="minorEastAsia" w:eastAsiaTheme="minorEastAsia" w:cstheme="minorEastAsia"/>
          <w:sz w:val="24"/>
          <w:szCs w:val="24"/>
          <w:lang w:val="en-US" w:eastAsia="zh-CN"/>
        </w:rPr>
        <w:t>销量与售价关系（散点图）：分析价格与销量的相关性，可见低价区间（&lt;200 元）商品销量分布更密集。</w:t>
      </w:r>
      <w:bookmarkEnd w:id="1142"/>
    </w:p>
    <w:p w14:paraId="1620F7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43" w:name="_Toc21544"/>
      <w:r>
        <w:rPr>
          <w:rFonts w:hint="eastAsia" w:asciiTheme="minorEastAsia" w:hAnsiTheme="minorEastAsia" w:eastAsiaTheme="minorEastAsia" w:cstheme="minorEastAsia"/>
          <w:sz w:val="24"/>
          <w:szCs w:val="24"/>
          <w:lang w:val="en-US" w:eastAsia="zh-CN"/>
        </w:rPr>
        <w:t>原价与售价对比（散点图 + 趋势线）：展示原价与实际售价的关联，可见两者呈正相关，多数商品售价低于原价。</w:t>
      </w:r>
      <w:bookmarkEnd w:id="1143"/>
    </w:p>
    <w:p w14:paraId="100EB1D9">
      <w:pPr>
        <w:spacing w:line="440" w:lineRule="exact"/>
        <w:ind w:firstLine="480" w:firstLineChars="200"/>
        <w:outlineLvl w:val="9"/>
        <w:rPr>
          <w:rFonts w:hint="eastAsia" w:ascii="宋体" w:hAnsi="宋体" w:cs="宋体"/>
          <w:sz w:val="24"/>
          <w:lang w:val="en-US" w:eastAsia="zh-CN"/>
        </w:rPr>
      </w:pPr>
      <w:bookmarkStart w:id="1144" w:name="_Toc15320"/>
      <w:bookmarkStart w:id="1145" w:name="_Toc5622"/>
      <w:bookmarkStart w:id="1146" w:name="_Toc29515"/>
      <w:bookmarkStart w:id="1147" w:name="_Toc32389"/>
      <w:bookmarkStart w:id="1148" w:name="_Toc1252"/>
      <w:r>
        <w:rPr>
          <w:rFonts w:hint="eastAsia" w:ascii="宋体" w:hAnsi="宋体" w:cs="宋体"/>
          <w:sz w:val="24"/>
          <w:lang w:val="en-US" w:eastAsia="zh-CN"/>
        </w:rPr>
        <w:t>2.2 非功能性需求</w:t>
      </w:r>
      <w:bookmarkEnd w:id="1137"/>
      <w:bookmarkEnd w:id="1144"/>
      <w:bookmarkEnd w:id="1145"/>
      <w:bookmarkEnd w:id="1146"/>
      <w:bookmarkEnd w:id="1147"/>
      <w:bookmarkEnd w:id="1148"/>
    </w:p>
    <w:p w14:paraId="202604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性能需求：数据清洗耗时控制在 30 分钟内，单张图表生成时间＜5 秒。</w:t>
      </w:r>
    </w:p>
    <w:p w14:paraId="4043B40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准确性需求：清洗后数据缺失率＜1%，异常值处理准确率＞95%。</w:t>
      </w:r>
    </w:p>
    <w:p w14:paraId="6481E1C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易用性需求：图表标题、坐标轴标签、图例完整清晰，配色符合视觉规范（如红蓝对比突出主次数据）。</w:t>
      </w:r>
    </w:p>
    <w:p w14:paraId="721DC47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可维护性需求：代码模块化设计，关键逻辑添加注释，便于后续功能扩展。</w:t>
      </w:r>
    </w:p>
    <w:p w14:paraId="1FD3EA78">
      <w:pPr>
        <w:spacing w:line="440" w:lineRule="exact"/>
        <w:outlineLvl w:val="9"/>
        <w:rPr>
          <w:rFonts w:hint="eastAsia" w:eastAsia="宋体" w:cs="Times New Roman"/>
          <w:b/>
          <w:bCs/>
          <w:sz w:val="28"/>
          <w:szCs w:val="28"/>
        </w:rPr>
      </w:pPr>
      <w:bookmarkStart w:id="1149" w:name="_Toc4497"/>
      <w:bookmarkStart w:id="1150" w:name="_Toc9915"/>
      <w:bookmarkStart w:id="1151" w:name="_Toc17663"/>
      <w:bookmarkStart w:id="1152" w:name="_Toc31012"/>
      <w:r>
        <w:rPr>
          <w:rFonts w:hint="eastAsia" w:eastAsia="宋体" w:cs="Times New Roman"/>
          <w:b/>
          <w:bCs/>
          <w:sz w:val="28"/>
          <w:szCs w:val="28"/>
        </w:rPr>
        <w:t>3系统</w:t>
      </w:r>
      <w:r>
        <w:rPr>
          <w:rFonts w:hint="eastAsia" w:eastAsia="宋体" w:cs="Times New Roman"/>
          <w:b/>
          <w:bCs/>
          <w:sz w:val="28"/>
          <w:szCs w:val="28"/>
          <w:lang w:val="en-US" w:eastAsia="zh-CN"/>
        </w:rPr>
        <w:t>可行性</w:t>
      </w:r>
      <w:r>
        <w:rPr>
          <w:rFonts w:hint="eastAsia" w:eastAsia="宋体" w:cs="Times New Roman"/>
          <w:b/>
          <w:bCs/>
          <w:sz w:val="28"/>
          <w:szCs w:val="28"/>
        </w:rPr>
        <w:t>设计</w:t>
      </w:r>
      <w:bookmarkEnd w:id="1149"/>
      <w:bookmarkEnd w:id="1150"/>
      <w:bookmarkEnd w:id="1151"/>
      <w:bookmarkEnd w:id="1152"/>
    </w:p>
    <w:p w14:paraId="19C7C0C4">
      <w:pPr>
        <w:spacing w:line="440" w:lineRule="exact"/>
        <w:ind w:firstLine="480" w:firstLineChars="200"/>
        <w:outlineLvl w:val="9"/>
        <w:rPr>
          <w:rFonts w:hint="eastAsia" w:ascii="宋体" w:hAnsi="宋体" w:cs="宋体"/>
          <w:sz w:val="24"/>
          <w:lang w:val="en-US" w:eastAsia="zh-CN"/>
        </w:rPr>
      </w:pPr>
      <w:bookmarkStart w:id="1153" w:name="_Toc20105"/>
      <w:bookmarkStart w:id="1154" w:name="_Toc478"/>
      <w:bookmarkStart w:id="1155" w:name="_Toc19495"/>
      <w:bookmarkStart w:id="1156" w:name="_Toc15869"/>
      <w:r>
        <w:rPr>
          <w:rFonts w:hint="eastAsia" w:ascii="宋体" w:hAnsi="宋体" w:cs="宋体"/>
          <w:sz w:val="24"/>
          <w:lang w:val="en-US" w:eastAsia="zh-CN"/>
        </w:rPr>
        <w:t>3.1 系统结构设计</w:t>
      </w:r>
      <w:bookmarkEnd w:id="1153"/>
      <w:bookmarkEnd w:id="1154"/>
      <w:bookmarkEnd w:id="1155"/>
      <w:bookmarkEnd w:id="1156"/>
    </w:p>
    <w:p w14:paraId="085EB0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本项目采用分层架构设计，分为数据采集层、数据清洗层和数据可视化层，各层之间分工明确，协同工作，确保数据从采集到可视化的顺利进行。</w:t>
      </w:r>
    </w:p>
    <w:p w14:paraId="01888F7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数据采集层：使用Pycharm从指定的京东电商数据平台爬取原始数据，存储为 CSV 格式文件，为后续数据处理提供基础数据源。</w:t>
      </w:r>
    </w:p>
    <w:p w14:paraId="6BD1FCF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数据清洗层：利用 Python 的 Pandas 库对原始数据进行清洗处理，包括数据加载、缺失值处理、异常值检测、和格式统一等操作，生成干净、规范的数据集。</w:t>
      </w:r>
    </w:p>
    <w:p w14:paraId="4DF4FBA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数据可视化层：基于清洗后的数据，运用 Python 的 Matplotlib 和 Seaborn 库进行可视化开发，根据不同的分析需求生成相应的图表，并对图表进行美化和优化，最终输出高质量的数据可视化结果。</w:t>
      </w:r>
    </w:p>
    <w:p w14:paraId="4569BB03">
      <w:pPr>
        <w:spacing w:line="440" w:lineRule="exact"/>
        <w:ind w:firstLine="480" w:firstLineChars="200"/>
        <w:outlineLvl w:val="9"/>
        <w:rPr>
          <w:rFonts w:hint="eastAsia" w:ascii="宋体" w:hAnsi="宋体" w:cs="宋体"/>
          <w:sz w:val="24"/>
          <w:lang w:val="en-US" w:eastAsia="zh-CN"/>
        </w:rPr>
      </w:pPr>
      <w:bookmarkStart w:id="1157" w:name="_Toc13613"/>
      <w:bookmarkStart w:id="1158" w:name="_Toc19101"/>
      <w:bookmarkStart w:id="1159" w:name="_Toc6701"/>
      <w:bookmarkStart w:id="1160" w:name="_Toc31932"/>
      <w:r>
        <w:rPr>
          <w:rFonts w:hint="eastAsia" w:ascii="宋体" w:hAnsi="宋体" w:cs="宋体"/>
          <w:sz w:val="24"/>
          <w:lang w:val="en-US" w:eastAsia="zh-CN"/>
        </w:rPr>
        <w:t>3.2 系统功能模块设计</w:t>
      </w:r>
      <w:bookmarkEnd w:id="1157"/>
      <w:bookmarkEnd w:id="1158"/>
      <w:bookmarkEnd w:id="1159"/>
      <w:bookmarkEnd w:id="1160"/>
    </w:p>
    <w:p w14:paraId="3C4F58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1.数据采集模块：实现对5千多条民族服饰商品相关数据的爬取功能，包括服饰名称、售价、销售、卖点、颜色、民族等字段。</w:t>
      </w:r>
    </w:p>
    <w:p w14:paraId="08A14D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bookmarkStart w:id="1161" w:name="_Toc23995"/>
      <w:bookmarkStart w:id="1162" w:name="_Toc25523"/>
      <w:bookmarkStart w:id="1163" w:name="_Toc27570"/>
      <w:r>
        <w:rPr>
          <w:rFonts w:hint="eastAsia" w:asciiTheme="minorEastAsia" w:hAnsiTheme="minorEastAsia" w:eastAsiaTheme="minorEastAsia" w:cstheme="minorEastAsia"/>
          <w:sz w:val="24"/>
          <w:szCs w:val="24"/>
          <w:lang w:val="en-US" w:eastAsia="zh-CN"/>
        </w:rPr>
        <w:t>2.数据清洗模块：</w:t>
      </w:r>
      <w:bookmarkEnd w:id="1161"/>
      <w:bookmarkEnd w:id="1162"/>
      <w:bookmarkEnd w:id="1163"/>
    </w:p>
    <w:p w14:paraId="55775F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数据加载：读取爬取的原始 CSV 数据文件。</w:t>
      </w:r>
    </w:p>
    <w:p w14:paraId="381997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缺失值处理：采用删除缺失值记录或插值法（如计数型字段用0填充、卖点字段用空字符串填充等）填充缺失值。</w:t>
      </w:r>
    </w:p>
    <w:p w14:paraId="16665D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异常值检测：通过统计方法（如 Z-score 法、IQR 法）检测并处理数据中的异常值。</w:t>
      </w:r>
    </w:p>
    <w:p w14:paraId="0503FE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数据去重：删除重复的记录，确保数据的唯一性。</w:t>
      </w:r>
    </w:p>
    <w:p w14:paraId="4D7ACE3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64" w:name="_Toc15173"/>
      <w:bookmarkStart w:id="1165" w:name="_Toc16274"/>
      <w:bookmarkStart w:id="1166" w:name="_Toc20665"/>
      <w:bookmarkStart w:id="1167" w:name="_Toc7874"/>
      <w:r>
        <w:rPr>
          <w:rFonts w:hint="eastAsia" w:asciiTheme="minorEastAsia" w:hAnsiTheme="minorEastAsia" w:eastAsiaTheme="minorEastAsia" w:cstheme="minorEastAsia"/>
          <w:sz w:val="24"/>
          <w:szCs w:val="24"/>
          <w:lang w:val="en-US" w:eastAsia="zh-CN"/>
        </w:rPr>
        <w:t>3.算法分析模块：</w:t>
      </w:r>
      <w:bookmarkEnd w:id="1164"/>
      <w:bookmarkEnd w:id="1165"/>
      <w:bookmarkEnd w:id="1166"/>
      <w:bookmarkEnd w:id="1167"/>
    </w:p>
    <w:p w14:paraId="3656D53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基于商品原价、售价、评论数、30 天浏览人数、民族类别、颜色特征等多维度数据，构建随机森林回归模型，实现对民族服饰商品销量的定量预测，预测误差控制在合理区间内。</w:t>
      </w:r>
    </w:p>
    <w:p w14:paraId="4D1042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通过随机森林算法自带的特征重要性评分机制，量化各输入特征对销量的影响权重，识别驱动销量的核心因素（如价格区间、浏览人数、民族风格等）。</w:t>
      </w:r>
    </w:p>
    <w:p w14:paraId="790960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生成特征重要性排序结果及可视化图表，明确商家需重点优化的产品维度与营销方向。</w:t>
      </w:r>
    </w:p>
    <w:p w14:paraId="2922780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bookmarkStart w:id="1168" w:name="_Toc1619"/>
      <w:bookmarkStart w:id="1169" w:name="_Toc11472"/>
      <w:bookmarkStart w:id="1170" w:name="_Toc19091"/>
      <w:bookmarkStart w:id="1171" w:name="_Toc13867"/>
      <w:r>
        <w:rPr>
          <w:rFonts w:hint="eastAsia" w:asciiTheme="minorEastAsia" w:hAnsiTheme="minorEastAsia" w:eastAsiaTheme="minorEastAsia" w:cstheme="minorEastAsia"/>
          <w:sz w:val="24"/>
          <w:szCs w:val="24"/>
          <w:lang w:val="en-US" w:eastAsia="zh-CN"/>
        </w:rPr>
        <w:t>4.数据可视化模块：</w:t>
      </w:r>
      <w:bookmarkEnd w:id="1168"/>
      <w:bookmarkEnd w:id="1169"/>
      <w:bookmarkEnd w:id="1170"/>
      <w:bookmarkEnd w:id="1171"/>
    </w:p>
    <w:p w14:paraId="5C4756D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每日浏览量趋势分析：生成折线图，展示 30 天内各民族服饰（重点呈现汉服、苗族服饰、藏族服饰等核心品类）的日浏览量变化趋势，直观呈现节日节点（如传统民俗节日）、电商大促节点带来的浏览量波动特征</w:t>
      </w:r>
    </w:p>
    <w:p w14:paraId="5380F4A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各民族服饰总销量对比：绘制柱状图，横向 / 纵向对比汉服、维吾尔族服饰、蒙古族服饰、壮族服饰等不同民族服饰在统计周期内的总销量表现，清晰呈现各品类销量排名。</w:t>
      </w:r>
    </w:p>
    <w:p w14:paraId="7BE4B61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销量市场份额分析：制作饼图，精准呈现汉服、苗族服饰、彝族服饰等核心品类销量在民族服饰总销量中的占比情况，标注头部品类（如汉服）的具体占比数值。</w:t>
      </w:r>
    </w:p>
    <w:p w14:paraId="389341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售价与销量关系分析：生成散点图（或添加趋势线的折线图），以不同民族服饰的均价为 X 轴、对应销量为 Y 轴，分析价格区间与销量之间的相关性，识别高销量对应的价格带特征。</w:t>
      </w:r>
    </w:p>
    <w:p w14:paraId="3E1C1315">
      <w:pPr>
        <w:spacing w:line="440" w:lineRule="exact"/>
        <w:outlineLvl w:val="9"/>
        <w:rPr>
          <w:rFonts w:hint="eastAsia" w:eastAsia="宋体" w:cs="Times New Roman"/>
          <w:b/>
          <w:bCs/>
          <w:sz w:val="28"/>
          <w:szCs w:val="28"/>
        </w:rPr>
      </w:pPr>
      <w:bookmarkStart w:id="1172" w:name="_Toc28466"/>
      <w:bookmarkStart w:id="1173" w:name="_Toc3812"/>
      <w:bookmarkStart w:id="1174" w:name="_Toc19832"/>
      <w:bookmarkStart w:id="1175" w:name="_Toc9599"/>
      <w:r>
        <w:rPr>
          <w:rFonts w:hint="eastAsia" w:eastAsia="宋体" w:cs="Times New Roman"/>
          <w:b/>
          <w:bCs/>
          <w:sz w:val="28"/>
          <w:szCs w:val="28"/>
        </w:rPr>
        <w:t>4 系统功能及使用说明</w:t>
      </w:r>
      <w:bookmarkEnd w:id="1172"/>
      <w:bookmarkEnd w:id="1173"/>
      <w:bookmarkEnd w:id="1174"/>
      <w:bookmarkEnd w:id="1175"/>
    </w:p>
    <w:p w14:paraId="1323AF3D">
      <w:pPr>
        <w:spacing w:line="440" w:lineRule="exact"/>
        <w:ind w:firstLine="480" w:firstLineChars="200"/>
        <w:outlineLvl w:val="9"/>
        <w:rPr>
          <w:rFonts w:hint="eastAsia" w:ascii="宋体" w:hAnsi="宋体" w:cs="宋体"/>
          <w:sz w:val="24"/>
          <w:lang w:val="en-US" w:eastAsia="zh-CN"/>
        </w:rPr>
      </w:pPr>
      <w:bookmarkStart w:id="1176" w:name="_Toc25740"/>
      <w:bookmarkStart w:id="1177" w:name="_Toc3684"/>
      <w:bookmarkStart w:id="1178" w:name="_Toc9"/>
      <w:bookmarkStart w:id="1179" w:name="_Toc23565"/>
      <w:r>
        <w:rPr>
          <w:rFonts w:hint="eastAsia" w:ascii="宋体" w:hAnsi="宋体" w:cs="宋体"/>
          <w:sz w:val="24"/>
          <w:lang w:val="en-US" w:eastAsia="zh-CN"/>
        </w:rPr>
        <w:t>4.1 数据采集功能</w:t>
      </w:r>
      <w:bookmarkEnd w:id="1176"/>
      <w:bookmarkEnd w:id="1177"/>
      <w:bookmarkEnd w:id="1178"/>
      <w:bookmarkEnd w:id="1179"/>
    </w:p>
    <w:p w14:paraId="7039FC6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打开Pycharm，新建python文件，输入目标网站的 URL：https://www.jd.com/(京东)。</w:t>
      </w:r>
    </w:p>
    <w:p w14:paraId="1021F1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通过编辑代码，定位并选择需要采集的数据字段，如标题、原价、售价、商品名称、卖点等。</w:t>
      </w:r>
    </w:p>
    <w:p w14:paraId="50FF29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设置采集规则，如采集频率、翻页方式等，确保能够完整获取每页的民族服饰商品的所有数据。</w:t>
      </w:r>
    </w:p>
    <w:p w14:paraId="1D09175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启动采集任务，将采集到的数据导出为.csv格式文件保存。</w:t>
      </w:r>
    </w:p>
    <w:p w14:paraId="1F39CDC0">
      <w:pPr>
        <w:spacing w:line="440" w:lineRule="exact"/>
        <w:ind w:firstLine="480" w:firstLineChars="200"/>
        <w:outlineLvl w:val="9"/>
        <w:rPr>
          <w:rFonts w:hint="eastAsia" w:ascii="宋体" w:hAnsi="宋体" w:cs="宋体"/>
          <w:sz w:val="24"/>
          <w:lang w:val="en-US" w:eastAsia="zh-CN"/>
        </w:rPr>
      </w:pPr>
      <w:bookmarkStart w:id="1180" w:name="_Toc29118"/>
      <w:bookmarkStart w:id="1181" w:name="_Toc30010"/>
      <w:bookmarkStart w:id="1182" w:name="_Toc8078"/>
      <w:bookmarkStart w:id="1183" w:name="_Toc16662"/>
      <w:r>
        <w:rPr>
          <w:rFonts w:hint="eastAsia" w:ascii="宋体" w:hAnsi="宋体" w:cs="宋体"/>
          <w:sz w:val="24"/>
          <w:lang w:val="en-US" w:eastAsia="zh-CN"/>
        </w:rPr>
        <w:t>4.2 数据清洗功能</w:t>
      </w:r>
      <w:bookmarkEnd w:id="1180"/>
      <w:bookmarkEnd w:id="1181"/>
      <w:bookmarkEnd w:id="1182"/>
      <w:bookmarkEnd w:id="1183"/>
    </w:p>
    <w:p w14:paraId="359F67E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打开 Pycharm，新建 .py文件，使用 Pandas 库的read_csv()函数加载原始数据文件。</w:t>
      </w:r>
    </w:p>
    <w:p w14:paraId="4E5D24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查看数据的基本信息（如数据形状、字段类型、缺失值情况等），使用isnull().sum()函数检查缺失值数量。</w:t>
      </w:r>
    </w:p>
    <w:p w14:paraId="4309E7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对于缺失值较少的字段，采用删除记录的方法处理；对于缺失值较多的字段，根据数据特点选择合适的插值方法进行填充，如使用fillna()函数填充均值或中位数。</w:t>
      </w:r>
    </w:p>
    <w:p w14:paraId="5D8EF0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使用describe()函数分析数据的统计特征，检测异常值。对于异常值，可根据实际情况进行删除或修正。</w:t>
      </w:r>
    </w:p>
    <w:p w14:paraId="35820A6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将日期字段转换为 datetime 类型，使用to_datetime()函数确保日期格式统一。</w:t>
      </w:r>
    </w:p>
    <w:p w14:paraId="479E350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使用drop_duplicates()函数删除重复记录，保证数据的唯一性。</w:t>
      </w:r>
    </w:p>
    <w:p w14:paraId="06FA892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将清洗后的数据保存为新的 CSV 文件，供数据可视化模块使用。</w:t>
      </w:r>
    </w:p>
    <w:p w14:paraId="2E0F1A25">
      <w:pPr>
        <w:spacing w:line="440" w:lineRule="exact"/>
        <w:ind w:firstLine="480" w:firstLineChars="200"/>
        <w:outlineLvl w:val="9"/>
        <w:rPr>
          <w:rFonts w:hint="eastAsia" w:ascii="宋体" w:hAnsi="宋体" w:cs="宋体"/>
          <w:sz w:val="24"/>
          <w:lang w:val="en-US" w:eastAsia="zh-CN"/>
        </w:rPr>
      </w:pPr>
      <w:bookmarkStart w:id="1184" w:name="_Toc19802"/>
      <w:bookmarkStart w:id="1185" w:name="_Toc10556"/>
      <w:r>
        <w:rPr>
          <w:rFonts w:hint="eastAsia" w:ascii="宋体" w:hAnsi="宋体" w:cs="宋体"/>
          <w:sz w:val="24"/>
          <w:lang w:val="en-US" w:eastAsia="zh-CN"/>
        </w:rPr>
        <w:t>4.3 算法分析功能</w:t>
      </w:r>
      <w:bookmarkEnd w:id="1184"/>
      <w:bookmarkEnd w:id="1185"/>
    </w:p>
    <w:p w14:paraId="02D1974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drawing>
          <wp:anchor distT="0" distB="0" distL="114300" distR="114300" simplePos="0" relativeHeight="251866112" behindDoc="0" locked="0" layoutInCell="1" allowOverlap="1">
            <wp:simplePos x="0" y="0"/>
            <wp:positionH relativeFrom="column">
              <wp:posOffset>206375</wp:posOffset>
            </wp:positionH>
            <wp:positionV relativeFrom="paragraph">
              <wp:posOffset>838200</wp:posOffset>
            </wp:positionV>
            <wp:extent cx="5112385" cy="1301750"/>
            <wp:effectExtent l="0" t="0" r="12065" b="12700"/>
            <wp:wrapTopAndBottom/>
            <wp:docPr id="656"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656"/>
                    <pic:cNvPicPr>
                      <a:picLocks noChangeAspect="1"/>
                    </pic:cNvPicPr>
                  </pic:nvPicPr>
                  <pic:blipFill>
                    <a:blip r:embed="rId415"/>
                    <a:stretch>
                      <a:fillRect/>
                    </a:stretch>
                  </pic:blipFill>
                  <pic:spPr>
                    <a:xfrm>
                      <a:off x="0" y="0"/>
                      <a:ext cx="5112385" cy="1301750"/>
                    </a:xfrm>
                    <a:prstGeom prst="rect">
                      <a:avLst/>
                    </a:prstGeom>
                    <a:noFill/>
                    <a:ln>
                      <a:noFill/>
                    </a:ln>
                  </pic:spPr>
                </pic:pic>
              </a:graphicData>
            </a:graphic>
          </wp:anchor>
        </w:drawing>
      </w:r>
      <w:r>
        <w:rPr>
          <w:rFonts w:hint="default" w:asciiTheme="minorEastAsia" w:hAnsiTheme="minorEastAsia" w:eastAsiaTheme="minorEastAsia" w:cstheme="minorEastAsia"/>
          <w:sz w:val="24"/>
          <w:szCs w:val="24"/>
          <w:lang w:val="en-US" w:eastAsia="zh-CN"/>
        </w:rPr>
        <w:t>通过随机森林算法基于商品原价、售价、评论数、30 天浏览人数、民族类别、颜色特征等多维度数据，构建随机森林回归模型，实现对民族服饰商品销量的定量预测，预测误差控制在合理区间内。</w:t>
      </w:r>
    </w:p>
    <w:p w14:paraId="1E360D59">
      <w:pPr>
        <w:spacing w:line="440" w:lineRule="exact"/>
        <w:ind w:firstLine="480" w:firstLineChars="200"/>
        <w:outlineLvl w:val="9"/>
        <w:rPr>
          <w:rFonts w:hint="eastAsia" w:ascii="宋体" w:hAnsi="宋体" w:cs="宋体"/>
          <w:sz w:val="24"/>
          <w:lang w:val="en-US" w:eastAsia="zh-CN"/>
        </w:rPr>
      </w:pPr>
      <w:bookmarkStart w:id="1186" w:name="_Toc27087"/>
      <w:bookmarkStart w:id="1187" w:name="_Toc13844"/>
      <w:r>
        <w:rPr>
          <w:rFonts w:hint="eastAsia" w:ascii="宋体" w:hAnsi="宋体" w:cs="宋体"/>
          <w:sz w:val="24"/>
          <w:lang w:val="en-US" w:eastAsia="zh-CN"/>
        </w:rPr>
        <w:t>4.4 数据可视化功能</w:t>
      </w:r>
      <w:bookmarkEnd w:id="1186"/>
      <w:bookmarkEnd w:id="1187"/>
    </w:p>
    <w:p w14:paraId="6C1D4BA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1.民族分布（Matplotlib柱状图）</w:t>
      </w:r>
    </w:p>
    <w:p w14:paraId="517A509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2.</w:t>
      </w:r>
      <w:r>
        <w:rPr>
          <w:rFonts w:hint="default" w:ascii="宋体" w:hAnsi="宋体" w:eastAsia="宋体" w:cs="宋体"/>
          <w:b w:val="0"/>
          <w:bCs w:val="0"/>
          <w:kern w:val="2"/>
          <w:sz w:val="24"/>
          <w:szCs w:val="24"/>
          <w:lang w:val="en-US" w:eastAsia="zh-CN" w:bidi="ar-SA"/>
        </w:rPr>
        <w:drawing>
          <wp:anchor distT="0" distB="0" distL="114300" distR="114300" simplePos="0" relativeHeight="251868160" behindDoc="0" locked="0" layoutInCell="1" allowOverlap="1">
            <wp:simplePos x="0" y="0"/>
            <wp:positionH relativeFrom="column">
              <wp:posOffset>20320</wp:posOffset>
            </wp:positionH>
            <wp:positionV relativeFrom="paragraph">
              <wp:posOffset>2797810</wp:posOffset>
            </wp:positionV>
            <wp:extent cx="5267960" cy="2608580"/>
            <wp:effectExtent l="0" t="0" r="8890" b="1270"/>
            <wp:wrapTopAndBottom/>
            <wp:docPr id="657" name="图片 657" descr="屏幕截图 2025-12-22 08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657" descr="屏幕截图 2025-12-22 084944"/>
                    <pic:cNvPicPr>
                      <a:picLocks noChangeAspect="1"/>
                    </pic:cNvPicPr>
                  </pic:nvPicPr>
                  <pic:blipFill>
                    <a:blip r:embed="rId416"/>
                    <a:stretch>
                      <a:fillRect/>
                    </a:stretch>
                  </pic:blipFill>
                  <pic:spPr>
                    <a:xfrm>
                      <a:off x="0" y="0"/>
                      <a:ext cx="5267960" cy="2608580"/>
                    </a:xfrm>
                    <a:prstGeom prst="rect">
                      <a:avLst/>
                    </a:prstGeom>
                  </pic:spPr>
                </pic:pic>
              </a:graphicData>
            </a:graphic>
          </wp:anchor>
        </w:drawing>
      </w:r>
      <w:r>
        <w:rPr>
          <w:rFonts w:hint="default" w:ascii="宋体" w:hAnsi="宋体" w:eastAsia="宋体" w:cs="宋体"/>
          <w:b w:val="0"/>
          <w:bCs w:val="0"/>
          <w:kern w:val="2"/>
          <w:sz w:val="24"/>
          <w:szCs w:val="24"/>
          <w:lang w:val="en-US" w:eastAsia="zh-CN" w:bidi="ar-SA"/>
        </w:rPr>
        <w:drawing>
          <wp:anchor distT="0" distB="0" distL="114300" distR="114300" simplePos="0" relativeHeight="251867136" behindDoc="0" locked="0" layoutInCell="1" allowOverlap="1">
            <wp:simplePos x="0" y="0"/>
            <wp:positionH relativeFrom="column">
              <wp:posOffset>1905</wp:posOffset>
            </wp:positionH>
            <wp:positionV relativeFrom="paragraph">
              <wp:posOffset>91440</wp:posOffset>
            </wp:positionV>
            <wp:extent cx="5271135" cy="2285365"/>
            <wp:effectExtent l="0" t="0" r="5715" b="635"/>
            <wp:wrapTopAndBottom/>
            <wp:docPr id="658" name="图片 658" descr="屏幕截图 2025-12-22 08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658" descr="屏幕截图 2025-12-22 084840"/>
                    <pic:cNvPicPr>
                      <a:picLocks noChangeAspect="1"/>
                    </pic:cNvPicPr>
                  </pic:nvPicPr>
                  <pic:blipFill>
                    <a:blip r:embed="rId417"/>
                    <a:stretch>
                      <a:fillRect/>
                    </a:stretch>
                  </pic:blipFill>
                  <pic:spPr>
                    <a:xfrm>
                      <a:off x="0" y="0"/>
                      <a:ext cx="5271135" cy="2285365"/>
                    </a:xfrm>
                    <a:prstGeom prst="rect">
                      <a:avLst/>
                    </a:prstGeom>
                  </pic:spPr>
                </pic:pic>
              </a:graphicData>
            </a:graphic>
          </wp:anchor>
        </w:drawing>
      </w:r>
      <w:r>
        <w:rPr>
          <w:rFonts w:hint="default" w:ascii="宋体" w:hAnsi="宋体" w:eastAsia="宋体" w:cs="宋体"/>
          <w:b w:val="0"/>
          <w:bCs w:val="0"/>
          <w:kern w:val="2"/>
          <w:sz w:val="24"/>
          <w:szCs w:val="24"/>
          <w:lang w:val="en-US" w:eastAsia="zh-CN" w:bidi="ar-SA"/>
        </w:rPr>
        <w:t>服饰颜色（Matplotlib饼图）</w:t>
      </w:r>
    </w:p>
    <w:p w14:paraId="26B1BC2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3.售价分布（Matplotlib直方图）</w:t>
      </w:r>
    </w:p>
    <w:p w14:paraId="58D1982E">
      <w:pPr>
        <w:numPr>
          <w:ilvl w:val="0"/>
          <w:numId w:val="0"/>
        </w:numPr>
        <w:ind w:leftChars="200"/>
        <w:rPr>
          <w:rFonts w:hint="default"/>
          <w:lang w:val="en-US" w:eastAsia="zh-CN"/>
        </w:rPr>
      </w:pPr>
      <w:r>
        <w:rPr>
          <w:rFonts w:hint="default"/>
          <w:lang w:val="en-US" w:eastAsia="zh-CN"/>
        </w:rPr>
        <w:drawing>
          <wp:anchor distT="0" distB="0" distL="114300" distR="114300" simplePos="0" relativeHeight="251869184" behindDoc="0" locked="0" layoutInCell="1" allowOverlap="1">
            <wp:simplePos x="0" y="0"/>
            <wp:positionH relativeFrom="column">
              <wp:posOffset>1270</wp:posOffset>
            </wp:positionH>
            <wp:positionV relativeFrom="paragraph">
              <wp:posOffset>113665</wp:posOffset>
            </wp:positionV>
            <wp:extent cx="5272405" cy="2250440"/>
            <wp:effectExtent l="0" t="0" r="4445" b="16510"/>
            <wp:wrapTopAndBottom/>
            <wp:docPr id="659" name="图片 659" descr="屏幕截图 2025-12-22 08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659" descr="屏幕截图 2025-12-22 085147"/>
                    <pic:cNvPicPr>
                      <a:picLocks noChangeAspect="1"/>
                    </pic:cNvPicPr>
                  </pic:nvPicPr>
                  <pic:blipFill>
                    <a:blip r:embed="rId418"/>
                    <a:stretch>
                      <a:fillRect/>
                    </a:stretch>
                  </pic:blipFill>
                  <pic:spPr>
                    <a:xfrm>
                      <a:off x="0" y="0"/>
                      <a:ext cx="5272405" cy="2250440"/>
                    </a:xfrm>
                    <a:prstGeom prst="rect">
                      <a:avLst/>
                    </a:prstGeom>
                  </pic:spPr>
                </pic:pic>
              </a:graphicData>
            </a:graphic>
          </wp:anchor>
        </w:drawing>
      </w:r>
    </w:p>
    <w:p w14:paraId="75CBCAC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4.售价与销量的关系（Matplotlib 散点图）</w:t>
      </w:r>
    </w:p>
    <w:p w14:paraId="1818666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drawing>
          <wp:anchor distT="0" distB="0" distL="114300" distR="114300" simplePos="0" relativeHeight="251870208" behindDoc="0" locked="0" layoutInCell="1" allowOverlap="1">
            <wp:simplePos x="0" y="0"/>
            <wp:positionH relativeFrom="column">
              <wp:posOffset>3810</wp:posOffset>
            </wp:positionH>
            <wp:positionV relativeFrom="paragraph">
              <wp:posOffset>100330</wp:posOffset>
            </wp:positionV>
            <wp:extent cx="5266690" cy="2482215"/>
            <wp:effectExtent l="0" t="0" r="10160" b="13335"/>
            <wp:wrapTopAndBottom/>
            <wp:docPr id="660" name="图片 660" descr="屏幕截图 2025-12-22 085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660" descr="屏幕截图 2025-12-22 085331"/>
                    <pic:cNvPicPr>
                      <a:picLocks noChangeAspect="1"/>
                    </pic:cNvPicPr>
                  </pic:nvPicPr>
                  <pic:blipFill>
                    <a:blip r:embed="rId419"/>
                    <a:stretch>
                      <a:fillRect/>
                    </a:stretch>
                  </pic:blipFill>
                  <pic:spPr>
                    <a:xfrm>
                      <a:off x="0" y="0"/>
                      <a:ext cx="5266690" cy="2482215"/>
                    </a:xfrm>
                    <a:prstGeom prst="rect">
                      <a:avLst/>
                    </a:prstGeom>
                  </pic:spPr>
                </pic:pic>
              </a:graphicData>
            </a:graphic>
          </wp:anchor>
        </w:drawing>
      </w:r>
      <w:r>
        <w:rPr>
          <w:rFonts w:hint="default" w:ascii="宋体" w:hAnsi="宋体" w:eastAsia="宋体" w:cs="宋体"/>
          <w:b w:val="0"/>
          <w:bCs w:val="0"/>
          <w:kern w:val="2"/>
          <w:sz w:val="24"/>
          <w:szCs w:val="24"/>
          <w:lang w:val="en-US" w:eastAsia="zh-CN" w:bidi="ar-SA"/>
        </w:rPr>
        <w:t>5.店铺销量排行榜</w:t>
      </w:r>
    </w:p>
    <w:p w14:paraId="2B830E5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drawing>
          <wp:anchor distT="0" distB="0" distL="114300" distR="114300" simplePos="0" relativeHeight="251872256" behindDoc="0" locked="0" layoutInCell="1" allowOverlap="1">
            <wp:simplePos x="0" y="0"/>
            <wp:positionH relativeFrom="column">
              <wp:posOffset>3810</wp:posOffset>
            </wp:positionH>
            <wp:positionV relativeFrom="paragraph">
              <wp:posOffset>2536825</wp:posOffset>
            </wp:positionV>
            <wp:extent cx="5266690" cy="2631440"/>
            <wp:effectExtent l="0" t="0" r="10160" b="16510"/>
            <wp:wrapTopAndBottom/>
            <wp:docPr id="661" name="图片 661" descr="屏幕截图 2025-12-22 08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661" descr="屏幕截图 2025-12-22 085544"/>
                    <pic:cNvPicPr>
                      <a:picLocks noChangeAspect="1"/>
                    </pic:cNvPicPr>
                  </pic:nvPicPr>
                  <pic:blipFill>
                    <a:blip r:embed="rId420"/>
                    <a:stretch>
                      <a:fillRect/>
                    </a:stretch>
                  </pic:blipFill>
                  <pic:spPr>
                    <a:xfrm>
                      <a:off x="0" y="0"/>
                      <a:ext cx="5266690" cy="2631440"/>
                    </a:xfrm>
                    <a:prstGeom prst="rect">
                      <a:avLst/>
                    </a:prstGeom>
                  </pic:spPr>
                </pic:pic>
              </a:graphicData>
            </a:graphic>
          </wp:anchor>
        </w:drawing>
      </w:r>
      <w:r>
        <w:rPr>
          <w:rFonts w:hint="default" w:ascii="宋体" w:hAnsi="宋体" w:eastAsia="宋体" w:cs="宋体"/>
          <w:b w:val="0"/>
          <w:bCs w:val="0"/>
          <w:kern w:val="2"/>
          <w:sz w:val="24"/>
          <w:szCs w:val="24"/>
          <w:lang w:val="en-US" w:eastAsia="zh-CN" w:bidi="ar-SA"/>
        </w:rPr>
        <w:drawing>
          <wp:anchor distT="0" distB="0" distL="114300" distR="114300" simplePos="0" relativeHeight="251871232" behindDoc="0" locked="0" layoutInCell="1" allowOverlap="1">
            <wp:simplePos x="0" y="0"/>
            <wp:positionH relativeFrom="column">
              <wp:posOffset>6985</wp:posOffset>
            </wp:positionH>
            <wp:positionV relativeFrom="paragraph">
              <wp:posOffset>9525</wp:posOffset>
            </wp:positionV>
            <wp:extent cx="5260975" cy="2199005"/>
            <wp:effectExtent l="0" t="0" r="15875" b="10795"/>
            <wp:wrapTopAndBottom/>
            <wp:docPr id="662" name="图片 662" descr="屏幕截图 2025-12-22 08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662" descr="屏幕截图 2025-12-22 085449"/>
                    <pic:cNvPicPr>
                      <a:picLocks noChangeAspect="1"/>
                    </pic:cNvPicPr>
                  </pic:nvPicPr>
                  <pic:blipFill>
                    <a:blip r:embed="rId421"/>
                    <a:stretch>
                      <a:fillRect/>
                    </a:stretch>
                  </pic:blipFill>
                  <pic:spPr>
                    <a:xfrm>
                      <a:off x="0" y="0"/>
                      <a:ext cx="5260975" cy="2199005"/>
                    </a:xfrm>
                    <a:prstGeom prst="rect">
                      <a:avLst/>
                    </a:prstGeom>
                  </pic:spPr>
                </pic:pic>
              </a:graphicData>
            </a:graphic>
          </wp:anchor>
        </w:drawing>
      </w:r>
      <w:r>
        <w:rPr>
          <w:rFonts w:hint="eastAsia" w:ascii="宋体" w:hAnsi="宋体" w:eastAsia="宋体" w:cs="宋体"/>
          <w:b w:val="0"/>
          <w:bCs w:val="0"/>
          <w:kern w:val="2"/>
          <w:sz w:val="24"/>
          <w:szCs w:val="24"/>
          <w:lang w:val="en-US" w:eastAsia="zh-CN" w:bidi="ar-SA"/>
        </w:rPr>
        <w:t>6</w:t>
      </w:r>
      <w:r>
        <w:rPr>
          <w:rFonts w:hint="default" w:ascii="宋体" w:hAnsi="宋体" w:eastAsia="宋体" w:cs="宋体"/>
          <w:b w:val="0"/>
          <w:bCs w:val="0"/>
          <w:kern w:val="2"/>
          <w:sz w:val="24"/>
          <w:szCs w:val="24"/>
          <w:lang w:val="en-US" w:eastAsia="zh-CN" w:bidi="ar-SA"/>
        </w:rPr>
        <w:t>.评论数与销量关系</w:t>
      </w:r>
    </w:p>
    <w:p w14:paraId="6EC3D67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p>
    <w:p w14:paraId="39392068">
      <w:pPr>
        <w:keepNext w:val="0"/>
        <w:keepLines w:val="0"/>
        <w:pageBreakBefore w:val="0"/>
        <w:widowControl w:val="0"/>
        <w:kinsoku/>
        <w:wordWrap/>
        <w:overflowPunct/>
        <w:topLinePunct w:val="0"/>
        <w:autoSpaceDE/>
        <w:autoSpaceDN/>
        <w:bidi w:val="0"/>
        <w:adjustRightInd/>
        <w:snapToGrid/>
        <w:spacing w:line="440" w:lineRule="exact"/>
        <w:ind w:firstLine="420" w:firstLineChars="0"/>
        <w:textAlignment w:val="auto"/>
        <w:rPr>
          <w:rFonts w:hint="default" w:ascii="宋体" w:hAnsi="宋体" w:eastAsia="宋体" w:cs="宋体"/>
          <w:b w:val="0"/>
          <w:bCs w:val="0"/>
          <w:kern w:val="2"/>
          <w:sz w:val="24"/>
          <w:szCs w:val="24"/>
          <w:lang w:val="en-US" w:eastAsia="zh-CN" w:bidi="ar-SA"/>
        </w:rPr>
      </w:pPr>
      <w:r>
        <w:rPr>
          <w:rFonts w:hint="default"/>
          <w:lang w:val="en-US" w:eastAsia="zh-CN"/>
        </w:rPr>
        <w:drawing>
          <wp:anchor distT="0" distB="0" distL="114300" distR="114300" simplePos="0" relativeHeight="251873280" behindDoc="0" locked="0" layoutInCell="1" allowOverlap="1">
            <wp:simplePos x="0" y="0"/>
            <wp:positionH relativeFrom="column">
              <wp:posOffset>5715</wp:posOffset>
            </wp:positionH>
            <wp:positionV relativeFrom="paragraph">
              <wp:posOffset>345440</wp:posOffset>
            </wp:positionV>
            <wp:extent cx="5262880" cy="2374265"/>
            <wp:effectExtent l="0" t="0" r="13970" b="6985"/>
            <wp:wrapTopAndBottom/>
            <wp:docPr id="663" name="图片 663" descr="屏幕截图 2025-12-22 08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663" descr="屏幕截图 2025-12-22 085651"/>
                    <pic:cNvPicPr>
                      <a:picLocks noChangeAspect="1"/>
                    </pic:cNvPicPr>
                  </pic:nvPicPr>
                  <pic:blipFill>
                    <a:blip r:embed="rId422"/>
                    <a:stretch>
                      <a:fillRect/>
                    </a:stretch>
                  </pic:blipFill>
                  <pic:spPr>
                    <a:xfrm>
                      <a:off x="0" y="0"/>
                      <a:ext cx="5262880" cy="2374265"/>
                    </a:xfrm>
                    <a:prstGeom prst="rect">
                      <a:avLst/>
                    </a:prstGeom>
                  </pic:spPr>
                </pic:pic>
              </a:graphicData>
            </a:graphic>
          </wp:anchor>
        </w:drawing>
      </w:r>
      <w:r>
        <w:rPr>
          <w:rFonts w:hint="default" w:ascii="宋体" w:hAnsi="宋体" w:eastAsia="宋体" w:cs="宋体"/>
          <w:b w:val="0"/>
          <w:bCs w:val="0"/>
          <w:kern w:val="2"/>
          <w:sz w:val="24"/>
          <w:szCs w:val="24"/>
          <w:lang w:val="en-US" w:eastAsia="zh-CN" w:bidi="ar-SA"/>
        </w:rPr>
        <w:t>7.30天浏览人数与销量关系</w:t>
      </w:r>
    </w:p>
    <w:p w14:paraId="68FA4D7A">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20" w:firstLineChars="0"/>
        <w:textAlignment w:val="auto"/>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8.</w:t>
      </w:r>
      <w:r>
        <w:rPr>
          <w:rFonts w:hint="default" w:ascii="宋体" w:hAnsi="宋体" w:eastAsia="宋体" w:cs="宋体"/>
          <w:b w:val="0"/>
          <w:bCs w:val="0"/>
          <w:kern w:val="2"/>
          <w:sz w:val="24"/>
          <w:szCs w:val="24"/>
          <w:lang w:val="en-US" w:eastAsia="zh-CN" w:bidi="ar-SA"/>
        </w:rPr>
        <w:t>原价与售价对比图</w:t>
      </w:r>
    </w:p>
    <w:p w14:paraId="08DE998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20" w:firstLineChars="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drawing>
          <wp:anchor distT="0" distB="0" distL="114300" distR="114300" simplePos="0" relativeHeight="251874304" behindDoc="0" locked="0" layoutInCell="1" allowOverlap="1">
            <wp:simplePos x="0" y="0"/>
            <wp:positionH relativeFrom="column">
              <wp:posOffset>132080</wp:posOffset>
            </wp:positionH>
            <wp:positionV relativeFrom="paragraph">
              <wp:posOffset>-136525</wp:posOffset>
            </wp:positionV>
            <wp:extent cx="5273040" cy="2773045"/>
            <wp:effectExtent l="0" t="0" r="3810" b="8255"/>
            <wp:wrapTopAndBottom/>
            <wp:docPr id="664" name="图片 664" descr="屏幕截图 2025-12-22 08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664" descr="屏幕截图 2025-12-22 085800"/>
                    <pic:cNvPicPr>
                      <a:picLocks noChangeAspect="1"/>
                    </pic:cNvPicPr>
                  </pic:nvPicPr>
                  <pic:blipFill>
                    <a:blip r:embed="rId423"/>
                    <a:stretch>
                      <a:fillRect/>
                    </a:stretch>
                  </pic:blipFill>
                  <pic:spPr>
                    <a:xfrm>
                      <a:off x="0" y="0"/>
                      <a:ext cx="5273040" cy="2773045"/>
                    </a:xfrm>
                    <a:prstGeom prst="rect">
                      <a:avLst/>
                    </a:prstGeom>
                  </pic:spPr>
                </pic:pic>
              </a:graphicData>
            </a:graphic>
          </wp:anchor>
        </w:drawing>
      </w:r>
      <w:r>
        <w:rPr>
          <w:rFonts w:hint="eastAsia" w:ascii="宋体" w:hAnsi="宋体" w:eastAsia="宋体" w:cs="宋体"/>
          <w:b w:val="0"/>
          <w:bCs w:val="0"/>
          <w:kern w:val="2"/>
          <w:sz w:val="24"/>
          <w:szCs w:val="24"/>
          <w:lang w:val="en-US" w:eastAsia="zh-CN" w:bidi="ar-SA"/>
        </w:rPr>
        <w:t>9.销量分布箱线图</w:t>
      </w:r>
    </w:p>
    <w:p w14:paraId="2DAA596B">
      <w:pPr>
        <w:outlineLvl w:val="9"/>
        <w:rPr>
          <w:rFonts w:hint="eastAsia"/>
          <w:lang w:val="en-US" w:eastAsia="zh-CN"/>
        </w:rPr>
      </w:pPr>
      <w:r>
        <w:rPr>
          <w:rFonts w:hint="eastAsia" w:asciiTheme="minorHAnsi" w:eastAsiaTheme="minorEastAsia"/>
          <w:lang w:val="en-US" w:eastAsia="zh-CN"/>
        </w:rPr>
        <w:drawing>
          <wp:inline distT="0" distB="0" distL="114300" distR="114300">
            <wp:extent cx="5271135" cy="2515235"/>
            <wp:effectExtent l="0" t="0" r="5715" b="18415"/>
            <wp:docPr id="665" name="图片 665" descr="屏幕截图 2025-12-22 09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665" descr="屏幕截图 2025-12-22 090331"/>
                    <pic:cNvPicPr>
                      <a:picLocks noChangeAspect="1"/>
                    </pic:cNvPicPr>
                  </pic:nvPicPr>
                  <pic:blipFill>
                    <a:blip r:embed="rId424"/>
                    <a:stretch>
                      <a:fillRect/>
                    </a:stretch>
                  </pic:blipFill>
                  <pic:spPr>
                    <a:xfrm>
                      <a:off x="0" y="0"/>
                      <a:ext cx="5271135" cy="2515235"/>
                    </a:xfrm>
                    <a:prstGeom prst="rect">
                      <a:avLst/>
                    </a:prstGeom>
                  </pic:spPr>
                </pic:pic>
              </a:graphicData>
            </a:graphic>
          </wp:inline>
        </w:drawing>
      </w:r>
    </w:p>
    <w:p w14:paraId="49B1C65A">
      <w:pPr>
        <w:spacing w:line="440" w:lineRule="exact"/>
        <w:outlineLvl w:val="9"/>
        <w:rPr>
          <w:rFonts w:hint="eastAsia" w:eastAsia="宋体" w:cs="Times New Roman"/>
          <w:b/>
          <w:bCs/>
          <w:sz w:val="28"/>
          <w:szCs w:val="28"/>
          <w:lang w:val="en-US" w:eastAsia="zh-CN"/>
        </w:rPr>
      </w:pPr>
      <w:bookmarkStart w:id="1188" w:name="_Toc6421"/>
      <w:bookmarkStart w:id="1189" w:name="_Toc6546"/>
      <w:bookmarkStart w:id="1190" w:name="_Toc14788"/>
      <w:bookmarkStart w:id="1191" w:name="_Toc15761"/>
      <w:r>
        <w:rPr>
          <w:rFonts w:hint="eastAsia" w:eastAsia="宋体" w:cs="Times New Roman"/>
          <w:b/>
          <w:bCs/>
          <w:sz w:val="28"/>
          <w:szCs w:val="28"/>
          <w:lang w:val="en-US" w:eastAsia="zh-CN"/>
        </w:rPr>
        <w:t>6系统功能演示</w:t>
      </w:r>
      <w:bookmarkEnd w:id="1188"/>
      <w:bookmarkEnd w:id="1189"/>
      <w:bookmarkEnd w:id="1190"/>
      <w:bookmarkEnd w:id="1191"/>
    </w:p>
    <w:p w14:paraId="29A5E5A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bookmarkStart w:id="1192" w:name="_Toc29425"/>
      <w:bookmarkStart w:id="1193" w:name="_Toc465"/>
      <w:bookmarkStart w:id="1194" w:name="_Toc1337"/>
      <w:bookmarkStart w:id="1195" w:name="_Toc12670"/>
      <w:r>
        <w:rPr>
          <w:rFonts w:hint="default" w:ascii="宋体" w:hAnsi="宋体" w:eastAsia="宋体" w:cs="宋体"/>
          <w:b w:val="0"/>
          <w:bCs w:val="0"/>
          <w:kern w:val="2"/>
          <w:sz w:val="24"/>
          <w:szCs w:val="24"/>
          <w:lang w:val="en-US" w:eastAsia="zh-CN" w:bidi="ar-SA"/>
        </w:rPr>
        <w:t>6.1 数据可视化功能展示</w:t>
      </w:r>
      <w:bookmarkEnd w:id="1192"/>
      <w:bookmarkEnd w:id="1193"/>
      <w:bookmarkEnd w:id="1194"/>
      <w:bookmarkEnd w:id="1195"/>
    </w:p>
    <w:p w14:paraId="0DC712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r>
        <w:rPr>
          <w:rFonts w:hint="default" w:ascii="宋体" w:hAnsi="宋体" w:eastAsia="宋体" w:cs="宋体"/>
          <w:b w:val="0"/>
          <w:bCs w:val="0"/>
          <w:kern w:val="2"/>
          <w:sz w:val="24"/>
          <w:szCs w:val="24"/>
          <w:lang w:val="en-US" w:eastAsia="zh-CN" w:bidi="ar-SA"/>
        </w:rPr>
        <w:t>.服饰颜色</w:t>
      </w:r>
      <w:r>
        <w:rPr>
          <w:rFonts w:hint="eastAsia" w:ascii="宋体" w:hAnsi="宋体" w:cs="宋体"/>
          <w:b w:val="0"/>
          <w:bCs w:val="0"/>
          <w:kern w:val="2"/>
          <w:sz w:val="24"/>
          <w:szCs w:val="24"/>
          <w:lang w:val="en-US" w:eastAsia="zh-CN" w:bidi="ar-SA"/>
        </w:rPr>
        <w:t>分布</w:t>
      </w:r>
    </w:p>
    <w:p w14:paraId="621EBF4F">
      <w:pPr>
        <w:keepNext/>
        <w:keepLines/>
        <w:widowControl w:val="0"/>
        <w:tabs>
          <w:tab w:val="left" w:pos="1584"/>
        </w:tabs>
        <w:spacing w:before="240" w:after="64" w:line="320" w:lineRule="auto"/>
        <w:ind w:left="1584" w:hanging="1584"/>
        <w:jc w:val="both"/>
        <w:outlineLvl w:val="9"/>
        <w:rPr>
          <w:rFonts w:hint="default" w:ascii="宋体" w:hAnsi="宋体" w:eastAsia="宋体" w:cs="宋体"/>
          <w:b w:val="0"/>
          <w:bCs w:val="0"/>
          <w:kern w:val="2"/>
          <w:sz w:val="24"/>
          <w:szCs w:val="24"/>
          <w:lang w:val="en-US" w:eastAsia="zh-CN" w:bidi="ar-SA"/>
        </w:rPr>
      </w:pPr>
      <w:r>
        <w:rPr>
          <w:rFonts w:hint="default" w:ascii="Arial" w:hAnsi="Arial" w:eastAsia="黑体" w:cs="Times New Roman"/>
          <w:kern w:val="2"/>
          <w:sz w:val="21"/>
          <w:szCs w:val="24"/>
          <w:lang w:val="en-US" w:eastAsia="zh-CN" w:bidi="ar-SA"/>
        </w:rPr>
        <w:drawing>
          <wp:inline distT="0" distB="0" distL="114300" distR="114300">
            <wp:extent cx="5069840" cy="4310380"/>
            <wp:effectExtent l="0" t="0" r="16510" b="13970"/>
            <wp:docPr id="666" name="图片 666" descr="服饰颜色分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666" descr="服饰颜色分布"/>
                    <pic:cNvPicPr>
                      <a:picLocks noChangeAspect="1"/>
                    </pic:cNvPicPr>
                  </pic:nvPicPr>
                  <pic:blipFill>
                    <a:blip r:embed="rId425"/>
                    <a:stretch>
                      <a:fillRect/>
                    </a:stretch>
                  </pic:blipFill>
                  <pic:spPr>
                    <a:xfrm>
                      <a:off x="0" y="0"/>
                      <a:ext cx="5069840" cy="4310380"/>
                    </a:xfrm>
                    <a:prstGeom prst="rect">
                      <a:avLst/>
                    </a:prstGeom>
                  </pic:spPr>
                </pic:pic>
              </a:graphicData>
            </a:graphic>
          </wp:inline>
        </w:drawing>
      </w:r>
    </w:p>
    <w:p w14:paraId="78036890">
      <w:pPr>
        <w:spacing w:line="440" w:lineRule="exact"/>
        <w:ind w:firstLine="420" w:firstLineChars="200"/>
        <w:jc w:val="center"/>
        <w:outlineLvl w:val="9"/>
        <w:rPr>
          <w:rFonts w:hint="default"/>
          <w:bCs/>
          <w:color w:val="000000"/>
          <w:kern w:val="0"/>
          <w:szCs w:val="21"/>
          <w:highlight w:val="none"/>
          <w:lang w:val="en-US" w:eastAsia="zh-CN"/>
        </w:rPr>
      </w:pPr>
      <w:bookmarkStart w:id="1196" w:name="_Toc19009"/>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 xml:space="preserve">-1   </w:t>
      </w:r>
      <w:r>
        <w:rPr>
          <w:rFonts w:hint="default"/>
          <w:bCs/>
          <w:color w:val="000000"/>
          <w:kern w:val="0"/>
          <w:szCs w:val="21"/>
          <w:highlight w:val="none"/>
          <w:lang w:val="en-US" w:eastAsia="zh-CN"/>
        </w:rPr>
        <w:t>服饰颜色</w:t>
      </w:r>
      <w:r>
        <w:rPr>
          <w:rFonts w:hint="eastAsia" w:asciiTheme="minorHAnsi" w:eastAsiaTheme="minorEastAsia"/>
          <w:bCs/>
          <w:color w:val="000000"/>
          <w:kern w:val="0"/>
          <w:szCs w:val="21"/>
          <w:highlight w:val="none"/>
          <w:lang w:val="en-US" w:eastAsia="zh-CN"/>
        </w:rPr>
        <w:t>分布图</w:t>
      </w:r>
      <w:bookmarkEnd w:id="1196"/>
    </w:p>
    <w:p w14:paraId="00D8D775">
      <w:pPr>
        <w:bidi w:val="0"/>
        <w:outlineLvl w:val="9"/>
        <w:rPr>
          <w:rFonts w:hint="default"/>
          <w:lang w:val="en-US" w:eastAsia="zh-CN"/>
        </w:rPr>
      </w:pPr>
    </w:p>
    <w:p w14:paraId="351B02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drawing>
          <wp:anchor distT="0" distB="0" distL="114300" distR="114300" simplePos="0" relativeHeight="251875328" behindDoc="0" locked="0" layoutInCell="1" allowOverlap="1">
            <wp:simplePos x="0" y="0"/>
            <wp:positionH relativeFrom="column">
              <wp:posOffset>-125095</wp:posOffset>
            </wp:positionH>
            <wp:positionV relativeFrom="paragraph">
              <wp:posOffset>490220</wp:posOffset>
            </wp:positionV>
            <wp:extent cx="5219700" cy="2727325"/>
            <wp:effectExtent l="0" t="0" r="0" b="15875"/>
            <wp:wrapTopAndBottom/>
            <wp:docPr id="667" name="图片 667" descr="售价分布直方图"/>
            <wp:cNvGraphicFramePr/>
            <a:graphic xmlns:a="http://schemas.openxmlformats.org/drawingml/2006/main">
              <a:graphicData uri="http://schemas.openxmlformats.org/drawingml/2006/picture">
                <pic:pic xmlns:pic="http://schemas.openxmlformats.org/drawingml/2006/picture">
                  <pic:nvPicPr>
                    <pic:cNvPr id="667" name="图片 667" descr="售价分布直方图"/>
                    <pic:cNvPicPr/>
                  </pic:nvPicPr>
                  <pic:blipFill>
                    <a:blip r:embed="rId426"/>
                    <a:stretch>
                      <a:fillRect/>
                    </a:stretch>
                  </pic:blipFill>
                  <pic:spPr>
                    <a:xfrm>
                      <a:off x="0" y="0"/>
                      <a:ext cx="5219700" cy="2727325"/>
                    </a:xfrm>
                    <a:prstGeom prst="rect">
                      <a:avLst/>
                    </a:prstGeom>
                  </pic:spPr>
                </pic:pic>
              </a:graphicData>
            </a:graphic>
          </wp:anchor>
        </w:drawing>
      </w:r>
      <w:r>
        <w:rPr>
          <w:rFonts w:hint="eastAsia" w:ascii="宋体" w:hAnsi="宋体" w:eastAsia="宋体" w:cs="宋体"/>
          <w:b w:val="0"/>
          <w:bCs w:val="0"/>
          <w:kern w:val="2"/>
          <w:sz w:val="24"/>
          <w:szCs w:val="24"/>
          <w:lang w:val="en-US" w:eastAsia="zh-CN" w:bidi="ar-SA"/>
        </w:rPr>
        <w:t>2</w:t>
      </w:r>
      <w:r>
        <w:rPr>
          <w:rFonts w:hint="eastAsia" w:ascii="宋体" w:hAnsi="宋体" w:cs="宋体"/>
          <w:b w:val="0"/>
          <w:bCs w:val="0"/>
          <w:kern w:val="2"/>
          <w:sz w:val="24"/>
          <w:szCs w:val="24"/>
          <w:lang w:val="en-US" w:eastAsia="zh-CN" w:bidi="ar-SA"/>
        </w:rPr>
        <w:t>.服饰</w:t>
      </w:r>
      <w:r>
        <w:rPr>
          <w:rFonts w:hint="default" w:ascii="宋体" w:hAnsi="宋体" w:cs="宋体"/>
          <w:b w:val="0"/>
          <w:bCs w:val="0"/>
          <w:kern w:val="2"/>
          <w:sz w:val="24"/>
          <w:szCs w:val="24"/>
          <w:lang w:val="en-US" w:eastAsia="zh-CN" w:bidi="ar-SA"/>
        </w:rPr>
        <w:t>售价分布</w:t>
      </w:r>
    </w:p>
    <w:p w14:paraId="7BF12F6A">
      <w:pPr>
        <w:spacing w:line="440" w:lineRule="exact"/>
        <w:ind w:firstLine="420" w:firstLineChars="200"/>
        <w:jc w:val="center"/>
        <w:outlineLvl w:val="9"/>
        <w:rPr>
          <w:rFonts w:hint="eastAsia"/>
          <w:bCs/>
          <w:color w:val="000000"/>
          <w:kern w:val="0"/>
          <w:szCs w:val="21"/>
          <w:highlight w:val="none"/>
          <w:lang w:val="en-US" w:eastAsia="zh-CN"/>
        </w:rPr>
      </w:pPr>
      <w:bookmarkStart w:id="1197" w:name="_Toc347"/>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2</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服饰</w:t>
      </w:r>
      <w:r>
        <w:rPr>
          <w:rFonts w:hint="default"/>
          <w:bCs/>
          <w:color w:val="000000"/>
          <w:kern w:val="0"/>
          <w:szCs w:val="21"/>
          <w:highlight w:val="none"/>
          <w:lang w:val="en-US" w:eastAsia="zh-CN"/>
        </w:rPr>
        <w:t>售价分布</w:t>
      </w:r>
      <w:r>
        <w:rPr>
          <w:rFonts w:hint="eastAsia" w:asciiTheme="minorHAnsi" w:eastAsiaTheme="minorEastAsia"/>
          <w:bCs/>
          <w:color w:val="000000"/>
          <w:kern w:val="0"/>
          <w:szCs w:val="21"/>
          <w:highlight w:val="none"/>
          <w:lang w:val="en-US" w:eastAsia="zh-CN"/>
        </w:rPr>
        <w:t>图</w:t>
      </w:r>
      <w:bookmarkEnd w:id="1197"/>
    </w:p>
    <w:p w14:paraId="0E51A5D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r>
        <w:rPr>
          <w:rFonts w:hint="eastAsia" w:ascii="宋体" w:hAnsi="宋体" w:cs="宋体"/>
          <w:b w:val="0"/>
          <w:bCs w:val="0"/>
          <w:kern w:val="2"/>
          <w:sz w:val="24"/>
          <w:szCs w:val="24"/>
          <w:lang w:val="en-US" w:eastAsia="zh-CN" w:bidi="ar-SA"/>
        </w:rPr>
        <w:t>销量TOP10</w:t>
      </w:r>
      <w:r>
        <w:rPr>
          <w:rFonts w:hint="default" w:ascii="宋体" w:hAnsi="宋体" w:eastAsia="宋体" w:cs="宋体"/>
          <w:b w:val="0"/>
          <w:bCs w:val="0"/>
          <w:kern w:val="2"/>
          <w:sz w:val="24"/>
          <w:szCs w:val="24"/>
          <w:lang w:val="en-US" w:eastAsia="zh-CN" w:bidi="ar-SA"/>
        </w:rPr>
        <w:t>店铺</w:t>
      </w:r>
    </w:p>
    <w:p w14:paraId="53856ACA">
      <w:pPr>
        <w:spacing w:line="440" w:lineRule="exact"/>
        <w:ind w:firstLine="420" w:firstLineChars="200"/>
        <w:jc w:val="center"/>
        <w:outlineLvl w:val="9"/>
        <w:rPr>
          <w:rFonts w:hint="eastAsia" w:ascii="宋体" w:hAnsi="宋体" w:eastAsia="宋体" w:cs="宋体"/>
          <w:b w:val="0"/>
          <w:bCs w:val="0"/>
          <w:kern w:val="2"/>
          <w:sz w:val="24"/>
          <w:szCs w:val="24"/>
          <w:lang w:val="en-US" w:eastAsia="zh-CN" w:bidi="ar-SA"/>
        </w:rPr>
      </w:pPr>
      <w:bookmarkStart w:id="1198" w:name="_Toc5178"/>
      <w:r>
        <w:rPr>
          <w:rFonts w:hint="default"/>
          <w:bCs/>
          <w:color w:val="000000"/>
          <w:kern w:val="0"/>
          <w:szCs w:val="21"/>
          <w:highlight w:val="none"/>
          <w:lang w:val="en-US" w:eastAsia="zh-CN"/>
        </w:rPr>
        <w:drawing>
          <wp:anchor distT="0" distB="0" distL="114300" distR="114300" simplePos="0" relativeHeight="251876352" behindDoc="0" locked="0" layoutInCell="1" allowOverlap="1">
            <wp:simplePos x="0" y="0"/>
            <wp:positionH relativeFrom="column">
              <wp:posOffset>27305</wp:posOffset>
            </wp:positionH>
            <wp:positionV relativeFrom="paragraph">
              <wp:posOffset>25400</wp:posOffset>
            </wp:positionV>
            <wp:extent cx="5219700" cy="3384550"/>
            <wp:effectExtent l="0" t="0" r="0" b="6350"/>
            <wp:wrapTopAndBottom/>
            <wp:docPr id="668" name="图片 668" descr="销量TOP10店铺"/>
            <wp:cNvGraphicFramePr/>
            <a:graphic xmlns:a="http://schemas.openxmlformats.org/drawingml/2006/main">
              <a:graphicData uri="http://schemas.openxmlformats.org/drawingml/2006/picture">
                <pic:pic xmlns:pic="http://schemas.openxmlformats.org/drawingml/2006/picture">
                  <pic:nvPicPr>
                    <pic:cNvPr id="668" name="图片 668" descr="销量TOP10店铺"/>
                    <pic:cNvPicPr/>
                  </pic:nvPicPr>
                  <pic:blipFill>
                    <a:blip r:embed="rId427"/>
                    <a:stretch>
                      <a:fillRect/>
                    </a:stretch>
                  </pic:blipFill>
                  <pic:spPr>
                    <a:xfrm>
                      <a:off x="0" y="0"/>
                      <a:ext cx="5219700" cy="3384550"/>
                    </a:xfrm>
                    <a:prstGeom prst="rect">
                      <a:avLst/>
                    </a:prstGeom>
                  </pic:spPr>
                </pic:pic>
              </a:graphicData>
            </a:graphic>
          </wp:anchor>
        </w:drawing>
      </w:r>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3</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销量TOP10</w:t>
      </w:r>
      <w:r>
        <w:rPr>
          <w:rFonts w:hint="default"/>
          <w:bCs/>
          <w:color w:val="000000"/>
          <w:kern w:val="0"/>
          <w:szCs w:val="21"/>
          <w:highlight w:val="none"/>
          <w:lang w:val="en-US" w:eastAsia="zh-CN"/>
        </w:rPr>
        <w:t>店铺</w:t>
      </w:r>
      <w:r>
        <w:rPr>
          <w:rFonts w:hint="eastAsia" w:asciiTheme="minorHAnsi" w:eastAsiaTheme="minorEastAsia"/>
          <w:bCs/>
          <w:color w:val="000000"/>
          <w:kern w:val="0"/>
          <w:szCs w:val="21"/>
          <w:highlight w:val="none"/>
          <w:lang w:val="en-US" w:eastAsia="zh-CN"/>
        </w:rPr>
        <w:t>图</w:t>
      </w:r>
      <w:bookmarkEnd w:id="1198"/>
    </w:p>
    <w:p w14:paraId="240E406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drawing>
          <wp:anchor distT="0" distB="0" distL="114300" distR="114300" simplePos="0" relativeHeight="251877376" behindDoc="0" locked="0" layoutInCell="1" allowOverlap="1">
            <wp:simplePos x="0" y="0"/>
            <wp:positionH relativeFrom="column">
              <wp:posOffset>27305</wp:posOffset>
            </wp:positionH>
            <wp:positionV relativeFrom="paragraph">
              <wp:posOffset>476250</wp:posOffset>
            </wp:positionV>
            <wp:extent cx="5219700" cy="3476625"/>
            <wp:effectExtent l="0" t="0" r="0" b="9525"/>
            <wp:wrapTopAndBottom/>
            <wp:docPr id="669" name="图片 669" descr="评论数与销量关系图"/>
            <wp:cNvGraphicFramePr/>
            <a:graphic xmlns:a="http://schemas.openxmlformats.org/drawingml/2006/main">
              <a:graphicData uri="http://schemas.openxmlformats.org/drawingml/2006/picture">
                <pic:pic xmlns:pic="http://schemas.openxmlformats.org/drawingml/2006/picture">
                  <pic:nvPicPr>
                    <pic:cNvPr id="669" name="图片 669" descr="评论数与销量关系图"/>
                    <pic:cNvPicPr/>
                  </pic:nvPicPr>
                  <pic:blipFill>
                    <a:blip r:embed="rId428"/>
                    <a:stretch>
                      <a:fillRect/>
                    </a:stretch>
                  </pic:blipFill>
                  <pic:spPr>
                    <a:xfrm>
                      <a:off x="0" y="0"/>
                      <a:ext cx="5219700" cy="3476625"/>
                    </a:xfrm>
                    <a:prstGeom prst="rect">
                      <a:avLst/>
                    </a:prstGeom>
                  </pic:spPr>
                </pic:pic>
              </a:graphicData>
            </a:graphic>
          </wp:anchor>
        </w:drawing>
      </w:r>
      <w:r>
        <w:rPr>
          <w:rFonts w:hint="eastAsia" w:ascii="宋体" w:hAnsi="宋体" w:eastAsia="宋体" w:cs="宋体"/>
          <w:b w:val="0"/>
          <w:bCs w:val="0"/>
          <w:kern w:val="2"/>
          <w:sz w:val="24"/>
          <w:szCs w:val="24"/>
          <w:lang w:val="en-US" w:eastAsia="zh-CN" w:bidi="ar-SA"/>
        </w:rPr>
        <w:t>4.</w:t>
      </w:r>
      <w:r>
        <w:rPr>
          <w:rFonts w:hint="default" w:ascii="宋体" w:hAnsi="宋体" w:eastAsia="宋体" w:cs="宋体"/>
          <w:b w:val="0"/>
          <w:bCs w:val="0"/>
          <w:kern w:val="2"/>
          <w:sz w:val="24"/>
          <w:szCs w:val="24"/>
          <w:lang w:val="en-US" w:eastAsia="zh-CN" w:bidi="ar-SA"/>
        </w:rPr>
        <w:t>评论数与销量关系</w:t>
      </w:r>
    </w:p>
    <w:p w14:paraId="107FDA82">
      <w:pPr>
        <w:spacing w:line="440" w:lineRule="exact"/>
        <w:ind w:firstLine="420" w:firstLineChars="200"/>
        <w:jc w:val="center"/>
        <w:outlineLvl w:val="9"/>
        <w:rPr>
          <w:rFonts w:hint="eastAsia"/>
          <w:bCs/>
          <w:color w:val="000000"/>
          <w:kern w:val="0"/>
          <w:szCs w:val="21"/>
          <w:highlight w:val="none"/>
          <w:lang w:val="en-US" w:eastAsia="zh-CN"/>
        </w:rPr>
      </w:pPr>
      <w:bookmarkStart w:id="1199" w:name="_Toc14021"/>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4</w:t>
      </w:r>
      <w:r>
        <w:rPr>
          <w:rFonts w:hint="eastAsia"/>
          <w:bCs/>
          <w:color w:val="000000"/>
          <w:kern w:val="0"/>
          <w:szCs w:val="21"/>
          <w:highlight w:val="none"/>
        </w:rPr>
        <w:t xml:space="preserve">   </w:t>
      </w:r>
      <w:r>
        <w:rPr>
          <w:rFonts w:hint="default"/>
          <w:bCs/>
          <w:color w:val="000000"/>
          <w:kern w:val="0"/>
          <w:szCs w:val="21"/>
          <w:highlight w:val="none"/>
          <w:lang w:val="en-US" w:eastAsia="zh-CN"/>
        </w:rPr>
        <w:t>评论数与销量关系</w:t>
      </w:r>
      <w:r>
        <w:rPr>
          <w:rFonts w:hint="eastAsia" w:asciiTheme="minorHAnsi" w:eastAsiaTheme="minorEastAsia"/>
          <w:bCs/>
          <w:color w:val="000000"/>
          <w:kern w:val="0"/>
          <w:szCs w:val="21"/>
          <w:highlight w:val="none"/>
          <w:lang w:val="en-US" w:eastAsia="zh-CN"/>
        </w:rPr>
        <w:t>图</w:t>
      </w:r>
      <w:bookmarkEnd w:id="1199"/>
    </w:p>
    <w:p w14:paraId="13076AEF">
      <w:pPr>
        <w:spacing w:line="440" w:lineRule="exact"/>
        <w:ind w:firstLine="420" w:firstLineChars="200"/>
        <w:jc w:val="center"/>
        <w:outlineLvl w:val="9"/>
        <w:rPr>
          <w:rFonts w:hint="default"/>
          <w:bCs/>
          <w:color w:val="000000"/>
          <w:kern w:val="0"/>
          <w:szCs w:val="21"/>
          <w:highlight w:val="none"/>
          <w:lang w:val="en-US" w:eastAsia="zh-CN"/>
        </w:rPr>
      </w:pPr>
    </w:p>
    <w:p w14:paraId="68A85BF1">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宋体" w:hAnsi="宋体" w:eastAsia="宋体" w:cs="宋体"/>
          <w:b w:val="0"/>
          <w:bCs w:val="0"/>
          <w:kern w:val="2"/>
          <w:sz w:val="24"/>
          <w:szCs w:val="24"/>
          <w:lang w:val="en-US" w:eastAsia="zh-CN" w:bidi="ar-SA"/>
        </w:rPr>
      </w:pPr>
    </w:p>
    <w:p w14:paraId="363B83A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5</w:t>
      </w:r>
      <w:r>
        <w:rPr>
          <w:rFonts w:hint="default" w:ascii="宋体" w:hAnsi="宋体" w:eastAsia="宋体" w:cs="宋体"/>
          <w:b w:val="0"/>
          <w:bCs w:val="0"/>
          <w:kern w:val="2"/>
          <w:sz w:val="24"/>
          <w:szCs w:val="24"/>
          <w:lang w:val="en-US" w:eastAsia="zh-CN" w:bidi="ar-SA"/>
        </w:rPr>
        <w:t>.30天浏览人数分布</w:t>
      </w:r>
    </w:p>
    <w:p w14:paraId="783FF842">
      <w:pPr>
        <w:spacing w:line="440" w:lineRule="exact"/>
        <w:ind w:firstLine="420" w:firstLineChars="200"/>
        <w:jc w:val="center"/>
        <w:outlineLvl w:val="9"/>
        <w:rPr>
          <w:rFonts w:hint="default"/>
          <w:bCs/>
          <w:color w:val="000000"/>
          <w:kern w:val="0"/>
          <w:szCs w:val="21"/>
          <w:highlight w:val="none"/>
          <w:lang w:val="en-US" w:eastAsia="zh-CN"/>
        </w:rPr>
      </w:pPr>
      <w:bookmarkStart w:id="1200" w:name="_Toc29340"/>
      <w:r>
        <w:rPr>
          <w:rFonts w:hint="default"/>
          <w:bCs/>
          <w:color w:val="000000"/>
          <w:kern w:val="0"/>
          <w:szCs w:val="21"/>
          <w:highlight w:val="none"/>
          <w:lang w:val="en-US" w:eastAsia="zh-CN"/>
        </w:rPr>
        <w:drawing>
          <wp:anchor distT="0" distB="0" distL="114300" distR="114300" simplePos="0" relativeHeight="251880448" behindDoc="0" locked="0" layoutInCell="1" allowOverlap="1">
            <wp:simplePos x="0" y="0"/>
            <wp:positionH relativeFrom="column">
              <wp:posOffset>3810</wp:posOffset>
            </wp:positionH>
            <wp:positionV relativeFrom="paragraph">
              <wp:posOffset>101600</wp:posOffset>
            </wp:positionV>
            <wp:extent cx="5266690" cy="3060700"/>
            <wp:effectExtent l="0" t="0" r="10160" b="6350"/>
            <wp:wrapTopAndBottom/>
            <wp:docPr id="670" name="图片 670" descr="30天浏览人数分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670" descr="30天浏览人数分布"/>
                    <pic:cNvPicPr>
                      <a:picLocks noChangeAspect="1"/>
                    </pic:cNvPicPr>
                  </pic:nvPicPr>
                  <pic:blipFill>
                    <a:blip r:embed="rId429"/>
                    <a:stretch>
                      <a:fillRect/>
                    </a:stretch>
                  </pic:blipFill>
                  <pic:spPr>
                    <a:xfrm>
                      <a:off x="0" y="0"/>
                      <a:ext cx="5266690" cy="3060700"/>
                    </a:xfrm>
                    <a:prstGeom prst="rect">
                      <a:avLst/>
                    </a:prstGeom>
                  </pic:spPr>
                </pic:pic>
              </a:graphicData>
            </a:graphic>
          </wp:anchor>
        </w:drawing>
      </w:r>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5</w:t>
      </w:r>
      <w:r>
        <w:rPr>
          <w:rFonts w:hint="eastAsia"/>
          <w:bCs/>
          <w:color w:val="000000"/>
          <w:kern w:val="0"/>
          <w:szCs w:val="21"/>
          <w:highlight w:val="none"/>
        </w:rPr>
        <w:t xml:space="preserve">   </w:t>
      </w:r>
      <w:r>
        <w:rPr>
          <w:rFonts w:hint="default"/>
          <w:bCs/>
          <w:color w:val="000000"/>
          <w:kern w:val="0"/>
          <w:szCs w:val="21"/>
          <w:highlight w:val="none"/>
          <w:lang w:val="en-US" w:eastAsia="zh-CN"/>
        </w:rPr>
        <w:t>30天浏览人数分布</w:t>
      </w:r>
      <w:r>
        <w:rPr>
          <w:rFonts w:hint="eastAsia" w:asciiTheme="minorHAnsi" w:eastAsiaTheme="minorEastAsia"/>
          <w:bCs/>
          <w:color w:val="000000"/>
          <w:kern w:val="0"/>
          <w:szCs w:val="21"/>
          <w:highlight w:val="none"/>
          <w:lang w:val="en-US" w:eastAsia="zh-CN"/>
        </w:rPr>
        <w:t>图</w:t>
      </w:r>
      <w:bookmarkEnd w:id="1200"/>
    </w:p>
    <w:p w14:paraId="665B06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bookmarkStart w:id="1201" w:name="_Toc18088"/>
      <w:bookmarkStart w:id="1202" w:name="_Toc30179"/>
      <w:r>
        <w:rPr>
          <w:rFonts w:hint="default" w:ascii="宋体" w:hAnsi="宋体" w:eastAsia="宋体" w:cs="宋体"/>
          <w:b w:val="0"/>
          <w:bCs w:val="0"/>
          <w:kern w:val="2"/>
          <w:sz w:val="24"/>
          <w:szCs w:val="24"/>
          <w:lang w:val="en-US" w:eastAsia="zh-CN" w:bidi="ar-SA"/>
        </w:rPr>
        <w:drawing>
          <wp:anchor distT="0" distB="0" distL="114300" distR="114300" simplePos="0" relativeHeight="251878400" behindDoc="0" locked="0" layoutInCell="1" allowOverlap="1">
            <wp:simplePos x="0" y="0"/>
            <wp:positionH relativeFrom="column">
              <wp:posOffset>27305</wp:posOffset>
            </wp:positionH>
            <wp:positionV relativeFrom="paragraph">
              <wp:posOffset>431800</wp:posOffset>
            </wp:positionV>
            <wp:extent cx="5219700" cy="3298825"/>
            <wp:effectExtent l="0" t="0" r="0" b="15875"/>
            <wp:wrapTopAndBottom/>
            <wp:docPr id="671" name="图片 671" descr="屏幕截图 2025-12-31 103646"/>
            <wp:cNvGraphicFramePr/>
            <a:graphic xmlns:a="http://schemas.openxmlformats.org/drawingml/2006/main">
              <a:graphicData uri="http://schemas.openxmlformats.org/drawingml/2006/picture">
                <pic:pic xmlns:pic="http://schemas.openxmlformats.org/drawingml/2006/picture">
                  <pic:nvPicPr>
                    <pic:cNvPr id="671" name="图片 671" descr="屏幕截图 2025-12-31 103646"/>
                    <pic:cNvPicPr/>
                  </pic:nvPicPr>
                  <pic:blipFill>
                    <a:blip r:embed="rId430"/>
                    <a:stretch>
                      <a:fillRect/>
                    </a:stretch>
                  </pic:blipFill>
                  <pic:spPr>
                    <a:xfrm>
                      <a:off x="0" y="0"/>
                      <a:ext cx="5219700" cy="3298825"/>
                    </a:xfrm>
                    <a:prstGeom prst="rect">
                      <a:avLst/>
                    </a:prstGeom>
                  </pic:spPr>
                </pic:pic>
              </a:graphicData>
            </a:graphic>
          </wp:anchor>
        </w:drawing>
      </w:r>
      <w:r>
        <w:rPr>
          <w:rFonts w:hint="eastAsia" w:ascii="宋体" w:hAnsi="宋体" w:eastAsia="宋体" w:cs="宋体"/>
          <w:b w:val="0"/>
          <w:bCs w:val="0"/>
          <w:kern w:val="2"/>
          <w:sz w:val="24"/>
          <w:szCs w:val="24"/>
          <w:lang w:val="en-US" w:eastAsia="zh-CN" w:bidi="ar-SA"/>
        </w:rPr>
        <w:t>6.2</w:t>
      </w:r>
      <w:r>
        <w:rPr>
          <w:rFonts w:hint="eastAsia" w:ascii="宋体" w:hAnsi="宋体" w:cs="宋体"/>
          <w:b w:val="0"/>
          <w:bCs w:val="0"/>
          <w:kern w:val="2"/>
          <w:sz w:val="24"/>
          <w:szCs w:val="24"/>
          <w:lang w:val="en-US" w:eastAsia="zh-CN" w:bidi="ar-SA"/>
        </w:rPr>
        <w:t xml:space="preserve"> </w:t>
      </w:r>
      <w:r>
        <w:rPr>
          <w:rFonts w:hint="eastAsia" w:ascii="宋体" w:hAnsi="宋体" w:eastAsia="宋体" w:cs="宋体"/>
          <w:b w:val="0"/>
          <w:bCs w:val="0"/>
          <w:kern w:val="2"/>
          <w:sz w:val="24"/>
          <w:szCs w:val="24"/>
          <w:lang w:val="en-US" w:eastAsia="zh-CN" w:bidi="ar-SA"/>
        </w:rPr>
        <w:t>可视化大屏</w:t>
      </w:r>
      <w:bookmarkEnd w:id="1201"/>
      <w:bookmarkEnd w:id="1202"/>
    </w:p>
    <w:p w14:paraId="29B9FED3">
      <w:pPr>
        <w:spacing w:line="440" w:lineRule="exact"/>
        <w:ind w:firstLine="420" w:firstLineChars="200"/>
        <w:jc w:val="center"/>
        <w:outlineLvl w:val="9"/>
        <w:rPr>
          <w:rFonts w:hint="default"/>
          <w:bCs/>
          <w:color w:val="000000"/>
          <w:kern w:val="0"/>
          <w:szCs w:val="21"/>
          <w:highlight w:val="none"/>
          <w:lang w:val="en-US" w:eastAsia="zh-CN"/>
        </w:rPr>
      </w:pPr>
      <w:bookmarkStart w:id="1203" w:name="_Toc9241"/>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Sugar BI可视化大屏展示图</w:t>
      </w:r>
      <w:bookmarkEnd w:id="1203"/>
    </w:p>
    <w:p w14:paraId="3011DA5B">
      <w:pPr>
        <w:spacing w:line="440" w:lineRule="exact"/>
        <w:ind w:firstLine="420" w:firstLineChars="200"/>
        <w:jc w:val="center"/>
        <w:outlineLvl w:val="9"/>
        <w:rPr>
          <w:rFonts w:hint="eastAsia"/>
          <w:bCs/>
          <w:color w:val="000000"/>
          <w:kern w:val="0"/>
          <w:szCs w:val="21"/>
          <w:highlight w:val="none"/>
          <w:lang w:val="en-US" w:eastAsia="zh-CN"/>
        </w:rPr>
      </w:pPr>
    </w:p>
    <w:p w14:paraId="44D64CD6">
      <w:pPr>
        <w:tabs>
          <w:tab w:val="left" w:pos="1584"/>
        </w:tabs>
        <w:spacing w:before="0" w:after="0" w:line="240" w:lineRule="auto"/>
        <w:ind w:left="0" w:firstLine="0"/>
        <w:outlineLvl w:val="9"/>
        <w:rPr>
          <w:rFonts w:hint="eastAsia" w:ascii="宋体" w:hAnsi="宋体" w:eastAsia="宋体" w:cs="宋体"/>
          <w:b w:val="0"/>
          <w:bCs w:val="0"/>
          <w:kern w:val="2"/>
          <w:sz w:val="24"/>
          <w:szCs w:val="24"/>
          <w:lang w:val="en-US" w:eastAsia="zh-CN" w:bidi="ar-SA"/>
        </w:rPr>
      </w:pPr>
      <w:bookmarkStart w:id="1204" w:name="_Toc3057"/>
      <w:bookmarkStart w:id="1205" w:name="_Toc13221"/>
    </w:p>
    <w:p w14:paraId="4CF59433">
      <w:pPr>
        <w:outlineLvl w:val="9"/>
        <w:rPr>
          <w:rFonts w:hint="eastAsia"/>
          <w:lang w:val="en-US" w:eastAsia="zh-CN"/>
        </w:rPr>
      </w:pPr>
    </w:p>
    <w:p w14:paraId="1715790F">
      <w:pPr>
        <w:bidi w:val="0"/>
        <w:rPr>
          <w:rFonts w:hint="eastAsia"/>
          <w:lang w:val="en-US" w:eastAsia="zh-CN"/>
        </w:rPr>
      </w:pPr>
    </w:p>
    <w:p w14:paraId="70CBFE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bookmarkStart w:id="1206" w:name="_Toc7173"/>
      <w:bookmarkStart w:id="1207" w:name="_Toc30778"/>
      <w:r>
        <w:rPr>
          <w:rFonts w:hint="eastAsia" w:ascii="宋体" w:hAnsi="宋体" w:eastAsia="宋体" w:cs="宋体"/>
          <w:b w:val="0"/>
          <w:bCs w:val="0"/>
          <w:kern w:val="2"/>
          <w:sz w:val="24"/>
          <w:szCs w:val="24"/>
          <w:lang w:val="en-US" w:eastAsia="zh-CN" w:bidi="ar-SA"/>
        </w:rPr>
        <w:t>6.3</w:t>
      </w:r>
      <w:r>
        <w:rPr>
          <w:rFonts w:hint="eastAsia" w:ascii="宋体" w:hAnsi="宋体" w:cs="宋体"/>
          <w:b w:val="0"/>
          <w:bCs w:val="0"/>
          <w:kern w:val="2"/>
          <w:sz w:val="24"/>
          <w:szCs w:val="24"/>
          <w:lang w:val="en-US" w:eastAsia="zh-CN" w:bidi="ar-SA"/>
        </w:rPr>
        <w:t xml:space="preserve"> </w:t>
      </w:r>
      <w:r>
        <w:rPr>
          <w:rFonts w:hint="eastAsia" w:ascii="宋体" w:hAnsi="宋体" w:eastAsia="宋体" w:cs="宋体"/>
          <w:b w:val="0"/>
          <w:bCs w:val="0"/>
          <w:kern w:val="2"/>
          <w:sz w:val="24"/>
          <w:szCs w:val="24"/>
          <w:lang w:val="en-US" w:eastAsia="zh-CN" w:bidi="ar-SA"/>
        </w:rPr>
        <w:t>HTML</w:t>
      </w:r>
      <w:bookmarkEnd w:id="1204"/>
      <w:bookmarkEnd w:id="1205"/>
      <w:bookmarkEnd w:id="1206"/>
      <w:bookmarkEnd w:id="1207"/>
    </w:p>
    <w:p w14:paraId="3A431548">
      <w:pPr>
        <w:rPr>
          <w:rFonts w:hint="eastAsia"/>
          <w:b/>
          <w:bCs/>
          <w:sz w:val="28"/>
          <w:szCs w:val="28"/>
          <w:lang w:val="en-US" w:eastAsia="zh-CN"/>
        </w:rPr>
      </w:pPr>
      <w:r>
        <w:rPr>
          <w:rFonts w:hint="eastAsia" w:asciiTheme="minorHAnsi" w:eastAsiaTheme="minorEastAsia"/>
          <w:b/>
          <w:bCs/>
          <w:sz w:val="28"/>
          <w:szCs w:val="28"/>
          <w:lang w:val="en-US" w:eastAsia="zh-CN"/>
        </w:rPr>
        <w:drawing>
          <wp:inline distT="0" distB="0" distL="114300" distR="114300">
            <wp:extent cx="5219700" cy="7685405"/>
            <wp:effectExtent l="0" t="0" r="0" b="10795"/>
            <wp:docPr id="672" name="图片 672" descr="HTML报告"/>
            <wp:cNvGraphicFramePr/>
            <a:graphic xmlns:a="http://schemas.openxmlformats.org/drawingml/2006/main">
              <a:graphicData uri="http://schemas.openxmlformats.org/drawingml/2006/picture">
                <pic:pic xmlns:pic="http://schemas.openxmlformats.org/drawingml/2006/picture">
                  <pic:nvPicPr>
                    <pic:cNvPr id="672" name="图片 672" descr="HTML报告"/>
                    <pic:cNvPicPr/>
                  </pic:nvPicPr>
                  <pic:blipFill>
                    <a:blip r:embed="rId431"/>
                    <a:stretch>
                      <a:fillRect/>
                    </a:stretch>
                  </pic:blipFill>
                  <pic:spPr>
                    <a:xfrm>
                      <a:off x="0" y="0"/>
                      <a:ext cx="5219700" cy="7685405"/>
                    </a:xfrm>
                    <a:prstGeom prst="rect">
                      <a:avLst/>
                    </a:prstGeom>
                  </pic:spPr>
                </pic:pic>
              </a:graphicData>
            </a:graphic>
          </wp:inline>
        </w:drawing>
      </w:r>
    </w:p>
    <w:p w14:paraId="7A4A441A">
      <w:pPr>
        <w:spacing w:line="440" w:lineRule="exact"/>
        <w:ind w:firstLine="420" w:firstLineChars="200"/>
        <w:jc w:val="center"/>
        <w:outlineLvl w:val="9"/>
        <w:rPr>
          <w:rFonts w:hint="eastAsia"/>
          <w:bCs/>
          <w:color w:val="000000"/>
          <w:kern w:val="0"/>
          <w:szCs w:val="21"/>
          <w:highlight w:val="none"/>
        </w:rPr>
        <w:sectPr>
          <w:headerReference r:id="rId42" w:type="default"/>
          <w:footerReference r:id="rId43"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1208" w:name="_Toc27780"/>
      <w:bookmarkStart w:id="1209" w:name="_Toc4127"/>
      <w:bookmarkStart w:id="1210" w:name="_Toc30657"/>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6</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7</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HTML报告图</w:t>
      </w:r>
      <w:bookmarkEnd w:id="1208"/>
    </w:p>
    <w:bookmarkEnd w:id="1209"/>
    <w:bookmarkEnd w:id="1210"/>
    <w:p w14:paraId="0ADE6C8F">
      <w:pPr>
        <w:pStyle w:val="3"/>
        <w:bidi w:val="0"/>
        <w:rPr>
          <w:rFonts w:hint="default"/>
          <w:lang w:val="en-US" w:eastAsia="zh-CN"/>
        </w:rPr>
      </w:pPr>
      <w:bookmarkStart w:id="1211" w:name="_Toc21104"/>
      <w:bookmarkStart w:id="1212" w:name="_Toc7211"/>
      <w:bookmarkStart w:id="1213" w:name="_Toc217896045"/>
      <w:r>
        <w:rPr>
          <w:rFonts w:hint="eastAsia"/>
          <w:lang w:val="en-US" w:eastAsia="zh-CN"/>
        </w:rPr>
        <w:t>15.</w:t>
      </w:r>
      <w:r>
        <w:rPr>
          <w:rFonts w:hint="eastAsia"/>
        </w:rPr>
        <w:t>数析就业的设计与实现</w:t>
      </w:r>
      <w:bookmarkEnd w:id="1211"/>
      <w:bookmarkEnd w:id="1212"/>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A167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D9219B3">
            <w:pPr>
              <w:jc w:val="both"/>
              <w:rPr>
                <w:rFonts w:ascii="Calibri" w:hAnsi="Calibri" w:eastAsia="黑体" w:cs="Times New Roman"/>
                <w:szCs w:val="21"/>
              </w:rPr>
            </w:pPr>
            <w:r>
              <w:rPr>
                <w:rFonts w:hint="eastAsia" w:ascii="Calibri" w:hAnsi="Calibri" w:eastAsia="黑体" w:cs="Times New Roman"/>
                <w:sz w:val="24"/>
              </w:rPr>
              <w:t>项目主题：数析就业的设计与实现</w:t>
            </w:r>
          </w:p>
        </w:tc>
      </w:tr>
      <w:tr w14:paraId="387553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D41A465">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数据科学本科</w:t>
            </w:r>
            <w:r>
              <w:rPr>
                <w:rFonts w:hint="eastAsia" w:ascii="Calibri" w:hAnsi="Calibri" w:eastAsia="黑体" w:cs="Times New Roman"/>
                <w:sz w:val="24"/>
                <w:lang w:val="en-US" w:eastAsia="zh-CN"/>
              </w:rPr>
              <w:t>3</w:t>
            </w:r>
            <w:r>
              <w:rPr>
                <w:rFonts w:hint="eastAsia" w:ascii="Calibri" w:hAnsi="Calibri" w:eastAsia="黑体" w:cs="Times New Roman"/>
                <w:sz w:val="24"/>
              </w:rPr>
              <w:t>班</w:t>
            </w:r>
          </w:p>
        </w:tc>
      </w:tr>
      <w:tr w14:paraId="65EDAB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5FFCF3B">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 xml:space="preserve">张贞 梁健梅 张志鹏 汪清雨 汪富标  </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胡浩</w:t>
            </w:r>
          </w:p>
        </w:tc>
      </w:tr>
    </w:tbl>
    <w:p w14:paraId="099E3078">
      <w:pPr>
        <w:spacing w:line="440" w:lineRule="exact"/>
        <w:outlineLvl w:val="9"/>
        <w:rPr>
          <w:rFonts w:hint="eastAsia" w:eastAsia="宋体" w:cs="Times New Roman"/>
          <w:b/>
          <w:bCs/>
          <w:sz w:val="28"/>
          <w:szCs w:val="28"/>
        </w:rPr>
      </w:pPr>
      <w:bookmarkStart w:id="1214" w:name="_Toc23010"/>
      <w:r>
        <w:rPr>
          <w:rFonts w:hint="eastAsia" w:eastAsia="宋体" w:cs="Times New Roman"/>
          <w:b/>
          <w:bCs/>
          <w:sz w:val="28"/>
          <w:szCs w:val="28"/>
        </w:rPr>
        <w:t>1 项目概述</w:t>
      </w:r>
      <w:bookmarkEnd w:id="1213"/>
      <w:bookmarkEnd w:id="1214"/>
    </w:p>
    <w:p w14:paraId="14B622F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15" w:name="_Toc217896046"/>
      <w:bookmarkStart w:id="1216" w:name="_Toc6558"/>
      <w:r>
        <w:rPr>
          <w:rFonts w:hint="eastAsia" w:ascii="宋体" w:hAnsi="宋体" w:eastAsia="宋体" w:cs="宋体"/>
          <w:b w:val="0"/>
          <w:bCs w:val="0"/>
          <w:kern w:val="2"/>
          <w:sz w:val="24"/>
          <w:szCs w:val="24"/>
          <w:lang w:val="en-US" w:eastAsia="zh-CN" w:bidi="ar-SA"/>
        </w:rPr>
        <w:t>1.1 项目介绍</w:t>
      </w:r>
      <w:bookmarkEnd w:id="1215"/>
      <w:bookmarkEnd w:id="1216"/>
    </w:p>
    <w:p w14:paraId="2A68407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我们通过各大平台，使用selenium以及八爪鱼，爬取了《不同城市的就业情况.xlsx》数据集，结合 “文档读取、数据清洗、MySQL 存储、数据可视化” 课程核心技术，完成就业数据全流程处理。项目聚焦 “数据质量优化→结构化存储→可视化分析” 核心目标，整个实践过程，不仅让团队成员将课堂所学的 Python 爬虫、数据库管理、数据分析等理论知识，转化为解决实际问题的实操能力，更让我们有了团队凝聚力。</w:t>
      </w:r>
    </w:p>
    <w:p w14:paraId="7C7EBE5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17" w:name="_Toc217896047"/>
      <w:bookmarkStart w:id="1218" w:name="_Toc4900"/>
      <w:r>
        <w:rPr>
          <w:rFonts w:hint="eastAsia" w:ascii="宋体" w:hAnsi="宋体" w:eastAsia="宋体" w:cs="宋体"/>
          <w:b w:val="0"/>
          <w:bCs w:val="0"/>
          <w:kern w:val="2"/>
          <w:sz w:val="24"/>
          <w:szCs w:val="24"/>
          <w:lang w:val="en-US" w:eastAsia="zh-CN" w:bidi="ar-SA"/>
        </w:rPr>
        <w:t>1.2 项目开发环境</w:t>
      </w:r>
      <w:bookmarkEnd w:id="1217"/>
      <w:bookmarkEnd w:id="1218"/>
    </w:p>
    <w:p w14:paraId="255831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编程语言：Python 3.8+</w:t>
      </w:r>
    </w:p>
    <w:p w14:paraId="436FA99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数据读取：Pandas</w:t>
      </w:r>
    </w:p>
    <w:p w14:paraId="2DC987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数据处理：Pandas，NumPy</w:t>
      </w:r>
    </w:p>
    <w:p w14:paraId="276BB9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数据库：MySQL （结构化存储）</w:t>
      </w:r>
    </w:p>
    <w:p w14:paraId="6AA667E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数据库连接：PyMySQL（Python 与 MySQL 交互）</w:t>
      </w:r>
    </w:p>
    <w:p w14:paraId="0CEC2C3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可视化：Matplotlib，Seaborn，以及sugar BI</w:t>
      </w:r>
    </w:p>
    <w:p w14:paraId="668B2AE8">
      <w:pPr>
        <w:widowControl/>
        <w:spacing w:line="440" w:lineRule="exact"/>
        <w:ind w:firstLine="480" w:firstLineChars="200"/>
        <w:jc w:val="both"/>
        <w:rPr>
          <w:rFonts w:hint="eastAsia" w:ascii="宋体" w:hAnsi="宋体" w:eastAsia="宋体" w:cs="宋体"/>
          <w:b w:val="0"/>
          <w:bCs w:val="0"/>
          <w:kern w:val="2"/>
          <w:sz w:val="24"/>
          <w:szCs w:val="24"/>
          <w:lang w:val="en-US" w:eastAsia="zh-CN" w:bidi="ar-SA"/>
        </w:rPr>
      </w:pPr>
      <w:bookmarkStart w:id="1219" w:name="_Toc217896048"/>
      <w:r>
        <w:rPr>
          <w:rFonts w:hint="eastAsia" w:ascii="宋体" w:hAnsi="宋体" w:eastAsia="宋体" w:cs="宋体"/>
          <w:b w:val="0"/>
          <w:bCs w:val="0"/>
          <w:kern w:val="2"/>
          <w:sz w:val="24"/>
          <w:szCs w:val="24"/>
          <w:lang w:val="en-US" w:eastAsia="zh-CN" w:bidi="ar-SA"/>
        </w:rPr>
        <w:t>1.3 小组人员及分工</w:t>
      </w:r>
      <w:bookmarkEnd w:id="1219"/>
    </w:p>
    <w:p w14:paraId="11D1264A">
      <w:pPr>
        <w:spacing w:line="440" w:lineRule="exact"/>
        <w:ind w:firstLine="420" w:firstLineChars="200"/>
        <w:jc w:val="center"/>
        <w:outlineLvl w:val="9"/>
        <w:rPr>
          <w:rFonts w:hint="default"/>
          <w:bCs/>
          <w:color w:val="000000"/>
          <w:kern w:val="0"/>
          <w:szCs w:val="21"/>
          <w:highlight w:val="none"/>
          <w:lang w:val="en-US" w:eastAsia="zh-CN"/>
        </w:rPr>
      </w:pPr>
      <w:bookmarkStart w:id="1220" w:name="_Toc2963"/>
      <w:r>
        <w:rPr>
          <w:rFonts w:hint="eastAsia" w:asciiTheme="minorHAnsi" w:eastAsiaTheme="minorEastAsia"/>
          <w:bCs/>
          <w:color w:val="000000"/>
          <w:kern w:val="0"/>
          <w:szCs w:val="21"/>
          <w:highlight w:val="none"/>
          <w:lang w:val="en-US" w:eastAsia="zh-CN"/>
        </w:rPr>
        <w:t>表1-1 小组分工情况</w:t>
      </w:r>
      <w:bookmarkEnd w:id="1220"/>
    </w:p>
    <w:tbl>
      <w:tblPr>
        <w:tblStyle w:val="35"/>
        <w:tblW w:w="959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0" w:type="dxa"/>
          <w:bottom w:w="0" w:type="dxa"/>
          <w:right w:w="0" w:type="dxa"/>
        </w:tblCellMar>
      </w:tblPr>
      <w:tblGrid>
        <w:gridCol w:w="1276"/>
        <w:gridCol w:w="1559"/>
        <w:gridCol w:w="6755"/>
      </w:tblGrid>
      <w:tr w14:paraId="3FF7C9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rPr>
          <w:tblHeader/>
        </w:trPr>
        <w:tc>
          <w:tcPr>
            <w:tcW w:w="1276" w:type="dxa"/>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01F2338B">
            <w:pPr>
              <w:jc w:val="center"/>
              <w:outlineLvl w:val="9"/>
              <w:rPr>
                <w:rFonts w:hint="eastAsia" w:ascii="宋体" w:hAnsi="宋体"/>
                <w:sz w:val="24"/>
              </w:rPr>
            </w:pPr>
            <w:r>
              <w:rPr>
                <w:rFonts w:ascii="宋体" w:hAnsi="宋体"/>
                <w:sz w:val="24"/>
              </w:rPr>
              <w:t>成员</w:t>
            </w:r>
          </w:p>
        </w:tc>
        <w:tc>
          <w:tcPr>
            <w:tcW w:w="1559" w:type="dxa"/>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43B00B73">
            <w:pPr>
              <w:jc w:val="center"/>
              <w:outlineLvl w:val="9"/>
              <w:rPr>
                <w:rFonts w:hint="eastAsia" w:ascii="宋体" w:hAnsi="宋体"/>
                <w:sz w:val="24"/>
              </w:rPr>
            </w:pPr>
            <w:r>
              <w:rPr>
                <w:rFonts w:ascii="宋体" w:hAnsi="宋体"/>
                <w:sz w:val="24"/>
              </w:rPr>
              <w:t>分工</w:t>
            </w:r>
          </w:p>
        </w:tc>
        <w:tc>
          <w:tcPr>
            <w:tcW w:w="6755" w:type="dxa"/>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53B41E35">
            <w:pPr>
              <w:jc w:val="center"/>
              <w:outlineLvl w:val="9"/>
              <w:rPr>
                <w:rFonts w:hint="eastAsia" w:ascii="宋体" w:hAnsi="宋体"/>
                <w:sz w:val="24"/>
              </w:rPr>
            </w:pPr>
            <w:r>
              <w:rPr>
                <w:rFonts w:ascii="宋体" w:hAnsi="宋体"/>
                <w:sz w:val="24"/>
              </w:rPr>
              <w:t>具体任务</w:t>
            </w:r>
          </w:p>
        </w:tc>
      </w:tr>
      <w:tr w14:paraId="619ECD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276"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FFACD3C">
            <w:pPr>
              <w:rPr>
                <w:rFonts w:hint="eastAsia" w:ascii="宋体" w:hAnsi="宋体"/>
                <w:sz w:val="24"/>
              </w:rPr>
            </w:pPr>
            <w:r>
              <w:rPr>
                <w:rFonts w:ascii="宋体" w:hAnsi="宋体"/>
                <w:sz w:val="24"/>
              </w:rPr>
              <w:t>汪清雨</w:t>
            </w:r>
          </w:p>
        </w:tc>
        <w:tc>
          <w:tcPr>
            <w:tcW w:w="1559"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3A02912">
            <w:pPr>
              <w:rPr>
                <w:rFonts w:hint="eastAsia" w:ascii="宋体" w:hAnsi="宋体"/>
                <w:sz w:val="24"/>
              </w:rPr>
            </w:pPr>
            <w:r>
              <w:rPr>
                <w:rFonts w:ascii="宋体" w:hAnsi="宋体"/>
                <w:sz w:val="24"/>
              </w:rPr>
              <w:t>数据爬取</w:t>
            </w:r>
          </w:p>
        </w:tc>
        <w:tc>
          <w:tcPr>
            <w:tcW w:w="6755"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6254932B">
            <w:pPr>
              <w:rPr>
                <w:rFonts w:hint="eastAsia" w:ascii="宋体" w:hAnsi="宋体"/>
                <w:sz w:val="24"/>
              </w:rPr>
            </w:pPr>
            <w:r>
              <w:rPr>
                <w:rFonts w:ascii="宋体" w:hAnsi="宋体"/>
                <w:sz w:val="24"/>
              </w:rPr>
              <w:t>爬取各个网站的数据，整合成一份完整的数据，确保数据覆盖多城市、多行业，无侵权风险</w:t>
            </w:r>
          </w:p>
        </w:tc>
      </w:tr>
      <w:tr w14:paraId="3323B5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276"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4477B77">
            <w:pPr>
              <w:rPr>
                <w:rFonts w:hint="eastAsia" w:ascii="宋体" w:hAnsi="宋体"/>
                <w:sz w:val="24"/>
              </w:rPr>
            </w:pPr>
            <w:r>
              <w:rPr>
                <w:rFonts w:ascii="宋体" w:hAnsi="宋体"/>
                <w:sz w:val="24"/>
              </w:rPr>
              <w:t>汪富标</w:t>
            </w:r>
          </w:p>
        </w:tc>
        <w:tc>
          <w:tcPr>
            <w:tcW w:w="1559"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655859B9">
            <w:pPr>
              <w:rPr>
                <w:rFonts w:hint="eastAsia" w:ascii="宋体" w:hAnsi="宋体"/>
                <w:sz w:val="24"/>
              </w:rPr>
            </w:pPr>
            <w:r>
              <w:rPr>
                <w:rFonts w:ascii="宋体" w:hAnsi="宋体"/>
                <w:sz w:val="24"/>
              </w:rPr>
              <w:t>数据处理</w:t>
            </w:r>
          </w:p>
        </w:tc>
        <w:tc>
          <w:tcPr>
            <w:tcW w:w="6755"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976F1B7">
            <w:pPr>
              <w:rPr>
                <w:rFonts w:hint="eastAsia" w:ascii="宋体" w:hAnsi="宋体"/>
                <w:sz w:val="24"/>
              </w:rPr>
            </w:pPr>
            <w:r>
              <w:rPr>
                <w:rFonts w:ascii="宋体" w:hAnsi="宋体"/>
                <w:sz w:val="24"/>
              </w:rPr>
              <w:t>开展数据探查，识别缺失值、异常值及格式问题；开发清洗流程，完成去重、缺失值填充、异常值过滤、格式标准化；生成清洗报告与 CSV 文件</w:t>
            </w:r>
          </w:p>
        </w:tc>
      </w:tr>
      <w:tr w14:paraId="328C2E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276"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BF0F630">
            <w:pPr>
              <w:rPr>
                <w:rFonts w:hint="eastAsia" w:ascii="宋体" w:hAnsi="宋体"/>
                <w:sz w:val="24"/>
              </w:rPr>
            </w:pPr>
            <w:r>
              <w:rPr>
                <w:rFonts w:ascii="宋体" w:hAnsi="宋体"/>
                <w:sz w:val="24"/>
              </w:rPr>
              <w:t>张贞</w:t>
            </w:r>
          </w:p>
        </w:tc>
        <w:tc>
          <w:tcPr>
            <w:tcW w:w="1559"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66218DFD">
            <w:pPr>
              <w:rPr>
                <w:rFonts w:hint="eastAsia" w:ascii="宋体" w:hAnsi="宋体"/>
                <w:sz w:val="24"/>
              </w:rPr>
            </w:pPr>
            <w:r>
              <w:rPr>
                <w:rFonts w:ascii="宋体" w:hAnsi="宋体"/>
                <w:sz w:val="24"/>
              </w:rPr>
              <w:t>MySQL 存储</w:t>
            </w:r>
          </w:p>
        </w:tc>
        <w:tc>
          <w:tcPr>
            <w:tcW w:w="6755"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0511B2C">
            <w:pPr>
              <w:rPr>
                <w:rFonts w:hint="eastAsia" w:ascii="宋体" w:hAnsi="宋体"/>
                <w:sz w:val="24"/>
              </w:rPr>
            </w:pPr>
            <w:r>
              <w:rPr>
                <w:rFonts w:ascii="宋体" w:hAnsi="宋体"/>
                <w:sz w:val="24"/>
              </w:rPr>
              <w:t>设计数据库表结构，编写建表 SQL 脚本；配置数据库连接参数，实现数据批量写入与增量更新；验证数据完整性与一致性</w:t>
            </w:r>
          </w:p>
        </w:tc>
      </w:tr>
      <w:tr w14:paraId="6EA10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276"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6F0AF3C">
            <w:pPr>
              <w:rPr>
                <w:rFonts w:hint="eastAsia" w:ascii="宋体" w:hAnsi="宋体"/>
                <w:sz w:val="24"/>
              </w:rPr>
            </w:pPr>
            <w:r>
              <w:rPr>
                <w:rFonts w:ascii="宋体" w:hAnsi="宋体"/>
                <w:sz w:val="24"/>
              </w:rPr>
              <w:t>梁健梅</w:t>
            </w:r>
          </w:p>
        </w:tc>
        <w:tc>
          <w:tcPr>
            <w:tcW w:w="1559"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A7F5DAD">
            <w:pPr>
              <w:rPr>
                <w:rFonts w:hint="eastAsia" w:ascii="宋体" w:hAnsi="宋体"/>
                <w:sz w:val="24"/>
              </w:rPr>
            </w:pPr>
            <w:r>
              <w:rPr>
                <w:rFonts w:ascii="宋体" w:hAnsi="宋体"/>
                <w:sz w:val="24"/>
              </w:rPr>
              <w:t>数据可视化</w:t>
            </w:r>
          </w:p>
        </w:tc>
        <w:tc>
          <w:tcPr>
            <w:tcW w:w="6755"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3397743">
            <w:pPr>
              <w:rPr>
                <w:rFonts w:hint="eastAsia" w:ascii="宋体" w:hAnsi="宋体"/>
                <w:sz w:val="24"/>
              </w:rPr>
            </w:pPr>
            <w:r>
              <w:rPr>
                <w:rFonts w:ascii="宋体" w:hAnsi="宋体"/>
                <w:sz w:val="24"/>
              </w:rPr>
              <w:t>基于 5 个核心字段设计≥8 种可视化图表；编写绘图代码，统一图表样式；生成 PNG 格式图表及可视化说明文档</w:t>
            </w:r>
          </w:p>
        </w:tc>
      </w:tr>
      <w:tr w14:paraId="54D871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276"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3C075B5">
            <w:pPr>
              <w:rPr>
                <w:rFonts w:hint="eastAsia" w:ascii="宋体" w:hAnsi="宋体"/>
                <w:sz w:val="24"/>
              </w:rPr>
            </w:pPr>
            <w:r>
              <w:rPr>
                <w:rFonts w:ascii="宋体" w:hAnsi="宋体"/>
                <w:sz w:val="24"/>
              </w:rPr>
              <w:t>张志鹏</w:t>
            </w:r>
          </w:p>
        </w:tc>
        <w:tc>
          <w:tcPr>
            <w:tcW w:w="1559"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9706802">
            <w:pPr>
              <w:rPr>
                <w:rFonts w:hint="eastAsia" w:ascii="宋体" w:hAnsi="宋体"/>
                <w:sz w:val="24"/>
              </w:rPr>
            </w:pPr>
            <w:r>
              <w:rPr>
                <w:rFonts w:ascii="宋体" w:hAnsi="宋体"/>
                <w:sz w:val="24"/>
              </w:rPr>
              <w:t>成果整合</w:t>
            </w:r>
          </w:p>
        </w:tc>
        <w:tc>
          <w:tcPr>
            <w:tcW w:w="6755"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68530AF6">
            <w:pPr>
              <w:rPr>
                <w:rFonts w:hint="eastAsia" w:ascii="宋体" w:hAnsi="宋体"/>
                <w:sz w:val="24"/>
              </w:rPr>
            </w:pPr>
            <w:r>
              <w:rPr>
                <w:rFonts w:ascii="宋体" w:hAnsi="宋体"/>
                <w:sz w:val="24"/>
              </w:rPr>
              <w:t>制作项目 PPT，整理源代码、设计文档、清洗报告等成果；进行全流程验收测试，确保成果合规可复现</w:t>
            </w:r>
          </w:p>
        </w:tc>
      </w:tr>
    </w:tbl>
    <w:p w14:paraId="0D8A0986">
      <w:pPr>
        <w:spacing w:line="440" w:lineRule="exact"/>
        <w:outlineLvl w:val="9"/>
        <w:rPr>
          <w:rFonts w:hint="eastAsia" w:eastAsia="宋体" w:cs="Times New Roman"/>
          <w:b/>
          <w:bCs/>
          <w:sz w:val="28"/>
          <w:szCs w:val="28"/>
          <w:lang w:val="en-US" w:eastAsia="zh-CN"/>
        </w:rPr>
      </w:pPr>
      <w:bookmarkStart w:id="1221" w:name="_Toc1456"/>
      <w:bookmarkStart w:id="1222" w:name="_Toc217896049"/>
      <w:r>
        <w:rPr>
          <w:rFonts w:hint="eastAsia" w:eastAsia="宋体" w:cs="Times New Roman"/>
          <w:b/>
          <w:bCs/>
          <w:sz w:val="28"/>
          <w:szCs w:val="28"/>
          <w:lang w:val="en-US" w:eastAsia="zh-CN"/>
        </w:rPr>
        <w:t>2 需求分析</w:t>
      </w:r>
      <w:bookmarkEnd w:id="1221"/>
      <w:bookmarkEnd w:id="1222"/>
    </w:p>
    <w:p w14:paraId="039C24C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23" w:name="_Toc30154"/>
      <w:bookmarkStart w:id="1224" w:name="_Toc217896050"/>
      <w:r>
        <w:rPr>
          <w:rFonts w:hint="eastAsia" w:ascii="宋体" w:hAnsi="宋体" w:eastAsia="宋体" w:cs="宋体"/>
          <w:b w:val="0"/>
          <w:bCs w:val="0"/>
          <w:kern w:val="2"/>
          <w:sz w:val="24"/>
          <w:szCs w:val="24"/>
          <w:lang w:val="en-US" w:eastAsia="zh-CN" w:bidi="ar-SA"/>
        </w:rPr>
        <w:t>2.1 系统需求分析</w:t>
      </w:r>
      <w:bookmarkEnd w:id="1223"/>
      <w:bookmarkEnd w:id="1224"/>
    </w:p>
    <w:p w14:paraId="183B007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2.1.1数据读取</w:t>
      </w:r>
    </w:p>
    <w:p w14:paraId="2A8DB4D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读取《不同城市的就业情况.xlsx》文件，跳过无效行（如合并行、空行），重命名中文字段为英文，保留城市名称、行业类型、平均薪资、岗位数量、发布时间 5 个核心字段。</w:t>
      </w:r>
    </w:p>
    <w:p w14:paraId="195F6D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2.1.2数据处理</w:t>
      </w:r>
    </w:p>
    <w:p w14:paraId="7CEF25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去重：基于 “城市 + 行业 ” 联合去重，避免同一岗位重复记录；</w:t>
      </w:r>
    </w:p>
    <w:p w14:paraId="7D81D69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缺失值处理：核心字段（城市、行业、薪资）缺失直接删除记录，非核心字段（岗位数量、发布时间）按规则填充；</w:t>
      </w:r>
    </w:p>
    <w:p w14:paraId="791141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异常值过滤：剔除薪资≤0 或＞50 千元 / 月、岗位数量≤0 的逻辑异常数据；</w:t>
      </w:r>
    </w:p>
    <w:p w14:paraId="261940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格式标准化：日期统一为 “YYYY-MM-DD”，城市名称去除 “市” 字，行业名称统一分类。</w:t>
      </w:r>
    </w:p>
    <w:p w14:paraId="31C8D6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2.1.3数据存储</w:t>
      </w:r>
    </w:p>
    <w:p w14:paraId="00E2B4E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结构化数据存入 MySQL 数据库，设计符合第三范式的数据表；支持批量分块写入，避免内存溢出；验证数据完整性与一致性，确保 MySQL 数据与清洗后数据一致率≥99.9%。</w:t>
      </w:r>
    </w:p>
    <w:p w14:paraId="1443BEA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2.1.4数据分析</w:t>
      </w:r>
    </w:p>
    <w:p w14:paraId="05F56B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基于核心字段开展多维度分析，包括城市维度（薪资 / 岗位对比）、行业维度（供需分布）、时间维度（招聘趋势），统计各维度均值、中位数、占比等核心指标。</w:t>
      </w:r>
    </w:p>
    <w:p w14:paraId="332BDA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2.1.5数据可视化</w:t>
      </w:r>
    </w:p>
    <w:p w14:paraId="346EF88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生成≥8 种静态图表，涵盖柱状图、箱线图、饼图等类型，图表含完整标题、标签与图例，中文字体正常显示，分辨率≥300dpi，保存为 PNG 格式。</w:t>
      </w:r>
    </w:p>
    <w:p w14:paraId="2040AD9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2.1.6数据源与格式</w:t>
      </w:r>
    </w:p>
    <w:p w14:paraId="6C5157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原始数据：《不同城市的就业情况.xlsx》，含2000左右条记录、5 个核心字段；</w:t>
      </w:r>
    </w:p>
    <w:p w14:paraId="079415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清洗后数据：结构化 CSV 文件 + MySQL 数据表，字段格式统一、逻辑一致。</w:t>
      </w:r>
    </w:p>
    <w:p w14:paraId="56F78BB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25" w:name="_Toc217896051"/>
      <w:bookmarkStart w:id="1226" w:name="_Toc12315"/>
      <w:r>
        <w:rPr>
          <w:rFonts w:hint="eastAsia" w:ascii="宋体" w:hAnsi="宋体" w:eastAsia="宋体" w:cs="宋体"/>
          <w:b w:val="0"/>
          <w:bCs w:val="0"/>
          <w:kern w:val="2"/>
          <w:sz w:val="24"/>
          <w:szCs w:val="24"/>
          <w:lang w:val="en-US" w:eastAsia="zh-CN" w:bidi="ar-SA"/>
        </w:rPr>
        <w:t>2.2 可行性分析</w:t>
      </w:r>
      <w:bookmarkEnd w:id="1225"/>
      <w:bookmarkEnd w:id="1226"/>
    </w:p>
    <w:p w14:paraId="71B844C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2.2.1技术可行性</w:t>
      </w:r>
    </w:p>
    <w:p w14:paraId="4533307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数据处理与存储：Python 生态（Pandas + MySQL），Pandas 提供完整的清洗函数，MySQL 支持结构化存储与索引优化，可快速实现需求。</w:t>
      </w:r>
    </w:p>
    <w:p w14:paraId="57D79C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可视化实现：Matplotlib、Seaborn 为课程重点教学工具，支持多类型图表生成，满足 8 类图表设计需求，技术门槛贴合课程要求。</w:t>
      </w:r>
    </w:p>
    <w:p w14:paraId="0595EE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数据规模：原始数据 1200 条，清洗后有效数据≥1200 条，对存储与计算资源无过高要求，普通计算机即可完成全流程处理。</w:t>
      </w:r>
    </w:p>
    <w:p w14:paraId="63FDD53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2.2.2操作可行性</w:t>
      </w:r>
    </w:p>
    <w:p w14:paraId="1BE8B9F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团队能力：成员均掌握 Python 基础、MySQL 操作及数据可视化核心技能。</w:t>
      </w:r>
    </w:p>
    <w:p w14:paraId="64F4B3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sz w:val="24"/>
        </w:rPr>
      </w:pPr>
      <w:r>
        <w:rPr>
          <w:rFonts w:hint="eastAsia" w:ascii="宋体" w:hAnsi="宋体" w:eastAsia="宋体" w:cs="宋体"/>
          <w:b w:val="0"/>
          <w:bCs w:val="0"/>
          <w:kern w:val="2"/>
          <w:sz w:val="24"/>
          <w:szCs w:val="24"/>
          <w:lang w:val="en-US" w:eastAsia="zh-CN" w:bidi="ar-SA"/>
        </w:rPr>
        <w:t>工具适配：所有工具均为开源免费，支持 Windows/macOS 多环境运行，HTML+Navicat 的组合降低了开发与管理门槛。</w:t>
      </w:r>
    </w:p>
    <w:p w14:paraId="1A8DAF5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27" w:name="_Toc217896052"/>
      <w:bookmarkStart w:id="1228" w:name="_Toc12158"/>
      <w:r>
        <w:rPr>
          <w:rFonts w:hint="eastAsia" w:ascii="宋体" w:hAnsi="宋体" w:eastAsia="宋体" w:cs="宋体"/>
          <w:b w:val="0"/>
          <w:bCs w:val="0"/>
          <w:kern w:val="2"/>
          <w:sz w:val="24"/>
          <w:szCs w:val="24"/>
          <w:lang w:val="en-US" w:eastAsia="zh-CN" w:bidi="ar-SA"/>
        </w:rPr>
        <w:t>2.3 数据需求分析</w:t>
      </w:r>
      <w:bookmarkEnd w:id="1227"/>
      <w:bookmarkEnd w:id="1228"/>
    </w:p>
    <w:p w14:paraId="488B5CB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29" w:name="_Toc217896053"/>
      <w:r>
        <w:rPr>
          <w:rFonts w:hint="eastAsia" w:ascii="宋体" w:hAnsi="宋体" w:eastAsia="宋体" w:cs="宋体"/>
          <w:b w:val="0"/>
          <w:bCs w:val="0"/>
          <w:kern w:val="2"/>
          <w:sz w:val="24"/>
          <w:szCs w:val="24"/>
          <w:lang w:val="en-US" w:eastAsia="zh-CN" w:bidi="ar-SA"/>
        </w:rPr>
        <w:t>2.3.1核心数据字段</w:t>
      </w:r>
      <w:bookmarkEnd w:id="1229"/>
    </w:p>
    <w:p w14:paraId="225AA1D2">
      <w:pPr>
        <w:spacing w:line="440" w:lineRule="exact"/>
        <w:ind w:firstLine="420" w:firstLineChars="200"/>
        <w:jc w:val="center"/>
        <w:outlineLvl w:val="9"/>
        <w:rPr>
          <w:rFonts w:hint="default"/>
          <w:lang w:val="en-US" w:eastAsia="zh-CN"/>
        </w:rPr>
      </w:pPr>
      <w:bookmarkStart w:id="1230" w:name="_Toc31680"/>
      <w:r>
        <w:rPr>
          <w:rFonts w:hint="eastAsia" w:asciiTheme="minorHAnsi" w:eastAsiaTheme="minorEastAsia"/>
          <w:bCs/>
          <w:color w:val="000000"/>
          <w:kern w:val="0"/>
          <w:szCs w:val="21"/>
          <w:highlight w:val="none"/>
          <w:lang w:val="en-US" w:eastAsia="zh-CN"/>
        </w:rPr>
        <w:t>表2-1 核心字段及用途</w:t>
      </w:r>
      <w:bookmarkEnd w:id="1230"/>
    </w:p>
    <w:tbl>
      <w:tblPr>
        <w:tblStyle w:val="35"/>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0" w:type="dxa"/>
          <w:bottom w:w="0" w:type="dxa"/>
          <w:right w:w="0" w:type="dxa"/>
        </w:tblCellMar>
      </w:tblPr>
      <w:tblGrid>
        <w:gridCol w:w="1740"/>
        <w:gridCol w:w="2100"/>
        <w:gridCol w:w="1783"/>
        <w:gridCol w:w="2038"/>
        <w:gridCol w:w="1185"/>
      </w:tblGrid>
      <w:tr w14:paraId="023AF4A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2570AB5A">
            <w:pPr>
              <w:rPr>
                <w:rFonts w:hint="eastAsia" w:ascii="宋体" w:hAnsi="宋体"/>
                <w:sz w:val="24"/>
              </w:rPr>
            </w:pPr>
            <w:r>
              <w:rPr>
                <w:rFonts w:ascii="宋体" w:hAnsi="宋体"/>
                <w:sz w:val="24"/>
              </w:rPr>
              <w:t>字段名</w:t>
            </w:r>
          </w:p>
        </w:tc>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6E6A717C">
            <w:pPr>
              <w:rPr>
                <w:rFonts w:hint="eastAsia" w:ascii="宋体" w:hAnsi="宋体"/>
                <w:sz w:val="24"/>
              </w:rPr>
            </w:pPr>
            <w:r>
              <w:rPr>
                <w:rFonts w:ascii="宋体" w:hAnsi="宋体"/>
                <w:sz w:val="24"/>
              </w:rPr>
              <w:t>类型</w:t>
            </w:r>
          </w:p>
        </w:tc>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0490A16E">
            <w:pPr>
              <w:rPr>
                <w:rFonts w:hint="eastAsia" w:ascii="宋体" w:hAnsi="宋体"/>
                <w:sz w:val="24"/>
              </w:rPr>
            </w:pPr>
            <w:r>
              <w:rPr>
                <w:rFonts w:ascii="宋体" w:hAnsi="宋体"/>
                <w:sz w:val="24"/>
              </w:rPr>
              <w:t>描述</w:t>
            </w:r>
          </w:p>
        </w:tc>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3B8DA458">
            <w:pPr>
              <w:rPr>
                <w:rFonts w:hint="eastAsia" w:ascii="宋体" w:hAnsi="宋体"/>
                <w:sz w:val="24"/>
              </w:rPr>
            </w:pPr>
            <w:r>
              <w:rPr>
                <w:rFonts w:ascii="宋体" w:hAnsi="宋体"/>
                <w:sz w:val="24"/>
              </w:rPr>
              <w:t>数据来源</w:t>
            </w:r>
          </w:p>
        </w:tc>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43E6A454">
            <w:pPr>
              <w:rPr>
                <w:rFonts w:hint="eastAsia" w:ascii="宋体" w:hAnsi="宋体"/>
                <w:sz w:val="24"/>
              </w:rPr>
            </w:pPr>
            <w:r>
              <w:rPr>
                <w:rFonts w:ascii="宋体" w:hAnsi="宋体"/>
                <w:sz w:val="24"/>
              </w:rPr>
              <w:t>示例值</w:t>
            </w:r>
          </w:p>
        </w:tc>
      </w:tr>
      <w:tr w14:paraId="1BE5F2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AC743E4">
            <w:pPr>
              <w:rPr>
                <w:rFonts w:hint="eastAsia" w:ascii="宋体" w:hAnsi="宋体"/>
                <w:sz w:val="24"/>
              </w:rPr>
            </w:pPr>
            <w:r>
              <w:rPr>
                <w:rFonts w:ascii="宋体" w:hAnsi="宋体"/>
                <w:sz w:val="24"/>
              </w:rPr>
              <w:t>city</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9844A49">
            <w:pPr>
              <w:rPr>
                <w:rFonts w:hint="eastAsia" w:ascii="宋体" w:hAnsi="宋体"/>
                <w:sz w:val="24"/>
              </w:rPr>
            </w:pPr>
            <w:r>
              <w:rPr>
                <w:rFonts w:ascii="宋体" w:hAnsi="宋体"/>
                <w:sz w:val="24"/>
              </w:rPr>
              <w:t>VARCHAR(20)</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322B5CD">
            <w:pPr>
              <w:rPr>
                <w:rFonts w:hint="eastAsia" w:ascii="宋体" w:hAnsi="宋体"/>
                <w:sz w:val="24"/>
              </w:rPr>
            </w:pPr>
            <w:r>
              <w:rPr>
                <w:rFonts w:ascii="宋体" w:hAnsi="宋体"/>
                <w:sz w:val="24"/>
              </w:rPr>
              <w:t>标准化城市名称</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5A546CD">
            <w:pPr>
              <w:rPr>
                <w:rFonts w:hint="eastAsia" w:ascii="宋体" w:hAnsi="宋体"/>
                <w:sz w:val="24"/>
              </w:rPr>
            </w:pPr>
            <w:r>
              <w:rPr>
                <w:rFonts w:ascii="宋体" w:hAnsi="宋体"/>
                <w:sz w:val="24"/>
              </w:rPr>
              <w:t>原始 Excel 文件（清洗后）</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099EB55">
            <w:pPr>
              <w:rPr>
                <w:rFonts w:hint="eastAsia" w:ascii="宋体" w:hAnsi="宋体"/>
                <w:sz w:val="24"/>
              </w:rPr>
            </w:pPr>
            <w:r>
              <w:rPr>
                <w:rFonts w:ascii="宋体" w:hAnsi="宋体"/>
                <w:sz w:val="24"/>
              </w:rPr>
              <w:t>上海</w:t>
            </w:r>
          </w:p>
        </w:tc>
      </w:tr>
      <w:tr w14:paraId="29CC2B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FA60A4D">
            <w:pPr>
              <w:rPr>
                <w:rFonts w:hint="eastAsia" w:ascii="宋体" w:hAnsi="宋体"/>
                <w:sz w:val="24"/>
              </w:rPr>
            </w:pPr>
            <w:r>
              <w:rPr>
                <w:rFonts w:ascii="宋体" w:hAnsi="宋体"/>
                <w:sz w:val="24"/>
              </w:rPr>
              <w:t>industry</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FE60462">
            <w:pPr>
              <w:rPr>
                <w:rFonts w:hint="eastAsia" w:ascii="宋体" w:hAnsi="宋体"/>
                <w:sz w:val="24"/>
              </w:rPr>
            </w:pPr>
            <w:r>
              <w:rPr>
                <w:rFonts w:ascii="宋体" w:hAnsi="宋体"/>
                <w:sz w:val="24"/>
              </w:rPr>
              <w:t>VARCHAR(30)</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64330B1">
            <w:pPr>
              <w:rPr>
                <w:rFonts w:hint="eastAsia" w:ascii="宋体" w:hAnsi="宋体"/>
                <w:sz w:val="24"/>
              </w:rPr>
            </w:pPr>
            <w:r>
              <w:rPr>
                <w:rFonts w:ascii="宋体" w:hAnsi="宋体"/>
                <w:sz w:val="24"/>
              </w:rPr>
              <w:t>统一分类行业类型</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AAFD157">
            <w:pPr>
              <w:rPr>
                <w:rFonts w:hint="eastAsia" w:ascii="宋体" w:hAnsi="宋体"/>
                <w:sz w:val="24"/>
              </w:rPr>
            </w:pPr>
            <w:r>
              <w:rPr>
                <w:rFonts w:ascii="宋体" w:hAnsi="宋体"/>
                <w:sz w:val="24"/>
              </w:rPr>
              <w:t>原始 Excel 文件（清洗后）</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5FEC4AE">
            <w:pPr>
              <w:rPr>
                <w:rFonts w:hint="eastAsia" w:ascii="宋体" w:hAnsi="宋体"/>
                <w:sz w:val="24"/>
              </w:rPr>
            </w:pPr>
            <w:r>
              <w:rPr>
                <w:rFonts w:ascii="宋体" w:hAnsi="宋体"/>
                <w:sz w:val="24"/>
              </w:rPr>
              <w:t>互联网</w:t>
            </w:r>
          </w:p>
        </w:tc>
      </w:tr>
      <w:tr w14:paraId="7C8D67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8A96F8D">
            <w:pPr>
              <w:rPr>
                <w:rFonts w:hint="eastAsia" w:ascii="宋体" w:hAnsi="宋体"/>
                <w:sz w:val="24"/>
              </w:rPr>
            </w:pPr>
            <w:r>
              <w:rPr>
                <w:rFonts w:ascii="宋体" w:hAnsi="宋体"/>
                <w:sz w:val="24"/>
              </w:rPr>
              <w:t>avg_salary</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7292DFE">
            <w:pPr>
              <w:rPr>
                <w:rFonts w:hint="eastAsia" w:ascii="宋体" w:hAnsi="宋体"/>
                <w:sz w:val="24"/>
              </w:rPr>
            </w:pPr>
            <w:r>
              <w:rPr>
                <w:rFonts w:ascii="宋体" w:hAnsi="宋体"/>
                <w:sz w:val="24"/>
              </w:rPr>
              <w:t>DECIMAL(10,2)</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1D644D6">
            <w:pPr>
              <w:rPr>
                <w:rFonts w:hint="eastAsia" w:ascii="宋体" w:hAnsi="宋体"/>
                <w:sz w:val="24"/>
              </w:rPr>
            </w:pPr>
            <w:r>
              <w:rPr>
                <w:rFonts w:ascii="宋体" w:hAnsi="宋体"/>
                <w:sz w:val="24"/>
              </w:rPr>
              <w:t>平均薪资（千元 / 月）</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41B9E3B">
            <w:pPr>
              <w:rPr>
                <w:rFonts w:hint="eastAsia" w:ascii="宋体" w:hAnsi="宋体"/>
                <w:sz w:val="24"/>
              </w:rPr>
            </w:pPr>
            <w:r>
              <w:rPr>
                <w:rFonts w:ascii="宋体" w:hAnsi="宋体"/>
                <w:sz w:val="24"/>
              </w:rPr>
              <w:t>原始 Excel 文件（清洗后）</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2922B21">
            <w:pPr>
              <w:rPr>
                <w:rFonts w:hint="eastAsia" w:ascii="宋体" w:hAnsi="宋体"/>
                <w:sz w:val="24"/>
              </w:rPr>
            </w:pPr>
            <w:r>
              <w:rPr>
                <w:rFonts w:ascii="宋体" w:hAnsi="宋体"/>
                <w:sz w:val="24"/>
              </w:rPr>
              <w:t>18.50</w:t>
            </w:r>
          </w:p>
        </w:tc>
      </w:tr>
      <w:tr w14:paraId="7E965F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rPr>
          <w:trHeight w:val="1240" w:hRule="atLeast"/>
        </w:trPr>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7D51DDC">
            <w:pPr>
              <w:rPr>
                <w:rFonts w:hint="eastAsia" w:ascii="宋体" w:hAnsi="宋体"/>
                <w:sz w:val="24"/>
              </w:rPr>
            </w:pPr>
            <w:r>
              <w:rPr>
                <w:rFonts w:ascii="宋体" w:hAnsi="宋体"/>
                <w:sz w:val="24"/>
              </w:rPr>
              <w:t>job_count</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5E765DA">
            <w:pPr>
              <w:rPr>
                <w:rFonts w:hint="eastAsia" w:ascii="宋体" w:hAnsi="宋体"/>
                <w:sz w:val="24"/>
              </w:rPr>
            </w:pPr>
            <w:r>
              <w:rPr>
                <w:rFonts w:ascii="宋体" w:hAnsi="宋体"/>
                <w:sz w:val="24"/>
              </w:rPr>
              <w:t>INT</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93B295F">
            <w:pPr>
              <w:rPr>
                <w:rFonts w:hint="eastAsia" w:ascii="宋体" w:hAnsi="宋体"/>
                <w:sz w:val="24"/>
              </w:rPr>
            </w:pPr>
            <w:r>
              <w:rPr>
                <w:rFonts w:ascii="宋体" w:hAnsi="宋体"/>
                <w:sz w:val="24"/>
              </w:rPr>
              <w:t>岗位数量</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DAEFECD">
            <w:pPr>
              <w:rPr>
                <w:rFonts w:hint="eastAsia" w:ascii="宋体" w:hAnsi="宋体"/>
                <w:sz w:val="24"/>
              </w:rPr>
            </w:pPr>
            <w:r>
              <w:rPr>
                <w:rFonts w:ascii="宋体" w:hAnsi="宋体"/>
                <w:sz w:val="24"/>
              </w:rPr>
              <w:t>原始 Excel 文件（清洗后）</w:t>
            </w:r>
          </w:p>
        </w:tc>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D71B76B">
            <w:pPr>
              <w:rPr>
                <w:rFonts w:hint="eastAsia" w:ascii="宋体" w:hAnsi="宋体"/>
                <w:sz w:val="24"/>
              </w:rPr>
            </w:pPr>
            <w:r>
              <w:rPr>
                <w:rFonts w:ascii="宋体" w:hAnsi="宋体"/>
                <w:sz w:val="24"/>
              </w:rPr>
              <w:t>120</w:t>
            </w:r>
          </w:p>
        </w:tc>
      </w:tr>
    </w:tbl>
    <w:p w14:paraId="69DADDA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2.3.2数据质量要求</w:t>
      </w:r>
    </w:p>
    <w:p w14:paraId="0C776C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有效数据量：清洗后≥1200 条；</w:t>
      </w:r>
    </w:p>
    <w:p w14:paraId="5C8284C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缺失率：核心字段≤3%，非核心字段≤5%；</w:t>
      </w:r>
    </w:p>
    <w:p w14:paraId="162C0EE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异常率：薪资异常率≤2%，岗位数量异常率≤1%；</w:t>
      </w:r>
    </w:p>
    <w:p w14:paraId="334544A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格式统一性：日期格式为 “YYYY-MM-DD”。</w:t>
      </w:r>
    </w:p>
    <w:p w14:paraId="0367C178">
      <w:pPr>
        <w:spacing w:line="440" w:lineRule="exact"/>
        <w:outlineLvl w:val="9"/>
        <w:rPr>
          <w:rFonts w:hint="eastAsia" w:eastAsia="宋体" w:cs="Times New Roman"/>
          <w:b/>
          <w:bCs/>
          <w:sz w:val="28"/>
          <w:szCs w:val="28"/>
          <w:lang w:val="en-US" w:eastAsia="zh-CN"/>
        </w:rPr>
      </w:pPr>
      <w:bookmarkStart w:id="1231" w:name="_Toc30566"/>
      <w:bookmarkStart w:id="1232" w:name="_Toc217896054"/>
      <w:r>
        <w:rPr>
          <w:rFonts w:hint="eastAsia" w:eastAsia="宋体" w:cs="Times New Roman"/>
          <w:b/>
          <w:bCs/>
          <w:sz w:val="28"/>
          <w:szCs w:val="28"/>
          <w:lang w:val="en-US" w:eastAsia="zh-CN"/>
        </w:rPr>
        <w:t>3 系统设计</w:t>
      </w:r>
      <w:bookmarkEnd w:id="1231"/>
      <w:bookmarkEnd w:id="1232"/>
    </w:p>
    <w:p w14:paraId="3E75C34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33" w:name="_Toc217896055"/>
      <w:bookmarkStart w:id="1234" w:name="_Toc25633"/>
      <w:r>
        <w:rPr>
          <w:rFonts w:hint="eastAsia" w:ascii="宋体" w:hAnsi="宋体" w:eastAsia="宋体" w:cs="宋体"/>
          <w:b w:val="0"/>
          <w:bCs w:val="0"/>
          <w:kern w:val="2"/>
          <w:sz w:val="24"/>
          <w:szCs w:val="24"/>
          <w:lang w:val="en-US" w:eastAsia="zh-CN" w:bidi="ar-SA"/>
        </w:rPr>
        <w:t>3.1 系统结构设计</w:t>
      </w:r>
      <w:bookmarkEnd w:id="1233"/>
      <w:bookmarkEnd w:id="1234"/>
    </w:p>
    <w:p w14:paraId="46D24F5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数据读取层：通过 Pandas+openpyxl 读取 Excel 原始数据，跳过无效行，重命名字段为英文，输出原始数据 DataFrame。</w:t>
      </w:r>
    </w:p>
    <w:p w14:paraId="0D3AABC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数据处理层：使用 Pandas 完成数据去重、缺失值填充 / 删除、异常值过滤、格式标准化，输出清洗后 DataFrame 与 CSV 文件。</w:t>
      </w:r>
    </w:p>
    <w:p w14:paraId="1EDDA03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数据存储层：将清洗后 CSV 数据批量写入 MySQL 数据库，创建索引优化查询效率，验证数据完整性。</w:t>
      </w:r>
    </w:p>
    <w:p w14:paraId="3758B93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数据分析层：基于 MySQL 数据，通过 SQL 查询与 NumPy 统计计算，获取各维度分析指标。</w:t>
      </w:r>
    </w:p>
    <w:p w14:paraId="62EBECC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sz w:val="24"/>
        </w:rPr>
      </w:pPr>
      <w:r>
        <w:rPr>
          <w:rFonts w:hint="eastAsia" w:ascii="宋体" w:hAnsi="宋体" w:eastAsia="宋体" w:cs="宋体"/>
          <w:b w:val="0"/>
          <w:bCs w:val="0"/>
          <w:kern w:val="2"/>
          <w:sz w:val="24"/>
          <w:szCs w:val="24"/>
          <w:lang w:val="en-US" w:eastAsia="zh-CN" w:bidi="ar-SA"/>
        </w:rPr>
        <w:t>展示层：利用 Matplotlib+Seaborn 绘制多类型图表，统一样式后保存为 PNG 格式，输出可视化成果。</w:t>
      </w:r>
    </w:p>
    <w:p w14:paraId="13B07D6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35" w:name="_Toc217896056"/>
      <w:bookmarkStart w:id="1236" w:name="_Toc15383"/>
      <w:r>
        <w:rPr>
          <w:rFonts w:hint="eastAsia" w:ascii="宋体" w:hAnsi="宋体" w:eastAsia="宋体" w:cs="宋体"/>
          <w:b w:val="0"/>
          <w:bCs w:val="0"/>
          <w:kern w:val="2"/>
          <w:sz w:val="24"/>
          <w:szCs w:val="24"/>
          <w:lang w:val="en-US" w:eastAsia="zh-CN" w:bidi="ar-SA"/>
        </w:rPr>
        <w:t>3.2 系统功能模块设计</w:t>
      </w:r>
      <w:bookmarkEnd w:id="1235"/>
      <w:bookmarkEnd w:id="1236"/>
    </w:p>
    <w:p w14:paraId="06724275">
      <w:pPr>
        <w:outlineLvl w:val="9"/>
        <w:rPr>
          <w:rFonts w:hint="eastAsia" w:asciiTheme="minorHAnsi" w:eastAsiaTheme="minorEastAsia"/>
          <w:bCs/>
          <w:color w:val="000000"/>
          <w:kern w:val="0"/>
          <w:szCs w:val="21"/>
          <w:highlight w:val="none"/>
          <w:lang w:val="en-US" w:eastAsia="zh-CN"/>
        </w:rPr>
      </w:pPr>
      <w:r>
        <w:rPr>
          <w:rFonts w:hint="eastAsia" w:asciiTheme="minorHAnsi" w:eastAsiaTheme="minorEastAsia"/>
          <w:bCs/>
          <w:color w:val="000000"/>
          <w:kern w:val="0"/>
          <w:szCs w:val="21"/>
          <w:highlight w:val="none"/>
          <w:lang w:val="en-US" w:eastAsia="zh-CN"/>
        </w:rPr>
        <w:br w:type="page"/>
      </w:r>
    </w:p>
    <w:p w14:paraId="4368629A">
      <w:pPr>
        <w:keepNext w:val="0"/>
        <w:keepLines w:val="0"/>
        <w:pageBreakBefore w:val="0"/>
        <w:widowControl w:val="0"/>
        <w:tabs>
          <w:tab w:val="center" w:pos="4422"/>
          <w:tab w:val="left" w:pos="6207"/>
        </w:tabs>
        <w:kinsoku/>
        <w:wordWrap/>
        <w:overflowPunct/>
        <w:topLinePunct w:val="0"/>
        <w:autoSpaceDE/>
        <w:autoSpaceDN/>
        <w:bidi w:val="0"/>
        <w:adjustRightInd/>
        <w:snapToGrid/>
        <w:spacing w:line="280" w:lineRule="exact"/>
        <w:ind w:firstLine="420" w:firstLineChars="200"/>
        <w:jc w:val="left"/>
        <w:textAlignment w:val="auto"/>
        <w:outlineLvl w:val="9"/>
      </w:pPr>
      <w:r>
        <w:rPr>
          <w:rFonts w:hint="eastAsia"/>
          <w:bCs/>
          <w:color w:val="000000"/>
          <w:kern w:val="0"/>
          <w:szCs w:val="21"/>
          <w:highlight w:val="none"/>
          <w:lang w:val="en-US" w:eastAsia="zh-CN"/>
        </w:rPr>
        <w:tab/>
      </w:r>
      <w:bookmarkStart w:id="1237" w:name="_Toc25136"/>
      <w:r>
        <w:rPr>
          <w:rFonts w:hint="eastAsia" w:asciiTheme="minorHAnsi" w:eastAsiaTheme="minorEastAsia"/>
          <w:bCs/>
          <w:color w:val="000000"/>
          <w:kern w:val="0"/>
          <w:szCs w:val="21"/>
          <w:highlight w:val="none"/>
          <w:lang w:val="en-US" w:eastAsia="zh-CN"/>
        </w:rPr>
        <w:t>图3-1 系统功能模块设计图</w:t>
      </w:r>
      <w:bookmarkEnd w:id="1237"/>
    </w:p>
    <w:p w14:paraId="5B74B348">
      <w:pPr>
        <w:spacing w:line="240" w:lineRule="auto"/>
        <w:jc w:val="both"/>
        <w:outlineLvl w:val="9"/>
        <w:rPr>
          <w:rFonts w:hint="eastAsia"/>
          <w:bCs/>
          <w:color w:val="000000"/>
          <w:kern w:val="0"/>
          <w:szCs w:val="21"/>
          <w:highlight w:val="none"/>
          <w:lang w:val="en-US" w:eastAsia="zh-CN"/>
        </w:rPr>
      </w:pPr>
      <w:r>
        <w:drawing>
          <wp:anchor distT="0" distB="0" distL="114300" distR="114300" simplePos="0" relativeHeight="251927552" behindDoc="0" locked="0" layoutInCell="1" allowOverlap="1">
            <wp:simplePos x="0" y="0"/>
            <wp:positionH relativeFrom="column">
              <wp:posOffset>175260</wp:posOffset>
            </wp:positionH>
            <wp:positionV relativeFrom="paragraph">
              <wp:posOffset>55245</wp:posOffset>
            </wp:positionV>
            <wp:extent cx="5048250" cy="2921635"/>
            <wp:effectExtent l="9525" t="9525" r="9525" b="21590"/>
            <wp:wrapNone/>
            <wp:docPr id="10631781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78104" name="图片 1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a:xfrm>
                      <a:off x="0" y="0"/>
                      <a:ext cx="5048250" cy="2921635"/>
                    </a:xfrm>
                    <a:prstGeom prst="rect">
                      <a:avLst/>
                    </a:prstGeom>
                    <a:noFill/>
                    <a:ln>
                      <a:solidFill>
                        <a:srgbClr val="036148"/>
                      </a:solidFill>
                    </a:ln>
                  </pic:spPr>
                </pic:pic>
              </a:graphicData>
            </a:graphic>
          </wp:anchor>
        </w:drawing>
      </w:r>
    </w:p>
    <w:p w14:paraId="0E8BB8AB">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494DC712">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55828475">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56510CEF">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78507033">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1211E799">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49A68851">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5FABF1D1">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7CBE3F58">
      <w:pPr>
        <w:spacing w:line="440" w:lineRule="exact"/>
        <w:ind w:firstLine="420" w:firstLineChars="200"/>
        <w:jc w:val="center"/>
        <w:outlineLvl w:val="9"/>
        <w:rPr>
          <w:rFonts w:hint="eastAsia" w:asciiTheme="minorHAnsi" w:eastAsiaTheme="minorEastAsia"/>
          <w:bCs/>
          <w:color w:val="000000"/>
          <w:kern w:val="0"/>
          <w:szCs w:val="21"/>
          <w:highlight w:val="none"/>
          <w:lang w:val="en-US" w:eastAsia="zh-CN"/>
        </w:rPr>
      </w:pPr>
    </w:p>
    <w:p w14:paraId="0069F8F4">
      <w:pPr>
        <w:spacing w:line="440" w:lineRule="exact"/>
        <w:jc w:val="both"/>
        <w:outlineLvl w:val="9"/>
        <w:rPr>
          <w:rFonts w:hint="eastAsia" w:asciiTheme="minorHAnsi" w:eastAsiaTheme="minorEastAsia"/>
          <w:bCs/>
          <w:color w:val="000000"/>
          <w:kern w:val="0"/>
          <w:szCs w:val="21"/>
          <w:highlight w:val="none"/>
          <w:lang w:val="en-US" w:eastAsia="zh-CN"/>
        </w:rPr>
      </w:pPr>
    </w:p>
    <w:p w14:paraId="7099B640">
      <w:pPr>
        <w:spacing w:line="440" w:lineRule="exact"/>
        <w:jc w:val="both"/>
        <w:outlineLvl w:val="9"/>
        <w:rPr>
          <w:rFonts w:hint="eastAsia" w:asciiTheme="minorHAnsi" w:eastAsiaTheme="minorEastAsia"/>
          <w:bCs/>
          <w:color w:val="000000"/>
          <w:kern w:val="0"/>
          <w:szCs w:val="21"/>
          <w:highlight w:val="none"/>
          <w:lang w:val="en-US" w:eastAsia="zh-CN"/>
        </w:rPr>
      </w:pPr>
    </w:p>
    <w:p w14:paraId="04B9C1C9">
      <w:pPr>
        <w:spacing w:line="440" w:lineRule="exact"/>
        <w:ind w:firstLine="420" w:firstLineChars="200"/>
        <w:jc w:val="center"/>
        <w:outlineLvl w:val="9"/>
      </w:pPr>
      <w:bookmarkStart w:id="1238" w:name="_Toc3238"/>
      <w:r>
        <w:rPr>
          <w:rFonts w:hint="eastAsia" w:asciiTheme="minorHAnsi" w:eastAsiaTheme="minorEastAsia"/>
          <w:bCs/>
          <w:color w:val="000000"/>
          <w:kern w:val="0"/>
          <w:szCs w:val="21"/>
          <w:highlight w:val="none"/>
          <w:lang w:val="en-US" w:eastAsia="zh-CN"/>
        </w:rPr>
        <w:t>表3-1 系统模块功能</w:t>
      </w:r>
      <w:bookmarkEnd w:id="1238"/>
    </w:p>
    <w:tbl>
      <w:tblPr>
        <w:tblStyle w:val="35"/>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0" w:type="dxa"/>
          <w:bottom w:w="0" w:type="dxa"/>
          <w:right w:w="0" w:type="dxa"/>
        </w:tblCellMar>
      </w:tblPr>
      <w:tblGrid>
        <w:gridCol w:w="1497"/>
        <w:gridCol w:w="1748"/>
        <w:gridCol w:w="5601"/>
      </w:tblGrid>
      <w:tr w14:paraId="774D7F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rPr>
          <w:tblHeader/>
        </w:trPr>
        <w:tc>
          <w:tcPr>
            <w:tcW w:w="0" w:type="auto"/>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654C00CD">
            <w:pPr>
              <w:jc w:val="center"/>
              <w:rPr>
                <w:rFonts w:hint="eastAsia" w:ascii="宋体" w:hAnsi="宋体"/>
                <w:sz w:val="24"/>
              </w:rPr>
            </w:pPr>
            <w:r>
              <w:rPr>
                <w:rFonts w:ascii="宋体" w:hAnsi="宋体"/>
                <w:sz w:val="24"/>
              </w:rPr>
              <w:t>模块</w:t>
            </w:r>
          </w:p>
        </w:tc>
        <w:tc>
          <w:tcPr>
            <w:tcW w:w="1751" w:type="dxa"/>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2FC7AEF0">
            <w:pPr>
              <w:jc w:val="center"/>
              <w:rPr>
                <w:rFonts w:hint="eastAsia" w:ascii="宋体" w:hAnsi="宋体"/>
                <w:sz w:val="24"/>
              </w:rPr>
            </w:pPr>
            <w:r>
              <w:rPr>
                <w:rFonts w:ascii="宋体" w:hAnsi="宋体"/>
                <w:sz w:val="24"/>
              </w:rPr>
              <w:t>子功能</w:t>
            </w:r>
          </w:p>
        </w:tc>
        <w:tc>
          <w:tcPr>
            <w:tcW w:w="5602" w:type="dxa"/>
            <w:tcBorders>
              <w:top w:val="single" w:color="000000" w:sz="4" w:space="0"/>
              <w:left w:val="single" w:color="000000" w:sz="4" w:space="0"/>
              <w:bottom w:val="single" w:color="000000" w:sz="4" w:space="0"/>
              <w:right w:val="single" w:color="000000" w:sz="4" w:space="0"/>
            </w:tcBorders>
            <w:shd w:val="clear" w:color="auto" w:fill="F2F2F2"/>
            <w:tcMar>
              <w:top w:w="180" w:type="dxa"/>
              <w:left w:w="270" w:type="dxa"/>
              <w:bottom w:w="180" w:type="dxa"/>
              <w:right w:w="270" w:type="dxa"/>
            </w:tcMar>
            <w:vAlign w:val="center"/>
          </w:tcPr>
          <w:p w14:paraId="1A8EE756">
            <w:pPr>
              <w:jc w:val="center"/>
              <w:rPr>
                <w:rFonts w:hint="eastAsia" w:ascii="宋体" w:hAnsi="宋体"/>
                <w:sz w:val="24"/>
              </w:rPr>
            </w:pPr>
            <w:r>
              <w:rPr>
                <w:rFonts w:ascii="宋体" w:hAnsi="宋体"/>
                <w:sz w:val="24"/>
              </w:rPr>
              <w:t>技术实现</w:t>
            </w:r>
          </w:p>
        </w:tc>
      </w:tr>
      <w:tr w14:paraId="4647C0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restart"/>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331449E">
            <w:pPr>
              <w:rPr>
                <w:rFonts w:hint="eastAsia" w:ascii="宋体" w:hAnsi="宋体"/>
                <w:sz w:val="24"/>
              </w:rPr>
            </w:pPr>
            <w:r>
              <w:rPr>
                <w:rFonts w:ascii="宋体" w:hAnsi="宋体"/>
                <w:sz w:val="24"/>
              </w:rPr>
              <w:t>数据</w:t>
            </w:r>
            <w:r>
              <w:rPr>
                <w:rFonts w:hint="eastAsia" w:ascii="宋体" w:hAnsi="宋体"/>
                <w:sz w:val="24"/>
              </w:rPr>
              <w:t>爬</w:t>
            </w:r>
            <w:r>
              <w:rPr>
                <w:rFonts w:ascii="宋体" w:hAnsi="宋体"/>
                <w:sz w:val="24"/>
              </w:rPr>
              <w:t>取</w:t>
            </w: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422511E">
            <w:pPr>
              <w:rPr>
                <w:rFonts w:hint="eastAsia" w:ascii="宋体" w:hAnsi="宋体"/>
                <w:sz w:val="24"/>
              </w:rPr>
            </w:pPr>
            <w:r>
              <w:rPr>
                <w:rFonts w:ascii="宋体" w:hAnsi="宋体"/>
                <w:sz w:val="24"/>
              </w:rPr>
              <w:t>Excel 文件解析</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38EBF24">
            <w:pPr>
              <w:rPr>
                <w:rFonts w:hint="eastAsia" w:ascii="宋体" w:hAnsi="宋体"/>
                <w:sz w:val="24"/>
              </w:rPr>
            </w:pPr>
            <w:r>
              <w:rPr>
                <w:rFonts w:ascii="宋体" w:hAnsi="宋体"/>
                <w:sz w:val="24"/>
              </w:rPr>
              <w:t>Pandas.read_excel ()，指定 usecols 参数保留核心字段，skiprows 跳过无效行</w:t>
            </w:r>
          </w:p>
        </w:tc>
      </w:tr>
      <w:tr w14:paraId="38A77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9B8F10A">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703EE30">
            <w:pPr>
              <w:rPr>
                <w:rFonts w:hint="eastAsia" w:ascii="宋体" w:hAnsi="宋体"/>
                <w:sz w:val="24"/>
              </w:rPr>
            </w:pPr>
            <w:r>
              <w:rPr>
                <w:rFonts w:ascii="宋体" w:hAnsi="宋体"/>
                <w:sz w:val="24"/>
              </w:rPr>
              <w:t>字段重命名</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CD5944F">
            <w:pPr>
              <w:rPr>
                <w:rFonts w:hint="eastAsia" w:ascii="宋体" w:hAnsi="宋体"/>
                <w:sz w:val="24"/>
              </w:rPr>
            </w:pPr>
            <w:r>
              <w:rPr>
                <w:rFonts w:ascii="宋体" w:hAnsi="宋体"/>
                <w:sz w:val="24"/>
              </w:rPr>
              <w:t>DataFrame.rename ()，映射中文字段为英文标准字段名</w:t>
            </w:r>
          </w:p>
        </w:tc>
      </w:tr>
      <w:tr w14:paraId="04AD29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restart"/>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ABE88DA">
            <w:pPr>
              <w:rPr>
                <w:rFonts w:hint="eastAsia" w:ascii="宋体" w:hAnsi="宋体"/>
                <w:sz w:val="24"/>
              </w:rPr>
            </w:pPr>
            <w:r>
              <w:rPr>
                <w:rFonts w:ascii="宋体" w:hAnsi="宋体"/>
                <w:sz w:val="24"/>
              </w:rPr>
              <w:t>数据处理</w:t>
            </w: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A94CD7D">
            <w:pPr>
              <w:rPr>
                <w:rFonts w:hint="eastAsia" w:ascii="宋体" w:hAnsi="宋体"/>
                <w:sz w:val="24"/>
              </w:rPr>
            </w:pPr>
            <w:r>
              <w:rPr>
                <w:rFonts w:ascii="宋体" w:hAnsi="宋体"/>
                <w:sz w:val="24"/>
              </w:rPr>
              <w:t>去重</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499C1A63">
            <w:pPr>
              <w:rPr>
                <w:rFonts w:hint="eastAsia" w:ascii="宋体" w:hAnsi="宋体"/>
                <w:sz w:val="24"/>
              </w:rPr>
            </w:pPr>
            <w:r>
              <w:rPr>
                <w:rFonts w:ascii="宋体" w:hAnsi="宋体"/>
                <w:sz w:val="24"/>
              </w:rPr>
              <w:t>DataFrame.drop_duplicates(subset=["city", "industry", "publish_date"])</w:t>
            </w:r>
          </w:p>
        </w:tc>
      </w:tr>
      <w:tr w14:paraId="5D82941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22FFF6A">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66643B4">
            <w:pPr>
              <w:rPr>
                <w:rFonts w:hint="eastAsia" w:ascii="宋体" w:hAnsi="宋体"/>
                <w:sz w:val="24"/>
              </w:rPr>
            </w:pPr>
            <w:r>
              <w:rPr>
                <w:rFonts w:ascii="宋体" w:hAnsi="宋体"/>
                <w:sz w:val="24"/>
              </w:rPr>
              <w:t>缺失值处理</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C3FFABB">
            <w:pPr>
              <w:rPr>
                <w:rFonts w:hint="eastAsia" w:ascii="宋体" w:hAnsi="宋体"/>
                <w:sz w:val="24"/>
              </w:rPr>
            </w:pPr>
            <w:r>
              <w:rPr>
                <w:rFonts w:ascii="宋体" w:hAnsi="宋体"/>
                <w:sz w:val="24"/>
              </w:rPr>
              <w:t>核心字段：dropna () 删除；非核心字段：groupby+fillna () 填充</w:t>
            </w:r>
          </w:p>
        </w:tc>
      </w:tr>
      <w:tr w14:paraId="1F3999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57821D6">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CB7116B">
            <w:pPr>
              <w:rPr>
                <w:rFonts w:hint="eastAsia" w:ascii="宋体" w:hAnsi="宋体"/>
                <w:sz w:val="24"/>
              </w:rPr>
            </w:pPr>
            <w:r>
              <w:rPr>
                <w:rFonts w:ascii="宋体" w:hAnsi="宋体"/>
                <w:sz w:val="24"/>
              </w:rPr>
              <w:t>异常值过滤</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6240752">
            <w:pPr>
              <w:rPr>
                <w:rFonts w:hint="eastAsia" w:ascii="宋体" w:hAnsi="宋体"/>
                <w:sz w:val="24"/>
              </w:rPr>
            </w:pPr>
            <w:r>
              <w:rPr>
                <w:rFonts w:ascii="宋体" w:hAnsi="宋体"/>
                <w:sz w:val="24"/>
              </w:rPr>
              <w:t>条件索引剔除薪资≤0/＞50、岗位数量≤0 的记录</w:t>
            </w:r>
          </w:p>
        </w:tc>
      </w:tr>
      <w:tr w14:paraId="2F3EE2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FB9ED04">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AC6A373">
            <w:pPr>
              <w:rPr>
                <w:rFonts w:hint="eastAsia" w:ascii="宋体" w:hAnsi="宋体"/>
                <w:sz w:val="24"/>
              </w:rPr>
            </w:pPr>
            <w:r>
              <w:rPr>
                <w:rFonts w:ascii="宋体" w:hAnsi="宋体"/>
                <w:sz w:val="24"/>
              </w:rPr>
              <w:t>格式标准化</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17922F5">
            <w:pPr>
              <w:rPr>
                <w:rFonts w:hint="eastAsia" w:ascii="宋体" w:hAnsi="宋体"/>
                <w:sz w:val="24"/>
              </w:rPr>
            </w:pPr>
            <w:r>
              <w:rPr>
                <w:rFonts w:ascii="宋体" w:hAnsi="宋体"/>
                <w:sz w:val="24"/>
              </w:rPr>
              <w:t>日期：to_datetime ()；城市：str.replace ()；行业：字典映射统一分类</w:t>
            </w:r>
          </w:p>
        </w:tc>
      </w:tr>
      <w:tr w14:paraId="52369B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restart"/>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A965FB9">
            <w:pPr>
              <w:rPr>
                <w:rFonts w:hint="eastAsia" w:ascii="宋体" w:hAnsi="宋体"/>
                <w:sz w:val="24"/>
              </w:rPr>
            </w:pPr>
            <w:r>
              <w:rPr>
                <w:rFonts w:ascii="宋体" w:hAnsi="宋体"/>
                <w:sz w:val="24"/>
              </w:rPr>
              <w:t>数据存储</w:t>
            </w: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5E2F9F3">
            <w:pPr>
              <w:rPr>
                <w:rFonts w:hint="eastAsia" w:ascii="宋体" w:hAnsi="宋体"/>
                <w:sz w:val="24"/>
              </w:rPr>
            </w:pPr>
            <w:r>
              <w:rPr>
                <w:rFonts w:ascii="宋体" w:hAnsi="宋体"/>
                <w:sz w:val="24"/>
              </w:rPr>
              <w:t>数据库初始化</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F9BAC87">
            <w:pPr>
              <w:rPr>
                <w:rFonts w:hint="eastAsia" w:ascii="宋体" w:hAnsi="宋体"/>
                <w:sz w:val="24"/>
              </w:rPr>
            </w:pPr>
            <w:r>
              <w:rPr>
                <w:rFonts w:ascii="宋体" w:hAnsi="宋体"/>
                <w:sz w:val="24"/>
              </w:rPr>
              <w:t>MySQL 建库建表 SQL 脚本，设置字段约束与索引</w:t>
            </w:r>
          </w:p>
        </w:tc>
      </w:tr>
      <w:tr w14:paraId="09C07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3F08DCD">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0E7CA720">
            <w:pPr>
              <w:rPr>
                <w:rFonts w:hint="eastAsia" w:ascii="宋体" w:hAnsi="宋体"/>
                <w:sz w:val="24"/>
              </w:rPr>
            </w:pPr>
            <w:r>
              <w:rPr>
                <w:rFonts w:ascii="宋体" w:hAnsi="宋体"/>
                <w:sz w:val="24"/>
              </w:rPr>
              <w:t>批量数据写入</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F242C32">
            <w:pPr>
              <w:rPr>
                <w:rFonts w:hint="eastAsia" w:ascii="宋体" w:hAnsi="宋体"/>
                <w:sz w:val="24"/>
              </w:rPr>
            </w:pPr>
            <w:r>
              <w:rPr>
                <w:rFonts w:ascii="宋体" w:hAnsi="宋体"/>
                <w:sz w:val="24"/>
              </w:rPr>
              <w:t>PyMySQL + SQLAlchemy，分块写入（chunksize=100）避免内存溢出</w:t>
            </w:r>
          </w:p>
        </w:tc>
      </w:tr>
      <w:tr w14:paraId="239D58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768623A">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A8D23C9">
            <w:pPr>
              <w:rPr>
                <w:rFonts w:hint="eastAsia" w:ascii="宋体" w:hAnsi="宋体"/>
                <w:sz w:val="24"/>
              </w:rPr>
            </w:pPr>
            <w:r>
              <w:rPr>
                <w:rFonts w:ascii="宋体" w:hAnsi="宋体"/>
                <w:sz w:val="24"/>
              </w:rPr>
              <w:t>数据验证</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53A2B241">
            <w:pPr>
              <w:rPr>
                <w:rFonts w:hint="eastAsia" w:ascii="宋体" w:hAnsi="宋体"/>
                <w:sz w:val="24"/>
              </w:rPr>
            </w:pPr>
            <w:r>
              <w:rPr>
                <w:rFonts w:ascii="宋体" w:hAnsi="宋体"/>
                <w:sz w:val="24"/>
              </w:rPr>
              <w:t>SQL 查询对比数据量，抽样验证字段值一致性</w:t>
            </w:r>
          </w:p>
        </w:tc>
      </w:tr>
      <w:tr w14:paraId="346EB0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0" w:type="auto"/>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6657491B">
            <w:pPr>
              <w:rPr>
                <w:rFonts w:hint="eastAsia" w:ascii="宋体" w:hAnsi="宋体"/>
                <w:sz w:val="24"/>
              </w:rPr>
            </w:pPr>
            <w:r>
              <w:rPr>
                <w:rFonts w:ascii="宋体" w:hAnsi="宋体"/>
                <w:sz w:val="24"/>
              </w:rPr>
              <w:t>数据分析</w:t>
            </w: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D9C9163">
            <w:pPr>
              <w:rPr>
                <w:rFonts w:hint="eastAsia" w:ascii="宋体" w:hAnsi="宋体"/>
                <w:sz w:val="24"/>
              </w:rPr>
            </w:pPr>
            <w:r>
              <w:rPr>
                <w:rFonts w:ascii="宋体" w:hAnsi="宋体"/>
                <w:sz w:val="24"/>
              </w:rPr>
              <w:t>多维度统计</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3A82511E">
            <w:pPr>
              <w:rPr>
                <w:rFonts w:hint="eastAsia" w:ascii="宋体" w:hAnsi="宋体"/>
                <w:sz w:val="24"/>
              </w:rPr>
            </w:pPr>
            <w:r>
              <w:rPr>
                <w:rFonts w:ascii="宋体" w:hAnsi="宋体"/>
                <w:sz w:val="24"/>
              </w:rPr>
              <w:t>MySQL GROUP BY 查询 + NumPy 计算均值、中位数、总和等指标</w:t>
            </w:r>
          </w:p>
        </w:tc>
      </w:tr>
      <w:tr w14:paraId="07E662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restart"/>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57CF9AD">
            <w:pPr>
              <w:rPr>
                <w:rFonts w:hint="eastAsia" w:ascii="宋体" w:hAnsi="宋体"/>
                <w:sz w:val="24"/>
              </w:rPr>
            </w:pPr>
            <w:r>
              <w:rPr>
                <w:rFonts w:ascii="宋体" w:hAnsi="宋体"/>
                <w:sz w:val="24"/>
              </w:rPr>
              <w:t>可视化</w:t>
            </w: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6831BFD">
            <w:pPr>
              <w:rPr>
                <w:rFonts w:hint="eastAsia" w:ascii="宋体" w:hAnsi="宋体"/>
                <w:sz w:val="24"/>
              </w:rPr>
            </w:pPr>
            <w:r>
              <w:rPr>
                <w:rFonts w:ascii="宋体" w:hAnsi="宋体"/>
                <w:sz w:val="24"/>
              </w:rPr>
              <w:t>静态图表生成</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ED5B751">
            <w:pPr>
              <w:rPr>
                <w:rFonts w:hint="eastAsia" w:ascii="宋体" w:hAnsi="宋体"/>
                <w:sz w:val="24"/>
              </w:rPr>
            </w:pPr>
            <w:r>
              <w:rPr>
                <w:rFonts w:ascii="宋体" w:hAnsi="宋体"/>
                <w:sz w:val="24"/>
              </w:rPr>
              <w:t>Matplotlib 绘制柱状图、箱线图等 8 类图表，Seaborn 优化样式</w:t>
            </w:r>
          </w:p>
        </w:tc>
      </w:tr>
      <w:tr w14:paraId="48EA32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0" w:type="dxa"/>
            <w:bottom w:w="0" w:type="dxa"/>
            <w:right w:w="0" w:type="dxa"/>
          </w:tblCellMar>
        </w:tblPrEx>
        <w:tc>
          <w:tcPr>
            <w:tcW w:w="1493" w:type="dxa"/>
            <w:vMerge w:val="continue"/>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2C594024">
            <w:pPr>
              <w:rPr>
                <w:rFonts w:hint="eastAsia" w:ascii="宋体" w:hAnsi="宋体"/>
                <w:sz w:val="24"/>
              </w:rPr>
            </w:pPr>
          </w:p>
        </w:tc>
        <w:tc>
          <w:tcPr>
            <w:tcW w:w="1751"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76FE6630">
            <w:pPr>
              <w:rPr>
                <w:rFonts w:hint="eastAsia" w:ascii="宋体" w:hAnsi="宋体"/>
                <w:sz w:val="24"/>
              </w:rPr>
            </w:pPr>
            <w:r>
              <w:rPr>
                <w:rFonts w:ascii="宋体" w:hAnsi="宋体"/>
                <w:sz w:val="24"/>
              </w:rPr>
              <w:t>图表导出</w:t>
            </w:r>
          </w:p>
        </w:tc>
        <w:tc>
          <w:tcPr>
            <w:tcW w:w="5602" w:type="dxa"/>
            <w:tcBorders>
              <w:top w:val="single" w:color="000000" w:sz="4" w:space="0"/>
              <w:left w:val="single" w:color="000000" w:sz="4" w:space="0"/>
              <w:bottom w:val="single" w:color="000000" w:sz="4" w:space="0"/>
              <w:right w:val="single" w:color="000000" w:sz="4" w:space="0"/>
            </w:tcBorders>
            <w:tcMar>
              <w:top w:w="180" w:type="dxa"/>
              <w:left w:w="270" w:type="dxa"/>
              <w:bottom w:w="180" w:type="dxa"/>
              <w:right w:w="270" w:type="dxa"/>
            </w:tcMar>
            <w:vAlign w:val="center"/>
          </w:tcPr>
          <w:p w14:paraId="18A339B9">
            <w:pPr>
              <w:rPr>
                <w:rFonts w:hint="eastAsia" w:ascii="宋体" w:hAnsi="宋体"/>
                <w:sz w:val="24"/>
              </w:rPr>
            </w:pPr>
            <w:r>
              <w:rPr>
                <w:rFonts w:ascii="宋体" w:hAnsi="宋体"/>
                <w:sz w:val="24"/>
              </w:rPr>
              <w:t>保存为 300dpi PNG 格式，确保图表清晰度与可展示性</w:t>
            </w:r>
          </w:p>
        </w:tc>
      </w:tr>
    </w:tbl>
    <w:p w14:paraId="5B9EEB47">
      <w:pPr>
        <w:outlineLvl w:val="9"/>
        <w:rPr>
          <w:rFonts w:hint="eastAsia" w:ascii="宋体" w:hAnsi="宋体"/>
          <w:b/>
          <w:bCs/>
          <w:sz w:val="28"/>
          <w:szCs w:val="28"/>
        </w:rPr>
      </w:pPr>
    </w:p>
    <w:p w14:paraId="0713C971">
      <w:pPr>
        <w:spacing w:line="440" w:lineRule="exact"/>
        <w:outlineLvl w:val="9"/>
        <w:rPr>
          <w:rFonts w:hint="eastAsia" w:eastAsia="宋体" w:cs="Times New Roman"/>
          <w:b/>
          <w:bCs/>
          <w:sz w:val="28"/>
          <w:szCs w:val="28"/>
          <w:lang w:val="en-US" w:eastAsia="zh-CN"/>
        </w:rPr>
      </w:pPr>
      <w:bookmarkStart w:id="1239" w:name="_Toc217896057"/>
      <w:bookmarkStart w:id="1240" w:name="_Toc750"/>
      <w:r>
        <w:rPr>
          <w:rFonts w:hint="eastAsia" w:eastAsia="宋体" w:cs="Times New Roman"/>
          <w:b/>
          <w:bCs/>
          <w:sz w:val="28"/>
          <w:szCs w:val="28"/>
          <w:lang w:val="en-US" w:eastAsia="zh-CN"/>
        </w:rPr>
        <w:t>4 系统功能及使用说明</w:t>
      </w:r>
      <w:bookmarkEnd w:id="1239"/>
      <w:bookmarkEnd w:id="1240"/>
    </w:p>
    <w:p w14:paraId="1D23AA3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41" w:name="_Toc217896058"/>
      <w:bookmarkStart w:id="1242" w:name="_Toc6987"/>
      <w:r>
        <w:rPr>
          <w:rFonts w:hint="eastAsia" w:ascii="宋体" w:hAnsi="宋体" w:eastAsia="宋体" w:cs="宋体"/>
          <w:b w:val="0"/>
          <w:bCs w:val="0"/>
          <w:kern w:val="2"/>
          <w:sz w:val="24"/>
          <w:szCs w:val="24"/>
          <w:lang w:val="en-US" w:eastAsia="zh-CN" w:bidi="ar-SA"/>
        </w:rPr>
        <w:t>4.1 数据读取与清洗模块</w:t>
      </w:r>
      <w:bookmarkEnd w:id="1241"/>
      <w:bookmarkEnd w:id="1242"/>
    </w:p>
    <w:p w14:paraId="7C4633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操作步骤</w:t>
      </w:r>
    </w:p>
    <w:p w14:paraId="2C21A4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配置文件路径：将《不同城市的就业情况.xlsx》放置在代码同级目录，在脚本中指定文件路径。</w:t>
      </w:r>
    </w:p>
    <w:p w14:paraId="21C140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执行数据读取：运行读取脚本，自动跳过无效行，重命名中文字段为英文，输出原始数据 DataFrame。</w:t>
      </w:r>
    </w:p>
    <w:p w14:paraId="0DD88E1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执行数据清洗：运行清洗脚本，按预设规则完成去重、缺失值处理、异常值过滤及格式标准化。</w:t>
      </w:r>
    </w:p>
    <w:p w14:paraId="47CF038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查看成果：生成清洗后 CSV 文件（cleaned_employment_data.csv）与清洗报告，报告记录清洗前后数据量、缺失率、异常率对比。</w:t>
      </w:r>
    </w:p>
    <w:p w14:paraId="6BC66A3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核心处理规则示例</w:t>
      </w:r>
    </w:p>
    <w:p w14:paraId="35E4BD1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去重：基于 “城市 + 行业 ” 联合去重，删除重复记录 15 条；</w:t>
      </w:r>
    </w:p>
    <w:p w14:paraId="23369C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缺失值：岗位数量用 “城市 + 行业” 平均值填充 35 条，发布时间用当月 1 日填充 28 条；</w:t>
      </w:r>
    </w:p>
    <w:p w14:paraId="010CAAB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异常值：剔除薪资≤0 或＞50 千元 / 月数据 12 条，岗位数量≤0 数据 8 条；</w:t>
      </w:r>
    </w:p>
    <w:p w14:paraId="5DFEC13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格式统一：将 “2025.05.10”“2025/5/10” 统一为 “2025-05-10”，“上海市” 简化为 “上海”。</w:t>
      </w:r>
    </w:p>
    <w:p w14:paraId="114844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43" w:name="_Toc3079"/>
      <w:bookmarkStart w:id="1244" w:name="_Toc217896059"/>
      <w:r>
        <w:rPr>
          <w:rFonts w:hint="eastAsia" w:ascii="宋体" w:hAnsi="宋体" w:eastAsia="宋体" w:cs="宋体"/>
          <w:b w:val="0"/>
          <w:bCs w:val="0"/>
          <w:kern w:val="2"/>
          <w:sz w:val="24"/>
          <w:szCs w:val="24"/>
          <w:lang w:val="en-US" w:eastAsia="zh-CN" w:bidi="ar-SA"/>
        </w:rPr>
        <w:t>4.2 MySQL 存储模块</w:t>
      </w:r>
      <w:bookmarkEnd w:id="1243"/>
      <w:bookmarkEnd w:id="1244"/>
    </w:p>
    <w:p w14:paraId="1C7084E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操作步骤</w:t>
      </w:r>
    </w:p>
    <w:p w14:paraId="23A675D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数据库准备：安装 MySQL 8.0，启动服务，通过 Navicat 连接数据库。</w:t>
      </w:r>
    </w:p>
    <w:p w14:paraId="4403AB9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执行建库建表脚本：创建 city_employment_db 数据库与 employment_data 数据表，设置字段约束与索引。</w:t>
      </w:r>
    </w:p>
    <w:p w14:paraId="5BDAD5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数据写入：运行 Python 写入脚本，读取清洗后 CSV，分块写入 MySQL（每块 100 条），避免内存溢出。</w:t>
      </w:r>
    </w:p>
    <w:p w14:paraId="752BACE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数据验证：执行 SQL 查询 “SELECT COUNT (*) FROM employment_data”，确认数据量与 CSV 一致；抽样 20 条数据对比字段值一致性。</w:t>
      </w:r>
    </w:p>
    <w:p w14:paraId="27953D0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核心 SQL 脚本示例</w:t>
      </w:r>
    </w:p>
    <w:p w14:paraId="23536CB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sql</w:t>
      </w:r>
    </w:p>
    <w:p w14:paraId="527F93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创建数据库</w:t>
      </w:r>
    </w:p>
    <w:p w14:paraId="033C5E9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CREATE DATABASE IF NOT EXISTS city_employment_db DEFAULT CHARSET utf8mb4;</w:t>
      </w:r>
    </w:p>
    <w:p w14:paraId="3E0575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创建数据表</w:t>
      </w:r>
    </w:p>
    <w:p w14:paraId="726C897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USE city_employment_db;</w:t>
      </w:r>
    </w:p>
    <w:p w14:paraId="48E2E7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CREATE TABLE IF NOT EXISTS employment_data (</w:t>
      </w:r>
    </w:p>
    <w:p w14:paraId="43CAE1A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id INT PRIMARY KEY AUTO_INCREMENT,</w:t>
      </w:r>
    </w:p>
    <w:p w14:paraId="593F30E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city VARCHAR(20) NOT NULL,</w:t>
      </w:r>
    </w:p>
    <w:p w14:paraId="684531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industry VARCHAR(30) NOT NULL,</w:t>
      </w:r>
    </w:p>
    <w:p w14:paraId="4180D66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avg_salary DECIMAL(10,2) NOT NULL,</w:t>
      </w:r>
    </w:p>
    <w:p w14:paraId="06ACE95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job_count INT NOT NULL,</w:t>
      </w:r>
    </w:p>
    <w:p w14:paraId="32802E2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publish_date DATE NOT NULL,</w:t>
      </w:r>
    </w:p>
    <w:p w14:paraId="7A778A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create_time DATETIME DEFAULT CURRENT_TIMESTAMP,</w:t>
      </w:r>
    </w:p>
    <w:p w14:paraId="57196A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xml:space="preserve">    INDEX idx_city_industry (city, industry)</w:t>
      </w:r>
    </w:p>
    <w:p w14:paraId="0509717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 ENGINE=InnoDB DEFAULT CHARSET=utf8mb4;</w:t>
      </w:r>
    </w:p>
    <w:p w14:paraId="5653D22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bookmarkStart w:id="1245" w:name="_Toc18952"/>
      <w:bookmarkStart w:id="1246" w:name="_Toc217896060"/>
      <w:r>
        <w:rPr>
          <w:rFonts w:hint="eastAsia" w:ascii="宋体" w:hAnsi="宋体" w:eastAsia="宋体" w:cs="宋体"/>
          <w:b w:val="0"/>
          <w:bCs w:val="0"/>
          <w:kern w:val="2"/>
          <w:sz w:val="24"/>
          <w:szCs w:val="24"/>
          <w:lang w:val="en-US" w:eastAsia="zh-CN" w:bidi="ar-SA"/>
        </w:rPr>
        <w:t>4.3 数据可视化模块</w:t>
      </w:r>
      <w:bookmarkEnd w:id="1245"/>
      <w:bookmarkEnd w:id="1246"/>
    </w:p>
    <w:p w14:paraId="68B1104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数据查询：从 MySQL 读取各维度分析数据（如各城市薪资、月度岗位趋势等）。</w:t>
      </w:r>
    </w:p>
    <w:p w14:paraId="6BCA814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图表生成：运行可视化脚本，生成 8 类静态图表，统一设置中文字体与分辨率。</w:t>
      </w:r>
    </w:p>
    <w:p w14:paraId="52CD986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成果查看：图表保存至 “visualization_charts” 文件夹，含完整标题标签与图例。</w:t>
      </w:r>
    </w:p>
    <w:p w14:paraId="345D19D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drawing>
          <wp:anchor distT="0" distB="0" distL="114300" distR="114300" simplePos="0" relativeHeight="251881472" behindDoc="0" locked="0" layoutInCell="1" allowOverlap="1">
            <wp:simplePos x="0" y="0"/>
            <wp:positionH relativeFrom="margin">
              <wp:posOffset>42545</wp:posOffset>
            </wp:positionH>
            <wp:positionV relativeFrom="paragraph">
              <wp:posOffset>391795</wp:posOffset>
            </wp:positionV>
            <wp:extent cx="5262880" cy="2218055"/>
            <wp:effectExtent l="0" t="0" r="13970" b="10795"/>
            <wp:wrapSquare wrapText="bothSides"/>
            <wp:docPr id="15015422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42299" name="图片 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a:xfrm>
                      <a:off x="0" y="0"/>
                      <a:ext cx="5275623" cy="2218055"/>
                    </a:xfrm>
                    <a:prstGeom prst="rect">
                      <a:avLst/>
                    </a:prstGeom>
                    <a:noFill/>
                    <a:ln>
                      <a:noFill/>
                    </a:ln>
                  </pic:spPr>
                </pic:pic>
              </a:graphicData>
            </a:graphic>
          </wp:anchor>
        </w:drawing>
      </w:r>
      <w:r>
        <w:rPr>
          <w:rFonts w:hint="eastAsia" w:ascii="宋体" w:hAnsi="宋体" w:eastAsia="宋体" w:cs="宋体"/>
          <w:b w:val="0"/>
          <w:bCs w:val="0"/>
          <w:kern w:val="2"/>
          <w:sz w:val="24"/>
          <w:szCs w:val="24"/>
          <w:lang w:val="en-US" w:eastAsia="zh-CN" w:bidi="ar-SA"/>
        </w:rPr>
        <w:t>图表示例</w:t>
      </w:r>
    </w:p>
    <w:p w14:paraId="5DBD91D8">
      <w:pPr>
        <w:bidi w:val="0"/>
        <w:jc w:val="center"/>
        <w:rPr>
          <w:rFonts w:hint="default" w:asciiTheme="minorHAnsi" w:hAnsiTheme="minorHAnsi" w:eastAsiaTheme="minorEastAsia" w:cstheme="minorBidi"/>
          <w:kern w:val="2"/>
          <w:sz w:val="21"/>
          <w:szCs w:val="24"/>
          <w:lang w:val="en-US" w:eastAsia="zh-CN" w:bidi="ar-SA"/>
        </w:rPr>
      </w:pPr>
      <w:r>
        <w:rPr>
          <w:rFonts w:hint="eastAsia"/>
          <w:bCs/>
          <w:color w:val="000000"/>
          <w:kern w:val="0"/>
          <w:szCs w:val="21"/>
          <w:highlight w:val="none"/>
        </w:rPr>
        <w:t>图</w:t>
      </w:r>
      <w:r>
        <w:rPr>
          <w:rFonts w:hint="eastAsia" w:asciiTheme="minorHAnsi" w:eastAsiaTheme="minorEastAsia"/>
          <w:bCs/>
          <w:color w:val="000000"/>
          <w:kern w:val="0"/>
          <w:szCs w:val="21"/>
          <w:highlight w:val="none"/>
          <w:lang w:val="en-US" w:eastAsia="zh-CN"/>
        </w:rPr>
        <w:t>4</w:t>
      </w:r>
      <w:r>
        <w:rPr>
          <w:rFonts w:hint="eastAsia"/>
          <w:bCs/>
          <w:color w:val="000000"/>
          <w:kern w:val="0"/>
          <w:szCs w:val="21"/>
          <w:highlight w:val="none"/>
        </w:rPr>
        <w:t>-</w:t>
      </w:r>
      <w:r>
        <w:rPr>
          <w:rFonts w:hint="eastAsia" w:asciiTheme="minorHAnsi" w:eastAsiaTheme="minorEastAsia"/>
          <w:bCs/>
          <w:color w:val="000000"/>
          <w:kern w:val="0"/>
          <w:szCs w:val="21"/>
          <w:highlight w:val="none"/>
          <w:lang w:val="en-US" w:eastAsia="zh-CN"/>
        </w:rPr>
        <w:t>1</w:t>
      </w:r>
      <w:r>
        <w:rPr>
          <w:rFonts w:hint="eastAsia"/>
          <w:bCs/>
          <w:color w:val="000000"/>
          <w:kern w:val="0"/>
          <w:szCs w:val="21"/>
          <w:highlight w:val="none"/>
        </w:rPr>
        <w:t xml:space="preserve">   </w:t>
      </w:r>
      <w:r>
        <w:rPr>
          <w:rFonts w:hint="eastAsia" w:asciiTheme="minorHAnsi" w:eastAsiaTheme="minorEastAsia"/>
          <w:bCs/>
          <w:color w:val="000000"/>
          <w:kern w:val="0"/>
          <w:szCs w:val="21"/>
          <w:highlight w:val="none"/>
          <w:lang w:val="en-US" w:eastAsia="zh-CN"/>
        </w:rPr>
        <w:t>各城市岗位数据分布图</w:t>
      </w:r>
    </w:p>
    <w:p w14:paraId="72B40B57">
      <w:pPr>
        <w:tabs>
          <w:tab w:val="left" w:pos="1584"/>
        </w:tabs>
        <w:spacing w:before="0" w:after="0" w:line="240" w:lineRule="auto"/>
        <w:ind w:left="0" w:leftChars="0" w:firstLine="0" w:firstLineChars="0"/>
        <w:outlineLvl w:val="9"/>
      </w:pPr>
    </w:p>
    <w:p w14:paraId="0023ED17">
      <w:r>
        <w:rPr>
          <w:rFonts w:hint="eastAsia"/>
        </w:rPr>
        <w:drawing>
          <wp:inline distT="0" distB="0" distL="0" distR="0">
            <wp:extent cx="5264785" cy="2590800"/>
            <wp:effectExtent l="0" t="0" r="12065" b="0"/>
            <wp:docPr id="19452980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298002" name="图片 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a:xfrm>
                      <a:off x="0" y="0"/>
                      <a:ext cx="5269622" cy="2593180"/>
                    </a:xfrm>
                    <a:prstGeom prst="rect">
                      <a:avLst/>
                    </a:prstGeom>
                    <a:noFill/>
                    <a:ln>
                      <a:noFill/>
                    </a:ln>
                  </pic:spPr>
                </pic:pic>
              </a:graphicData>
            </a:graphic>
          </wp:inline>
        </w:drawing>
      </w:r>
    </w:p>
    <w:p w14:paraId="7D4B2ECB">
      <w:pPr>
        <w:bidi w:val="0"/>
        <w:jc w:val="center"/>
        <w:rPr>
          <w:rFonts w:hint="eastAsia"/>
          <w:lang w:val="en-US" w:eastAsia="zh-CN"/>
        </w:rPr>
      </w:pPr>
      <w:r>
        <w:rPr>
          <w:rFonts w:hint="eastAsia" w:asciiTheme="minorHAnsi" w:eastAsiaTheme="minorEastAsia"/>
          <w:lang w:val="en-US" w:eastAsia="zh-CN"/>
        </w:rPr>
        <w:t>图4-2   各城市岗位数据分布图</w:t>
      </w:r>
    </w:p>
    <w:p w14:paraId="59C828F0">
      <w:pPr>
        <w:bidi w:val="0"/>
        <w:jc w:val="center"/>
        <w:rPr>
          <w:rFonts w:hint="eastAsia"/>
          <w:lang w:val="en-US" w:eastAsia="zh-CN"/>
        </w:rPr>
      </w:pPr>
      <w:r>
        <w:rPr>
          <w:rFonts w:hint="eastAsia"/>
        </w:rPr>
        <w:drawing>
          <wp:inline distT="0" distB="0" distL="0" distR="0">
            <wp:extent cx="5264785" cy="2449195"/>
            <wp:effectExtent l="0" t="0" r="12065" b="8255"/>
            <wp:docPr id="8776358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35861" name="图片 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a:xfrm>
                      <a:off x="0" y="0"/>
                      <a:ext cx="5267754" cy="2450667"/>
                    </a:xfrm>
                    <a:prstGeom prst="rect">
                      <a:avLst/>
                    </a:prstGeom>
                    <a:noFill/>
                    <a:ln>
                      <a:noFill/>
                    </a:ln>
                  </pic:spPr>
                </pic:pic>
              </a:graphicData>
            </a:graphic>
          </wp:inline>
        </w:drawing>
      </w:r>
      <w:r>
        <w:rPr>
          <w:rFonts w:hint="eastAsia" w:asciiTheme="minorHAnsi" w:eastAsiaTheme="minorEastAsia"/>
          <w:lang w:val="en-US" w:eastAsia="zh-CN"/>
        </w:rPr>
        <w:t>图4-3   岗位薪资分布图</w:t>
      </w:r>
    </w:p>
    <w:p w14:paraId="43DB2C8A">
      <w:pPr>
        <w:jc w:val="center"/>
      </w:pPr>
      <w:r>
        <w:rPr>
          <w:rFonts w:hint="eastAsia"/>
        </w:rPr>
        <w:drawing>
          <wp:inline distT="0" distB="0" distL="0" distR="0">
            <wp:extent cx="5327015" cy="2446020"/>
            <wp:effectExtent l="0" t="0" r="6985" b="11430"/>
            <wp:docPr id="10346115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11518" name="图片 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a:xfrm>
                      <a:off x="0" y="0"/>
                      <a:ext cx="5332773" cy="2446020"/>
                    </a:xfrm>
                    <a:prstGeom prst="rect">
                      <a:avLst/>
                    </a:prstGeom>
                    <a:noFill/>
                    <a:ln>
                      <a:noFill/>
                    </a:ln>
                  </pic:spPr>
                </pic:pic>
              </a:graphicData>
            </a:graphic>
          </wp:inline>
        </w:drawing>
      </w:r>
      <w:r>
        <w:rPr>
          <w:rFonts w:hint="eastAsia" w:asciiTheme="minorHAnsi" w:eastAsiaTheme="minorEastAsia"/>
          <w:lang w:val="en-US" w:eastAsia="zh-CN"/>
        </w:rPr>
        <w:t>图4-4   主要城市岗位数与平均薪资对比图</w:t>
      </w:r>
    </w:p>
    <w:p w14:paraId="0457EB0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b w:val="0"/>
          <w:bCs w:val="0"/>
          <w:kern w:val="2"/>
          <w:sz w:val="21"/>
          <w:szCs w:val="21"/>
          <w:lang w:val="en-US" w:eastAsia="zh-CN" w:bidi="ar-SA"/>
        </w:rPr>
        <w:sectPr>
          <w:headerReference r:id="rId44" w:type="default"/>
          <w:footerReference r:id="rId45"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4921F1F">
      <w:pPr>
        <w:pStyle w:val="3"/>
        <w:bidi w:val="0"/>
        <w:rPr>
          <w:rFonts w:hint="eastAsia"/>
        </w:rPr>
      </w:pPr>
      <w:bookmarkStart w:id="1247" w:name="_Toc26200"/>
      <w:bookmarkStart w:id="1248" w:name="_Toc12686"/>
      <w:bookmarkStart w:id="1249" w:name="_Toc18399"/>
      <w:r>
        <w:rPr>
          <w:rFonts w:hint="eastAsia"/>
          <w:lang w:val="en-US" w:eastAsia="zh-CN"/>
        </w:rPr>
        <w:t>16.环江西省携程旅游数据分析</w:t>
      </w:r>
      <w:r>
        <w:rPr>
          <w:rFonts w:hint="eastAsia"/>
        </w:rPr>
        <w:t>的设计与实现</w:t>
      </w:r>
      <w:bookmarkEnd w:id="1247"/>
      <w:bookmarkEnd w:id="1248"/>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53CFFE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E8976CB">
            <w:pPr>
              <w:jc w:val="left"/>
              <w:outlineLvl w:val="0"/>
              <w:rPr>
                <w:rFonts w:ascii="Calibri" w:hAnsi="Calibri" w:eastAsia="黑体" w:cs="Times New Roman"/>
                <w:szCs w:val="21"/>
              </w:rPr>
            </w:pPr>
            <w:bookmarkStart w:id="1250" w:name="_Toc14757"/>
            <w:bookmarkStart w:id="1251" w:name="_Toc11559"/>
            <w:r>
              <w:rPr>
                <w:rFonts w:hint="eastAsia" w:ascii="Calibri" w:hAnsi="Calibri" w:eastAsia="黑体" w:cs="Times New Roman"/>
                <w:sz w:val="24"/>
              </w:rPr>
              <w:t>项目主题：</w:t>
            </w:r>
            <w:r>
              <w:rPr>
                <w:rFonts w:hint="eastAsia" w:ascii="Calibri" w:hAnsi="Calibri" w:eastAsia="黑体" w:cs="Times New Roman"/>
                <w:sz w:val="24"/>
                <w:lang w:val="en-US" w:eastAsia="zh-CN"/>
              </w:rPr>
              <w:t>环江西省携程旅游数据分析</w:t>
            </w:r>
            <w:r>
              <w:rPr>
                <w:rFonts w:hint="eastAsia" w:ascii="Calibri" w:hAnsi="Calibri" w:eastAsia="黑体" w:cs="Times New Roman"/>
                <w:sz w:val="24"/>
              </w:rPr>
              <w:t>的设计与实现</w:t>
            </w:r>
            <w:bookmarkEnd w:id="1250"/>
            <w:bookmarkEnd w:id="1251"/>
          </w:p>
        </w:tc>
      </w:tr>
      <w:tr w14:paraId="66EF06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203F3F7">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数据科学本科</w:t>
            </w:r>
            <w:r>
              <w:rPr>
                <w:rFonts w:hint="eastAsia" w:ascii="Calibri" w:hAnsi="Calibri" w:eastAsia="黑体" w:cs="Times New Roman"/>
                <w:sz w:val="24"/>
                <w:lang w:val="en-US" w:eastAsia="zh-CN"/>
              </w:rPr>
              <w:t>3</w:t>
            </w:r>
            <w:r>
              <w:rPr>
                <w:rFonts w:hint="eastAsia" w:ascii="Calibri" w:hAnsi="Calibri" w:eastAsia="黑体" w:cs="Times New Roman"/>
                <w:sz w:val="24"/>
              </w:rPr>
              <w:t>班</w:t>
            </w:r>
          </w:p>
        </w:tc>
      </w:tr>
      <w:tr w14:paraId="3A5A47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0A3F82D">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 xml:space="preserve">刘丰盈 袁水秀 赵越 周思思 </w:t>
            </w:r>
            <w:r>
              <w:rPr>
                <w:rFonts w:hint="eastAsia" w:ascii="Calibri" w:hAnsi="Calibri" w:eastAsia="黑体" w:cs="Times New Roman"/>
                <w:sz w:val="24"/>
              </w:rPr>
              <w:t xml:space="preserve">    </w:t>
            </w:r>
            <w:r>
              <w:rPr>
                <w:rFonts w:hint="eastAsia" w:ascii="Calibri" w:hAnsi="Calibri" w:eastAsia="黑体" w:cs="Times New Roman"/>
                <w:sz w:val="24"/>
                <w:lang w:val="en-US" w:eastAsia="zh-CN"/>
              </w:rPr>
              <w:t xml:space="preserve">        </w:t>
            </w:r>
            <w:r>
              <w:rPr>
                <w:rFonts w:hint="eastAsia" w:ascii="Calibri" w:hAnsi="Calibri" w:eastAsia="黑体" w:cs="Times New Roman"/>
                <w:sz w:val="24"/>
              </w:rPr>
              <w:t>指导教师：</w:t>
            </w:r>
            <w:r>
              <w:rPr>
                <w:rFonts w:hint="eastAsia" w:ascii="Calibri" w:hAnsi="Calibri" w:eastAsia="黑体" w:cs="Times New Roman"/>
                <w:sz w:val="24"/>
                <w:lang w:val="en-US" w:eastAsia="zh-CN"/>
              </w:rPr>
              <w:t>胡浩</w:t>
            </w:r>
          </w:p>
        </w:tc>
      </w:tr>
    </w:tbl>
    <w:p w14:paraId="21AEE1D2">
      <w:pPr>
        <w:spacing w:line="440" w:lineRule="exact"/>
        <w:outlineLvl w:val="9"/>
        <w:rPr>
          <w:rFonts w:hint="eastAsia" w:eastAsia="宋体" w:cs="Times New Roman"/>
          <w:b/>
          <w:bCs/>
          <w:sz w:val="28"/>
          <w:szCs w:val="28"/>
          <w:lang w:val="en-US" w:eastAsia="zh-CN"/>
        </w:rPr>
      </w:pPr>
      <w:bookmarkStart w:id="1252" w:name="_Toc1398"/>
      <w:r>
        <w:rPr>
          <w:rFonts w:hint="eastAsia" w:eastAsia="宋体" w:cs="Times New Roman"/>
          <w:b/>
          <w:bCs/>
          <w:sz w:val="28"/>
          <w:szCs w:val="28"/>
          <w:lang w:val="en-US" w:eastAsia="zh-CN"/>
        </w:rPr>
        <w:t>1 项目概述</w:t>
      </w:r>
      <w:bookmarkEnd w:id="1249"/>
      <w:bookmarkEnd w:id="1252"/>
    </w:p>
    <w:p w14:paraId="27DA9815">
      <w:pPr>
        <w:spacing w:line="440" w:lineRule="exact"/>
        <w:ind w:firstLine="480" w:firstLineChars="200"/>
        <w:outlineLvl w:val="9"/>
        <w:rPr>
          <w:rFonts w:hint="default" w:ascii="宋体" w:hAnsi="宋体" w:eastAsia="宋体" w:cs="宋体"/>
          <w:sz w:val="24"/>
          <w:lang w:val="en-US" w:eastAsia="zh-CN"/>
        </w:rPr>
      </w:pPr>
      <w:bookmarkStart w:id="1253" w:name="_Toc6786"/>
      <w:bookmarkStart w:id="1254" w:name="_Toc21894"/>
      <w:r>
        <w:rPr>
          <w:rFonts w:hint="eastAsia" w:ascii="宋体" w:hAnsi="宋体" w:eastAsia="宋体" w:cs="宋体"/>
          <w:sz w:val="24"/>
          <w:lang w:val="en-US" w:eastAsia="zh-CN"/>
        </w:rPr>
        <w:t>1.1项目介绍</w:t>
      </w:r>
      <w:bookmarkEnd w:id="1253"/>
      <w:bookmarkEnd w:id="1254"/>
    </w:p>
    <w:p w14:paraId="5976BD2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（1）项目背景</w:t>
      </w:r>
    </w:p>
    <w:p w14:paraId="171113C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随着国民旅游消费需求的持续升级与“泛区域旅游”协同发展的趋势日益显著，对区域旅游资源进行系统性摸底、评估与对比显得尤为重要。江西省地处华东地区，周边环绕广东、湖北、安徽、福建、浙江、湖南六个旅游大省，旅游资源丰富且竞争与合作并存。然而，目前缺乏一套能够动态、全面反映该区域景点分布、质量、热度与消费特征的数据体系。因此，本项目旨在通过技术手段，构建一个覆盖“环江西”七省份的标准化景点数据库，为区域旅游研究、产业规划和商业决策提供高质量的数据支撑。</w:t>
      </w:r>
    </w:p>
    <w:p w14:paraId="4DF7166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（2）数据来源与范围</w:t>
      </w:r>
    </w:p>
    <w:p w14:paraId="1BAC8FD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数据来源：本项目所有景点数据均采集自中国领先的在线旅游服务平台——</w:t>
      </w:r>
      <w:r>
        <w:rPr>
          <w:rFonts w:hint="default" w:ascii="宋体" w:hAnsi="宋体" w:eastAsia="宋体" w:cs="宋体"/>
          <w:b w:val="0"/>
          <w:bCs w:val="0"/>
          <w:kern w:val="2"/>
          <w:sz w:val="24"/>
          <w:szCs w:val="24"/>
          <w:lang w:val="en-US" w:eastAsia="zh-CN" w:bidi="ar-SA"/>
        </w:rPr>
        <w:t>携程旅行网（Ctrip），确保了数据的权威性、时效性与高商业价值。</w:t>
      </w:r>
    </w:p>
    <w:p w14:paraId="795FD55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数据范围：覆盖以江西省为核心的七个相邻省份，江西省、</w:t>
      </w:r>
      <w:r>
        <w:rPr>
          <w:rFonts w:hint="default" w:ascii="宋体" w:hAnsi="宋体" w:eastAsia="宋体" w:cs="宋体"/>
          <w:b w:val="0"/>
          <w:bCs w:val="0"/>
          <w:kern w:val="2"/>
          <w:sz w:val="24"/>
          <w:szCs w:val="24"/>
          <w:lang w:val="en-US" w:eastAsia="zh-CN" w:bidi="ar-SA"/>
        </w:rPr>
        <w:t>广东省</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湖北省</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安徽省</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福建省</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浙江省</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湖南省</w:t>
      </w:r>
      <w:r>
        <w:rPr>
          <w:rFonts w:hint="eastAsia" w:ascii="宋体" w:hAnsi="宋体" w:eastAsia="宋体" w:cs="宋体"/>
          <w:b w:val="0"/>
          <w:bCs w:val="0"/>
          <w:kern w:val="2"/>
          <w:sz w:val="24"/>
          <w:szCs w:val="24"/>
          <w:lang w:val="en-US" w:eastAsia="zh-CN" w:bidi="ar-SA"/>
        </w:rPr>
        <w:t>。</w:t>
      </w:r>
    </w:p>
    <w:p w14:paraId="4E3BA4C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（3）可视化呈现内容</w:t>
      </w:r>
    </w:p>
    <w:p w14:paraId="3788620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基于清洗和分析后的数据，项目生成了多维度、多类型的可视化图表，以直观揭示区域旅游资源的特征与规律：</w:t>
      </w:r>
    </w:p>
    <w:p w14:paraId="12DE40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宏观数量对比：各省份景点总量柱状图，清晰展示区域内的资源分布格局。</w:t>
      </w:r>
    </w:p>
    <w:p w14:paraId="7B70939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消费结构分析：免费与收费景点比例饼图，揭示旅游市场的商业化程度与游客成本结构。</w:t>
      </w:r>
    </w:p>
    <w:p w14:paraId="7C0F0EB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景点质量与热度分层：基于评论数等指标的热度等级分布图，识别头部热门景点与潜力资源。</w:t>
      </w:r>
    </w:p>
    <w:p w14:paraId="78BDAC0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（4）项目价值与意义</w:t>
      </w:r>
    </w:p>
    <w:p w14:paraId="3BE879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学术研究价值：提供了大规模、结构化的真实世界旅游数据，可用于旅游地理学、区域经济学、消费者行为学等多个领域的实证研究。</w:t>
      </w:r>
    </w:p>
    <w:p w14:paraId="7BC84C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产业决策价值：</w:t>
      </w:r>
    </w:p>
    <w:p w14:paraId="6613437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对政府部门：为旅游资源规划、基础设施建设、跨区域旅游线路设计提供量化依据。</w:t>
      </w:r>
    </w:p>
    <w:p w14:paraId="72CE734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对旅游企业：支持竞品分析、市场需求洞察、投资选址评估及精准营销策略制定。</w:t>
      </w:r>
    </w:p>
    <w:p w14:paraId="794580DF">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对旅游景区：助力了解自身在区域中的定位，优化服务设施与定价策略。</w:t>
      </w:r>
    </w:p>
    <w:p w14:paraId="6301EA1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技术实践价值：项目完整实践了从数据采集、清洗、存储到分析与可视化的全流程，形成了一套可复用的、稳健的网络数据采集与处理工程框架，具有很高的技术参考价值。</w:t>
      </w:r>
    </w:p>
    <w:p w14:paraId="002AA9C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公众服务潜力：分析结果可转化为游客出行参考，帮助公众了解不同地区的景点特色、消费水平和热门程度，优化出行选择。</w:t>
      </w:r>
    </w:p>
    <w:p w14:paraId="52CC4635">
      <w:pPr>
        <w:spacing w:line="440" w:lineRule="exact"/>
        <w:ind w:firstLine="480" w:firstLineChars="200"/>
        <w:outlineLvl w:val="9"/>
        <w:rPr>
          <w:rFonts w:hint="eastAsia" w:ascii="宋体" w:hAnsi="宋体" w:eastAsia="宋体" w:cs="宋体"/>
          <w:sz w:val="24"/>
          <w:lang w:val="en-US" w:eastAsia="zh-CN"/>
        </w:rPr>
      </w:pPr>
      <w:bookmarkStart w:id="1255" w:name="_Toc31931"/>
      <w:bookmarkStart w:id="1256" w:name="_Toc16207"/>
      <w:r>
        <w:rPr>
          <w:rFonts w:hint="eastAsia" w:ascii="宋体" w:hAnsi="宋体" w:eastAsia="宋体" w:cs="宋体"/>
          <w:sz w:val="24"/>
          <w:lang w:val="en-US" w:eastAsia="zh-CN"/>
        </w:rPr>
        <w:t>1.2项目开发环境</w:t>
      </w:r>
      <w:bookmarkEnd w:id="1255"/>
      <w:bookmarkEnd w:id="1256"/>
    </w:p>
    <w:p w14:paraId="5CB22AC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PyCharm Professional 2023.1</w:t>
      </w:r>
      <w:r>
        <w:rPr>
          <w:rFonts w:hint="default" w:ascii="宋体" w:hAnsi="宋体" w:eastAsia="宋体" w:cs="宋体"/>
          <w:b w:val="0"/>
          <w:bCs w:val="0"/>
          <w:kern w:val="2"/>
          <w:sz w:val="24"/>
          <w:szCs w:val="24"/>
          <w:lang w:val="en-US" w:eastAsia="zh-CN" w:bidi="ar-SA"/>
        </w:rPr>
        <w:t>：主要集成开发环境</w:t>
      </w:r>
    </w:p>
    <w:p w14:paraId="2F77187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Jupyter Notebook</w:t>
      </w:r>
      <w:r>
        <w:rPr>
          <w:rFonts w:hint="default" w:ascii="宋体" w:hAnsi="宋体" w:eastAsia="宋体" w:cs="宋体"/>
          <w:b w:val="0"/>
          <w:bCs w:val="0"/>
          <w:kern w:val="2"/>
          <w:sz w:val="24"/>
          <w:szCs w:val="24"/>
          <w:lang w:val="en-US" w:eastAsia="zh-CN" w:bidi="ar-SA"/>
        </w:rPr>
        <w:t>：数据分析和可视化交互环境</w:t>
      </w:r>
    </w:p>
    <w:p w14:paraId="2194CC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Navicat:主数据库，支持JSON字段、窗口函数等高级特性</w:t>
      </w:r>
    </w:p>
    <w:p w14:paraId="2408432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山海鲸：可视化动态大屏的实现</w:t>
      </w:r>
    </w:p>
    <w:p w14:paraId="1C150EAD">
      <w:pPr>
        <w:spacing w:line="440" w:lineRule="exact"/>
        <w:ind w:firstLine="480" w:firstLineChars="200"/>
        <w:outlineLvl w:val="9"/>
        <w:rPr>
          <w:rFonts w:hint="eastAsia" w:ascii="宋体" w:hAnsi="宋体" w:eastAsia="宋体" w:cs="宋体"/>
          <w:sz w:val="24"/>
          <w:lang w:val="en-US" w:eastAsia="zh-CN"/>
        </w:rPr>
      </w:pPr>
      <w:bookmarkStart w:id="1257" w:name="_Toc27423"/>
      <w:bookmarkStart w:id="1258" w:name="_Toc3129"/>
      <w:r>
        <w:rPr>
          <w:rFonts w:hint="eastAsia" w:ascii="宋体" w:hAnsi="宋体" w:eastAsia="宋体" w:cs="宋体"/>
          <w:sz w:val="24"/>
          <w:lang w:val="en-US" w:eastAsia="zh-CN"/>
        </w:rPr>
        <w:t>1.3小组人员及分工</w:t>
      </w:r>
      <w:bookmarkEnd w:id="1257"/>
      <w:bookmarkEnd w:id="1258"/>
    </w:p>
    <w:p w14:paraId="4779BF10">
      <w:pPr>
        <w:tabs>
          <w:tab w:val="left" w:pos="1584"/>
        </w:tabs>
        <w:spacing w:before="0" w:after="0" w:line="240" w:lineRule="auto"/>
        <w:ind w:left="0" w:firstLine="0"/>
        <w:jc w:val="center"/>
        <w:outlineLvl w:val="9"/>
        <w:rPr>
          <w:rFonts w:hint="default" w:asciiTheme="minorHAnsi" w:hAnsiTheme="minorHAnsi" w:eastAsiaTheme="minorEastAsia" w:cstheme="minorBidi"/>
          <w:bCs/>
          <w:color w:val="000000"/>
          <w:kern w:val="0"/>
          <w:sz w:val="21"/>
          <w:szCs w:val="21"/>
          <w:highlight w:val="none"/>
          <w:lang w:val="en-US" w:eastAsia="zh-CN" w:bidi="ar-SA"/>
        </w:rPr>
      </w:pPr>
      <w:r>
        <w:rPr>
          <w:rFonts w:hint="eastAsia" w:asciiTheme="minorHAnsi" w:hAnsiTheme="minorHAnsi" w:eastAsiaTheme="minorEastAsia" w:cstheme="minorBidi"/>
          <w:bCs/>
          <w:color w:val="000000"/>
          <w:kern w:val="0"/>
          <w:sz w:val="21"/>
          <w:szCs w:val="21"/>
          <w:highlight w:val="none"/>
          <w:lang w:val="en-US" w:eastAsia="zh-CN" w:bidi="ar-SA"/>
        </w:rPr>
        <w:t>表1-1 小组分工情况</w:t>
      </w:r>
    </w:p>
    <w:tbl>
      <w:tblPr>
        <w:tblStyle w:val="36"/>
        <w:tblW w:w="89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4"/>
        <w:gridCol w:w="7763"/>
      </w:tblGrid>
      <w:tr w14:paraId="6C7CA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224" w:type="dxa"/>
            <w:vAlign w:val="center"/>
          </w:tcPr>
          <w:p w14:paraId="3514204F">
            <w:pPr>
              <w:pStyle w:val="10"/>
              <w:pageBreakBefore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成员</w:t>
            </w:r>
          </w:p>
        </w:tc>
        <w:tc>
          <w:tcPr>
            <w:tcW w:w="7763" w:type="dxa"/>
            <w:vAlign w:val="center"/>
          </w:tcPr>
          <w:p w14:paraId="3FC87BA5">
            <w:pPr>
              <w:pStyle w:val="10"/>
              <w:pageBreakBefore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分工</w:t>
            </w:r>
          </w:p>
        </w:tc>
      </w:tr>
      <w:tr w14:paraId="4035B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1224" w:type="dxa"/>
            <w:vAlign w:val="center"/>
          </w:tcPr>
          <w:p w14:paraId="52ABE607">
            <w:pPr>
              <w:pStyle w:val="10"/>
              <w:pageBreakBefore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刘丰盈</w:t>
            </w:r>
          </w:p>
        </w:tc>
        <w:tc>
          <w:tcPr>
            <w:tcW w:w="7763" w:type="dxa"/>
            <w:vAlign w:val="center"/>
          </w:tcPr>
          <w:p w14:paraId="1E9DAC23">
            <w:pPr>
              <w:pStyle w:val="10"/>
              <w:pageBreakBefore w:val="0"/>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统筹项目整体进度，协调小组内工作安排，负责项目代码编写、设计文档编写，把控文档整体质量。</w:t>
            </w:r>
          </w:p>
        </w:tc>
      </w:tr>
      <w:tr w14:paraId="0DB59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trPr>
        <w:tc>
          <w:tcPr>
            <w:tcW w:w="1224" w:type="dxa"/>
            <w:vAlign w:val="center"/>
          </w:tcPr>
          <w:p w14:paraId="724A9F5C">
            <w:pPr>
              <w:pStyle w:val="10"/>
              <w:pageBreakBefore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袁水秀</w:t>
            </w:r>
          </w:p>
        </w:tc>
        <w:tc>
          <w:tcPr>
            <w:tcW w:w="7763" w:type="dxa"/>
            <w:vAlign w:val="center"/>
          </w:tcPr>
          <w:p w14:paraId="549B360F">
            <w:pPr>
              <w:pStyle w:val="10"/>
              <w:pageBreakBefore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负责数据清洗，连接数据库并完成数据可视化</w:t>
            </w:r>
          </w:p>
        </w:tc>
      </w:tr>
      <w:tr w14:paraId="56BAC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24" w:type="dxa"/>
            <w:vAlign w:val="center"/>
          </w:tcPr>
          <w:p w14:paraId="31FD725C">
            <w:pPr>
              <w:pStyle w:val="10"/>
              <w:pageBreakBefore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赵越</w:t>
            </w:r>
          </w:p>
        </w:tc>
        <w:tc>
          <w:tcPr>
            <w:tcW w:w="7763" w:type="dxa"/>
            <w:vAlign w:val="center"/>
          </w:tcPr>
          <w:p w14:paraId="7195C8E6">
            <w:pPr>
              <w:pStyle w:val="10"/>
              <w:pageBreakBefore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将成果进行PPT展示</w:t>
            </w:r>
          </w:p>
        </w:tc>
      </w:tr>
      <w:tr w14:paraId="49CA1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224" w:type="dxa"/>
            <w:vAlign w:val="center"/>
          </w:tcPr>
          <w:p w14:paraId="08086614">
            <w:pPr>
              <w:pStyle w:val="10"/>
              <w:pageBreakBefore w:val="0"/>
              <w:kinsoku/>
              <w:wordWrap/>
              <w:overflowPunct/>
              <w:topLinePunct w:val="0"/>
              <w:autoSpaceDE/>
              <w:autoSpaceDN/>
              <w:bidi w:val="0"/>
              <w:adjustRightInd/>
              <w:snapToGrid/>
              <w:spacing w:line="240" w:lineRule="auto"/>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周思思</w:t>
            </w:r>
          </w:p>
        </w:tc>
        <w:tc>
          <w:tcPr>
            <w:tcW w:w="7763" w:type="dxa"/>
            <w:vAlign w:val="center"/>
          </w:tcPr>
          <w:p w14:paraId="0B3DD337">
            <w:pPr>
              <w:pStyle w:val="1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设计文档编写以及将项目进行汇报</w:t>
            </w:r>
          </w:p>
        </w:tc>
      </w:tr>
    </w:tbl>
    <w:p w14:paraId="6E991A34">
      <w:pPr>
        <w:bidi w:val="0"/>
        <w:jc w:val="left"/>
        <w:outlineLvl w:val="9"/>
        <w:rPr>
          <w:rFonts w:hint="eastAsia" w:eastAsia="宋体" w:cs="Times New Roman" w:asciiTheme="minorHAnsi" w:hAnsiTheme="minorHAnsi"/>
          <w:b/>
          <w:bCs/>
          <w:kern w:val="2"/>
          <w:sz w:val="28"/>
          <w:szCs w:val="28"/>
          <w:lang w:val="en-US" w:eastAsia="zh-CN" w:bidi="ar-SA"/>
        </w:rPr>
      </w:pPr>
      <w:bookmarkStart w:id="1259" w:name="_Toc32573"/>
      <w:bookmarkStart w:id="1260" w:name="_Toc13662"/>
      <w:r>
        <w:rPr>
          <w:rFonts w:hint="eastAsia" w:eastAsia="宋体" w:cs="Times New Roman" w:asciiTheme="minorHAnsi" w:hAnsiTheme="minorHAnsi"/>
          <w:b/>
          <w:bCs/>
          <w:kern w:val="2"/>
          <w:sz w:val="28"/>
          <w:szCs w:val="28"/>
          <w:lang w:val="en-US" w:eastAsia="zh-CN" w:bidi="ar-SA"/>
        </w:rPr>
        <w:t>2 需求分析</w:t>
      </w:r>
      <w:bookmarkEnd w:id="1259"/>
      <w:bookmarkEnd w:id="1260"/>
    </w:p>
    <w:p w14:paraId="1C5C4E60">
      <w:pPr>
        <w:spacing w:line="440" w:lineRule="exact"/>
        <w:ind w:firstLine="480" w:firstLineChars="200"/>
        <w:outlineLvl w:val="9"/>
        <w:rPr>
          <w:rFonts w:hint="eastAsia" w:ascii="宋体" w:hAnsi="宋体" w:eastAsia="宋体" w:cs="宋体"/>
          <w:sz w:val="24"/>
          <w:lang w:val="en-US" w:eastAsia="zh-CN"/>
        </w:rPr>
      </w:pPr>
      <w:bookmarkStart w:id="1261" w:name="_Toc13786"/>
      <w:bookmarkStart w:id="1262" w:name="_Toc4624"/>
      <w:r>
        <w:rPr>
          <w:rFonts w:hint="default" w:ascii="宋体" w:hAnsi="宋体" w:eastAsia="宋体" w:cs="宋体"/>
          <w:sz w:val="24"/>
          <w:lang w:val="en-US" w:eastAsia="zh-CN"/>
        </w:rPr>
        <w:t>2.1 系统需求分析</w:t>
      </w:r>
      <w:bookmarkEnd w:id="1261"/>
      <w:bookmarkEnd w:id="1262"/>
    </w:p>
    <w:p w14:paraId="616E8AA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系统需采用分层架构（城市ID采集 → 景点列表获取 → 景点详情爬取 → 数据存储）与模块化设计，确保流程清晰、易于维护。性能上要求具备日处理超过10，000个景点的能力，网络请求成功率需高于95%。系统必须保持高稳定性与鲁棒性，集成断点续爬、异常自动恢复、数据完整性校验及资源保护（如IP防封禁）等核心机制，以支持长时间、大规模的自动化数据采集任务。</w:t>
      </w:r>
    </w:p>
    <w:p w14:paraId="651503E8">
      <w:pPr>
        <w:spacing w:line="440" w:lineRule="exact"/>
        <w:ind w:firstLine="480" w:firstLineChars="200"/>
        <w:outlineLvl w:val="9"/>
        <w:rPr>
          <w:rFonts w:hint="default" w:ascii="宋体" w:hAnsi="宋体" w:eastAsia="宋体" w:cs="宋体"/>
          <w:sz w:val="24"/>
          <w:lang w:val="en-US" w:eastAsia="zh-CN"/>
        </w:rPr>
      </w:pPr>
      <w:bookmarkStart w:id="1263" w:name="_Toc19513"/>
      <w:bookmarkStart w:id="1264" w:name="_Toc5789"/>
      <w:r>
        <w:rPr>
          <w:rFonts w:hint="default" w:ascii="宋体" w:hAnsi="宋体" w:eastAsia="宋体" w:cs="宋体"/>
          <w:sz w:val="24"/>
          <w:lang w:val="en-US" w:eastAsia="zh-CN"/>
        </w:rPr>
        <w:t>2.2 可行性分析</w:t>
      </w:r>
      <w:bookmarkEnd w:id="1263"/>
      <w:bookmarkEnd w:id="1264"/>
    </w:p>
    <w:p w14:paraId="2422286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本项目在技术、经济与操作层面均具备高度可行性。</w:t>
      </w:r>
    </w:p>
    <w:p w14:paraId="42DE4F4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技术可行性：项目核心技术栈（Python网络爬虫、MySQL数据库、数据可视化）成熟稳定，相关开源库（如requests, BeautifulSoup, pandas）生态完善，团队已掌握所需技能，技术路径清晰，实施风险低。</w:t>
      </w:r>
    </w:p>
    <w:p w14:paraId="00E33DA0">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经济可行性：项目主要依赖开源工具与公有网络数据源，硬件要求为常规计算设备，无需重大专项投入。产出成果（数据资产、分析报告）可为区域旅游相关方提供决策支持，潜在应用价值显著，投入产出比高。</w:t>
      </w:r>
    </w:p>
    <w:p w14:paraId="4919B50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b w:val="0"/>
          <w:bCs w:val="0"/>
          <w:kern w:val="2"/>
          <w:sz w:val="24"/>
          <w:szCs w:val="24"/>
          <w:lang w:val="en-US" w:eastAsia="zh-CN" w:bidi="ar-SA"/>
        </w:rPr>
        <w:t>操作可行性：系统设计了灵活的操作模式（如全自动、断点续爬）与友好的进度反馈，降低了使用门槛。项目目标明确，步骤清晰，符合产</w:t>
      </w:r>
      <w:r>
        <w:rPr>
          <w:rFonts w:hint="default" w:ascii="宋体" w:hAnsi="宋体" w:eastAsia="宋体" w:cs="宋体"/>
          <w:sz w:val="24"/>
          <w:szCs w:val="24"/>
          <w:lang w:val="en-US" w:eastAsia="zh-CN"/>
        </w:rPr>
        <w:t>教融合项目周期安排，团队分工合理，具备顺利完成的条件。</w:t>
      </w:r>
    </w:p>
    <w:p w14:paraId="2F38752A">
      <w:pPr>
        <w:spacing w:line="440" w:lineRule="exact"/>
        <w:ind w:firstLine="480" w:firstLineChars="200"/>
        <w:outlineLvl w:val="9"/>
        <w:rPr>
          <w:rFonts w:hint="default" w:ascii="宋体" w:hAnsi="宋体" w:eastAsia="宋体" w:cs="宋体"/>
          <w:sz w:val="24"/>
          <w:lang w:val="en-US" w:eastAsia="zh-CN"/>
        </w:rPr>
      </w:pPr>
      <w:bookmarkStart w:id="1265" w:name="_Toc24296"/>
      <w:bookmarkStart w:id="1266" w:name="_Toc4664"/>
      <w:r>
        <w:rPr>
          <w:rFonts w:hint="default" w:ascii="宋体" w:hAnsi="宋体" w:eastAsia="宋体" w:cs="宋体"/>
          <w:sz w:val="24"/>
          <w:lang w:val="en-US" w:eastAsia="zh-CN"/>
        </w:rPr>
        <w:t>2.3 数据处理需求</w:t>
      </w:r>
      <w:bookmarkEnd w:id="1265"/>
      <w:bookmarkEnd w:id="1266"/>
    </w:p>
    <w:p w14:paraId="2445912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本部分涵盖数据从采集到预处理的核心要求：</w:t>
      </w:r>
    </w:p>
    <w:p w14:paraId="0933222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数据采集需求：需覆盖江西省及周边六省（广东、湖北、安徽、福建、浙江、湖南）共计300余个城市，采集景点的基础信息（名称、地址、评分）及详情信息（开放时间、电话、政策、设施等）。</w:t>
      </w:r>
    </w:p>
    <w:p w14:paraId="7BA09E7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数据清洗需求：必须对原始数据进行缺失值处理、格式统一（如价格、评分）、去重验证、字符编码检测与转换（统一为UTF-8）以及逻辑一致性检查，以确保数据质量。</w:t>
      </w:r>
    </w:p>
    <w:p w14:paraId="7AC7A41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存储与管理需求：采用CSV文件作为中间缓存（按城市分文件存储），并最终将结构化数据导入MySQL数据库进行持久化存储与高效查询。需建立数据备份与版本管理机制。</w:t>
      </w:r>
    </w:p>
    <w:p w14:paraId="2E8E2FC1">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数据分析需求：基于清洗后的数据，需支撑多维度深度分析，包括：景点数量与空间分布分析；评分、评论数与热度分析；游客偏好与消费趋势分析；景区运营对标与优化分析；目标客群定位分析等，以产出可指导实践的商业洞察。</w:t>
      </w:r>
    </w:p>
    <w:p w14:paraId="5F1DC5A8">
      <w:pPr>
        <w:spacing w:line="440" w:lineRule="exact"/>
        <w:outlineLvl w:val="9"/>
        <w:rPr>
          <w:rFonts w:hint="eastAsia" w:eastAsia="宋体" w:cs="Times New Roman"/>
          <w:b/>
          <w:bCs/>
          <w:sz w:val="28"/>
          <w:szCs w:val="28"/>
          <w:lang w:val="en-US" w:eastAsia="zh-CN"/>
        </w:rPr>
      </w:pPr>
      <w:bookmarkStart w:id="1267" w:name="_Toc22565"/>
      <w:bookmarkStart w:id="1268" w:name="_Toc7993"/>
      <w:r>
        <w:rPr>
          <w:rFonts w:hint="eastAsia" w:eastAsia="宋体" w:cs="Times New Roman"/>
          <w:b/>
          <w:bCs/>
          <w:sz w:val="28"/>
          <w:szCs w:val="28"/>
          <w:lang w:val="en-US" w:eastAsia="zh-CN"/>
        </w:rPr>
        <w:t>3 系统设计</w:t>
      </w:r>
      <w:bookmarkEnd w:id="1267"/>
      <w:bookmarkEnd w:id="1268"/>
    </w:p>
    <w:p w14:paraId="21BD6D4E">
      <w:pPr>
        <w:spacing w:line="440" w:lineRule="exact"/>
        <w:ind w:firstLine="480" w:firstLineChars="200"/>
        <w:outlineLvl w:val="9"/>
        <w:rPr>
          <w:rFonts w:hint="default" w:ascii="宋体" w:hAnsi="宋体" w:eastAsia="宋体" w:cs="宋体"/>
          <w:sz w:val="24"/>
          <w:lang w:val="en-US" w:eastAsia="zh-CN"/>
        </w:rPr>
      </w:pPr>
      <w:bookmarkStart w:id="1269" w:name="_Toc131"/>
      <w:bookmarkStart w:id="1270" w:name="_Toc14226"/>
      <w:r>
        <w:rPr>
          <w:rFonts w:hint="default" w:ascii="宋体" w:hAnsi="宋体" w:eastAsia="宋体" w:cs="宋体"/>
          <w:sz w:val="24"/>
          <w:lang w:val="en-US" w:eastAsia="zh-CN"/>
        </w:rPr>
        <w:t>3.1 系统结构设计</w:t>
      </w:r>
      <w:bookmarkEnd w:id="1269"/>
      <w:bookmarkEnd w:id="1270"/>
    </w:p>
    <w:p w14:paraId="373078F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本系统采用经典的三层分层采集架构，旨在实现高内聚、低耦合的数据流水线。顶层为调度与控制层，负责运行模式选择、任务调度及全局状态监控。核心为数据处理层，采用“生产者-消费者”模型，依次执行城市ID发现、景点列表获取、详情信息解析三项核心任务，层与层之间通过数据文件（如CSV）或消息队列传递信息，确保各环节独立且可回溯。底层为数据持久化与支撑层，负责将处理后的数据写入文件系统与数据库，并提供日志记录、异常管理、配置加载等基础服务。整个架构确保了数据流的单向性与处理流程的模块化，便于维护与扩展。</w:t>
      </w:r>
    </w:p>
    <w:p w14:paraId="13562E25">
      <w:pPr>
        <w:spacing w:line="440" w:lineRule="exact"/>
        <w:ind w:firstLine="480" w:firstLineChars="200"/>
        <w:outlineLvl w:val="9"/>
        <w:rPr>
          <w:rFonts w:hint="default" w:ascii="宋体" w:hAnsi="宋体" w:eastAsia="宋体" w:cs="宋体"/>
          <w:sz w:val="24"/>
          <w:lang w:val="en-US" w:eastAsia="zh-CN"/>
        </w:rPr>
      </w:pPr>
      <w:bookmarkStart w:id="1271" w:name="_Toc15686"/>
      <w:bookmarkStart w:id="1272" w:name="_Toc4954"/>
      <w:r>
        <w:rPr>
          <w:rFonts w:hint="default" w:ascii="宋体" w:hAnsi="宋体" w:eastAsia="宋体" w:cs="宋体"/>
          <w:sz w:val="24"/>
          <w:lang w:val="en-US" w:eastAsia="zh-CN"/>
        </w:rPr>
        <w:t>3.2 系统功能模块设计</w:t>
      </w:r>
      <w:bookmarkEnd w:id="1271"/>
      <w:bookmarkEnd w:id="1272"/>
    </w:p>
    <w:p w14:paraId="16A7FA8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系统由多个高内聚的功能模块协同工作：</w:t>
      </w:r>
    </w:p>
    <w:p w14:paraId="68D4D59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爬虫控制模块：作为系统中枢，提供命令行交互界面，实现四种运行模式（全自动、断点续爬、自定义、单城市）的调度与切换，并响应用户的暂停指令。</w:t>
      </w:r>
    </w:p>
    <w:p w14:paraId="66B91DDD">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配置与反爬管理模块：集中管理请求头（User-Agent池）、代理IP、请求间隔、超时时间等参数，动态应用反爬策略，保障采集可持续性。</w:t>
      </w:r>
    </w:p>
    <w:p w14:paraId="3429F3A2">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default" w:ascii="宋体" w:hAnsi="宋体" w:eastAsia="宋体" w:cs="宋体"/>
          <w:b w:val="0"/>
          <w:bCs w:val="0"/>
          <w:kern w:val="2"/>
          <w:sz w:val="24"/>
          <w:szCs w:val="24"/>
          <w:lang w:val="en-US" w:eastAsia="zh-CN" w:bidi="ar-SA"/>
        </w:rPr>
      </w:pPr>
      <w:r>
        <w:drawing>
          <wp:anchor distT="0" distB="0" distL="114300" distR="114300" simplePos="0" relativeHeight="251886592" behindDoc="0" locked="0" layoutInCell="1" allowOverlap="1">
            <wp:simplePos x="0" y="0"/>
            <wp:positionH relativeFrom="column">
              <wp:posOffset>3175</wp:posOffset>
            </wp:positionH>
            <wp:positionV relativeFrom="paragraph">
              <wp:posOffset>1007745</wp:posOffset>
            </wp:positionV>
            <wp:extent cx="5267960" cy="2638425"/>
            <wp:effectExtent l="0" t="0" r="8890" b="9525"/>
            <wp:wrapTopAndBottom/>
            <wp:docPr id="6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4"/>
                    <pic:cNvPicPr>
                      <a:picLocks noChangeAspect="1"/>
                    </pic:cNvPicPr>
                  </pic:nvPicPr>
                  <pic:blipFill>
                    <a:blip r:embed="rId437"/>
                    <a:stretch>
                      <a:fillRect/>
                    </a:stretch>
                  </pic:blipFill>
                  <pic:spPr>
                    <a:xfrm>
                      <a:off x="0" y="0"/>
                      <a:ext cx="5267960" cy="2638425"/>
                    </a:xfrm>
                    <a:prstGeom prst="rect">
                      <a:avLst/>
                    </a:prstGeom>
                    <a:noFill/>
                    <a:ln>
                      <a:noFill/>
                    </a:ln>
                  </pic:spPr>
                </pic:pic>
              </a:graphicData>
            </a:graphic>
          </wp:anchor>
        </w:drawing>
      </w:r>
      <w:r>
        <w:rPr>
          <w:rFonts w:hint="default" w:ascii="宋体" w:hAnsi="宋体" w:eastAsia="宋体" w:cs="宋体"/>
          <w:b w:val="0"/>
          <w:bCs w:val="0"/>
          <w:kern w:val="2"/>
          <w:sz w:val="24"/>
          <w:szCs w:val="24"/>
          <w:lang w:val="en-US" w:eastAsia="zh-CN" w:bidi="ar-SA"/>
        </w:rPr>
        <w:t>数据采集引擎模块：包含三个子模块：crawlingCityId.py负责城市ID发现；main.py中的列表采集子模块负责调用API获取景点列表；详情解析子模块负责解析HTML并提取结构化数据。</w:t>
      </w:r>
    </w:p>
    <w:p w14:paraId="7E5C5C21">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宋体" w:hAnsi="宋体" w:eastAsia="宋体" w:cs="宋体"/>
          <w:sz w:val="24"/>
          <w:szCs w:val="24"/>
          <w:lang w:val="en-US" w:eastAsia="zh-CN"/>
        </w:rPr>
      </w:pPr>
    </w:p>
    <w:p w14:paraId="55480939">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宋体" w:hAnsi="宋体" w:eastAsia="宋体" w:cs="宋体"/>
          <w:sz w:val="24"/>
          <w:szCs w:val="24"/>
          <w:lang w:val="en-US" w:eastAsia="zh-CN"/>
        </w:rPr>
      </w:pPr>
      <w:r>
        <w:drawing>
          <wp:anchor distT="0" distB="0" distL="114300" distR="114300" simplePos="0" relativeHeight="251889664" behindDoc="0" locked="0" layoutInCell="1" allowOverlap="1">
            <wp:simplePos x="0" y="0"/>
            <wp:positionH relativeFrom="column">
              <wp:posOffset>1905</wp:posOffset>
            </wp:positionH>
            <wp:positionV relativeFrom="paragraph">
              <wp:posOffset>4984115</wp:posOffset>
            </wp:positionV>
            <wp:extent cx="5270500" cy="2524125"/>
            <wp:effectExtent l="0" t="0" r="6350" b="9525"/>
            <wp:wrapTopAndBottom/>
            <wp:docPr id="6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8"/>
                    <pic:cNvPicPr>
                      <a:picLocks noChangeAspect="1"/>
                    </pic:cNvPicPr>
                  </pic:nvPicPr>
                  <pic:blipFill>
                    <a:blip r:embed="rId438"/>
                    <a:stretch>
                      <a:fillRect/>
                    </a:stretch>
                  </pic:blipFill>
                  <pic:spPr>
                    <a:xfrm>
                      <a:off x="0" y="0"/>
                      <a:ext cx="5270500" cy="2524125"/>
                    </a:xfrm>
                    <a:prstGeom prst="rect">
                      <a:avLst/>
                    </a:prstGeom>
                    <a:noFill/>
                    <a:ln>
                      <a:noFill/>
                    </a:ln>
                  </pic:spPr>
                </pic:pic>
              </a:graphicData>
            </a:graphic>
          </wp:anchor>
        </w:drawing>
      </w:r>
      <w:r>
        <w:drawing>
          <wp:anchor distT="0" distB="0" distL="114300" distR="114300" simplePos="0" relativeHeight="251887616" behindDoc="0" locked="0" layoutInCell="1" allowOverlap="1">
            <wp:simplePos x="0" y="0"/>
            <wp:positionH relativeFrom="column">
              <wp:posOffset>7620</wp:posOffset>
            </wp:positionH>
            <wp:positionV relativeFrom="paragraph">
              <wp:posOffset>2565400</wp:posOffset>
            </wp:positionV>
            <wp:extent cx="5259070" cy="2454910"/>
            <wp:effectExtent l="0" t="0" r="17780" b="2540"/>
            <wp:wrapTopAndBottom/>
            <wp:docPr id="6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5"/>
                    <pic:cNvPicPr>
                      <a:picLocks noChangeAspect="1"/>
                    </pic:cNvPicPr>
                  </pic:nvPicPr>
                  <pic:blipFill>
                    <a:blip r:embed="rId439"/>
                    <a:stretch>
                      <a:fillRect/>
                    </a:stretch>
                  </pic:blipFill>
                  <pic:spPr>
                    <a:xfrm>
                      <a:off x="0" y="0"/>
                      <a:ext cx="5259070" cy="2454910"/>
                    </a:xfrm>
                    <a:prstGeom prst="rect">
                      <a:avLst/>
                    </a:prstGeom>
                    <a:noFill/>
                    <a:ln>
                      <a:noFill/>
                    </a:ln>
                  </pic:spPr>
                </pic:pic>
              </a:graphicData>
            </a:graphic>
          </wp:anchor>
        </w:drawing>
      </w:r>
      <w:r>
        <w:drawing>
          <wp:anchor distT="0" distB="0" distL="114300" distR="114300" simplePos="0" relativeHeight="251888640" behindDoc="0" locked="0" layoutInCell="1" allowOverlap="1">
            <wp:simplePos x="0" y="0"/>
            <wp:positionH relativeFrom="column">
              <wp:posOffset>-26035</wp:posOffset>
            </wp:positionH>
            <wp:positionV relativeFrom="paragraph">
              <wp:posOffset>58420</wp:posOffset>
            </wp:positionV>
            <wp:extent cx="5326380" cy="2476500"/>
            <wp:effectExtent l="0" t="0" r="7620" b="0"/>
            <wp:wrapTopAndBottom/>
            <wp:docPr id="6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7"/>
                    <pic:cNvPicPr>
                      <a:picLocks noChangeAspect="1"/>
                    </pic:cNvPicPr>
                  </pic:nvPicPr>
                  <pic:blipFill>
                    <a:blip r:embed="rId440"/>
                    <a:stretch>
                      <a:fillRect/>
                    </a:stretch>
                  </pic:blipFill>
                  <pic:spPr>
                    <a:xfrm>
                      <a:off x="0" y="0"/>
                      <a:ext cx="5326380" cy="2476500"/>
                    </a:xfrm>
                    <a:prstGeom prst="rect">
                      <a:avLst/>
                    </a:prstGeom>
                    <a:noFill/>
                    <a:ln>
                      <a:noFill/>
                    </a:ln>
                  </pic:spPr>
                </pic:pic>
              </a:graphicData>
            </a:graphic>
          </wp:anchor>
        </w:drawing>
      </w:r>
    </w:p>
    <w:p w14:paraId="2F147E1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p>
    <w:p w14:paraId="60BBED8E">
      <w:pPr>
        <w:keepNext w:val="0"/>
        <w:keepLines w:val="0"/>
        <w:pageBreakBefore w:val="0"/>
        <w:widowControl w:val="0"/>
        <w:kinsoku/>
        <w:wordWrap/>
        <w:overflowPunct/>
        <w:topLinePunct w:val="0"/>
        <w:autoSpaceDE/>
        <w:autoSpaceDN/>
        <w:bidi w:val="0"/>
        <w:adjustRightInd/>
        <w:snapToGrid/>
        <w:spacing w:line="440" w:lineRule="exact"/>
        <w:textAlignment w:val="auto"/>
        <w:rPr>
          <w:rFonts w:hint="default" w:ascii="宋体" w:hAnsi="宋体" w:eastAsia="宋体" w:cs="宋体"/>
          <w:sz w:val="24"/>
          <w:szCs w:val="24"/>
          <w:lang w:val="en-US" w:eastAsia="zh-CN"/>
        </w:rPr>
      </w:pPr>
      <w:r>
        <w:drawing>
          <wp:anchor distT="0" distB="0" distL="114300" distR="114300" simplePos="0" relativeHeight="251890688" behindDoc="0" locked="0" layoutInCell="1" allowOverlap="1">
            <wp:simplePos x="0" y="0"/>
            <wp:positionH relativeFrom="column">
              <wp:posOffset>5715</wp:posOffset>
            </wp:positionH>
            <wp:positionV relativeFrom="paragraph">
              <wp:posOffset>133985</wp:posOffset>
            </wp:positionV>
            <wp:extent cx="5263515" cy="2684780"/>
            <wp:effectExtent l="0" t="0" r="13335" b="1270"/>
            <wp:wrapTopAndBottom/>
            <wp:docPr id="67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9"/>
                    <pic:cNvPicPr>
                      <a:picLocks noChangeAspect="1"/>
                    </pic:cNvPicPr>
                  </pic:nvPicPr>
                  <pic:blipFill>
                    <a:blip r:embed="rId441"/>
                    <a:stretch>
                      <a:fillRect/>
                    </a:stretch>
                  </pic:blipFill>
                  <pic:spPr>
                    <a:xfrm>
                      <a:off x="0" y="0"/>
                      <a:ext cx="5263515" cy="2684780"/>
                    </a:xfrm>
                    <a:prstGeom prst="rect">
                      <a:avLst/>
                    </a:prstGeom>
                    <a:noFill/>
                    <a:ln>
                      <a:noFill/>
                    </a:ln>
                  </pic:spPr>
                </pic:pic>
              </a:graphicData>
            </a:graphic>
          </wp:anchor>
        </w:drawing>
      </w:r>
    </w:p>
    <w:p w14:paraId="0B428F6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数据清洗与质量管理模块：集成于采集与存储流程中，提供实时清洗（如去标签、缺省处理）与事后清洗（通过handFile.py工具）两种方式，并记录数据血缘日志。</w:t>
      </w:r>
    </w:p>
    <w:p w14:paraId="78C198D6">
      <w:pPr>
        <w:tabs>
          <w:tab w:val="left" w:pos="1584"/>
        </w:tabs>
        <w:outlineLvl w:val="9"/>
        <w:rPr>
          <w:rFonts w:hint="default"/>
          <w:lang w:val="en-US" w:eastAsia="zh-CN"/>
        </w:rPr>
      </w:pPr>
      <w:r>
        <w:drawing>
          <wp:inline distT="0" distB="0" distL="114300" distR="114300">
            <wp:extent cx="5261610" cy="448310"/>
            <wp:effectExtent l="0" t="0" r="15240" b="8890"/>
            <wp:docPr id="6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10"/>
                    <pic:cNvPicPr>
                      <a:picLocks noChangeAspect="1"/>
                    </pic:cNvPicPr>
                  </pic:nvPicPr>
                  <pic:blipFill>
                    <a:blip r:embed="rId442"/>
                    <a:stretch>
                      <a:fillRect/>
                    </a:stretch>
                  </pic:blipFill>
                  <pic:spPr>
                    <a:xfrm>
                      <a:off x="0" y="0"/>
                      <a:ext cx="5261610" cy="448310"/>
                    </a:xfrm>
                    <a:prstGeom prst="rect">
                      <a:avLst/>
                    </a:prstGeom>
                    <a:noFill/>
                    <a:ln>
                      <a:noFill/>
                    </a:ln>
                  </pic:spPr>
                </pic:pic>
              </a:graphicData>
            </a:graphic>
          </wp:inline>
        </w:drawing>
      </w:r>
    </w:p>
    <w:p w14:paraId="64B2556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存储管理模块：包含write_csv方法实现按城市分CSV文件存储，以及mysql_import.py脚本负责将CSV数据批量、事务性地导入MySQL数据库。</w:t>
      </w:r>
    </w:p>
    <w:p w14:paraId="50B25A3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可视化报告生成模块：基于分析结果，调用绘图库生成标准图表（柱状图、饼图、分布图），并可集成至山海鲸等工具形成交互式仪表板。</w:t>
      </w:r>
    </w:p>
    <w:p w14:paraId="53038EF2">
      <w:pPr>
        <w:spacing w:line="440" w:lineRule="exact"/>
        <w:ind w:firstLine="480" w:firstLineChars="200"/>
        <w:outlineLvl w:val="9"/>
        <w:rPr>
          <w:rFonts w:hint="default" w:ascii="宋体" w:hAnsi="宋体" w:eastAsia="宋体" w:cs="宋体"/>
          <w:sz w:val="24"/>
          <w:lang w:val="en-US" w:eastAsia="zh-CN"/>
        </w:rPr>
      </w:pPr>
      <w:bookmarkStart w:id="1273" w:name="_Toc7789"/>
      <w:bookmarkStart w:id="1274" w:name="_Toc22365"/>
      <w:r>
        <w:rPr>
          <w:rFonts w:hint="default" w:ascii="宋体" w:hAnsi="宋体" w:eastAsia="宋体" w:cs="宋体"/>
          <w:sz w:val="24"/>
          <w:lang w:val="en-US" w:eastAsia="zh-CN"/>
        </w:rPr>
        <w:t>3.3 数据存储设计</w:t>
      </w:r>
      <w:bookmarkEnd w:id="1273"/>
      <w:bookmarkEnd w:id="1274"/>
    </w:p>
    <w:p w14:paraId="1C2B567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数据存储采用本地文件与关系型数据库相结合的混合策略，兼顾灵活性与查询效率。</w:t>
      </w:r>
    </w:p>
    <w:p w14:paraId="20FA508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t>文件存储设计：清洗前的中间数据以CSV格式按城市存储（如“南昌市.csv”）。设计包含自动编码检测（使用chardet库）与统一转码（UTF-8）机制，并支持“追加模式”实现真正的断点续存。文件目录按省份组织，便于管理。</w:t>
      </w:r>
    </w:p>
    <w:p w14:paraId="6E0B2C7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default" w:ascii="宋体" w:hAnsi="宋体" w:eastAsia="宋体" w:cs="宋体"/>
          <w:sz w:val="24"/>
          <w:szCs w:val="24"/>
          <w:lang w:val="en-US" w:eastAsia="zh-CN"/>
        </w:rPr>
        <w:t>数据库存储设计：在MySQL中设计核心数据表结构。city_info表存储城市基础信息；attraction_info表作为主表，存储景点的全部属性字段，并通过city_id字段与城市表关联，该表针对频繁查询的字段（如province, score）建立了索引；crawl_error_log表用于持久化系统运行日志。数据库设计遵循第三范式，并利用外键约束保障数据一致性。</w:t>
      </w:r>
    </w:p>
    <w:p w14:paraId="5B149C6F">
      <w:pPr>
        <w:spacing w:line="440" w:lineRule="exact"/>
        <w:ind w:firstLine="480" w:firstLineChars="200"/>
        <w:outlineLvl w:val="9"/>
        <w:rPr>
          <w:rFonts w:hint="default" w:ascii="宋体" w:hAnsi="宋体" w:eastAsia="宋体" w:cs="宋体"/>
          <w:sz w:val="24"/>
          <w:lang w:val="en-US" w:eastAsia="zh-CN"/>
        </w:rPr>
      </w:pPr>
      <w:bookmarkStart w:id="1275" w:name="_Toc305"/>
      <w:bookmarkStart w:id="1276" w:name="_Toc15393"/>
      <w:r>
        <w:rPr>
          <w:rFonts w:hint="default" w:ascii="宋体" w:hAnsi="宋体" w:eastAsia="宋体" w:cs="宋体"/>
          <w:sz w:val="24"/>
          <w:lang w:val="en-US" w:eastAsia="zh-CN"/>
        </w:rPr>
        <w:t>3.</w:t>
      </w:r>
      <w:r>
        <w:rPr>
          <w:rFonts w:hint="eastAsia" w:ascii="宋体" w:hAnsi="宋体" w:eastAsia="宋体" w:cs="宋体"/>
          <w:sz w:val="24"/>
          <w:lang w:val="en-US" w:eastAsia="zh-CN"/>
        </w:rPr>
        <w:t>4</w:t>
      </w:r>
      <w:r>
        <w:rPr>
          <w:rFonts w:hint="default" w:ascii="宋体" w:hAnsi="宋体" w:eastAsia="宋体" w:cs="宋体"/>
          <w:sz w:val="24"/>
          <w:lang w:val="en-US" w:eastAsia="zh-CN"/>
        </w:rPr>
        <w:t xml:space="preserve"> 可视化设计</w:t>
      </w:r>
      <w:bookmarkEnd w:id="1275"/>
      <w:bookmarkEnd w:id="1276"/>
    </w:p>
    <w:p w14:paraId="7D2C6F5B">
      <w:pPr>
        <w:rPr>
          <w:rFonts w:ascii="宋体" w:hAnsi="宋体" w:eastAsia="宋体" w:cs="宋体"/>
          <w:sz w:val="24"/>
          <w:szCs w:val="24"/>
        </w:rPr>
      </w:pPr>
      <w:r>
        <w:rPr>
          <w:rFonts w:ascii="宋体" w:hAnsi="宋体" w:eastAsia="宋体" w:cs="宋体"/>
          <w:sz w:val="24"/>
          <w:szCs w:val="24"/>
        </w:rPr>
        <w:drawing>
          <wp:inline distT="0" distB="0" distL="114300" distR="114300">
            <wp:extent cx="5034280" cy="2892425"/>
            <wp:effectExtent l="0" t="0" r="13970" b="3175"/>
            <wp:docPr id="681" name="图片 6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681" descr="IMG_256"/>
                    <pic:cNvPicPr>
                      <a:picLocks noChangeAspect="1"/>
                    </pic:cNvPicPr>
                  </pic:nvPicPr>
                  <pic:blipFill>
                    <a:blip r:embed="rId443"/>
                    <a:stretch>
                      <a:fillRect/>
                    </a:stretch>
                  </pic:blipFill>
                  <pic:spPr>
                    <a:xfrm>
                      <a:off x="0" y="0"/>
                      <a:ext cx="5034280" cy="2892425"/>
                    </a:xfrm>
                    <a:prstGeom prst="rect">
                      <a:avLst/>
                    </a:prstGeom>
                    <a:noFill/>
                    <a:ln w="9525">
                      <a:noFill/>
                    </a:ln>
                  </pic:spPr>
                </pic:pic>
              </a:graphicData>
            </a:graphic>
          </wp:inline>
        </w:drawing>
      </w:r>
    </w:p>
    <w:p w14:paraId="0494DD1D">
      <w:pPr>
        <w:bidi w:val="0"/>
        <w:jc w:val="center"/>
        <w:rPr>
          <w:rFonts w:hint="default" w:ascii="宋体" w:hAnsi="宋体" w:eastAsia="宋体" w:cs="宋体"/>
          <w:sz w:val="24"/>
          <w:szCs w:val="24"/>
          <w:lang w:val="en-US" w:eastAsia="zh-CN"/>
        </w:rPr>
      </w:pPr>
      <w:r>
        <w:rPr>
          <w:rFonts w:hint="eastAsia" w:asciiTheme="minorHAnsi" w:eastAsiaTheme="minorEastAsia"/>
          <w:lang w:val="en-US" w:eastAsia="zh-CN"/>
        </w:rPr>
        <w:t>图3-1   可视化大屏展示图</w:t>
      </w:r>
    </w:p>
    <w:p w14:paraId="1E2C2AA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（1）</w:t>
      </w:r>
      <w:r>
        <w:rPr>
          <w:rFonts w:hint="default" w:ascii="宋体" w:hAnsi="宋体" w:eastAsia="宋体" w:cs="宋体"/>
          <w:b w:val="0"/>
          <w:bCs w:val="0"/>
          <w:sz w:val="24"/>
          <w:szCs w:val="24"/>
          <w:lang w:val="en-US" w:eastAsia="zh-CN"/>
        </w:rPr>
        <w:t>景点质量与热度分析</w:t>
      </w:r>
    </w:p>
    <w:p w14:paraId="5EFC43C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为评估景点的受欢迎程度与市场热度，我们依据评论数、浏览量等指标将景点划分为四个热度等级：</w:t>
      </w:r>
    </w:p>
    <w:p w14:paraId="3A9C8C3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超高热景点（热度 &gt; 20000）：属于头部旅游资源，通常为省级或国家级标志性景点。</w:t>
      </w:r>
    </w:p>
    <w:p w14:paraId="28A3A35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高热度景点（热度 5000 - 20000）：具有较强吸引力，是区域旅游的核心组成部分。</w:t>
      </w:r>
    </w:p>
    <w:p w14:paraId="20CFB4A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中热度景点（热度 1000 - 5000）：满足日常游客需求，分布广泛。</w:t>
      </w:r>
    </w:p>
    <w:p w14:paraId="46D03B5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低热度景点（热度 &lt; 1000）：多为小众或新兴景点。</w:t>
      </w:r>
    </w:p>
    <w:p w14:paraId="0AD09C8A">
      <w:pPr>
        <w:bidi w:val="0"/>
        <w:jc w:val="center"/>
        <w:rPr>
          <w:rFonts w:hint="default"/>
          <w:lang w:val="en-US" w:eastAsia="zh-CN"/>
        </w:rPr>
      </w:pPr>
      <w:r>
        <w:rPr>
          <w:rFonts w:hint="default"/>
          <w:lang w:val="en-US" w:eastAsia="zh-CN"/>
        </w:rPr>
        <w:drawing>
          <wp:anchor distT="0" distB="0" distL="114300" distR="114300" simplePos="0" relativeHeight="251884544" behindDoc="0" locked="0" layoutInCell="1" allowOverlap="1">
            <wp:simplePos x="0" y="0"/>
            <wp:positionH relativeFrom="column">
              <wp:posOffset>1158875</wp:posOffset>
            </wp:positionH>
            <wp:positionV relativeFrom="paragraph">
              <wp:posOffset>120650</wp:posOffset>
            </wp:positionV>
            <wp:extent cx="2835910" cy="1695450"/>
            <wp:effectExtent l="0" t="0" r="2540" b="0"/>
            <wp:wrapTopAndBottom/>
            <wp:docPr id="68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1" descr="IMG_256"/>
                    <pic:cNvPicPr>
                      <a:picLocks noChangeAspect="1"/>
                    </pic:cNvPicPr>
                  </pic:nvPicPr>
                  <pic:blipFill>
                    <a:blip r:embed="rId444"/>
                    <a:stretch>
                      <a:fillRect/>
                    </a:stretch>
                  </pic:blipFill>
                  <pic:spPr>
                    <a:xfrm>
                      <a:off x="0" y="0"/>
                      <a:ext cx="2835910" cy="1695450"/>
                    </a:xfrm>
                    <a:prstGeom prst="rect">
                      <a:avLst/>
                    </a:prstGeom>
                    <a:noFill/>
                    <a:ln w="9525">
                      <a:noFill/>
                    </a:ln>
                  </pic:spPr>
                </pic:pic>
              </a:graphicData>
            </a:graphic>
          </wp:anchor>
        </w:drawing>
      </w:r>
      <w:r>
        <w:rPr>
          <w:rFonts w:hint="eastAsia" w:asciiTheme="minorHAnsi" w:eastAsiaTheme="minorEastAsia"/>
          <w:lang w:val="en-US" w:eastAsia="zh-CN"/>
        </w:rPr>
        <w:t xml:space="preserve">图3-2   </w:t>
      </w:r>
      <w:r>
        <w:rPr>
          <w:rFonts w:hint="default"/>
          <w:lang w:val="en-US" w:eastAsia="zh-CN"/>
        </w:rPr>
        <w:t>景点质量与热度分析</w:t>
      </w:r>
      <w:r>
        <w:rPr>
          <w:rFonts w:hint="eastAsia" w:asciiTheme="minorHAnsi" w:eastAsiaTheme="minorEastAsia"/>
          <w:lang w:val="en-US" w:eastAsia="zh-CN"/>
        </w:rPr>
        <w:t>图</w:t>
      </w:r>
    </w:p>
    <w:p w14:paraId="59989D02">
      <w:pPr>
        <w:bidi w:val="0"/>
        <w:jc w:val="center"/>
        <w:rPr>
          <w:rFonts w:hint="default"/>
          <w:lang w:val="en-US" w:eastAsia="zh-CN"/>
        </w:rPr>
      </w:pPr>
    </w:p>
    <w:p w14:paraId="4C87941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热度分析</w:t>
      </w:r>
      <w:r>
        <w:rPr>
          <w:rFonts w:hint="default" w:ascii="宋体" w:hAnsi="宋体" w:eastAsia="宋体" w:cs="宋体"/>
          <w:b w:val="0"/>
          <w:bCs w:val="0"/>
          <w:sz w:val="24"/>
          <w:szCs w:val="24"/>
          <w:lang w:val="en-US" w:eastAsia="zh-CN"/>
        </w:rPr>
        <w:t>应用在于对市场资源配置效率的诊断。超高热与高热度景点构成了市场的“头部”，它们是主要的流量入口与品牌象征，但也可能面临承载压力与体验稀释的风险。中低热度景点占据多数，是市场的“长尾”，代表了潜在的多样性价值与分流空间。这一结构迫使我们审视：当前的营销投入与基础设施配套，是与这一影响力结构相匹配，还是存在错配？例如，是否对少数头部资源过度依赖，而忽视了将长尾资源培育为新增长点的战略投入。</w:t>
      </w:r>
      <w:r>
        <w:rPr>
          <w:rFonts w:hint="default" w:ascii="宋体" w:hAnsi="宋体" w:eastAsia="宋体" w:cs="宋体"/>
          <w:b w:val="0"/>
          <w:bCs w:val="0"/>
          <w:sz w:val="24"/>
          <w:szCs w:val="24"/>
          <w:lang w:val="en-US" w:eastAsia="zh-CN"/>
        </w:rPr>
        <w:br w:type="textWrapping"/>
      </w:r>
      <w:r>
        <w:rPr>
          <w:rFonts w:hint="default" w:ascii="宋体" w:hAnsi="宋体" w:eastAsia="宋体" w:cs="宋体"/>
          <w:b w:val="0"/>
          <w:bCs w:val="0"/>
          <w:sz w:val="24"/>
          <w:szCs w:val="24"/>
          <w:lang w:val="en-US" w:eastAsia="zh-CN"/>
        </w:rPr>
        <w:t>从消费者行为学角度看，不同热度层级对应着差异化的决策模式与体验期待。超高热度景点往往与“打卡式”消费绑定，其口碑传播具有公共媒介属性；而低热度景点则更可能吸引寻求小众、深度体验的特定客群。这一划分有助于超越“游客”这一同质化概念，针对不同层级的吸引力特质，设计差异化的体验管理策略与传播叙事。</w:t>
      </w:r>
    </w:p>
    <w:p w14:paraId="0A7D7C8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进一步地，该图为预测市场动态提供了基准模型。通过持续监测各层级间景点的流动性——例如，哪些中热度景点正稳定跃升，哪些高热度景点呈现衰减态势——可以洞察消费趋势的变迁与新兴需求的出现。这实质上构建了一个观测市场活力的“热度流动指数”，其变化比单纯的数字增减更具预警与指向意义。</w:t>
      </w:r>
    </w:p>
    <w:p w14:paraId="0D6DE6D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（2）</w:t>
      </w:r>
      <w:r>
        <w:rPr>
          <w:rFonts w:hint="default" w:ascii="宋体" w:hAnsi="宋体" w:eastAsia="宋体" w:cs="宋体"/>
          <w:b w:val="0"/>
          <w:bCs w:val="0"/>
          <w:sz w:val="24"/>
          <w:szCs w:val="24"/>
          <w:lang w:val="en-US" w:eastAsia="zh-CN"/>
        </w:rPr>
        <w:t>各省景点数量对比</w:t>
      </w:r>
    </w:p>
    <w:p w14:paraId="241D20CF">
      <w:pPr>
        <w:keepNext w:val="0"/>
        <w:keepLines w:val="0"/>
        <w:widowControl/>
        <w:suppressLineNumbers w:val="0"/>
        <w:jc w:val="left"/>
        <w:rPr>
          <w:rFonts w:hint="default" w:ascii="宋体" w:hAnsi="宋体" w:eastAsia="宋体" w:cs="宋体"/>
          <w:kern w:val="0"/>
          <w:sz w:val="24"/>
          <w:szCs w:val="24"/>
          <w:lang w:val="en-US" w:eastAsia="zh-CN" w:bidi="ar"/>
        </w:rPr>
      </w:pPr>
    </w:p>
    <w:p w14:paraId="3D4FF2A8">
      <w:pPr>
        <w:keepNext w:val="0"/>
        <w:keepLines w:val="0"/>
        <w:widowControl/>
        <w:suppressLineNumbers w:val="0"/>
        <w:jc w:val="center"/>
        <w:rPr>
          <w:rFonts w:ascii="宋体" w:hAnsi="宋体" w:eastAsia="宋体" w:cs="宋体"/>
          <w:sz w:val="24"/>
          <w:szCs w:val="24"/>
        </w:rPr>
      </w:pPr>
      <w:r>
        <w:rPr>
          <w:rFonts w:hint="eastAsia" w:asciiTheme="minorHAnsi" w:eastAsiaTheme="minorEastAsia"/>
          <w:lang w:val="en-US" w:eastAsia="zh-CN"/>
        </w:rPr>
        <w:t xml:space="preserve">图3-3   </w:t>
      </w:r>
      <w:r>
        <w:rPr>
          <w:rFonts w:hint="default"/>
          <w:lang w:val="en-US" w:eastAsia="zh-CN"/>
        </w:rPr>
        <w:t>各省景点数量对比</w:t>
      </w:r>
      <w:r>
        <w:rPr>
          <w:rFonts w:ascii="宋体" w:hAnsi="宋体" w:eastAsia="宋体" w:cs="宋体"/>
          <w:sz w:val="24"/>
          <w:szCs w:val="24"/>
        </w:rPr>
        <w:drawing>
          <wp:anchor distT="0" distB="0" distL="114300" distR="114300" simplePos="0" relativeHeight="251883520" behindDoc="0" locked="0" layoutInCell="1" allowOverlap="1">
            <wp:simplePos x="0" y="0"/>
            <wp:positionH relativeFrom="column">
              <wp:posOffset>2990850</wp:posOffset>
            </wp:positionH>
            <wp:positionV relativeFrom="paragraph">
              <wp:posOffset>201930</wp:posOffset>
            </wp:positionV>
            <wp:extent cx="2663825" cy="1792605"/>
            <wp:effectExtent l="0" t="0" r="3175" b="17145"/>
            <wp:wrapTopAndBottom/>
            <wp:docPr id="68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2" descr="IMG_256"/>
                    <pic:cNvPicPr>
                      <a:picLocks noChangeAspect="1"/>
                    </pic:cNvPicPr>
                  </pic:nvPicPr>
                  <pic:blipFill>
                    <a:blip r:embed="rId445"/>
                    <a:stretch>
                      <a:fillRect/>
                    </a:stretch>
                  </pic:blipFill>
                  <pic:spPr>
                    <a:xfrm>
                      <a:off x="0" y="0"/>
                      <a:ext cx="2663825" cy="1792605"/>
                    </a:xfrm>
                    <a:prstGeom prst="rect">
                      <a:avLst/>
                    </a:prstGeom>
                    <a:noFill/>
                    <a:ln w="9525">
                      <a:noFill/>
                    </a:ln>
                  </pic:spPr>
                </pic:pic>
              </a:graphicData>
            </a:graphic>
          </wp:anchor>
        </w:drawing>
      </w:r>
      <w:r>
        <w:rPr>
          <w:rFonts w:ascii="宋体" w:hAnsi="宋体" w:eastAsia="宋体" w:cs="宋体"/>
          <w:sz w:val="24"/>
          <w:szCs w:val="24"/>
        </w:rPr>
        <w:drawing>
          <wp:anchor distT="0" distB="0" distL="114300" distR="114300" simplePos="0" relativeHeight="251885568" behindDoc="0" locked="0" layoutInCell="1" allowOverlap="1">
            <wp:simplePos x="0" y="0"/>
            <wp:positionH relativeFrom="column">
              <wp:posOffset>131445</wp:posOffset>
            </wp:positionH>
            <wp:positionV relativeFrom="paragraph">
              <wp:posOffset>142875</wp:posOffset>
            </wp:positionV>
            <wp:extent cx="2594610" cy="1808480"/>
            <wp:effectExtent l="0" t="0" r="15240" b="1270"/>
            <wp:wrapTopAndBottom/>
            <wp:docPr id="68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1" descr="IMG_256"/>
                    <pic:cNvPicPr>
                      <a:picLocks noChangeAspect="1"/>
                    </pic:cNvPicPr>
                  </pic:nvPicPr>
                  <pic:blipFill>
                    <a:blip r:embed="rId446"/>
                    <a:stretch>
                      <a:fillRect/>
                    </a:stretch>
                  </pic:blipFill>
                  <pic:spPr>
                    <a:xfrm>
                      <a:off x="0" y="0"/>
                      <a:ext cx="2594610" cy="1808480"/>
                    </a:xfrm>
                    <a:prstGeom prst="rect">
                      <a:avLst/>
                    </a:prstGeom>
                    <a:noFill/>
                    <a:ln w="9525">
                      <a:noFill/>
                    </a:ln>
                  </pic:spPr>
                </pic:pic>
              </a:graphicData>
            </a:graphic>
          </wp:anchor>
        </w:drawing>
      </w:r>
      <w:r>
        <w:rPr>
          <w:rFonts w:hint="eastAsia" w:asciiTheme="minorHAnsi" w:eastAsiaTheme="minorEastAsia"/>
          <w:lang w:val="en-US" w:eastAsia="zh-CN"/>
        </w:rPr>
        <w:t>图</w:t>
      </w:r>
    </w:p>
    <w:p w14:paraId="653F2B8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rPr>
      </w:pPr>
      <w:r>
        <w:rPr>
          <w:rFonts w:hint="default" w:ascii="宋体" w:hAnsi="宋体" w:eastAsia="宋体" w:cs="宋体"/>
          <w:b w:val="0"/>
          <w:bCs w:val="0"/>
          <w:sz w:val="24"/>
          <w:szCs w:val="24"/>
          <w:lang w:val="en-US" w:eastAsia="zh-CN"/>
        </w:rPr>
        <w:t>此图直观揭示了旅游资源的空间不均衡性。</w:t>
      </w:r>
      <w:r>
        <w:rPr>
          <w:rFonts w:hint="eastAsia" w:ascii="宋体" w:hAnsi="宋体" w:eastAsia="宋体" w:cs="宋体"/>
          <w:b w:val="0"/>
          <w:bCs w:val="0"/>
          <w:sz w:val="24"/>
          <w:szCs w:val="24"/>
          <w:lang w:val="en-US" w:eastAsia="zh-CN"/>
        </w:rPr>
        <w:t>江西</w:t>
      </w:r>
      <w:r>
        <w:rPr>
          <w:rFonts w:hint="default" w:ascii="宋体" w:hAnsi="宋体" w:eastAsia="宋体" w:cs="宋体"/>
          <w:b w:val="0"/>
          <w:bCs w:val="0"/>
          <w:sz w:val="24"/>
          <w:szCs w:val="24"/>
          <w:lang w:val="en-US" w:eastAsia="zh-CN"/>
        </w:rPr>
        <w:t>与广东的领先地位，奠定了其作为区域旅游枢纽与主要客源地的双重角色。江西居于第</w:t>
      </w:r>
      <w:r>
        <w:rPr>
          <w:rFonts w:hint="eastAsia" w:ascii="宋体" w:hAnsi="宋体" w:eastAsia="宋体" w:cs="宋体"/>
          <w:b w:val="0"/>
          <w:bCs w:val="0"/>
          <w:sz w:val="24"/>
          <w:szCs w:val="24"/>
          <w:lang w:val="en-US" w:eastAsia="zh-CN"/>
        </w:rPr>
        <w:t>二</w:t>
      </w:r>
      <w:r>
        <w:rPr>
          <w:rFonts w:hint="default" w:ascii="宋体" w:hAnsi="宋体" w:eastAsia="宋体" w:cs="宋体"/>
          <w:b w:val="0"/>
          <w:bCs w:val="0"/>
          <w:sz w:val="24"/>
          <w:szCs w:val="24"/>
          <w:lang w:val="en-US" w:eastAsia="zh-CN"/>
        </w:rPr>
        <w:t>位，这一位置具有双重性：一方面，它处于资源高地辐射范围内，面临激烈的客源竞争；另一方面，它也成为连接第一梯队与后续省份的关键过渡带，在区域旅游线路设计中具备天然的串联价值。进一步的分析需下沉至市级尺度，考察省内景点分布是呈现单中心集聚（如集中于南昌），还是多中心均衡态势，这将直接影响省内交通规划与营销资源投放的重点。</w:t>
      </w:r>
    </w:p>
    <w:p w14:paraId="141BF7D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（3）</w:t>
      </w:r>
      <w:r>
        <w:rPr>
          <w:rFonts w:hint="default" w:ascii="宋体" w:hAnsi="宋体" w:eastAsia="宋体" w:cs="宋体"/>
          <w:b w:val="0"/>
          <w:bCs w:val="0"/>
          <w:sz w:val="24"/>
          <w:szCs w:val="24"/>
          <w:lang w:val="en-US" w:eastAsia="zh-CN"/>
        </w:rPr>
        <w:t>景点收费类型分布图</w:t>
      </w:r>
    </w:p>
    <w:p w14:paraId="1DFB72A0">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default" w:ascii="宋体" w:hAnsi="宋体" w:eastAsia="宋体" w:cs="宋体"/>
          <w:b w:val="0"/>
          <w:bCs w:val="0"/>
          <w:sz w:val="24"/>
          <w:szCs w:val="24"/>
          <w:lang w:val="en-US" w:eastAsia="zh-CN"/>
        </w:rPr>
      </w:pPr>
      <w:r>
        <w:rPr>
          <w:rFonts w:hint="eastAsia" w:asciiTheme="minorHAnsi" w:eastAsiaTheme="minorEastAsia"/>
          <w:lang w:val="en-US" w:eastAsia="zh-CN"/>
        </w:rPr>
        <w:t xml:space="preserve">图3-4   </w:t>
      </w:r>
      <w:r>
        <w:rPr>
          <w:rFonts w:hint="default"/>
          <w:lang w:val="en-US" w:eastAsia="zh-CN"/>
        </w:rPr>
        <w:t>景点收费类型分布图</w:t>
      </w:r>
      <w:r>
        <w:rPr>
          <w:rFonts w:hint="default" w:ascii="宋体" w:hAnsi="宋体" w:eastAsia="宋体" w:cs="宋体"/>
          <w:b w:val="0"/>
          <w:bCs w:val="0"/>
          <w:sz w:val="24"/>
          <w:szCs w:val="24"/>
          <w:lang w:val="en-US" w:eastAsia="zh-CN"/>
        </w:rPr>
        <w:drawing>
          <wp:anchor distT="0" distB="0" distL="114300" distR="114300" simplePos="0" relativeHeight="251883520" behindDoc="0" locked="0" layoutInCell="1" allowOverlap="1">
            <wp:simplePos x="0" y="0"/>
            <wp:positionH relativeFrom="column">
              <wp:posOffset>1259840</wp:posOffset>
            </wp:positionH>
            <wp:positionV relativeFrom="paragraph">
              <wp:posOffset>201295</wp:posOffset>
            </wp:positionV>
            <wp:extent cx="2748280" cy="1837690"/>
            <wp:effectExtent l="0" t="0" r="13970" b="10160"/>
            <wp:wrapTopAndBottom/>
            <wp:docPr id="6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3"/>
                    <pic:cNvPicPr>
                      <a:picLocks noChangeAspect="1"/>
                    </pic:cNvPicPr>
                  </pic:nvPicPr>
                  <pic:blipFill>
                    <a:blip r:embed="rId447"/>
                    <a:stretch>
                      <a:fillRect/>
                    </a:stretch>
                  </pic:blipFill>
                  <pic:spPr>
                    <a:xfrm>
                      <a:off x="0" y="0"/>
                      <a:ext cx="2748280" cy="1837690"/>
                    </a:xfrm>
                    <a:prstGeom prst="rect">
                      <a:avLst/>
                    </a:prstGeom>
                    <a:noFill/>
                    <a:ln>
                      <a:noFill/>
                    </a:ln>
                  </pic:spPr>
                </pic:pic>
              </a:graphicData>
            </a:graphic>
          </wp:anchor>
        </w:drawing>
      </w:r>
    </w:p>
    <w:p w14:paraId="51BCDFC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这幅接近1:1的比例图，揭示了区域旅游供给的深层结构。它标志着该地旅游业处于从传统“门票依赖”向现代“综合消费”转型的关键节点。</w:t>
      </w:r>
    </w:p>
    <w:p w14:paraId="38DCA5B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从市场结构看，这一均衡比例意味着目的地同时覆盖了价格敏感型与体验导向型客群，形成了稳定的市场弹性。免费资源构成了普惠性的公共服务与流量入口，而收费项目则指向了深度体验与品质服务。两者共同支撑起一个具备风险抵御能力的复合型市场。</w:t>
      </w:r>
    </w:p>
    <w:p w14:paraId="02ABC8B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从产业诊断角度，核心问题在于：区域旅游总收入的核心增长引擎是什么？是门票收入本身，还是免费景点所引致的、更具乘数效应的二次消费？这一比例是判断产业健康度与成熟度的关键标尺。</w:t>
      </w:r>
    </w:p>
    <w:p w14:paraId="5CC67E6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在政策与规划层面，48.64%的免费率是衡量公共福利供给与资源分配效率的基准。它提示规划者需审视免费景点的质量、可达性与多样性，并通过优化其供给来激活整体消费链条。</w:t>
      </w:r>
    </w:p>
    <w:p w14:paraId="68840FBF">
      <w:pPr>
        <w:spacing w:line="440" w:lineRule="exact"/>
        <w:outlineLvl w:val="9"/>
        <w:rPr>
          <w:rFonts w:hint="eastAsia" w:eastAsia="宋体" w:cs="Times New Roman"/>
          <w:b/>
          <w:bCs/>
          <w:sz w:val="28"/>
          <w:szCs w:val="28"/>
          <w:lang w:val="en-US" w:eastAsia="zh-CN"/>
        </w:rPr>
      </w:pPr>
      <w:bookmarkStart w:id="1277" w:name="_Toc28254"/>
      <w:bookmarkStart w:id="1278" w:name="_Toc18735"/>
      <w:r>
        <w:rPr>
          <w:rFonts w:hint="eastAsia" w:eastAsia="宋体" w:cs="Times New Roman"/>
          <w:b/>
          <w:bCs/>
          <w:sz w:val="28"/>
          <w:szCs w:val="28"/>
          <w:lang w:val="en-US" w:eastAsia="zh-CN"/>
        </w:rPr>
        <w:t>4 系统功能及使用说明</w:t>
      </w:r>
      <w:bookmarkEnd w:id="1277"/>
      <w:bookmarkEnd w:id="1278"/>
    </w:p>
    <w:p w14:paraId="19C0940F">
      <w:pPr>
        <w:spacing w:line="440" w:lineRule="exact"/>
        <w:ind w:firstLine="480" w:firstLineChars="200"/>
        <w:outlineLvl w:val="9"/>
        <w:rPr>
          <w:rFonts w:hint="eastAsia" w:ascii="宋体" w:hAnsi="宋体" w:eastAsia="宋体" w:cs="宋体"/>
          <w:sz w:val="24"/>
          <w:lang w:val="en-US" w:eastAsia="zh-CN"/>
        </w:rPr>
      </w:pPr>
      <w:bookmarkStart w:id="1279" w:name="_Toc11790"/>
      <w:bookmarkStart w:id="1280" w:name="_Toc18097"/>
      <w:r>
        <w:rPr>
          <w:rFonts w:hint="eastAsia" w:ascii="宋体" w:hAnsi="宋体" w:eastAsia="宋体" w:cs="宋体"/>
          <w:sz w:val="24"/>
          <w:lang w:val="en-US" w:eastAsia="zh-CN"/>
        </w:rPr>
        <w:t>4.1 智能分层爬取功能</w:t>
      </w:r>
      <w:bookmarkEnd w:id="1279"/>
      <w:bookmarkEnd w:id="1280"/>
    </w:p>
    <w:p w14:paraId="71FF187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lang w:val="en-US" w:eastAsia="zh-CN"/>
        </w:rPr>
      </w:pPr>
      <w:r>
        <w:rPr>
          <w:rFonts w:hint="eastAsia" w:ascii="宋体" w:hAnsi="宋体" w:eastAsia="宋体" w:cs="宋体"/>
          <w:b w:val="0"/>
          <w:bCs w:val="0"/>
          <w:sz w:val="24"/>
          <w:szCs w:val="24"/>
          <w:lang w:val="en-US" w:eastAsia="zh-CN"/>
        </w:rPr>
        <w:t>系统实现了从数据发现到详情采集的完整自动化流程。首先，城市ID自动发现模块能够从目标网站获取全国城市的名称与ID，构建基础采集索引。其次，景点列表分页采集模块根据城市ID自动遍历其下的所有景点列表页，批量获取景点基础信息。最后，详情深度解析模块对列表中的每一个景点自动访问其详情页面，并解析提取地址、电话、开放时间、政策、设施等超过30个字段的结构化信息，形成完整数据记录。</w:t>
      </w:r>
    </w:p>
    <w:p w14:paraId="06825373">
      <w:pPr>
        <w:spacing w:line="440" w:lineRule="exact"/>
        <w:ind w:firstLine="480" w:firstLineChars="200"/>
        <w:outlineLvl w:val="9"/>
        <w:rPr>
          <w:rFonts w:hint="eastAsia" w:ascii="宋体" w:hAnsi="宋体" w:eastAsia="宋体" w:cs="宋体"/>
          <w:sz w:val="24"/>
          <w:lang w:val="en-US" w:eastAsia="zh-CN"/>
        </w:rPr>
      </w:pPr>
      <w:bookmarkStart w:id="1281" w:name="_Toc17351"/>
      <w:bookmarkStart w:id="1282" w:name="_Toc6809"/>
      <w:r>
        <w:rPr>
          <w:rFonts w:hint="eastAsia" w:ascii="宋体" w:hAnsi="宋体" w:eastAsia="宋体" w:cs="宋体"/>
          <w:sz w:val="24"/>
          <w:lang w:val="en-US" w:eastAsia="zh-CN"/>
        </w:rPr>
        <w:t>4.2 稳健的反爬与容错功能</w:t>
      </w:r>
      <w:bookmarkEnd w:id="1281"/>
      <w:bookmarkEnd w:id="1282"/>
    </w:p>
    <w:p w14:paraId="5437D933">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lang w:val="en-US" w:eastAsia="zh-CN"/>
        </w:rPr>
      </w:pPr>
      <w:r>
        <w:rPr>
          <w:rFonts w:hint="eastAsia" w:ascii="宋体" w:hAnsi="宋体" w:eastAsia="宋体" w:cs="宋体"/>
          <w:b w:val="0"/>
          <w:bCs w:val="0"/>
          <w:sz w:val="24"/>
          <w:szCs w:val="24"/>
          <w:lang w:val="en-US" w:eastAsia="zh-CN"/>
        </w:rPr>
        <w:t>为保障长时间稳定运行，系统集成了多重反爬与容错机制。智能反爬策略包括动态生成并轮换超过100个浏览器User-Agent、自动管理请求会话（Session）、设置随机的合理请求间隔，以有效规避网站反爬虫限制。异常处理与恢复机制能在遇到网络超时、连接错误、页面解析失败或服务器返回5xx错误时，自动记录异常发生的精确上下文（城市、页码、景点序号）至日志文件，并支持后续一键断点续爬，确保任务不会因临时错误而中断。</w:t>
      </w:r>
    </w:p>
    <w:p w14:paraId="3D56137E">
      <w:pPr>
        <w:spacing w:line="440" w:lineRule="exact"/>
        <w:ind w:firstLine="480" w:firstLineChars="200"/>
        <w:outlineLvl w:val="9"/>
        <w:rPr>
          <w:rFonts w:hint="eastAsia" w:ascii="宋体" w:hAnsi="宋体" w:eastAsia="宋体" w:cs="宋体"/>
          <w:sz w:val="24"/>
          <w:lang w:val="en-US" w:eastAsia="zh-CN"/>
        </w:rPr>
      </w:pPr>
      <w:bookmarkStart w:id="1283" w:name="_Toc1267"/>
      <w:bookmarkStart w:id="1284" w:name="_Toc19019"/>
      <w:r>
        <w:rPr>
          <w:rFonts w:hint="eastAsia" w:ascii="宋体" w:hAnsi="宋体" w:eastAsia="宋体" w:cs="宋体"/>
          <w:sz w:val="24"/>
          <w:lang w:val="en-US" w:eastAsia="zh-CN"/>
        </w:rPr>
        <w:t>4.3 全流程数据质量管理功能</w:t>
      </w:r>
      <w:bookmarkEnd w:id="1283"/>
      <w:bookmarkEnd w:id="1284"/>
    </w:p>
    <w:p w14:paraId="1F3D2D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lang w:val="en-US" w:eastAsia="zh-CN"/>
        </w:rPr>
      </w:pPr>
      <w:r>
        <w:rPr>
          <w:rFonts w:hint="eastAsia" w:ascii="宋体" w:hAnsi="宋体" w:eastAsia="宋体" w:cs="宋体"/>
          <w:b w:val="0"/>
          <w:bCs w:val="0"/>
          <w:sz w:val="24"/>
          <w:szCs w:val="24"/>
          <w:lang w:val="en-US" w:eastAsia="zh-CN"/>
        </w:rPr>
        <w:t>数据质量管理贯穿于采集、处理、存储各环节。实时清洗与验证在数据解析和写入时自动执行，包括去除HTML标签、统一字符编码（UTF-8）、处理缺失字段（填充空值或默认值）、转换数据格式（如列表转为JSON字符串）。手动精准干预通过独立的handFile.py工具提供，允许用户安全删除CSV文件中指定的错误数据行，或查看文件编码与内容，以处理自动化流程无法解决的复杂数据问题。所有操作均被结构化日志记录，确保了数据血缘清晰、过程可追溯。</w:t>
      </w:r>
    </w:p>
    <w:p w14:paraId="66BD5915">
      <w:pPr>
        <w:spacing w:line="440" w:lineRule="exact"/>
        <w:ind w:firstLine="480" w:firstLineChars="200"/>
        <w:outlineLvl w:val="9"/>
        <w:rPr>
          <w:rFonts w:hint="eastAsia" w:ascii="宋体" w:hAnsi="宋体" w:eastAsia="宋体" w:cs="宋体"/>
          <w:sz w:val="24"/>
          <w:lang w:val="en-US" w:eastAsia="zh-CN"/>
        </w:rPr>
      </w:pPr>
      <w:bookmarkStart w:id="1285" w:name="_Toc18147"/>
      <w:bookmarkStart w:id="1286" w:name="_Toc30810"/>
      <w:r>
        <w:rPr>
          <w:rFonts w:hint="eastAsia" w:ascii="宋体" w:hAnsi="宋体" w:eastAsia="宋体" w:cs="宋体"/>
          <w:sz w:val="24"/>
          <w:lang w:val="en-US" w:eastAsia="zh-CN"/>
        </w:rPr>
        <w:t>4.4 结构化存储与多维度分析功能</w:t>
      </w:r>
      <w:bookmarkEnd w:id="1285"/>
      <w:bookmarkEnd w:id="1286"/>
    </w:p>
    <w:p w14:paraId="314F9A2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系统提供灵活的数据存储与开箱即用的分析能力。混合存储方案允许数据以按城市分割的CSV文件形式暂存（便于查看与交换），也可通过脚本一键导入MySQL数据库，利用其强大的查询能力进行关联分析。内置分析模型覆盖了核心业务维度，如：各省份景点数量与资源对比、基于评论数的景点热度分级（如超高热、高热度等）、收费与免费景点的消费结构分析等。用户无需编写复杂代码即可获得关键洞察，并可一键生成可视化报告，自动输出包含柱状图、饼图、仪表板在内的多格式分析成果。</w:t>
      </w:r>
    </w:p>
    <w:p w14:paraId="67F079EB">
      <w:pPr>
        <w:spacing w:line="440" w:lineRule="exact"/>
        <w:ind w:firstLine="480" w:firstLineChars="200"/>
        <w:outlineLvl w:val="9"/>
        <w:rPr>
          <w:rFonts w:hint="eastAsia" w:ascii="宋体" w:hAnsi="宋体" w:eastAsia="宋体" w:cs="宋体"/>
          <w:sz w:val="24"/>
          <w:lang w:val="en-US" w:eastAsia="zh-CN"/>
        </w:rPr>
      </w:pPr>
      <w:bookmarkStart w:id="1287" w:name="_Toc32658"/>
      <w:bookmarkStart w:id="1288" w:name="_Toc17469"/>
      <w:r>
        <w:rPr>
          <w:rFonts w:hint="eastAsia" w:ascii="宋体" w:hAnsi="宋体" w:eastAsia="宋体" w:cs="宋体"/>
          <w:sz w:val="24"/>
          <w:lang w:val="en-US" w:eastAsia="zh-CN"/>
        </w:rPr>
        <w:t>4.5 灵活可控的操作模式</w:t>
      </w:r>
      <w:bookmarkEnd w:id="1287"/>
      <w:bookmarkEnd w:id="1288"/>
    </w:p>
    <w:p w14:paraId="5E3D0ED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Theme="minorHAnsi" w:eastAsiaTheme="minorEastAsia"/>
          <w:lang w:val="en-US" w:eastAsia="zh-CN"/>
        </w:rPr>
      </w:pPr>
      <w:r>
        <w:rPr>
          <w:rFonts w:hint="eastAsia" w:ascii="宋体" w:hAnsi="宋体" w:eastAsia="宋体" w:cs="宋体"/>
          <w:b w:val="0"/>
          <w:bCs w:val="0"/>
          <w:sz w:val="24"/>
          <w:szCs w:val="24"/>
          <w:lang w:val="en-US" w:eastAsia="zh-CN"/>
        </w:rPr>
        <w:t>系统设计了人性化的交互与控制方式。多模式运行支持四种场景：全自动模式（从头到尾自动完成）、断点续爬模式（从上次错误或暂停点继续）、自定义模式（自由指定起始城市和页码）、单城市模式（针对特定城市采集），适应从开发调试到生产部署的不同需求。实时交互控制允许用户在程序运行过程中，随时通过按下Shift+6组合键发出暂停指令，系统将在安全完成当前页面的采集任务后，保存所有状态并优雅退出。友好的进度反馈在控制台以彩色高亮信息实时显示当前爬取的城市、页码、成功率、已耗时及预估剩余时间，提升了操作体验与过程可控性。</w:t>
      </w:r>
      <w:r>
        <w:rPr>
          <w:rFonts w:hint="eastAsia" w:asciiTheme="minorHAnsi" w:eastAsiaTheme="minorEastAsia"/>
          <w:lang w:val="en-US" w:eastAsia="zh-CN"/>
        </w:rPr>
        <w:tab/>
      </w:r>
    </w:p>
    <w:p w14:paraId="30D15D9A">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9"/>
        <w:rPr>
          <w:rFonts w:hint="default"/>
          <w:lang w:val="en-US" w:eastAsia="zh-CN"/>
        </w:rPr>
      </w:pPr>
      <w:r>
        <w:rPr>
          <w:rFonts w:hint="eastAsia" w:asciiTheme="minorHAnsi" w:eastAsiaTheme="minorEastAsia"/>
          <w:lang w:val="en-US" w:eastAsia="zh-CN"/>
        </w:rPr>
        <w:br w:type="column"/>
      </w:r>
    </w:p>
    <w:p w14:paraId="430147CD">
      <w:pPr>
        <w:pStyle w:val="3"/>
        <w:bidi w:val="0"/>
        <w:rPr>
          <w:rFonts w:hint="eastAsia"/>
        </w:rPr>
      </w:pPr>
      <w:bookmarkStart w:id="1289" w:name="_Toc8110"/>
      <w:bookmarkStart w:id="1290" w:name="_Toc29460"/>
      <w:bookmarkStart w:id="1291" w:name="_Toc8519"/>
      <w:r>
        <w:rPr>
          <w:rFonts w:hint="eastAsia"/>
          <w:lang w:val="en-US" w:eastAsia="zh-CN"/>
        </w:rPr>
        <w:t>17.</w:t>
      </w:r>
      <w:r>
        <w:rPr>
          <w:rFonts w:hint="eastAsia"/>
        </w:rPr>
        <w:t>2024年各地区新能源汽车前300名销售情况的设计与实现</w:t>
      </w:r>
      <w:bookmarkEnd w:id="1289"/>
      <w:bookmarkEnd w:id="1290"/>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38BCFE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295EC3C5">
            <w:pPr>
              <w:jc w:val="left"/>
              <w:outlineLvl w:val="0"/>
              <w:rPr>
                <w:rFonts w:ascii="Calibri" w:hAnsi="Calibri" w:eastAsia="黑体" w:cs="Times New Roman"/>
                <w:szCs w:val="21"/>
              </w:rPr>
            </w:pPr>
            <w:bookmarkStart w:id="1292" w:name="_Toc13503"/>
            <w:bookmarkStart w:id="1293" w:name="_Toc26986"/>
            <w:r>
              <w:rPr>
                <w:rFonts w:hint="eastAsia" w:ascii="Calibri" w:hAnsi="Calibri" w:eastAsia="黑体" w:cs="Times New Roman"/>
                <w:sz w:val="24"/>
              </w:rPr>
              <w:t>项目主题：2024年各地区新能源汽车前300名销售情况的设计与实现</w:t>
            </w:r>
            <w:bookmarkEnd w:id="1292"/>
            <w:bookmarkEnd w:id="1293"/>
          </w:p>
        </w:tc>
      </w:tr>
      <w:tr w14:paraId="24911E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23B8FA2">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数据科学本科</w:t>
            </w:r>
            <w:r>
              <w:rPr>
                <w:rFonts w:hint="eastAsia" w:ascii="Calibri" w:hAnsi="Calibri" w:eastAsia="黑体" w:cs="Times New Roman"/>
                <w:sz w:val="24"/>
                <w:lang w:val="en-US" w:eastAsia="zh-CN"/>
              </w:rPr>
              <w:t>3</w:t>
            </w:r>
            <w:r>
              <w:rPr>
                <w:rFonts w:hint="eastAsia" w:ascii="Calibri" w:hAnsi="Calibri" w:eastAsia="黑体" w:cs="Times New Roman"/>
                <w:sz w:val="24"/>
              </w:rPr>
              <w:t>班</w:t>
            </w:r>
          </w:p>
        </w:tc>
      </w:tr>
      <w:tr w14:paraId="417041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CDD05E5">
            <w:pPr>
              <w:jc w:val="left"/>
              <w:rPr>
                <w:rFonts w:hint="eastAsia" w:ascii="Calibri" w:hAnsi="Calibri" w:eastAsia="黑体" w:cs="Times New Roman"/>
                <w:szCs w:val="21"/>
                <w:lang w:val="en-US" w:eastAsia="zh-CN"/>
              </w:rPr>
            </w:pPr>
            <w:r>
              <w:rPr>
                <w:rFonts w:hint="eastAsia" w:ascii="Calibri" w:hAnsi="Calibri" w:eastAsia="黑体" w:cs="Times New Roman"/>
                <w:sz w:val="24"/>
              </w:rPr>
              <w:t>学生姓名：</w:t>
            </w:r>
            <w:r>
              <w:rPr>
                <w:rFonts w:hint="eastAsia" w:ascii="Calibri" w:hAnsi="Calibri" w:eastAsia="黑体" w:cs="Times New Roman"/>
                <w:sz w:val="24"/>
                <w:lang w:val="en-US" w:eastAsia="zh-CN"/>
              </w:rPr>
              <w:t xml:space="preserve">乔婉 万乐 杨小玉 刘海燕 陆存人  </w:t>
            </w:r>
            <w:r>
              <w:rPr>
                <w:rFonts w:hint="eastAsia" w:ascii="Calibri" w:hAnsi="Calibri" w:eastAsia="黑体" w:cs="Times New Roman"/>
                <w:sz w:val="24"/>
              </w:rPr>
              <w:t xml:space="preserve">   指导教师：</w:t>
            </w:r>
            <w:r>
              <w:rPr>
                <w:rFonts w:hint="eastAsia" w:ascii="Calibri" w:hAnsi="Calibri" w:eastAsia="黑体" w:cs="Times New Roman"/>
                <w:sz w:val="24"/>
                <w:lang w:val="en-US" w:eastAsia="zh-CN"/>
              </w:rPr>
              <w:t>胡浩</w:t>
            </w:r>
          </w:p>
        </w:tc>
      </w:tr>
    </w:tbl>
    <w:p w14:paraId="AC61AB66">
      <w:pPr>
        <w:spacing w:line="440" w:lineRule="exact"/>
        <w:outlineLvl w:val="9"/>
        <w:rPr>
          <w:rFonts w:hint="eastAsia" w:eastAsia="宋体" w:cs="Times New Roman"/>
          <w:b/>
          <w:bCs/>
          <w:sz w:val="28"/>
          <w:szCs w:val="28"/>
          <w:lang w:val="en-US" w:eastAsia="zh-CN"/>
        </w:rPr>
      </w:pPr>
      <w:bookmarkStart w:id="1294" w:name="_Toc13337"/>
      <w:r>
        <w:rPr>
          <w:rFonts w:hint="eastAsia" w:eastAsia="宋体" w:cs="Times New Roman"/>
          <w:b/>
          <w:bCs/>
          <w:sz w:val="28"/>
          <w:szCs w:val="28"/>
          <w:lang w:val="en-US" w:eastAsia="zh-CN"/>
        </w:rPr>
        <w:t>1 项目概述</w:t>
      </w:r>
      <w:bookmarkEnd w:id="1291"/>
      <w:bookmarkEnd w:id="1294"/>
    </w:p>
    <w:p w14:paraId="31BB4C00">
      <w:pPr>
        <w:spacing w:line="440" w:lineRule="exact"/>
        <w:ind w:firstLine="480" w:firstLineChars="200"/>
        <w:outlineLvl w:val="9"/>
        <w:rPr>
          <w:rFonts w:hint="eastAsia" w:ascii="宋体" w:hAnsi="宋体" w:eastAsia="宋体" w:cs="宋体"/>
          <w:sz w:val="24"/>
          <w:lang w:val="en-US" w:eastAsia="zh-CN"/>
        </w:rPr>
      </w:pPr>
      <w:bookmarkStart w:id="1295" w:name="_Toc25392"/>
      <w:bookmarkStart w:id="1296" w:name="_Toc18446"/>
      <w:r>
        <w:rPr>
          <w:rFonts w:hint="eastAsia" w:ascii="宋体" w:hAnsi="宋体" w:eastAsia="宋体" w:cs="宋体"/>
          <w:sz w:val="24"/>
          <w:lang w:val="en-US" w:eastAsia="zh-CN"/>
        </w:rPr>
        <w:t>1.1 项目介绍</w:t>
      </w:r>
      <w:bookmarkEnd w:id="1295"/>
      <w:bookmarkEnd w:id="1296"/>
    </w:p>
    <w:p w14:paraId="5E7C809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项目以“新能源汽车销量与市场分析系统”为核心，开展了一次完整的数据工程与商业智能实践。项目旨在构建一个端到端的数据分析流水线，从原始数据采集出发，通过系统化的数据处理、清洗与存储流程，最终实现多维度的可视化分析，深度挖掘新能源汽车市场中的销售规律与价格特征。项目严格遵循大数据处理的标准流程，涵盖了数据规划、采集、清洗、存储、分析及可视化六大关键环节，是对大数据技术栈全面应用的一次综合性实践。通过对真实新能源汽车销售数据的系统性分析，本项目不仅展现了数据处理的技术实现过程，更突出了数据驱动决策的商业价值。</w:t>
      </w:r>
    </w:p>
    <w:p w14:paraId="371FED78">
      <w:pPr>
        <w:spacing w:line="440" w:lineRule="exact"/>
        <w:ind w:firstLine="480" w:firstLineChars="200"/>
        <w:outlineLvl w:val="9"/>
        <w:rPr>
          <w:rFonts w:hint="eastAsia" w:ascii="宋体" w:hAnsi="宋体" w:eastAsia="宋体" w:cs="宋体"/>
          <w:sz w:val="24"/>
          <w:lang w:val="en-US" w:eastAsia="zh-CN"/>
        </w:rPr>
      </w:pPr>
      <w:bookmarkStart w:id="1297" w:name="_Toc28875"/>
      <w:bookmarkStart w:id="1298" w:name="_Toc20344"/>
      <w:r>
        <w:rPr>
          <w:rFonts w:hint="eastAsia" w:ascii="宋体" w:hAnsi="宋体" w:eastAsia="宋体" w:cs="宋体"/>
          <w:sz w:val="24"/>
          <w:lang w:val="en-US" w:eastAsia="zh-CN"/>
        </w:rPr>
        <w:t>1.2 项目背景与意义</w:t>
      </w:r>
      <w:bookmarkEnd w:id="1297"/>
      <w:bookmarkEnd w:id="1298"/>
    </w:p>
    <w:p w14:paraId="43AA25C0">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在“碳中和”与能源转型的国家战略背景下，新能源汽车产业已成为我国先进制造业的重要支柱。市场高速增长的同时，厂商、经销商与政策制定者面临着激烈的市场竞争与复杂的定价决策挑战。如何基于真实销售数据洞察市场趋势、识别区域差异、优化产品策略，成为行业内各方关注的焦点。因此，本项目选择新能源汽车销售数据作为分析对象，具有明确的现实意义与时效性。</w:t>
      </w:r>
    </w:p>
    <w:p w14:paraId="D451290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从教学实践角度来看，本项目覆盖了大数据技术应用的核心流程：包括数据的采集与规整、异常清洗与质量控制、结构化存储与管理、多维分析与可视化呈现。学生通过动手实践，能够将课堂所学的Python数据处理、MySQL数据库管理、数据可视化等知识融会贯通，形成完整的数据工程项目能力。项目的设计与实施，既是对学生综合技术能力的检验，也是培养其解决真实商业问题的思维与能力的重要途径。 </w:t>
      </w:r>
    </w:p>
    <w:p w14:paraId="F50B95D9">
      <w:pPr>
        <w:spacing w:line="440" w:lineRule="exact"/>
        <w:ind w:firstLine="480" w:firstLineChars="200"/>
        <w:outlineLvl w:val="9"/>
        <w:rPr>
          <w:rFonts w:hint="eastAsia" w:ascii="宋体" w:hAnsi="宋体" w:eastAsia="宋体" w:cs="宋体"/>
          <w:sz w:val="24"/>
          <w:lang w:val="en-US" w:eastAsia="zh-CN"/>
        </w:rPr>
      </w:pPr>
      <w:bookmarkStart w:id="1299" w:name="_Toc10058"/>
      <w:bookmarkStart w:id="1300" w:name="_Toc25223"/>
      <w:r>
        <w:rPr>
          <w:rFonts w:hint="eastAsia" w:ascii="宋体" w:hAnsi="宋体" w:eastAsia="宋体" w:cs="宋体"/>
          <w:sz w:val="24"/>
          <w:lang w:val="en-US" w:eastAsia="zh-CN"/>
        </w:rPr>
        <w:t>1.3 小组人员及分工</w:t>
      </w:r>
      <w:bookmarkEnd w:id="1299"/>
      <w:bookmarkEnd w:id="1300"/>
    </w:p>
    <w:p w14:paraId="D054600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本项目由</w:t>
      </w:r>
      <w:r>
        <w:rPr>
          <w:rFonts w:hint="eastAsia" w:ascii="宋体" w:hAnsi="宋体" w:eastAsia="宋体" w:cs="宋体"/>
          <w:b w:val="0"/>
          <w:bCs w:val="0"/>
          <w:sz w:val="24"/>
          <w:szCs w:val="24"/>
          <w:lang w:val="en-US" w:eastAsia="zh-CN"/>
        </w:rPr>
        <w:t>我们组5</w:t>
      </w:r>
      <w:r>
        <w:rPr>
          <w:rFonts w:hint="default" w:ascii="宋体" w:hAnsi="宋体" w:eastAsia="宋体" w:cs="宋体"/>
          <w:b w:val="0"/>
          <w:bCs w:val="0"/>
          <w:sz w:val="24"/>
          <w:szCs w:val="24"/>
          <w:lang w:val="en-US" w:eastAsia="zh-CN"/>
        </w:rPr>
        <w:t>名学生组成的团队协作完成，团队成员充分发挥各自专业优势，形成了完整的数据分析项目闭环。在项目推进过程中，团队成员相互配合、分工明确，确保了项目各阶段的顺利实施。</w:t>
      </w:r>
    </w:p>
    <w:p w14:paraId="DBE76AB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组长乔婉作为项目总负责人，承担了项目管理的核心角色。她不仅负责整个项目的选题策划和任务分解，还协调团队资源分配，制定项目进度计划，确保各环节按时推进。在具体执行层面，她深度参与了数据清洗算法的设计和可视化方案的选择，在关键决策点上发挥了重要作用。她的统筹协调能力为项目的顺利开展提供了有力保障。</w:t>
      </w:r>
    </w:p>
    <w:p w14:paraId="219C8B7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陆存人同学在数据采集环节表现突出。他运用Python爬虫技术，成功获取了高质量的新能源汽车销售数据，经过团队评估，其采集的数据在完整性和准确性方面表现最佳，被选定为最终分析的数据源。此外，他还参与完成了项目文档的技术部分撰写，确保技术实现过程的准确描述。</w:t>
      </w:r>
    </w:p>
    <w:p w14:paraId="F81A721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万乐同学与组长密切配合，共同负责数据处理的核心环节。她运用Pandas等工具实现了数据清洗的全流程，设计了合理的缺失值处理和异常值检测方案，并将清洗后的数据高效存储到MySQL数据库中。在可视化实现方面，她编写了多种分析图表的生成代码，为数据洞察提供了直观展示。</w:t>
      </w:r>
    </w:p>
    <w:p w14:paraId="DDA0630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刘海燕同学承担了项目文档的撰写工作。她系统性地整理了从需求分析到最终总结的全套文档，包括技术方案设计、数据处理报告、结果分析等内容。她的文档编写确保了项目成果的规范性和可追溯性，为项目答辩和成果展示提供了完整的文字材料支撑。</w:t>
      </w:r>
    </w:p>
    <w:p w14:paraId="E4F6C80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杨小玉同学专门负责最终课堂演示PPT的制作。她将复杂的技术流程和数据分析结果转化为清晰易懂的视觉呈现，设计了逻辑严密、重点突出的演示结构，并进行了精心的视觉美化，确保项目成果能够以专业、生动的方式向评审展示。</w:t>
      </w:r>
    </w:p>
    <w:p w14:paraId="0565518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整个团队采用敏捷协作模式，定期召开项目进度会议，及时沟通技术难点和协调资源分配。通过这次项目实践，团队成员不仅提升了各自的技术能力，更培养了团队协作、项目管理和成果展示的综合素质，为未来的专业发展和职业规划积累了宝贵经验。</w:t>
      </w:r>
      <w:bookmarkStart w:id="1301" w:name="_Toc6100"/>
    </w:p>
    <w:p w14:paraId="ED3208CA">
      <w:pPr>
        <w:keepNext w:val="0"/>
        <w:keepLines w:val="0"/>
        <w:pageBreakBefore w:val="0"/>
        <w:widowControl w:val="0"/>
        <w:kinsoku/>
        <w:wordWrap/>
        <w:overflowPunct/>
        <w:topLinePunct w:val="0"/>
        <w:autoSpaceDE/>
        <w:autoSpaceDN/>
        <w:bidi w:val="0"/>
        <w:adjustRightInd/>
        <w:snapToGrid/>
        <w:spacing w:line="440" w:lineRule="exact"/>
        <w:jc w:val="both"/>
        <w:textAlignment w:val="auto"/>
      </w:pPr>
      <w:r>
        <w:rPr>
          <w:rFonts w:hint="eastAsia" w:eastAsia="宋体" w:cs="Times New Roman" w:asciiTheme="minorHAnsi" w:hAnsiTheme="minorHAnsi"/>
          <w:b/>
          <w:bCs/>
          <w:kern w:val="2"/>
          <w:sz w:val="28"/>
          <w:szCs w:val="28"/>
          <w:lang w:val="en-US" w:eastAsia="zh-CN" w:bidi="ar-SA"/>
        </w:rPr>
        <w:t>2 系统需求与数据规划分析</w:t>
      </w:r>
      <w:bookmarkEnd w:id="1301"/>
      <w:r>
        <w:t xml:space="preserve"> </w:t>
      </w:r>
    </w:p>
    <w:p w14:paraId="5956C1F3">
      <w:pPr>
        <w:spacing w:line="440" w:lineRule="exact"/>
        <w:ind w:firstLine="480" w:firstLineChars="200"/>
        <w:outlineLvl w:val="9"/>
        <w:rPr>
          <w:rFonts w:hint="eastAsia" w:ascii="宋体" w:hAnsi="宋体" w:eastAsia="宋体" w:cs="宋体"/>
          <w:sz w:val="24"/>
          <w:lang w:val="en-US" w:eastAsia="zh-CN"/>
        </w:rPr>
      </w:pPr>
      <w:bookmarkStart w:id="1302" w:name="_Toc2548"/>
      <w:bookmarkStart w:id="1303" w:name="_Toc1494"/>
      <w:r>
        <w:rPr>
          <w:rFonts w:hint="eastAsia" w:ascii="宋体" w:hAnsi="宋体" w:eastAsia="宋体" w:cs="宋体"/>
          <w:sz w:val="24"/>
          <w:lang w:val="en-US" w:eastAsia="zh-CN"/>
        </w:rPr>
        <w:t>2.1 系统需求分析</w:t>
      </w:r>
      <w:bookmarkEnd w:id="1302"/>
      <w:bookmarkEnd w:id="1303"/>
    </w:p>
    <w:p w14:paraId="C9C8C77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bookmarkStart w:id="1304" w:name="_Toc9520"/>
      <w:r>
        <w:rPr>
          <w:rFonts w:hint="default" w:ascii="宋体" w:hAnsi="宋体" w:eastAsia="宋体" w:cs="宋体"/>
          <w:b w:val="0"/>
          <w:bCs w:val="0"/>
          <w:sz w:val="24"/>
          <w:szCs w:val="24"/>
          <w:lang w:val="en-US" w:eastAsia="zh-CN"/>
        </w:rPr>
        <w:t>（1）数据采集需求</w:t>
      </w:r>
      <w:bookmarkEnd w:id="1304"/>
    </w:p>
    <w:p w14:paraId="76F586F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①能够获取结构化、完整的新能源汽车销售数据。</w:t>
      </w:r>
    </w:p>
    <w:p w14:paraId="8C618A2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②数据量需达到分析要求（≥1200条有效记录）。</w:t>
      </w:r>
    </w:p>
    <w:p w14:paraId="48590D4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③必须包含车型、城市、销量、价格、时间等核心业务。</w:t>
      </w:r>
    </w:p>
    <w:p w14:paraId="3E75E2A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④字段需记录数据来源、采集时间、数据版本等元数据信息。</w:t>
      </w:r>
    </w:p>
    <w:p w14:paraId="D7E11B8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（2）数据处理需求</w:t>
      </w:r>
    </w:p>
    <w:p w14:paraId="CE6FD93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①提供完整的数据清洗功能，包括去重、缺失值处理、异常值过滤。</w:t>
      </w:r>
    </w:p>
    <w:p w14:paraId="1520EAB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②实现数据格式标准化（日期、价格、单位等统一规范）。</w:t>
      </w:r>
    </w:p>
    <w:p w14:paraId="C644F01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③进行业务规则校验（销量非负、价格合理等）。</w:t>
      </w:r>
    </w:p>
    <w:p w14:paraId="6797843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④保留清洗过程记录，确保数据可追溯。</w:t>
      </w:r>
    </w:p>
    <w:p w14:paraId="FEE3DB6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（3）数据存储需求</w:t>
      </w:r>
    </w:p>
    <w:p w14:paraId="231CE12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①清洗后数据持久化存储至MySQL数据库。</w:t>
      </w:r>
    </w:p>
    <w:p w14:paraId="8E808C2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②设计符合第三范式的关系表结构。</w:t>
      </w:r>
    </w:p>
    <w:p w14:paraId="8E75E79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③建立合适的索引优化查询性能。</w:t>
      </w:r>
    </w:p>
    <w:p w14:paraId="69ED682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④支持数据备份和恢复机制。</w:t>
      </w:r>
    </w:p>
    <w:p w14:paraId="F1D14A4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（4）数据分析需求</w:t>
      </w:r>
    </w:p>
    <w:p w14:paraId="811A9E6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①支持多维度统计分析：车型销量排名、城市销售分布、月度趋势。</w:t>
      </w:r>
    </w:p>
    <w:p w14:paraId="62781A83">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②实现价格分析：价格区间分布、价格与销量相关性、优惠策略效果。</w:t>
      </w:r>
    </w:p>
    <w:p w14:paraId="D1F945A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③进行市场分析：车型级别占有率、品牌竞争力、区域特征。</w:t>
      </w:r>
    </w:p>
    <w:p w14:paraId="A2CA7CF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④支持趋势分析与关联分析。</w:t>
      </w:r>
    </w:p>
    <w:p w14:paraId="5665578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（5）数据可视化需求</w:t>
      </w:r>
    </w:p>
    <w:p w14:paraId="18C77EC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①生成不少于8种不同类型的可视化图表。</w:t>
      </w:r>
    </w:p>
    <w:p w14:paraId="47CD940F">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②包含柱状图、折线图、饼图、散点图、热力图、箱线图等。</w:t>
      </w:r>
    </w:p>
    <w:p w14:paraId="DD61C5E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③图表需符合可视化最佳实践：标题清晰、坐标完整、标注准确。</w:t>
      </w:r>
    </w:p>
    <w:p w14:paraId="97020B3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④支持数据洞察的直观呈现与交互展示。</w:t>
      </w:r>
    </w:p>
    <w:p w14:paraId="3AD6062B">
      <w:pPr>
        <w:spacing w:line="440" w:lineRule="exact"/>
        <w:ind w:firstLine="480" w:firstLineChars="200"/>
        <w:outlineLvl w:val="9"/>
        <w:rPr>
          <w:rFonts w:hint="eastAsia" w:ascii="宋体" w:hAnsi="宋体" w:eastAsia="宋体" w:cs="宋体"/>
          <w:sz w:val="24"/>
          <w:lang w:val="en-US" w:eastAsia="zh-CN"/>
        </w:rPr>
      </w:pPr>
      <w:bookmarkStart w:id="1305" w:name="_Toc18323"/>
      <w:bookmarkStart w:id="1306" w:name="_Toc54"/>
      <w:r>
        <w:rPr>
          <w:rFonts w:hint="eastAsia" w:ascii="宋体" w:hAnsi="宋体" w:eastAsia="宋体" w:cs="宋体"/>
          <w:sz w:val="24"/>
          <w:lang w:val="en-US" w:eastAsia="zh-CN"/>
        </w:rPr>
        <w:t>2.2 数据规划分析</w:t>
      </w:r>
      <w:bookmarkEnd w:id="1305"/>
      <w:bookmarkEnd w:id="1306"/>
      <w:r>
        <w:rPr>
          <w:rFonts w:hint="eastAsia" w:ascii="宋体" w:hAnsi="宋体" w:eastAsia="宋体" w:cs="宋体"/>
          <w:sz w:val="24"/>
          <w:lang w:val="en-US" w:eastAsia="zh-CN"/>
        </w:rPr>
        <w:t xml:space="preserve"> </w:t>
      </w:r>
    </w:p>
    <w:p w14:paraId="919B86F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bookmarkStart w:id="1307" w:name="_Toc26963"/>
      <w:r>
        <w:rPr>
          <w:rFonts w:hint="default" w:ascii="宋体" w:hAnsi="宋体" w:eastAsia="宋体" w:cs="宋体"/>
          <w:b w:val="0"/>
          <w:bCs w:val="0"/>
          <w:sz w:val="24"/>
          <w:szCs w:val="24"/>
          <w:lang w:val="en-US" w:eastAsia="zh-CN"/>
        </w:rPr>
        <w:t>（1）数据应用场景</w:t>
      </w:r>
      <w:bookmarkEnd w:id="1307"/>
    </w:p>
    <w:p w14:paraId="99EDF5C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项目的数据分析主要服务于三个核心业务场景：一是车企决策支持，为汽车制造商提供产品定价优化、区域市场分析、竞品监控及生产计划调整的数据依据；二是经销商管理，辅助经销商制定销售目标、评估促销效果、分析客户偏好以优化库存配置；三是政策研究，帮助政府和研究机构评估新能源汽车推广政策效果、分析区域发展差异及预测产业发展趋势。</w:t>
      </w:r>
    </w:p>
    <w:p w14:paraId="BB9C837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（2）目标数据范围</w:t>
      </w:r>
    </w:p>
    <w:p w14:paraId="6EB6055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项目的数据覆盖范围包括：数据源主要来自新能源汽车销售平台的公开数据，辅以行业协会和政府的统计数据；时间维度上要求收集至少12个月的连续月度数据，确保能够进行年度趋势分析；地理范围涵盖全国31个省份的主要城市，并按照城市等级和经济区域进行分类；产品维度覆盖主流的新能源汽车品牌和车型，包含纯电动、插电混动等多种能源类型，并考虑车型的生命周期阶段。（3）核心数据字段设计</w:t>
      </w:r>
    </w:p>
    <w:p w14:paraId="EFC915C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基于新能源汽车销售分析的业务需求，我们设计了包括标识字段、时间字段、产品字段、地理字段、销售字段、价格字段、财务字段和衍生字段在内的完整数据字段体系。关键字段包括：车型、品牌、车辆级别、城市、省份、上牌量、指导价范围、实际成交价、优惠幅度、预估销售额等，所有字段均明确定义了数据类型、约束条件和业务含义。</w:t>
      </w:r>
    </w:p>
    <w:p w14:paraId="68F56AAD">
      <w:pPr>
        <w:spacing w:line="440" w:lineRule="exact"/>
        <w:outlineLvl w:val="9"/>
        <w:rPr>
          <w:rFonts w:hint="eastAsia" w:eastAsia="宋体" w:cs="Times New Roman"/>
          <w:b/>
          <w:bCs/>
          <w:sz w:val="28"/>
          <w:szCs w:val="28"/>
          <w:lang w:val="en-US" w:eastAsia="zh-CN"/>
        </w:rPr>
      </w:pPr>
      <w:bookmarkStart w:id="1308" w:name="_Toc31175"/>
      <w:bookmarkStart w:id="1309" w:name="_Toc7136"/>
      <w:r>
        <w:rPr>
          <w:rFonts w:hint="eastAsia" w:eastAsia="宋体" w:cs="Times New Roman"/>
          <w:b/>
          <w:bCs/>
          <w:sz w:val="28"/>
          <w:szCs w:val="28"/>
          <w:lang w:val="en-US" w:eastAsia="zh-CN"/>
        </w:rPr>
        <w:t>3 数据流程概要设计</w:t>
      </w:r>
      <w:bookmarkEnd w:id="1308"/>
      <w:bookmarkEnd w:id="1309"/>
    </w:p>
    <w:p w14:paraId="0EFA8E8A">
      <w:pPr>
        <w:spacing w:line="440" w:lineRule="exact"/>
        <w:ind w:firstLine="480" w:firstLineChars="200"/>
        <w:outlineLvl w:val="9"/>
        <w:rPr>
          <w:rFonts w:hint="eastAsia" w:ascii="宋体" w:hAnsi="宋体" w:eastAsia="宋体" w:cs="宋体"/>
          <w:sz w:val="24"/>
          <w:lang w:val="en-US" w:eastAsia="zh-CN"/>
        </w:rPr>
      </w:pPr>
      <w:bookmarkStart w:id="1310" w:name="_Toc30209"/>
      <w:bookmarkStart w:id="1311" w:name="_Toc31443"/>
      <w:r>
        <w:rPr>
          <w:rFonts w:hint="eastAsia" w:ascii="宋体" w:hAnsi="宋体" w:eastAsia="宋体" w:cs="宋体"/>
          <w:sz w:val="24"/>
          <w:lang w:val="en-US" w:eastAsia="zh-CN"/>
        </w:rPr>
        <w:t>3.1 总体流程架构</w:t>
      </w:r>
      <w:bookmarkEnd w:id="1310"/>
      <w:bookmarkEnd w:id="1311"/>
    </w:p>
    <w:p w14:paraId="25720F3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本项目的整体数据处理流程遵循“数据获取→预处理→存储→分析→可视化”的经典数据流水线模型，构建了一个模块化、标准化且可扩展的系统架构。整个流程划分为五个核心环节，各环节之间通过规范化的数据接口和明确的处理逻辑进行衔接，确保数据处理全链条的连贯性与可追溯性。从数据源到最终的可视化洞察，系统采用层层递进的处理方式，每一环节的输出均为下一环节的输入，形成高效、可控的数据价值转化路径。 </w:t>
      </w:r>
    </w:p>
    <w:p w14:paraId="93D0C986">
      <w:pPr>
        <w:spacing w:line="440" w:lineRule="exact"/>
        <w:ind w:firstLine="480" w:firstLineChars="200"/>
        <w:outlineLvl w:val="9"/>
        <w:rPr>
          <w:rFonts w:hint="eastAsia" w:ascii="宋体" w:hAnsi="宋体" w:eastAsia="宋体" w:cs="宋体"/>
          <w:sz w:val="24"/>
          <w:lang w:val="en-US" w:eastAsia="zh-CN"/>
        </w:rPr>
      </w:pPr>
      <w:bookmarkStart w:id="1312" w:name="_Toc24211"/>
      <w:bookmarkStart w:id="1313" w:name="_Toc3207"/>
      <w:r>
        <w:rPr>
          <w:rFonts w:hint="eastAsia" w:ascii="宋体" w:hAnsi="宋体" w:eastAsia="宋体" w:cs="宋体"/>
          <w:sz w:val="24"/>
          <w:lang w:val="en-US" w:eastAsia="zh-CN"/>
        </w:rPr>
        <w:t>3.2 各阶段详细说明</w:t>
      </w:r>
      <w:bookmarkEnd w:id="1312"/>
      <w:bookmarkEnd w:id="1313"/>
    </w:p>
    <w:p w14:paraId="093AC5A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第一阶段：数据爬取与采集</w:t>
      </w:r>
    </w:p>
    <w:p w14:paraId="124A167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阶段利用Python网络爬虫技术，从经过脱敏处理的新能源汽车销售平台或公开数据源中采集原始数据。通过模拟用户请求、解析网页结构或调用API接口，获取包含车型、销量、价格、城市、时间等维度的结构化数据。系统需具备反爬应对机制和数据完整性校验能力，确保原始数据的全面性与准确性。</w:t>
      </w:r>
    </w:p>
    <w:p w14:paraId="5936CEC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第二阶段：文档持久化存储</w:t>
      </w:r>
    </w:p>
    <w:p w14:paraId="78D7E4C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保留原始数据状态并支持过程追溯，本阶段将爬取得到的原始数据以csv格式保存至本地文件系统。文档结构包含数据主体和元数据两部分，其中元数据记录数据来源（脱敏）、采集时间、字段说明等信息，形成可供后续处理和数据审计的初始数据快照。</w:t>
      </w:r>
    </w:p>
    <w:p w14:paraId="5D79294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第三阶段：数据清洗与预处理</w:t>
      </w:r>
    </w:p>
    <w:p w14:paraId="96B31BC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阶段是数据质量保障的核心环节，通过构建自动化清洗流水线，对原始数据执行去重、缺失值处理、异常值检测、格式标准化等操作。清洗规则基于业务逻辑制定，例如删除价格异常（≤0）、统一日期格式、规范城市名称等，最终输出符合分析要求的高质量数据集。</w:t>
      </w:r>
    </w:p>
    <w:p w14:paraId="02454DA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第四阶段：数据分析与数据库存储</w:t>
      </w:r>
    </w:p>
    <w:p w14:paraId="10A5D25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清洗后的数据将被写入MySQL关系型数据库，数据库表结构根据业务需求设计，确保数据类型合理、关系规范。在存储的同时或之后，系统基于SQL或Python数据分析库开展多维度统计分析与建模，如销量排名、价格分布、趋势预测等，为可视化提供加工后的数据基础。</w:t>
      </w:r>
    </w:p>
    <w:p w14:paraId="6013E2E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第五阶段：数据可视化实现</w:t>
      </w:r>
    </w:p>
    <w:p w14:paraId="83F7973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基于分析结果，本阶段利用Matplotlib、Seaborn等可视化工具生成不少于8种类型的图表，涵盖柱状图、折线图、饼图、散点图等，以直观、美观的形式呈现数据分析结论。每张图表均需具备完整的图表元素（标题、标签、图例）和清晰的数据叙事逻辑。 </w:t>
      </w:r>
    </w:p>
    <w:p w14:paraId="5B00CCF9">
      <w:pPr>
        <w:spacing w:line="440" w:lineRule="exact"/>
        <w:outlineLvl w:val="9"/>
        <w:rPr>
          <w:rFonts w:hint="eastAsia" w:eastAsia="宋体" w:cs="Times New Roman"/>
          <w:b/>
          <w:bCs/>
          <w:sz w:val="28"/>
          <w:szCs w:val="28"/>
          <w:lang w:val="en-US" w:eastAsia="zh-CN"/>
        </w:rPr>
      </w:pPr>
      <w:bookmarkStart w:id="1314" w:name="_Toc11146"/>
      <w:bookmarkStart w:id="1315" w:name="_Toc11837"/>
      <w:r>
        <w:rPr>
          <w:rFonts w:hint="eastAsia" w:eastAsia="宋体" w:cs="Times New Roman"/>
          <w:b/>
          <w:bCs/>
          <w:sz w:val="28"/>
          <w:szCs w:val="28"/>
          <w:lang w:val="en-US" w:eastAsia="zh-CN"/>
        </w:rPr>
        <w:t>4 数据爬取与文档持久化</w:t>
      </w:r>
      <w:bookmarkEnd w:id="1314"/>
      <w:bookmarkEnd w:id="1315"/>
    </w:p>
    <w:p w14:paraId="0EE64D4C">
      <w:pPr>
        <w:spacing w:line="440" w:lineRule="exact"/>
        <w:ind w:firstLine="480" w:firstLineChars="200"/>
        <w:outlineLvl w:val="9"/>
        <w:rPr>
          <w:rFonts w:hint="eastAsia" w:ascii="宋体" w:hAnsi="宋体" w:eastAsia="宋体" w:cs="宋体"/>
          <w:sz w:val="24"/>
          <w:lang w:val="en-US" w:eastAsia="zh-CN"/>
        </w:rPr>
      </w:pPr>
      <w:bookmarkStart w:id="1316" w:name="_Toc23085"/>
      <w:bookmarkStart w:id="1317" w:name="_Toc6257"/>
      <w:r>
        <w:rPr>
          <w:rFonts w:hint="eastAsia" w:ascii="宋体" w:hAnsi="宋体" w:eastAsia="宋体" w:cs="宋体"/>
          <w:sz w:val="24"/>
          <w:lang w:val="en-US" w:eastAsia="zh-CN"/>
        </w:rPr>
        <w:t>4.1 数据爬取策略与实现</w:t>
      </w:r>
      <w:bookmarkEnd w:id="1316"/>
      <w:bookmarkEnd w:id="1317"/>
    </w:p>
    <w:p w14:paraId="AB560DB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（1）数据源分析与选择</w:t>
      </w:r>
    </w:p>
    <w:p w14:paraId="E098D66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本项目的数据源为脱敏处理后的新能源汽车销售数据平台。该平台提供了结构化的销售数据，包含车型、销量、价格、城市、时间等多个维度的信息。为获取真实、全面的市场数据，我们选择该平台作为数据采集来源。在爬取过程中，严格遵守网络爬虫伦理和相关法律法规，采取了数据脱敏处理，不获取任何个人隐私信息，仅采集公开的销售统计信息。</w:t>
      </w:r>
    </w:p>
    <w:p w14:paraId="F87865B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代码</w:t>
      </w:r>
      <w:r>
        <w:rPr>
          <w:rFonts w:hint="eastAsia" w:ascii="宋体" w:hAnsi="宋体" w:eastAsia="宋体" w:cs="宋体"/>
          <w:b w:val="0"/>
          <w:bCs w:val="0"/>
          <w:sz w:val="24"/>
          <w:szCs w:val="24"/>
          <w:lang w:val="en-US" w:eastAsia="zh-CN"/>
        </w:rPr>
        <w:t>示例：</w:t>
      </w:r>
    </w:p>
    <w:p w14:paraId="5F883ED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该爬虫程序是一个针对新能源汽车销售数据采集的Python脚本，程序采用模块化设计，主要由三个核心函数构成完整的数据采集流程。</w:t>
      </w:r>
    </w:p>
    <w:p w14:paraId="D4AFF53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首先，fetch_page_data函数负责根据传入的页码参数构造对应的网页URL，并通过设置模拟浏览器访问的请求头信息（包括User-Agent和特定的Cookie）来发送HTTP请求，以获取目标页面的原始HTML内容；获取到页面内容后，程序使用BeautifulSoup库进行HTML解析，为后续的数据提取做好准备。</w:t>
      </w:r>
    </w:p>
    <w:p w14:paraId="995D523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 接着，parse_page_data函数负责从已解析的HTML文档中提取结构化的表格数据。该函数会尝试定位页面中的表格元素，并遍历其中的每一行（通常跳过表头行），将每个单元格的文本内容提取出来，整理成二维列表的形式。</w:t>
      </w:r>
    </w:p>
    <w:p w14:paraId="19D6411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最后，crawl_first_ten_pages函数作为整个爬取流程的控制器，通过一个循环依次调用前两个函数，爬取第1页至第6页的数据。当所有页面爬取完成后，程序将汇总得到的所有数据记录以文本形式逐行写入一个名为“2024新能源汽车前300名销售情况.csv”的CSV文件中，从而实现数据的本地持久化。</w:t>
      </w:r>
    </w:p>
    <w:p w14:paraId="5191954A">
      <w:pPr>
        <w:ind w:left="0" w:leftChars="0" w:firstLine="0" w:firstLineChars="0"/>
      </w:pPr>
      <w:r>
        <w:t>运行结果</w:t>
      </w:r>
    </w:p>
    <w:p w14:paraId="4A3A2D00">
      <w:pPr>
        <w:spacing w:line="240" w:lineRule="auto"/>
        <w:rPr>
          <w:rFonts w:hint="eastAsia" w:eastAsia="宋体"/>
          <w:lang w:eastAsia="zh-CN"/>
        </w:rPr>
      </w:pPr>
      <w:r>
        <w:rPr>
          <w:rFonts w:hint="eastAsia" w:eastAsia="宋体"/>
          <w:lang w:eastAsia="zh-CN"/>
        </w:rPr>
        <w:drawing>
          <wp:inline distT="0" distB="0" distL="114300" distR="114300">
            <wp:extent cx="5273040" cy="3018155"/>
            <wp:effectExtent l="0" t="0" r="3810" b="10795"/>
            <wp:docPr id="688" name="图片 68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688" descr="11"/>
                    <pic:cNvPicPr>
                      <a:picLocks noChangeAspect="1"/>
                    </pic:cNvPicPr>
                  </pic:nvPicPr>
                  <pic:blipFill>
                    <a:blip r:embed="rId448"/>
                    <a:stretch>
                      <a:fillRect/>
                    </a:stretch>
                  </pic:blipFill>
                  <pic:spPr>
                    <a:xfrm>
                      <a:off x="0" y="0"/>
                      <a:ext cx="5273040" cy="3018155"/>
                    </a:xfrm>
                    <a:prstGeom prst="rect">
                      <a:avLst/>
                    </a:prstGeom>
                  </pic:spPr>
                </pic:pic>
              </a:graphicData>
            </a:graphic>
          </wp:inline>
        </w:drawing>
      </w:r>
    </w:p>
    <w:p w14:paraId="5054F653">
      <w:pPr>
        <w:spacing w:line="240" w:lineRule="auto"/>
        <w:jc w:val="center"/>
        <w:rPr>
          <w:rFonts w:hint="default"/>
          <w:lang w:val="en-US"/>
        </w:rPr>
      </w:pPr>
      <w:r>
        <w:rPr>
          <w:rFonts w:hint="eastAsia" w:asciiTheme="minorHAnsi" w:eastAsiaTheme="minorEastAsia"/>
          <w:lang w:val="en-US" w:eastAsia="zh-CN"/>
        </w:rPr>
        <w:t>图4-1   数据爬取代码运行结果图</w:t>
      </w:r>
    </w:p>
    <w:p w14:paraId="11576587">
      <w:pPr>
        <w:spacing w:line="440" w:lineRule="exact"/>
        <w:ind w:firstLine="480" w:firstLineChars="200"/>
        <w:outlineLvl w:val="9"/>
        <w:rPr>
          <w:rFonts w:hint="eastAsia" w:ascii="宋体" w:hAnsi="宋体" w:eastAsia="宋体" w:cs="宋体"/>
          <w:sz w:val="24"/>
          <w:lang w:val="en-US" w:eastAsia="zh-CN"/>
        </w:rPr>
      </w:pPr>
      <w:bookmarkStart w:id="1318" w:name="_Toc12396"/>
      <w:bookmarkStart w:id="1319" w:name="_Toc20717"/>
      <w:r>
        <w:rPr>
          <w:rFonts w:hint="eastAsia" w:ascii="宋体" w:hAnsi="宋体" w:eastAsia="宋体" w:cs="宋体"/>
          <w:sz w:val="24"/>
          <w:lang w:val="en-US" w:eastAsia="zh-CN"/>
        </w:rPr>
        <w:t>4.2 文档持久化设计与执行</w:t>
      </w:r>
      <w:bookmarkEnd w:id="1318"/>
      <w:bookmarkEnd w:id="1319"/>
    </w:p>
    <w:p w14:paraId="0143623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在获取原始数据后，为确保数据的可追溯性、可复用性及处理过程的透明度，我们设计了规范的文档持久化方案。我们选择将原始数据以CSV格式存储于本地文件系统。该方案的优势在于CSV格式具有良好的可读性、通用性及结构化支持，便于后续使用Python等工具直接读取与处理。部分数据展示如下：</w:t>
      </w:r>
    </w:p>
    <w:p w14:paraId="56A07136">
      <w:pPr>
        <w:spacing w:line="240" w:lineRule="auto"/>
        <w:rPr>
          <w:rFonts w:hint="eastAsia"/>
          <w:lang w:val="en-US" w:eastAsia="zh-CN"/>
        </w:rPr>
      </w:pPr>
      <w:r>
        <w:rPr>
          <w:rFonts w:hint="eastAsia" w:asciiTheme="minorHAnsi" w:eastAsiaTheme="minorEastAsia"/>
          <w:lang w:val="en-US" w:eastAsia="zh-CN"/>
        </w:rPr>
        <w:drawing>
          <wp:inline distT="0" distB="0" distL="114300" distR="114300">
            <wp:extent cx="5150485" cy="2355215"/>
            <wp:effectExtent l="0" t="0" r="12065" b="6985"/>
            <wp:docPr id="689" name="图片 68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689" descr="图片1"/>
                    <pic:cNvPicPr>
                      <a:picLocks noChangeAspect="1"/>
                    </pic:cNvPicPr>
                  </pic:nvPicPr>
                  <pic:blipFill>
                    <a:blip r:embed="rId449"/>
                    <a:stretch>
                      <a:fillRect/>
                    </a:stretch>
                  </pic:blipFill>
                  <pic:spPr>
                    <a:xfrm>
                      <a:off x="0" y="0"/>
                      <a:ext cx="5150485" cy="2355215"/>
                    </a:xfrm>
                    <a:prstGeom prst="rect">
                      <a:avLst/>
                    </a:prstGeom>
                  </pic:spPr>
                </pic:pic>
              </a:graphicData>
            </a:graphic>
          </wp:inline>
        </w:drawing>
      </w:r>
    </w:p>
    <w:p w14:paraId="58F14D86">
      <w:pPr>
        <w:spacing w:line="240" w:lineRule="auto"/>
        <w:jc w:val="center"/>
      </w:pPr>
      <w:r>
        <w:rPr>
          <w:rFonts w:hint="eastAsia" w:asciiTheme="minorHAnsi" w:eastAsiaTheme="minorEastAsia"/>
          <w:lang w:val="en-US" w:eastAsia="zh-CN"/>
        </w:rPr>
        <w:t>图4-2   爬取的数据表图</w:t>
      </w:r>
    </w:p>
    <w:p w14:paraId="F93D64B3">
      <w:pPr>
        <w:spacing w:line="440" w:lineRule="exact"/>
        <w:outlineLvl w:val="9"/>
        <w:rPr>
          <w:rFonts w:hint="eastAsia" w:eastAsia="宋体" w:cs="Times New Roman"/>
          <w:b/>
          <w:bCs/>
          <w:sz w:val="28"/>
          <w:szCs w:val="28"/>
          <w:lang w:val="en-US" w:eastAsia="zh-CN"/>
        </w:rPr>
      </w:pPr>
      <w:bookmarkStart w:id="1320" w:name="_Toc13223"/>
      <w:bookmarkStart w:id="1321" w:name="_Toc32292"/>
      <w:r>
        <w:rPr>
          <w:rFonts w:hint="eastAsia" w:eastAsia="宋体" w:cs="Times New Roman"/>
          <w:b/>
          <w:bCs/>
          <w:sz w:val="28"/>
          <w:szCs w:val="28"/>
          <w:lang w:val="en-US" w:eastAsia="zh-CN"/>
        </w:rPr>
        <w:t>5 数据清洗处理分析</w:t>
      </w:r>
      <w:bookmarkEnd w:id="1320"/>
      <w:bookmarkEnd w:id="1321"/>
    </w:p>
    <w:p w14:paraId="1A4CBBFE">
      <w:pPr>
        <w:spacing w:line="440" w:lineRule="exact"/>
        <w:ind w:firstLine="480" w:firstLineChars="200"/>
        <w:outlineLvl w:val="9"/>
        <w:rPr>
          <w:rFonts w:hint="eastAsia" w:ascii="宋体" w:hAnsi="宋体" w:eastAsia="宋体" w:cs="宋体"/>
          <w:sz w:val="24"/>
          <w:lang w:val="en-US" w:eastAsia="zh-CN"/>
        </w:rPr>
      </w:pPr>
      <w:bookmarkStart w:id="1322" w:name="_Toc2489"/>
      <w:bookmarkStart w:id="1323" w:name="_Toc18353"/>
      <w:r>
        <w:rPr>
          <w:rFonts w:hint="eastAsia" w:ascii="宋体" w:hAnsi="宋体" w:eastAsia="宋体" w:cs="宋体"/>
          <w:sz w:val="24"/>
          <w:lang w:val="en-US" w:eastAsia="zh-CN"/>
        </w:rPr>
        <w:t>5.1 数据加载与探查</w:t>
      </w:r>
      <w:bookmarkEnd w:id="1322"/>
      <w:bookmarkEnd w:id="1323"/>
    </w:p>
    <w:p w14:paraId="0447C9D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读取本地数据文件（如CSV），记录原始数据集并进行基本信息探查。</w:t>
      </w:r>
    </w:p>
    <w:p w14:paraId="6D7774D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记录初始数据规模（行数、列数）。</w:t>
      </w:r>
    </w:p>
    <w:p w14:paraId="628461E6">
      <w:pPr>
        <w:spacing w:line="440" w:lineRule="exact"/>
        <w:ind w:firstLine="480" w:firstLineChars="200"/>
        <w:outlineLvl w:val="9"/>
        <w:rPr>
          <w:rFonts w:hint="eastAsia" w:ascii="宋体" w:hAnsi="宋体" w:eastAsia="宋体" w:cs="宋体"/>
          <w:sz w:val="24"/>
          <w:lang w:val="en-US" w:eastAsia="zh-CN"/>
        </w:rPr>
      </w:pPr>
      <w:bookmarkStart w:id="1324" w:name="_Toc21301"/>
      <w:bookmarkStart w:id="1325" w:name="_Toc14300"/>
      <w:r>
        <w:rPr>
          <w:rFonts w:hint="eastAsia" w:ascii="宋体" w:hAnsi="宋体" w:eastAsia="宋体" w:cs="宋体"/>
          <w:sz w:val="24"/>
          <w:lang w:val="en-US" w:eastAsia="zh-CN"/>
        </w:rPr>
        <w:t>5.2执行清洗操作</w:t>
      </w:r>
      <w:bookmarkEnd w:id="1324"/>
      <w:bookmarkEnd w:id="1325"/>
    </w:p>
    <w:p w14:paraId="39A8AB6F">
      <w:pPr>
        <w:keepNext/>
        <w:keepLines/>
        <w:widowControl w:val="0"/>
        <w:bidi w:val="0"/>
        <w:spacing w:beforeLines="0" w:beforeAutospacing="0" w:afterLines="0" w:afterAutospacing="0" w:line="440" w:lineRule="exact"/>
        <w:ind w:firstLine="0" w:firstLineChars="0"/>
        <w:jc w:val="both"/>
        <w:outlineLvl w:val="9"/>
        <w:rPr>
          <w:rFonts w:hint="eastAsia" w:eastAsia="宋体" w:asciiTheme="minorHAnsi" w:hAnsiTheme="minorHAnsi" w:cstheme="minorBidi"/>
          <w:kern w:val="2"/>
          <w:sz w:val="24"/>
          <w:szCs w:val="24"/>
          <w:lang w:val="en-US" w:eastAsia="zh-CN" w:bidi="ar-SA"/>
        </w:rPr>
      </w:pPr>
      <w:bookmarkStart w:id="1326" w:name="_Toc88"/>
      <w:r>
        <w:rPr>
          <w:rFonts w:hint="eastAsia" w:eastAsia="宋体" w:asciiTheme="minorHAnsi" w:hAnsiTheme="minorHAnsi" w:cstheme="minorBidi"/>
          <w:kern w:val="2"/>
          <w:sz w:val="24"/>
          <w:szCs w:val="24"/>
          <w:lang w:val="en-US" w:eastAsia="zh-CN" w:bidi="ar-SA"/>
        </w:rPr>
        <w:t>5.2.1重复数据处理</w:t>
      </w:r>
      <w:bookmarkEnd w:id="1326"/>
    </w:p>
    <w:p w14:paraId="21DB980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使用drop_duplicates()方法删除完全重复的记录</w:t>
      </w:r>
    </w:p>
    <w:p w14:paraId="10A8A69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对比并记录去重前后的数据量变化</w:t>
      </w:r>
    </w:p>
    <w:p w14:paraId="2401CAE9">
      <w:pPr>
        <w:keepNext/>
        <w:keepLines/>
        <w:widowControl w:val="0"/>
        <w:bidi w:val="0"/>
        <w:spacing w:beforeLines="0" w:beforeAutospacing="0" w:afterLines="0" w:afterAutospacing="0" w:line="440" w:lineRule="exact"/>
        <w:ind w:firstLine="0" w:firstLineChars="0"/>
        <w:jc w:val="both"/>
        <w:outlineLvl w:val="9"/>
        <w:rPr>
          <w:rFonts w:hint="eastAsia" w:eastAsia="宋体" w:asciiTheme="minorHAnsi" w:hAnsiTheme="minorHAnsi" w:cstheme="minorBidi"/>
          <w:kern w:val="2"/>
          <w:sz w:val="24"/>
          <w:szCs w:val="24"/>
          <w:lang w:val="en-US" w:eastAsia="zh-CN" w:bidi="ar-SA"/>
        </w:rPr>
      </w:pPr>
      <w:bookmarkStart w:id="1327" w:name="_Toc22046"/>
      <w:r>
        <w:rPr>
          <w:rFonts w:hint="eastAsia" w:eastAsia="宋体" w:asciiTheme="minorHAnsi" w:hAnsiTheme="minorHAnsi" w:cstheme="minorBidi"/>
          <w:kern w:val="2"/>
          <w:sz w:val="24"/>
          <w:szCs w:val="24"/>
          <w:lang w:val="en-US" w:eastAsia="zh-CN" w:bidi="ar-SA"/>
        </w:rPr>
        <w:t>5.2.2缺失值检测与处理</w:t>
      </w:r>
      <w:bookmarkEnd w:id="1327"/>
    </w:p>
    <w:p w14:paraId="32CE219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使用isnull().sum()统计各字段缺失值情况</w:t>
      </w:r>
    </w:p>
    <w:p w14:paraId="4B061A2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采用删除法处理缺失值（直接删除包含缺失值的行）</w:t>
      </w:r>
    </w:p>
    <w:p w14:paraId="76EEF4B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重置数据索引以确保连续性</w:t>
      </w:r>
    </w:p>
    <w:p w14:paraId="2F09639D">
      <w:pPr>
        <w:keepNext/>
        <w:keepLines/>
        <w:widowControl w:val="0"/>
        <w:bidi w:val="0"/>
        <w:spacing w:beforeLines="0" w:beforeAutospacing="0" w:afterLines="0" w:afterAutospacing="0" w:line="440" w:lineRule="exact"/>
        <w:ind w:firstLine="0" w:firstLineChars="0"/>
        <w:jc w:val="both"/>
        <w:outlineLvl w:val="9"/>
        <w:rPr>
          <w:rFonts w:hint="eastAsia" w:eastAsia="宋体" w:asciiTheme="minorHAnsi" w:hAnsiTheme="minorHAnsi" w:cstheme="minorBidi"/>
          <w:kern w:val="2"/>
          <w:sz w:val="24"/>
          <w:szCs w:val="24"/>
          <w:lang w:val="en-US" w:eastAsia="zh-CN" w:bidi="ar-SA"/>
        </w:rPr>
      </w:pPr>
      <w:bookmarkStart w:id="1328" w:name="_Toc3952"/>
      <w:r>
        <w:rPr>
          <w:rFonts w:hint="eastAsia" w:eastAsia="宋体" w:asciiTheme="minorHAnsi" w:hAnsiTheme="minorHAnsi" w:cstheme="minorBidi"/>
          <w:kern w:val="2"/>
          <w:sz w:val="24"/>
          <w:szCs w:val="24"/>
          <w:lang w:val="en-US" w:eastAsia="zh-CN" w:bidi="ar-SA"/>
        </w:rPr>
        <w:t>5.2.3清洗结果验证与保存</w:t>
      </w:r>
      <w:bookmarkEnd w:id="1328"/>
    </w:p>
    <w:p w14:paraId="15F2013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对比清洗前后的数据行数变化</w:t>
      </w:r>
    </w:p>
    <w:p w14:paraId="66F235B3">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再次检查清洗后数据的缺失值情况</w:t>
      </w:r>
    </w:p>
    <w:p w14:paraId="5275036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将清洗后的数据集保存为新的CSV文件，指定编码格式为UTF-8</w:t>
      </w:r>
    </w:p>
    <w:p w14:paraId="3B8CD538">
      <w:pPr>
        <w:spacing w:line="440" w:lineRule="exact"/>
        <w:ind w:firstLine="480" w:firstLineChars="200"/>
        <w:outlineLvl w:val="9"/>
        <w:rPr>
          <w:rFonts w:hint="eastAsia" w:ascii="宋体" w:hAnsi="宋体" w:eastAsia="宋体" w:cs="宋体"/>
          <w:sz w:val="24"/>
          <w:lang w:val="en-US" w:eastAsia="zh-CN"/>
        </w:rPr>
      </w:pPr>
      <w:bookmarkStart w:id="1329" w:name="_Toc4627"/>
      <w:bookmarkStart w:id="1330" w:name="_Toc31998"/>
      <w:r>
        <w:rPr>
          <w:rFonts w:hint="eastAsia" w:ascii="宋体" w:hAnsi="宋体" w:eastAsia="宋体" w:cs="宋体"/>
          <w:sz w:val="24"/>
          <w:lang w:val="en-US" w:eastAsia="zh-CN"/>
        </w:rPr>
        <w:t>5.3清洗过程报告</w:t>
      </w:r>
      <w:bookmarkEnd w:id="1329"/>
      <w:bookmarkEnd w:id="1330"/>
    </w:p>
    <w:p w14:paraId="646A24D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生成清洗操作日志，记录各步骤处理的数据量变化</w:t>
      </w:r>
    </w:p>
    <w:p w14:paraId="18CB8CD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保留原始数据与清洗后数据的对比统计信息</w:t>
      </w:r>
    </w:p>
    <w:p w14:paraId="0F20D8E8">
      <w:pPr>
        <w:spacing w:line="440" w:lineRule="exact"/>
        <w:outlineLvl w:val="9"/>
        <w:rPr>
          <w:rFonts w:hint="eastAsia" w:eastAsia="宋体" w:cs="Times New Roman"/>
          <w:b/>
          <w:bCs/>
          <w:sz w:val="28"/>
          <w:szCs w:val="28"/>
          <w:lang w:val="en-US" w:eastAsia="zh-CN"/>
        </w:rPr>
      </w:pPr>
      <w:bookmarkStart w:id="1331" w:name="_Toc4022"/>
      <w:r>
        <w:rPr>
          <w:rFonts w:hint="eastAsia" w:eastAsia="宋体" w:cs="Times New Roman"/>
          <w:b/>
          <w:bCs/>
          <w:sz w:val="28"/>
          <w:szCs w:val="28"/>
          <w:lang w:val="en-US" w:eastAsia="zh-CN"/>
        </w:rPr>
        <w:t>6数据分析与存储</w:t>
      </w:r>
      <w:bookmarkEnd w:id="1331"/>
    </w:p>
    <w:p w14:paraId="69E8B89E">
      <w:pPr>
        <w:spacing w:line="440" w:lineRule="exact"/>
        <w:ind w:firstLine="480" w:firstLineChars="200"/>
        <w:outlineLvl w:val="9"/>
        <w:rPr>
          <w:rFonts w:hint="eastAsia" w:ascii="宋体" w:hAnsi="宋体" w:eastAsia="宋体" w:cs="宋体"/>
          <w:sz w:val="24"/>
          <w:lang w:val="en-US" w:eastAsia="zh-CN"/>
        </w:rPr>
      </w:pPr>
      <w:bookmarkStart w:id="1332" w:name="_Toc3240"/>
      <w:r>
        <w:rPr>
          <w:rFonts w:hint="eastAsia" w:ascii="宋体" w:hAnsi="宋体" w:eastAsia="宋体" w:cs="宋体"/>
          <w:sz w:val="24"/>
          <w:lang w:val="en-US" w:eastAsia="zh-CN"/>
        </w:rPr>
        <w:t>6.1数据加载与库连接</w:t>
      </w:r>
      <w:bookmarkEnd w:id="1332"/>
    </w:p>
    <w:p w14:paraId="0493BB2F">
      <w:pPr>
        <w:keepNext w:val="0"/>
        <w:keepLines w:val="0"/>
        <w:pageBreakBefore w:val="0"/>
        <w:kinsoku/>
        <w:wordWrap/>
        <w:overflowPunct/>
        <w:topLinePunct w:val="0"/>
        <w:autoSpaceDE/>
        <w:autoSpaceDN/>
        <w:bidi w:val="0"/>
        <w:adjustRightInd/>
        <w:snapToGrid/>
        <w:spacing w:line="440" w:lineRule="exact"/>
        <w:outlineLvl w:val="9"/>
        <w:rPr>
          <w:rFonts w:hint="eastAsia"/>
          <w:lang w:val="en-US" w:eastAsia="zh-CN"/>
        </w:rPr>
      </w:pPr>
      <w:r>
        <w:rPr>
          <w:rFonts w:hint="eastAsia" w:asciiTheme="minorHAnsi" w:eastAsiaTheme="minorEastAsia"/>
          <w:b w:val="0"/>
          <w:bCs w:val="0"/>
          <w:sz w:val="24"/>
          <w:szCs w:val="24"/>
          <w:lang w:val="en-US" w:eastAsia="zh-CN"/>
        </w:rPr>
        <w:t>读取清洗后的CSV文件，并使用pymysql库连接MySQL数据库，完成环境准备。</w:t>
      </w:r>
    </w:p>
    <w:p w14:paraId="617DBB68">
      <w:pPr>
        <w:keepNext w:val="0"/>
        <w:keepLines w:val="0"/>
        <w:pageBreakBefore w:val="0"/>
        <w:widowControl w:val="0"/>
        <w:kinsoku/>
        <w:wordWrap/>
        <w:overflowPunct/>
        <w:topLinePunct w:val="0"/>
        <w:autoSpaceDE/>
        <w:autoSpaceDN/>
        <w:bidi w:val="0"/>
        <w:adjustRightInd/>
        <w:snapToGrid/>
        <w:spacing w:line="440" w:lineRule="exact"/>
        <w:jc w:val="both"/>
        <w:textAlignment w:val="auto"/>
        <w:outlineLvl w:val="9"/>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数据库连接运行结果：</w:t>
      </w:r>
    </w:p>
    <w:p w14:paraId="070BBCFA">
      <w:pPr>
        <w:keepNext w:val="0"/>
        <w:keepLines w:val="0"/>
        <w:pageBreakBefore w:val="0"/>
        <w:kinsoku/>
        <w:wordWrap/>
        <w:overflowPunct/>
        <w:topLinePunct w:val="0"/>
        <w:autoSpaceDE/>
        <w:autoSpaceDN/>
        <w:bidi w:val="0"/>
        <w:adjustRightInd/>
        <w:snapToGrid/>
        <w:spacing w:line="240" w:lineRule="auto"/>
        <w:jc w:val="left"/>
        <w:rPr>
          <w:rFonts w:hint="eastAsia"/>
          <w:b w:val="0"/>
          <w:bCs w:val="0"/>
          <w:sz w:val="24"/>
          <w:szCs w:val="24"/>
          <w:lang w:val="en-US" w:eastAsia="zh-CN"/>
        </w:rPr>
      </w:pPr>
      <w:r>
        <w:rPr>
          <w:rFonts w:hint="eastAsia" w:asciiTheme="minorHAnsi" w:eastAsiaTheme="minorEastAsia"/>
          <w:b w:val="0"/>
          <w:bCs w:val="0"/>
          <w:sz w:val="24"/>
          <w:szCs w:val="24"/>
          <w:lang w:val="en-US" w:eastAsia="zh-CN"/>
        </w:rPr>
        <w:drawing>
          <wp:inline distT="0" distB="0" distL="114300" distR="114300">
            <wp:extent cx="4903470" cy="2572385"/>
            <wp:effectExtent l="0" t="0" r="11430" b="18415"/>
            <wp:docPr id="690" name="图片 11" descr="074f1e93b7929b1e5e66097f5a9a1b4a"/>
            <wp:cNvGraphicFramePr/>
            <a:graphic xmlns:a="http://schemas.openxmlformats.org/drawingml/2006/main">
              <a:graphicData uri="http://schemas.openxmlformats.org/drawingml/2006/picture">
                <pic:pic xmlns:pic="http://schemas.openxmlformats.org/drawingml/2006/picture">
                  <pic:nvPicPr>
                    <pic:cNvPr id="690" name="图片 11" descr="074f1e93b7929b1e5e66097f5a9a1b4a"/>
                    <pic:cNvPicPr/>
                  </pic:nvPicPr>
                  <pic:blipFill>
                    <a:blip r:embed="rId450"/>
                    <a:stretch>
                      <a:fillRect/>
                    </a:stretch>
                  </pic:blipFill>
                  <pic:spPr>
                    <a:xfrm>
                      <a:off x="0" y="0"/>
                      <a:ext cx="4903470" cy="2572385"/>
                    </a:xfrm>
                    <a:prstGeom prst="rect">
                      <a:avLst/>
                    </a:prstGeom>
                    <a:noFill/>
                    <a:ln>
                      <a:noFill/>
                    </a:ln>
                  </pic:spPr>
                </pic:pic>
              </a:graphicData>
            </a:graphic>
          </wp:inline>
        </w:drawing>
      </w:r>
    </w:p>
    <w:p w14:paraId="0B6C87F5">
      <w:pPr>
        <w:spacing w:line="440" w:lineRule="exact"/>
        <w:ind w:firstLine="420" w:firstLineChars="200"/>
        <w:jc w:val="center"/>
        <w:outlineLvl w:val="9"/>
        <w:rPr>
          <w:rFonts w:hint="default" w:ascii="宋体" w:hAnsi="宋体" w:eastAsia="宋体" w:cs="宋体"/>
          <w:sz w:val="24"/>
          <w:lang w:val="en-US" w:eastAsia="zh-CN"/>
        </w:rPr>
      </w:pPr>
      <w:bookmarkStart w:id="1333" w:name="_Toc9263"/>
      <w:r>
        <w:rPr>
          <w:rFonts w:hint="eastAsia" w:asciiTheme="minorHAnsi" w:eastAsiaTheme="minorEastAsia"/>
          <w:lang w:val="en-US" w:eastAsia="zh-CN"/>
        </w:rPr>
        <w:t>图6-1   数据库表图</w:t>
      </w:r>
      <w:bookmarkEnd w:id="1333"/>
    </w:p>
    <w:p w14:paraId="0C5A26B4">
      <w:pPr>
        <w:keepNext w:val="0"/>
        <w:keepLines w:val="0"/>
        <w:pageBreakBefore w:val="0"/>
        <w:kinsoku/>
        <w:wordWrap/>
        <w:overflowPunct/>
        <w:topLinePunct w:val="0"/>
        <w:autoSpaceDE/>
        <w:autoSpaceDN/>
        <w:bidi w:val="0"/>
        <w:adjustRightInd/>
        <w:snapToGrid/>
        <w:spacing w:line="440" w:lineRule="exact"/>
        <w:outlineLvl w:val="9"/>
        <w:rPr>
          <w:rFonts w:hint="eastAsia"/>
          <w:b w:val="0"/>
          <w:bCs w:val="0"/>
          <w:sz w:val="24"/>
          <w:szCs w:val="24"/>
          <w:lang w:val="en-US" w:eastAsia="zh-CN"/>
        </w:rPr>
      </w:pPr>
      <w:r>
        <w:rPr>
          <w:rFonts w:hint="eastAsia" w:asciiTheme="minorHAnsi" w:eastAsiaTheme="minorEastAsia"/>
          <w:b w:val="0"/>
          <w:bCs w:val="0"/>
          <w:sz w:val="24"/>
          <w:szCs w:val="24"/>
          <w:lang w:val="en-US" w:eastAsia="zh-CN"/>
        </w:rPr>
        <w:t>根据数据字段特征，在MySQL中设计与创建表结构（如cars_sales_data表），并清空旧数据。</w:t>
      </w:r>
    </w:p>
    <w:p w14:paraId="059CE6EB">
      <w:pPr>
        <w:spacing w:line="440" w:lineRule="exact"/>
        <w:ind w:firstLine="480" w:firstLineChars="200"/>
        <w:outlineLvl w:val="9"/>
        <w:rPr>
          <w:rFonts w:hint="eastAsia" w:ascii="宋体" w:hAnsi="宋体" w:eastAsia="宋体" w:cs="宋体"/>
          <w:sz w:val="24"/>
          <w:lang w:val="en-US" w:eastAsia="zh-CN"/>
        </w:rPr>
      </w:pPr>
      <w:bookmarkStart w:id="1334" w:name="_Toc8880"/>
      <w:bookmarkStart w:id="1335" w:name="_Toc26746"/>
      <w:r>
        <w:rPr>
          <w:rFonts w:hint="eastAsia" w:ascii="宋体" w:hAnsi="宋体" w:eastAsia="宋体" w:cs="宋体"/>
          <w:sz w:val="24"/>
          <w:lang w:val="en-US" w:eastAsia="zh-CN"/>
        </w:rPr>
        <w:t>6.3执行数据插入</w:t>
      </w:r>
      <w:bookmarkEnd w:id="1334"/>
      <w:bookmarkEnd w:id="1335"/>
    </w:p>
    <w:p w14:paraId="171C6E94">
      <w:pPr>
        <w:keepNext w:val="0"/>
        <w:keepLines w:val="0"/>
        <w:pageBreakBefore w:val="0"/>
        <w:kinsoku/>
        <w:wordWrap/>
        <w:overflowPunct/>
        <w:topLinePunct w:val="0"/>
        <w:autoSpaceDE/>
        <w:autoSpaceDN/>
        <w:bidi w:val="0"/>
        <w:adjustRightInd/>
        <w:snapToGrid/>
        <w:spacing w:line="440" w:lineRule="exact"/>
        <w:outlineLvl w:val="9"/>
        <w:rPr>
          <w:rFonts w:hint="eastAsia"/>
          <w:b w:val="0"/>
          <w:bCs w:val="0"/>
          <w:sz w:val="24"/>
          <w:szCs w:val="24"/>
          <w:lang w:val="en-US" w:eastAsia="zh-CN"/>
        </w:rPr>
      </w:pPr>
      <w:r>
        <w:rPr>
          <w:rFonts w:hint="eastAsia" w:asciiTheme="minorHAnsi" w:eastAsiaTheme="minorEastAsia"/>
          <w:b w:val="0"/>
          <w:bCs w:val="0"/>
          <w:sz w:val="24"/>
          <w:szCs w:val="24"/>
          <w:lang w:val="en-US" w:eastAsia="zh-CN"/>
        </w:rPr>
        <w:t>遍历清洗后的数据，逐行插入到数据库表中，并处理空值与数据类型转换。</w:t>
      </w:r>
    </w:p>
    <w:p w14:paraId="53CE74A0">
      <w:pPr>
        <w:spacing w:line="440" w:lineRule="exact"/>
        <w:ind w:firstLine="480" w:firstLineChars="200"/>
        <w:outlineLvl w:val="9"/>
        <w:rPr>
          <w:rFonts w:hint="eastAsia" w:ascii="宋体" w:hAnsi="宋体" w:eastAsia="宋体" w:cs="宋体"/>
          <w:sz w:val="24"/>
          <w:lang w:val="en-US" w:eastAsia="zh-CN"/>
        </w:rPr>
      </w:pPr>
      <w:bookmarkStart w:id="1336" w:name="_Toc27252"/>
      <w:bookmarkStart w:id="1337" w:name="_Toc27646"/>
      <w:r>
        <w:rPr>
          <w:rFonts w:hint="eastAsia" w:ascii="宋体" w:hAnsi="宋体" w:eastAsia="宋体" w:cs="宋体"/>
          <w:sz w:val="24"/>
          <w:lang w:val="en-US" w:eastAsia="zh-CN"/>
        </w:rPr>
        <w:t>6.4提交与验证</w:t>
      </w:r>
      <w:bookmarkEnd w:id="1336"/>
      <w:bookmarkEnd w:id="1337"/>
    </w:p>
    <w:p w14:paraId="10539C50">
      <w:pPr>
        <w:keepNext w:val="0"/>
        <w:keepLines w:val="0"/>
        <w:pageBreakBefore w:val="0"/>
        <w:kinsoku/>
        <w:wordWrap/>
        <w:overflowPunct/>
        <w:topLinePunct w:val="0"/>
        <w:autoSpaceDE/>
        <w:autoSpaceDN/>
        <w:bidi w:val="0"/>
        <w:adjustRightInd/>
        <w:snapToGrid/>
        <w:spacing w:line="440" w:lineRule="exact"/>
        <w:outlineLvl w:val="9"/>
        <w:rPr>
          <w:rFonts w:hint="eastAsia"/>
          <w:b w:val="0"/>
          <w:bCs w:val="0"/>
          <w:sz w:val="24"/>
          <w:szCs w:val="24"/>
          <w:lang w:val="en-US" w:eastAsia="zh-CN"/>
        </w:rPr>
      </w:pPr>
      <w:r>
        <w:rPr>
          <w:rFonts w:hint="eastAsia" w:asciiTheme="minorHAnsi" w:eastAsiaTheme="minorEastAsia"/>
          <w:b w:val="0"/>
          <w:bCs w:val="0"/>
          <w:sz w:val="24"/>
          <w:szCs w:val="24"/>
          <w:lang w:val="en-US" w:eastAsia="zh-CN"/>
        </w:rPr>
        <w:t>提交事务完成数据持久化，并通过查询验证数据完整性。</w:t>
      </w:r>
    </w:p>
    <w:p w14:paraId="2D6BDC8A">
      <w:pPr>
        <w:spacing w:line="440" w:lineRule="exact"/>
        <w:ind w:firstLine="480" w:firstLineChars="200"/>
        <w:outlineLvl w:val="9"/>
        <w:rPr>
          <w:rFonts w:hint="eastAsia" w:ascii="宋体" w:hAnsi="宋体" w:eastAsia="宋体" w:cs="宋体"/>
          <w:sz w:val="24"/>
          <w:lang w:val="en-US" w:eastAsia="zh-CN"/>
        </w:rPr>
      </w:pPr>
      <w:bookmarkStart w:id="1338" w:name="_Toc3405"/>
      <w:bookmarkStart w:id="1339" w:name="_Toc14536"/>
      <w:r>
        <w:rPr>
          <w:rFonts w:hint="eastAsia" w:ascii="宋体" w:hAnsi="宋体" w:eastAsia="宋体" w:cs="宋体"/>
          <w:sz w:val="24"/>
          <w:lang w:val="en-US" w:eastAsia="zh-CN"/>
        </w:rPr>
        <w:t>6.5异常处理</w:t>
      </w:r>
      <w:bookmarkEnd w:id="1338"/>
      <w:bookmarkEnd w:id="1339"/>
    </w:p>
    <w:p w14:paraId="2E5C001C">
      <w:pPr>
        <w:keepNext w:val="0"/>
        <w:keepLines w:val="0"/>
        <w:pageBreakBefore w:val="0"/>
        <w:kinsoku/>
        <w:wordWrap/>
        <w:overflowPunct/>
        <w:topLinePunct w:val="0"/>
        <w:autoSpaceDE/>
        <w:autoSpaceDN/>
        <w:bidi w:val="0"/>
        <w:adjustRightInd/>
        <w:snapToGrid/>
        <w:spacing w:line="440" w:lineRule="exact"/>
        <w:outlineLvl w:val="9"/>
        <w:rPr>
          <w:rFonts w:hint="eastAsia"/>
          <w:b w:val="0"/>
          <w:bCs w:val="0"/>
          <w:sz w:val="24"/>
          <w:szCs w:val="24"/>
          <w:lang w:val="en-US" w:eastAsia="zh-CN"/>
        </w:rPr>
      </w:pPr>
      <w:r>
        <w:rPr>
          <w:rFonts w:hint="eastAsia" w:asciiTheme="minorHAnsi" w:eastAsiaTheme="minorEastAsia"/>
          <w:b w:val="0"/>
          <w:bCs w:val="0"/>
          <w:sz w:val="24"/>
          <w:szCs w:val="24"/>
          <w:lang w:val="en-US" w:eastAsia="zh-CN"/>
        </w:rPr>
        <w:t>包含异常捕获与回滚机制，确保写入失败时数据一致，最后关闭连接。</w:t>
      </w:r>
    </w:p>
    <w:p w14:paraId="5D03FFD4">
      <w:pPr>
        <w:spacing w:line="440" w:lineRule="exact"/>
        <w:outlineLvl w:val="9"/>
        <w:rPr>
          <w:rFonts w:hint="eastAsia" w:eastAsia="宋体" w:cs="Times New Roman"/>
          <w:b/>
          <w:bCs/>
          <w:sz w:val="28"/>
          <w:szCs w:val="28"/>
          <w:lang w:val="en-US" w:eastAsia="zh-CN"/>
        </w:rPr>
      </w:pPr>
      <w:bookmarkStart w:id="1340" w:name="_Toc1536"/>
      <w:bookmarkStart w:id="1341" w:name="_Toc9785"/>
      <w:r>
        <w:rPr>
          <w:rFonts w:hint="eastAsia" w:eastAsia="宋体" w:cs="Times New Roman"/>
          <w:b/>
          <w:bCs/>
          <w:sz w:val="28"/>
          <w:szCs w:val="28"/>
          <w:lang w:val="en-US" w:eastAsia="zh-CN"/>
        </w:rPr>
        <w:t>7 数据可视化实现</w:t>
      </w:r>
      <w:bookmarkEnd w:id="1340"/>
      <w:bookmarkEnd w:id="1341"/>
    </w:p>
    <w:p w14:paraId="5D188420">
      <w:pPr>
        <w:spacing w:line="440" w:lineRule="exact"/>
        <w:ind w:firstLine="480" w:firstLineChars="200"/>
        <w:outlineLvl w:val="9"/>
        <w:rPr>
          <w:rFonts w:hint="eastAsia" w:ascii="宋体" w:hAnsi="宋体" w:eastAsia="宋体" w:cs="宋体"/>
          <w:sz w:val="24"/>
          <w:lang w:val="en-US" w:eastAsia="zh-CN"/>
        </w:rPr>
      </w:pPr>
      <w:bookmarkStart w:id="1342" w:name="_Toc9586"/>
      <w:bookmarkStart w:id="1343" w:name="_Toc5899"/>
      <w:r>
        <w:rPr>
          <w:rFonts w:hint="eastAsia" w:ascii="宋体" w:hAnsi="宋体" w:eastAsia="宋体" w:cs="宋体"/>
          <w:sz w:val="24"/>
          <w:lang w:val="en-US" w:eastAsia="zh-CN"/>
        </w:rPr>
        <w:t>7.1新能源汽车零售数据整体可视化图表</w:t>
      </w:r>
      <w:bookmarkEnd w:id="1342"/>
      <w:bookmarkEnd w:id="1343"/>
    </w:p>
    <w:p w14:paraId="0636BCAB">
      <w:pPr>
        <w:keepNext w:val="0"/>
        <w:keepLines w:val="0"/>
        <w:pageBreakBefore w:val="0"/>
        <w:kinsoku/>
        <w:wordWrap/>
        <w:overflowPunct/>
        <w:topLinePunct w:val="0"/>
        <w:autoSpaceDE/>
        <w:autoSpaceDN/>
        <w:bidi w:val="0"/>
        <w:adjustRightInd/>
        <w:snapToGrid/>
        <w:spacing w:line="440" w:lineRule="exact"/>
        <w:rPr>
          <w:rFonts w:hint="default"/>
          <w:b w:val="0"/>
          <w:bCs w:val="0"/>
          <w:sz w:val="24"/>
          <w:szCs w:val="24"/>
          <w:lang w:val="en-US" w:eastAsia="zh-CN"/>
        </w:rPr>
      </w:pPr>
      <w:r>
        <w:rPr>
          <w:rFonts w:hint="default"/>
          <w:b w:val="0"/>
          <w:bCs w:val="0"/>
          <w:sz w:val="24"/>
          <w:szCs w:val="24"/>
          <w:lang w:val="en-US" w:eastAsia="zh-CN"/>
        </w:rPr>
        <w:t>从五大维度呈现核心信息：</w:t>
      </w:r>
    </w:p>
    <w:p w14:paraId="1EE72107">
      <w:pPr>
        <w:keepNext w:val="0"/>
        <w:keepLines w:val="0"/>
        <w:pageBreakBefore w:val="0"/>
        <w:kinsoku/>
        <w:wordWrap/>
        <w:overflowPunct/>
        <w:topLinePunct w:val="0"/>
        <w:autoSpaceDE/>
        <w:autoSpaceDN/>
        <w:bidi w:val="0"/>
        <w:adjustRightInd/>
        <w:snapToGrid/>
        <w:spacing w:line="440" w:lineRule="exact"/>
        <w:rPr>
          <w:rFonts w:hint="default"/>
          <w:b w:val="0"/>
          <w:bCs w:val="0"/>
          <w:sz w:val="24"/>
          <w:szCs w:val="24"/>
          <w:lang w:val="en-US" w:eastAsia="zh-CN"/>
        </w:rPr>
      </w:pPr>
      <w:r>
        <w:rPr>
          <w:rFonts w:hint="eastAsia" w:asciiTheme="minorHAnsi" w:eastAsiaTheme="minorEastAsia"/>
          <w:b w:val="0"/>
          <w:bCs w:val="0"/>
          <w:sz w:val="24"/>
          <w:szCs w:val="24"/>
          <w:lang w:val="en-US" w:eastAsia="zh-CN"/>
        </w:rPr>
        <w:t>①</w:t>
      </w:r>
      <w:r>
        <w:rPr>
          <w:rFonts w:hint="default"/>
          <w:b w:val="0"/>
          <w:bCs w:val="0"/>
          <w:sz w:val="24"/>
          <w:szCs w:val="24"/>
          <w:lang w:val="en-US" w:eastAsia="zh-CN"/>
        </w:rPr>
        <w:t>价格维度：展示不同车型价格区间销量、各城市指导价与上牌量关联，苏州、杭州上牌量在指导价维度表现突出。</w:t>
      </w:r>
    </w:p>
    <w:p w14:paraId="3805B2D8">
      <w:pPr>
        <w:keepNext w:val="0"/>
        <w:keepLines w:val="0"/>
        <w:pageBreakBefore w:val="0"/>
        <w:kinsoku/>
        <w:wordWrap/>
        <w:overflowPunct/>
        <w:topLinePunct w:val="0"/>
        <w:autoSpaceDE/>
        <w:autoSpaceDN/>
        <w:bidi w:val="0"/>
        <w:adjustRightInd/>
        <w:snapToGrid/>
        <w:spacing w:line="440" w:lineRule="exact"/>
        <w:rPr>
          <w:rFonts w:hint="default"/>
          <w:b w:val="0"/>
          <w:bCs w:val="0"/>
          <w:sz w:val="24"/>
          <w:szCs w:val="24"/>
          <w:lang w:val="en-US" w:eastAsia="zh-CN"/>
        </w:rPr>
      </w:pPr>
      <w:r>
        <w:rPr>
          <w:rFonts w:hint="eastAsia" w:asciiTheme="minorHAnsi" w:eastAsiaTheme="minorEastAsia"/>
          <w:b w:val="0"/>
          <w:bCs w:val="0"/>
          <w:sz w:val="24"/>
          <w:szCs w:val="24"/>
          <w:lang w:val="en-US" w:eastAsia="zh-CN"/>
        </w:rPr>
        <w:t>②</w:t>
      </w:r>
      <w:r>
        <w:rPr>
          <w:rFonts w:hint="default"/>
          <w:b w:val="0"/>
          <w:bCs w:val="0"/>
          <w:sz w:val="24"/>
          <w:szCs w:val="24"/>
          <w:lang w:val="en-US" w:eastAsia="zh-CN"/>
        </w:rPr>
        <w:t>地域维度：中国地图标注各地区上牌量，东部沿海城市上牌量更高；同时呈现北京、上海等城市相关指标占比（厦门75%、北京49%等）。</w:t>
      </w:r>
    </w:p>
    <w:p w14:paraId="75357FE7">
      <w:pPr>
        <w:keepNext w:val="0"/>
        <w:keepLines w:val="0"/>
        <w:pageBreakBefore w:val="0"/>
        <w:kinsoku/>
        <w:wordWrap/>
        <w:overflowPunct/>
        <w:topLinePunct w:val="0"/>
        <w:autoSpaceDE/>
        <w:autoSpaceDN/>
        <w:bidi w:val="0"/>
        <w:adjustRightInd/>
        <w:snapToGrid/>
        <w:spacing w:line="440" w:lineRule="exact"/>
        <w:rPr>
          <w:rFonts w:hint="default"/>
          <w:b w:val="0"/>
          <w:bCs w:val="0"/>
          <w:sz w:val="24"/>
          <w:szCs w:val="24"/>
          <w:lang w:val="en-US" w:eastAsia="zh-CN"/>
        </w:rPr>
      </w:pPr>
      <w:r>
        <w:rPr>
          <w:rFonts w:hint="eastAsia" w:asciiTheme="minorHAnsi" w:eastAsiaTheme="minorEastAsia"/>
          <w:b w:val="0"/>
          <w:bCs w:val="0"/>
          <w:sz w:val="24"/>
          <w:szCs w:val="24"/>
          <w:lang w:val="en-US" w:eastAsia="zh-CN"/>
        </w:rPr>
        <w:t>③</w:t>
      </w:r>
      <w:r>
        <w:rPr>
          <w:rFonts w:hint="default"/>
          <w:b w:val="0"/>
          <w:bCs w:val="0"/>
          <w:sz w:val="24"/>
          <w:szCs w:val="24"/>
          <w:lang w:val="en-US" w:eastAsia="zh-CN"/>
        </w:rPr>
        <w:t>车型维度：Model Y销售额远超其他车型，还展示了不同车型优惠幅度与上牌量的关联。</w:t>
      </w:r>
    </w:p>
    <w:p w14:paraId="1C26AFEB">
      <w:pPr>
        <w:keepNext w:val="0"/>
        <w:keepLines w:val="0"/>
        <w:pageBreakBefore w:val="0"/>
        <w:kinsoku/>
        <w:wordWrap/>
        <w:overflowPunct/>
        <w:topLinePunct w:val="0"/>
        <w:autoSpaceDE/>
        <w:autoSpaceDN/>
        <w:bidi w:val="0"/>
        <w:adjustRightInd/>
        <w:snapToGrid/>
        <w:spacing w:line="440" w:lineRule="exact"/>
        <w:rPr>
          <w:rFonts w:hint="default"/>
          <w:b w:val="0"/>
          <w:bCs w:val="0"/>
          <w:sz w:val="24"/>
          <w:szCs w:val="24"/>
          <w:lang w:val="en-US" w:eastAsia="zh-CN"/>
        </w:rPr>
      </w:pPr>
      <w:r>
        <w:rPr>
          <w:rFonts w:hint="eastAsia" w:asciiTheme="minorHAnsi" w:eastAsiaTheme="minorEastAsia"/>
          <w:b w:val="0"/>
          <w:bCs w:val="0"/>
          <w:sz w:val="24"/>
          <w:szCs w:val="24"/>
          <w:lang w:val="en-US" w:eastAsia="zh-CN"/>
        </w:rPr>
        <w:t>④</w:t>
      </w:r>
      <w:r>
        <w:rPr>
          <w:rFonts w:hint="default"/>
          <w:b w:val="0"/>
          <w:bCs w:val="0"/>
          <w:sz w:val="24"/>
          <w:szCs w:val="24"/>
          <w:lang w:val="en-US" w:eastAsia="zh-CN"/>
        </w:rPr>
        <w:t>成交维度：呈现汕头、德州等城市车辆实际成交价折扣的地域差异。</w:t>
      </w:r>
    </w:p>
    <w:p w14:paraId="605B18A7">
      <w:pPr>
        <w:keepNext w:val="0"/>
        <w:keepLines w:val="0"/>
        <w:pageBreakBefore w:val="0"/>
        <w:numPr>
          <w:ilvl w:val="0"/>
          <w:numId w:val="0"/>
        </w:numPr>
        <w:kinsoku/>
        <w:wordWrap/>
        <w:overflowPunct/>
        <w:topLinePunct w:val="0"/>
        <w:autoSpaceDE/>
        <w:autoSpaceDN/>
        <w:bidi w:val="0"/>
        <w:adjustRightInd/>
        <w:snapToGrid/>
        <w:spacing w:line="240" w:lineRule="auto"/>
        <w:rPr>
          <w:rFonts w:hint="default"/>
          <w:b w:val="0"/>
          <w:bCs w:val="0"/>
          <w:sz w:val="24"/>
          <w:szCs w:val="24"/>
          <w:lang w:val="en-US" w:eastAsia="zh-CN"/>
        </w:rPr>
      </w:pPr>
      <w:r>
        <w:rPr>
          <w:rFonts w:hint="default"/>
          <w:b w:val="0"/>
          <w:bCs w:val="0"/>
          <w:sz w:val="24"/>
          <w:szCs w:val="24"/>
          <w:lang w:val="en-US" w:eastAsia="zh-CN"/>
        </w:rPr>
        <w:drawing>
          <wp:inline distT="0" distB="0" distL="114300" distR="114300">
            <wp:extent cx="5256530" cy="2881630"/>
            <wp:effectExtent l="0" t="0" r="1270" b="13970"/>
            <wp:docPr id="691" name="图片 691" descr="3e75e1af6f6ec37f4110c19003750e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图片 691" descr="3e75e1af6f6ec37f4110c19003750eb2"/>
                    <pic:cNvPicPr>
                      <a:picLocks noChangeAspect="1"/>
                    </pic:cNvPicPr>
                  </pic:nvPicPr>
                  <pic:blipFill>
                    <a:blip r:embed="rId451"/>
                    <a:stretch>
                      <a:fillRect/>
                    </a:stretch>
                  </pic:blipFill>
                  <pic:spPr>
                    <a:xfrm>
                      <a:off x="0" y="0"/>
                      <a:ext cx="5256530" cy="2881630"/>
                    </a:xfrm>
                    <a:prstGeom prst="rect">
                      <a:avLst/>
                    </a:prstGeom>
                  </pic:spPr>
                </pic:pic>
              </a:graphicData>
            </a:graphic>
          </wp:inline>
        </w:drawing>
      </w:r>
    </w:p>
    <w:p w14:paraId="64AFE8CD">
      <w:pPr>
        <w:spacing w:line="440" w:lineRule="exact"/>
        <w:ind w:firstLine="420" w:firstLineChars="200"/>
        <w:jc w:val="center"/>
        <w:outlineLvl w:val="9"/>
        <w:rPr>
          <w:rFonts w:hint="default"/>
          <w:lang w:val="en-US" w:eastAsia="zh-CN"/>
        </w:rPr>
      </w:pPr>
      <w:bookmarkStart w:id="1344" w:name="_Toc4026"/>
      <w:r>
        <w:rPr>
          <w:rFonts w:hint="eastAsia" w:asciiTheme="minorHAnsi" w:eastAsiaTheme="minorEastAsia"/>
          <w:lang w:val="en-US" w:eastAsia="zh-CN"/>
        </w:rPr>
        <w:t>图7-1   可视化大屏展示图</w:t>
      </w:r>
      <w:bookmarkEnd w:id="1344"/>
    </w:p>
    <w:p w14:paraId="64DCDB30">
      <w:pPr>
        <w:spacing w:line="440" w:lineRule="exact"/>
        <w:ind w:firstLine="480" w:firstLineChars="200"/>
        <w:outlineLvl w:val="9"/>
        <w:rPr>
          <w:rFonts w:hint="eastAsia" w:ascii="宋体" w:hAnsi="宋体" w:eastAsia="宋体" w:cs="宋体"/>
          <w:sz w:val="24"/>
          <w:lang w:val="en-US" w:eastAsia="zh-CN"/>
        </w:rPr>
      </w:pPr>
      <w:bookmarkStart w:id="1345" w:name="_Toc18191"/>
      <w:bookmarkStart w:id="1346" w:name="_Toc3112"/>
    </w:p>
    <w:p w14:paraId="599F9DDB">
      <w:pPr>
        <w:spacing w:line="440" w:lineRule="exact"/>
        <w:ind w:firstLine="480" w:firstLineChars="200"/>
        <w:outlineLvl w:val="9"/>
        <w:rPr>
          <w:rFonts w:hint="eastAsia" w:ascii="宋体" w:hAnsi="宋体" w:eastAsia="宋体" w:cs="宋体"/>
          <w:sz w:val="24"/>
          <w:lang w:val="en-US" w:eastAsia="zh-CN"/>
        </w:rPr>
      </w:pPr>
    </w:p>
    <w:p w14:paraId="130E0284">
      <w:pPr>
        <w:spacing w:line="440" w:lineRule="exact"/>
        <w:ind w:firstLine="480" w:firstLineChars="200"/>
        <w:outlineLvl w:val="9"/>
        <w:rPr>
          <w:rFonts w:hint="eastAsia" w:ascii="宋体" w:hAnsi="宋体" w:eastAsia="宋体" w:cs="宋体"/>
          <w:sz w:val="24"/>
          <w:lang w:val="en-US" w:eastAsia="zh-CN"/>
        </w:rPr>
      </w:pPr>
      <w:r>
        <w:rPr>
          <w:rFonts w:hint="eastAsia" w:ascii="宋体" w:hAnsi="宋体" w:eastAsia="宋体" w:cs="宋体"/>
          <w:sz w:val="24"/>
          <w:lang w:val="en-US" w:eastAsia="zh-CN"/>
        </w:rPr>
        <w:t>7.2各车型总销量排行TOP15</w:t>
      </w:r>
      <w:bookmarkEnd w:id="1345"/>
      <w:bookmarkEnd w:id="1346"/>
    </w:p>
    <w:p w14:paraId="0C037B1E">
      <w:pPr>
        <w:keepNext w:val="0"/>
        <w:keepLines w:val="0"/>
        <w:pageBreakBefore w:val="0"/>
        <w:numPr>
          <w:ilvl w:val="0"/>
          <w:numId w:val="0"/>
        </w:numPr>
        <w:kinsoku/>
        <w:wordWrap/>
        <w:overflowPunct/>
        <w:topLinePunct w:val="0"/>
        <w:autoSpaceDE/>
        <w:autoSpaceDN/>
        <w:bidi w:val="0"/>
        <w:adjustRightInd/>
        <w:snapToGrid/>
        <w:spacing w:line="440" w:lineRule="exact"/>
        <w:rPr>
          <w:rFonts w:hint="eastAsia"/>
          <w:b w:val="0"/>
          <w:bCs w:val="0"/>
          <w:sz w:val="28"/>
          <w:szCs w:val="28"/>
          <w:lang w:val="en-US" w:eastAsia="zh-CN"/>
        </w:rPr>
      </w:pPr>
      <w:r>
        <w:rPr>
          <w:rFonts w:hint="eastAsia" w:asciiTheme="minorHAnsi" w:eastAsiaTheme="minorEastAsia"/>
          <w:b w:val="0"/>
          <w:bCs w:val="0"/>
          <w:sz w:val="28"/>
          <w:szCs w:val="28"/>
          <w:lang w:val="en-US" w:eastAsia="zh-CN"/>
        </w:rPr>
        <w:t>基础设置</w:t>
      </w:r>
    </w:p>
    <w:p w14:paraId="15C5B659">
      <w:pPr>
        <w:pStyle w:val="169"/>
        <w:keepNext w:val="0"/>
        <w:keepLines w:val="0"/>
        <w:pageBreakBefore w:val="0"/>
        <w:kinsoku/>
        <w:wordWrap/>
        <w:overflowPunct/>
        <w:topLinePunct w:val="0"/>
        <w:autoSpaceDE/>
        <w:autoSpaceDN/>
        <w:bidi w:val="0"/>
        <w:adjustRightInd/>
        <w:snapToGrid/>
        <w:spacing w:line="440" w:lineRule="exact"/>
      </w:pPr>
      <w:r>
        <w:rPr>
          <w:rFonts w:hint="default"/>
          <w:lang w:val="en-US" w:eastAsia="zh-CN"/>
        </w:rPr>
        <w:t># 设置中文字体支持</w:t>
      </w:r>
    </w:p>
    <w:p w14:paraId="41910422">
      <w:pPr>
        <w:pStyle w:val="169"/>
        <w:keepNext w:val="0"/>
        <w:keepLines w:val="0"/>
        <w:pageBreakBefore w:val="0"/>
        <w:kinsoku/>
        <w:wordWrap/>
        <w:overflowPunct/>
        <w:topLinePunct w:val="0"/>
        <w:autoSpaceDE/>
        <w:autoSpaceDN/>
        <w:bidi w:val="0"/>
        <w:adjustRightInd/>
        <w:snapToGrid/>
        <w:spacing w:line="440" w:lineRule="exact"/>
        <w:rPr>
          <w:rFonts w:hint="default"/>
        </w:rPr>
      </w:pPr>
      <w:r>
        <w:rPr>
          <w:rFonts w:hint="default"/>
          <w:lang w:val="en-US" w:eastAsia="zh-CN"/>
        </w:rPr>
        <w:t>plt.rcParams['font.sans-serif'] = ['SimHei']</w:t>
      </w:r>
    </w:p>
    <w:p w14:paraId="038E0587">
      <w:pPr>
        <w:pStyle w:val="169"/>
        <w:keepNext w:val="0"/>
        <w:keepLines w:val="0"/>
        <w:pageBreakBefore w:val="0"/>
        <w:kinsoku/>
        <w:wordWrap/>
        <w:overflowPunct/>
        <w:topLinePunct w:val="0"/>
        <w:autoSpaceDE/>
        <w:autoSpaceDN/>
        <w:bidi w:val="0"/>
        <w:adjustRightInd/>
        <w:snapToGrid/>
        <w:spacing w:line="440" w:lineRule="exact"/>
        <w:rPr>
          <w:rFonts w:hint="default"/>
        </w:rPr>
      </w:pPr>
      <w:r>
        <w:rPr>
          <w:rFonts w:hint="default"/>
          <w:lang w:val="en-US" w:eastAsia="zh-CN"/>
        </w:rPr>
        <w:t>plt.rcParams['axes.unicode_minus'] = False</w:t>
      </w:r>
    </w:p>
    <w:p w14:paraId="12390812">
      <w:pPr>
        <w:keepNext w:val="0"/>
        <w:keepLines w:val="0"/>
        <w:pageBreakBefore w:val="0"/>
        <w:kinsoku/>
        <w:wordWrap/>
        <w:overflowPunct/>
        <w:topLinePunct w:val="0"/>
        <w:autoSpaceDE/>
        <w:autoSpaceDN/>
        <w:bidi w:val="0"/>
        <w:adjustRightInd/>
        <w:snapToGrid/>
        <w:spacing w:line="440" w:lineRule="exact"/>
        <w:rPr>
          <w:rFonts w:hint="eastAsia"/>
          <w:b w:val="0"/>
          <w:bCs w:val="0"/>
          <w:sz w:val="24"/>
          <w:szCs w:val="24"/>
          <w:lang w:val="en-US" w:eastAsia="zh-CN"/>
        </w:rPr>
      </w:pPr>
      <w:r>
        <w:rPr>
          <w:rFonts w:hint="eastAsia" w:asciiTheme="minorHAnsi" w:eastAsiaTheme="minorEastAsia"/>
          <w:b w:val="0"/>
          <w:bCs w:val="0"/>
          <w:sz w:val="24"/>
          <w:szCs w:val="24"/>
          <w:lang w:val="en-US" w:eastAsia="zh-CN"/>
        </w:rPr>
        <w:t>作用：配置Matplotlib，使其支持显示中文（如‘SimHei’黑体），并正确处理坐标轴上的负号（‘-’）</w:t>
      </w:r>
    </w:p>
    <w:p w14:paraId="31C333E7">
      <w:pPr>
        <w:keepNext w:val="0"/>
        <w:keepLines w:val="0"/>
        <w:pageBreakBefore w:val="0"/>
        <w:kinsoku/>
        <w:wordWrap/>
        <w:overflowPunct/>
        <w:topLinePunct w:val="0"/>
        <w:autoSpaceDE/>
        <w:autoSpaceDN/>
        <w:bidi w:val="0"/>
        <w:adjustRightInd/>
        <w:snapToGrid/>
        <w:spacing w:line="440" w:lineRule="exact"/>
        <w:rPr>
          <w:rFonts w:hint="eastAsia"/>
          <w:b w:val="0"/>
          <w:bCs w:val="0"/>
          <w:sz w:val="24"/>
          <w:szCs w:val="24"/>
          <w:lang w:val="en-US" w:eastAsia="zh-CN"/>
        </w:rPr>
      </w:pPr>
      <w:r>
        <w:rPr>
          <w:rFonts w:hint="eastAsia" w:asciiTheme="minorHAnsi" w:eastAsiaTheme="minorEastAsia"/>
          <w:b w:val="0"/>
          <w:bCs w:val="0"/>
          <w:sz w:val="24"/>
          <w:szCs w:val="24"/>
          <w:lang w:val="en-US" w:eastAsia="zh-CN"/>
        </w:rPr>
        <w:t>这段代码绘制了新能源汽车销量排行榜柱状图，展示了销量最高的15款车型。代码首先创建大尺寸画布和网格布局。接着从清洗后的数据中提取各车型的总销量，按销量排序并筛选出前15名。</w:t>
      </w:r>
    </w:p>
    <w:p w14:paraId="64DA8803">
      <w:pPr>
        <w:keepNext w:val="0"/>
        <w:keepLines w:val="0"/>
        <w:pageBreakBefore w:val="0"/>
        <w:kinsoku/>
        <w:wordWrap/>
        <w:overflowPunct/>
        <w:topLinePunct w:val="0"/>
        <w:autoSpaceDE/>
        <w:autoSpaceDN/>
        <w:bidi w:val="0"/>
        <w:adjustRightInd/>
        <w:snapToGrid/>
        <w:spacing w:line="440" w:lineRule="exact"/>
        <w:rPr>
          <w:rFonts w:hint="eastAsia"/>
          <w:b w:val="0"/>
          <w:bCs w:val="0"/>
          <w:sz w:val="24"/>
          <w:szCs w:val="24"/>
          <w:lang w:val="en-US" w:eastAsia="zh-CN"/>
        </w:rPr>
      </w:pPr>
      <w:r>
        <w:rPr>
          <w:rFonts w:hint="eastAsia" w:asciiTheme="minorHAnsi" w:eastAsiaTheme="minorEastAsia"/>
          <w:b w:val="0"/>
          <w:bCs w:val="0"/>
          <w:sz w:val="24"/>
          <w:szCs w:val="24"/>
          <w:lang w:val="en-US" w:eastAsia="zh-CN"/>
        </w:rPr>
        <w:t>绘制时采用viridis渐变色系为不同车型的柱体配色，设置清晰的黑色边框。图表标题明确标注“各车型总销量排行Top15”，X轴显示车型名称，Y轴显示总上牌量。为防止车型名称重叠，将X轴标签旋转45度显示。</w:t>
      </w:r>
    </w:p>
    <w:p w14:paraId="271BC7AB">
      <w:pPr>
        <w:keepNext w:val="0"/>
        <w:keepLines w:val="0"/>
        <w:pageBreakBefore w:val="0"/>
        <w:kinsoku/>
        <w:wordWrap/>
        <w:overflowPunct/>
        <w:topLinePunct w:val="0"/>
        <w:autoSpaceDE/>
        <w:autoSpaceDN/>
        <w:bidi w:val="0"/>
        <w:adjustRightInd/>
        <w:snapToGrid/>
        <w:spacing w:line="440" w:lineRule="exact"/>
        <w:rPr>
          <w:rFonts w:hint="eastAsia"/>
          <w:b w:val="0"/>
          <w:bCs w:val="0"/>
          <w:sz w:val="24"/>
          <w:szCs w:val="24"/>
          <w:lang w:val="en-US" w:eastAsia="zh-CN"/>
        </w:rPr>
      </w:pPr>
      <w:r>
        <w:rPr>
          <w:rFonts w:hint="eastAsia" w:asciiTheme="minorHAnsi" w:eastAsiaTheme="minorEastAsia"/>
          <w:b w:val="0"/>
          <w:bCs w:val="0"/>
          <w:sz w:val="24"/>
          <w:szCs w:val="24"/>
          <w:lang w:val="en-US" w:eastAsia="zh-CN"/>
        </w:rPr>
        <w:t>为增强数据可读性，在每个柱体顶部添加了带千位分隔符的具体销量数值标签。同时添加浅色虚线网格线置于柱体下方，使数据对比更加直观，整体图表专业美观，清晰呈现了各车型的市场表现。</w:t>
      </w:r>
    </w:p>
    <w:p w14:paraId="2B34C341">
      <w:pPr>
        <w:keepNext w:val="0"/>
        <w:keepLines w:val="0"/>
        <w:pageBreakBefore w:val="0"/>
        <w:numPr>
          <w:ilvl w:val="0"/>
          <w:numId w:val="0"/>
        </w:numPr>
        <w:kinsoku/>
        <w:wordWrap/>
        <w:overflowPunct/>
        <w:topLinePunct w:val="0"/>
        <w:autoSpaceDE/>
        <w:autoSpaceDN/>
        <w:bidi w:val="0"/>
        <w:adjustRightInd/>
        <w:snapToGrid/>
        <w:spacing w:line="240" w:lineRule="auto"/>
      </w:pPr>
      <w:r>
        <w:drawing>
          <wp:inline distT="0" distB="0" distL="114300" distR="114300">
            <wp:extent cx="5269230" cy="2160905"/>
            <wp:effectExtent l="0" t="0" r="7620" b="10795"/>
            <wp:docPr id="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2"/>
                    <pic:cNvPicPr>
                      <a:picLocks noChangeAspect="1"/>
                    </pic:cNvPicPr>
                  </pic:nvPicPr>
                  <pic:blipFill>
                    <a:blip r:embed="rId452"/>
                    <a:stretch>
                      <a:fillRect/>
                    </a:stretch>
                  </pic:blipFill>
                  <pic:spPr>
                    <a:xfrm>
                      <a:off x="0" y="0"/>
                      <a:ext cx="5269230" cy="2160905"/>
                    </a:xfrm>
                    <a:prstGeom prst="rect">
                      <a:avLst/>
                    </a:prstGeom>
                    <a:noFill/>
                    <a:ln>
                      <a:noFill/>
                    </a:ln>
                  </pic:spPr>
                </pic:pic>
              </a:graphicData>
            </a:graphic>
          </wp:inline>
        </w:drawing>
      </w:r>
    </w:p>
    <w:p w14:paraId="4791CC7B">
      <w:pPr>
        <w:tabs>
          <w:tab w:val="left" w:pos="1584"/>
        </w:tabs>
        <w:jc w:val="center"/>
        <w:outlineLvl w:val="9"/>
        <w:rPr>
          <w:rFonts w:hint="eastAsia" w:asciiTheme="minorHAnsi" w:hAnsiTheme="minorHAnsi" w:eastAsiaTheme="minorEastAsia" w:cstheme="minorBidi"/>
          <w:kern w:val="2"/>
          <w:sz w:val="21"/>
          <w:szCs w:val="24"/>
          <w:lang w:val="en-US" w:eastAsia="zh-CN" w:bidi="ar-SA"/>
        </w:rPr>
      </w:pPr>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2</w:t>
      </w:r>
      <w:r>
        <w:rPr>
          <w:rFonts w:hint="eastAsia" w:asciiTheme="minorHAnsi" w:hAnsiTheme="minorHAnsi" w:eastAsiaTheme="minorEastAsia" w:cstheme="minorBidi"/>
          <w:kern w:val="2"/>
          <w:sz w:val="21"/>
          <w:szCs w:val="24"/>
          <w:lang w:val="en-US" w:eastAsia="zh-CN" w:bidi="ar-SA"/>
        </w:rPr>
        <w:t xml:space="preserve">   各车型总销量排行图</w:t>
      </w:r>
    </w:p>
    <w:p w14:paraId="4254E96C">
      <w:pPr>
        <w:spacing w:line="440" w:lineRule="exact"/>
        <w:ind w:firstLine="480" w:firstLineChars="200"/>
        <w:outlineLvl w:val="9"/>
        <w:rPr>
          <w:rFonts w:hint="eastAsia" w:ascii="宋体" w:hAnsi="宋体" w:eastAsia="宋体" w:cs="宋体"/>
          <w:sz w:val="24"/>
          <w:lang w:val="en-US" w:eastAsia="zh-CN"/>
        </w:rPr>
      </w:pPr>
      <w:bookmarkStart w:id="1347" w:name="_Toc9176"/>
      <w:bookmarkStart w:id="1348" w:name="_Toc15714"/>
      <w:r>
        <w:rPr>
          <w:rFonts w:hint="eastAsia" w:ascii="宋体" w:hAnsi="宋体" w:eastAsia="宋体" w:cs="宋体"/>
          <w:sz w:val="24"/>
          <w:lang w:val="en-US" w:eastAsia="zh-CN"/>
        </w:rPr>
        <w:t>7.3 TOP10车型销售总额排名</w:t>
      </w:r>
      <w:bookmarkEnd w:id="1347"/>
      <w:bookmarkEnd w:id="1348"/>
    </w:p>
    <w:p w14:paraId="5CF1903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数据计算与准备：首先基于清洗后的数据，通过上牌量 × 实际成交价计算各车型的销售总额，并按车型分组汇总，筛选出销售总额最高的10个车型，按总额升序排序（以便在图表中从上至下递增显示）。</w:t>
      </w:r>
    </w:p>
    <w:p w14:paraId="05A4399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图表绘制：创建水平条形图，将车型名称置于Y轴，销售总额（单位为“亿元”）置于X轴。条形采用紫色（#6C5CE7）并设置透明度，同时添加黑色边框以提升视觉效果。</w:t>
      </w:r>
    </w:p>
    <w:p w14:paraId="58BBAC7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标签与样式优化：在每个条形右侧添加数据标签，显示格式化为两位小数的“亿元”单位数值。设置图表标题、坐标轴标签，并添加X轴方向的浅色网格线，增强可读性。</w:t>
      </w:r>
    </w:p>
    <w:p w14:paraId="6EFDE6C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最终，该图表直观展示了销售总额最高的10款车型及其具体销售额，便于快速比较各车型的市场收入表现。</w:t>
      </w:r>
    </w:p>
    <w:p w14:paraId="68F22F39">
      <w:pPr>
        <w:tabs>
          <w:tab w:val="left" w:pos="1584"/>
        </w:tabs>
        <w:jc w:val="center"/>
        <w:outlineLvl w:val="9"/>
      </w:pPr>
      <w:r>
        <w:drawing>
          <wp:anchor distT="0" distB="0" distL="114300" distR="114300" simplePos="0" relativeHeight="251891712" behindDoc="0" locked="0" layoutInCell="1" allowOverlap="1">
            <wp:simplePos x="0" y="0"/>
            <wp:positionH relativeFrom="column">
              <wp:posOffset>245745</wp:posOffset>
            </wp:positionH>
            <wp:positionV relativeFrom="paragraph">
              <wp:posOffset>92075</wp:posOffset>
            </wp:positionV>
            <wp:extent cx="4823460" cy="2590165"/>
            <wp:effectExtent l="0" t="0" r="2540" b="635"/>
            <wp:wrapTopAndBottom/>
            <wp:docPr id="69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13"/>
                    <pic:cNvPicPr>
                      <a:picLocks noChangeAspect="1"/>
                    </pic:cNvPicPr>
                  </pic:nvPicPr>
                  <pic:blipFill>
                    <a:blip r:embed="rId453"/>
                    <a:stretch>
                      <a:fillRect/>
                    </a:stretch>
                  </pic:blipFill>
                  <pic:spPr>
                    <a:xfrm>
                      <a:off x="0" y="0"/>
                      <a:ext cx="4823460" cy="2590165"/>
                    </a:xfrm>
                    <a:prstGeom prst="rect">
                      <a:avLst/>
                    </a:prstGeom>
                    <a:noFill/>
                    <a:ln>
                      <a:noFill/>
                    </a:ln>
                  </pic:spPr>
                </pic:pic>
              </a:graphicData>
            </a:graphic>
          </wp:anchor>
        </w:drawing>
      </w:r>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3</w:t>
      </w:r>
      <w:r>
        <w:rPr>
          <w:rFonts w:hint="eastAsia" w:asciiTheme="minorHAnsi" w:hAnsiTheme="minorHAnsi" w:eastAsiaTheme="minorEastAsia" w:cstheme="minorBidi"/>
          <w:kern w:val="2"/>
          <w:sz w:val="21"/>
          <w:szCs w:val="24"/>
          <w:lang w:val="en-US" w:eastAsia="zh-CN" w:bidi="ar-SA"/>
        </w:rPr>
        <w:t xml:space="preserve">   TOP10车型销售总排名图</w:t>
      </w:r>
    </w:p>
    <w:p w14:paraId="2C082E7A">
      <w:pPr>
        <w:spacing w:line="440" w:lineRule="exact"/>
        <w:ind w:firstLine="480" w:firstLineChars="200"/>
        <w:outlineLvl w:val="9"/>
        <w:rPr>
          <w:rFonts w:hint="default" w:ascii="宋体" w:hAnsi="宋体" w:eastAsia="宋体" w:cs="宋体"/>
          <w:sz w:val="24"/>
          <w:lang w:val="en-US" w:eastAsia="zh-CN"/>
        </w:rPr>
      </w:pPr>
      <w:bookmarkStart w:id="1349" w:name="_Toc26752"/>
      <w:bookmarkStart w:id="1350" w:name="_Toc32370"/>
      <w:r>
        <w:rPr>
          <w:rFonts w:hint="eastAsia" w:ascii="宋体" w:hAnsi="宋体" w:eastAsia="宋体" w:cs="宋体"/>
          <w:sz w:val="24"/>
          <w:lang w:val="en-US" w:eastAsia="zh-CN"/>
        </w:rPr>
        <w:t>7.4</w:t>
      </w:r>
      <w:r>
        <w:rPr>
          <w:rFonts w:hint="default" w:ascii="宋体" w:hAnsi="宋体" w:eastAsia="宋体" w:cs="宋体"/>
          <w:sz w:val="24"/>
          <w:lang w:val="en-US" w:eastAsia="zh-CN"/>
        </w:rPr>
        <w:t>各车型级别月度上牌量趋势图</w:t>
      </w:r>
      <w:bookmarkEnd w:id="1349"/>
      <w:bookmarkEnd w:id="1350"/>
    </w:p>
    <w:p w14:paraId="535D3BB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数据处理与筛选：从清洗后的数据中筛选出上牌量排名前5的车型级别，并按月份和级别分组汇总各月的上牌量数据。同时，为月份数据定义排序规则，确保时间序列的正确性。</w:t>
      </w:r>
    </w:p>
    <w:p w14:paraId="7BC3C56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趋势图绘制：创建折线图，用不同颜色和标记点区分5个车型级别，展示它们在2024年1月至12月的上牌量变化趋势。</w:t>
      </w:r>
    </w:p>
    <w:p w14:paraId="367DD9D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图表优化：设置清晰的标题和坐标轴标签，添加图例区分不同车型级别，并配置网格线增强可读性。</w:t>
      </w:r>
    </w:p>
    <w:p w14:paraId="675429F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最终，该图表直观展示了各主要车型级别在一年内的销售波动情况，便于分析不同级别车型的市场需求变化规律。</w:t>
      </w:r>
    </w:p>
    <w:p w14:paraId="6B6DFABE">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eastAsia" w:asciiTheme="minorHAnsi" w:hAnsiTheme="minorHAnsi" w:eastAsiaTheme="minorEastAsia" w:cstheme="minorBidi"/>
          <w:kern w:val="2"/>
          <w:sz w:val="21"/>
          <w:szCs w:val="24"/>
          <w:lang w:val="en-US" w:eastAsia="zh-CN" w:bidi="ar-SA"/>
        </w:rPr>
      </w:pPr>
    </w:p>
    <w:p w14:paraId="296225BE">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eastAsia" w:asciiTheme="minorHAnsi" w:hAnsiTheme="minorHAnsi" w:eastAsiaTheme="minorEastAsia" w:cstheme="minorBidi"/>
          <w:kern w:val="2"/>
          <w:sz w:val="21"/>
          <w:szCs w:val="24"/>
          <w:lang w:val="en-US" w:eastAsia="zh-CN" w:bidi="ar-SA"/>
        </w:rPr>
      </w:pPr>
    </w:p>
    <w:p w14:paraId="64B9BC64">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eastAsia" w:asciiTheme="minorHAnsi" w:hAnsiTheme="minorHAnsi" w:eastAsiaTheme="minorEastAsia" w:cstheme="minorBidi"/>
          <w:kern w:val="2"/>
          <w:sz w:val="21"/>
          <w:szCs w:val="24"/>
          <w:lang w:val="en-US" w:eastAsia="zh-CN" w:bidi="ar-SA"/>
        </w:rPr>
      </w:pPr>
    </w:p>
    <w:p w14:paraId="3EFA4236">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eastAsia" w:asciiTheme="minorHAnsi" w:hAnsiTheme="minorHAnsi" w:eastAsiaTheme="minorEastAsia" w:cstheme="minorBidi"/>
          <w:kern w:val="2"/>
          <w:sz w:val="21"/>
          <w:szCs w:val="24"/>
          <w:lang w:val="en-US" w:eastAsia="zh-CN" w:bidi="ar-SA"/>
        </w:rPr>
      </w:pPr>
    </w:p>
    <w:p w14:paraId="5AD7CE4C">
      <w:pPr>
        <w:keepNext w:val="0"/>
        <w:keepLines w:val="0"/>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eastAsia" w:asciiTheme="minorHAnsi" w:hAnsiTheme="minorHAnsi" w:eastAsiaTheme="minorEastAsia" w:cstheme="minorBidi"/>
          <w:kern w:val="2"/>
          <w:sz w:val="21"/>
          <w:szCs w:val="24"/>
          <w:lang w:val="en-US" w:eastAsia="zh-CN" w:bidi="ar-SA"/>
        </w:rPr>
      </w:pPr>
    </w:p>
    <w:p w14:paraId="791C41FF">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center"/>
        <w:textAlignment w:val="auto"/>
        <w:rPr>
          <w:rFonts w:hint="default" w:asciiTheme="minorHAnsi" w:hAnsiTheme="minorHAnsi" w:eastAsiaTheme="minorEastAsia" w:cstheme="minorBidi"/>
          <w:kern w:val="2"/>
          <w:sz w:val="21"/>
          <w:szCs w:val="24"/>
          <w:lang w:val="en-US" w:eastAsia="zh-CN" w:bidi="ar-SA"/>
        </w:rPr>
      </w:pPr>
      <w:r>
        <w:rPr>
          <w:rFonts w:hint="eastAsia" w:ascii="宋体" w:hAnsi="宋体" w:eastAsia="宋体" w:cs="宋体"/>
          <w:b w:val="0"/>
          <w:bCs w:val="0"/>
          <w:sz w:val="24"/>
          <w:szCs w:val="24"/>
          <w:lang w:val="en-US" w:eastAsia="zh-CN"/>
        </w:rPr>
        <w:drawing>
          <wp:anchor distT="0" distB="0" distL="114300" distR="114300" simplePos="0" relativeHeight="251931648" behindDoc="0" locked="0" layoutInCell="1" allowOverlap="1">
            <wp:simplePos x="0" y="0"/>
            <wp:positionH relativeFrom="column">
              <wp:posOffset>350520</wp:posOffset>
            </wp:positionH>
            <wp:positionV relativeFrom="paragraph">
              <wp:posOffset>165735</wp:posOffset>
            </wp:positionV>
            <wp:extent cx="4451350" cy="2533015"/>
            <wp:effectExtent l="0" t="0" r="6350" b="6985"/>
            <wp:wrapTopAndBottom/>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454"/>
                    <a:stretch>
                      <a:fillRect/>
                    </a:stretch>
                  </pic:blipFill>
                  <pic:spPr>
                    <a:xfrm>
                      <a:off x="0" y="0"/>
                      <a:ext cx="4451350" cy="2533015"/>
                    </a:xfrm>
                    <a:prstGeom prst="rect">
                      <a:avLst/>
                    </a:prstGeom>
                    <a:noFill/>
                    <a:ln>
                      <a:noFill/>
                    </a:ln>
                  </pic:spPr>
                </pic:pic>
              </a:graphicData>
            </a:graphic>
          </wp:anchor>
        </w:drawing>
      </w:r>
      <w:bookmarkStart w:id="1351" w:name="_Toc30683"/>
      <w:bookmarkStart w:id="1352" w:name="_Toc27082"/>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4</w:t>
      </w:r>
      <w:r>
        <w:rPr>
          <w:rFonts w:hint="eastAsia" w:asciiTheme="minorHAnsi" w:hAnsiTheme="minorHAnsi" w:eastAsiaTheme="minorEastAsia" w:cstheme="minorBidi"/>
          <w:kern w:val="2"/>
          <w:sz w:val="21"/>
          <w:szCs w:val="24"/>
          <w:lang w:val="en-US" w:eastAsia="zh-CN" w:bidi="ar-SA"/>
        </w:rPr>
        <w:t xml:space="preserve">   TOP10车型级别阅读上牌量趋势图</w:t>
      </w:r>
      <w:bookmarkEnd w:id="1351"/>
    </w:p>
    <w:p w14:paraId="2B60F0A6">
      <w:pPr>
        <w:spacing w:line="440" w:lineRule="exact"/>
        <w:ind w:firstLine="480" w:firstLineChars="200"/>
        <w:outlineLvl w:val="9"/>
        <w:rPr>
          <w:rFonts w:hint="default" w:ascii="宋体" w:hAnsi="宋体" w:eastAsia="宋体" w:cs="宋体"/>
          <w:sz w:val="24"/>
          <w:lang w:val="en-US" w:eastAsia="zh-CN"/>
        </w:rPr>
      </w:pPr>
      <w:bookmarkStart w:id="1353" w:name="_Toc15455"/>
      <w:r>
        <w:rPr>
          <w:rFonts w:hint="eastAsia" w:ascii="宋体" w:hAnsi="宋体" w:eastAsia="宋体" w:cs="宋体"/>
          <w:sz w:val="24"/>
          <w:lang w:val="en-US" w:eastAsia="zh-CN"/>
        </w:rPr>
        <w:t xml:space="preserve">7.5 </w:t>
      </w:r>
      <w:r>
        <w:rPr>
          <w:rFonts w:hint="default" w:ascii="宋体" w:hAnsi="宋体" w:eastAsia="宋体" w:cs="宋体"/>
          <w:sz w:val="24"/>
          <w:lang w:val="en-US" w:eastAsia="zh-CN"/>
        </w:rPr>
        <w:t>TOP8城市月度上牌量热力图</w:t>
      </w:r>
      <w:bookmarkEnd w:id="1352"/>
      <w:bookmarkEnd w:id="1353"/>
    </w:p>
    <w:p w14:paraId="148FA93F">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数据筛选与重组：从清洗后的数据中筛选出上牌量最高的8个城市，并按城市和月份分组汇总，形成城市×月份的数据矩阵，确保月份按正确时间顺序排列。</w:t>
      </w:r>
    </w:p>
    <w:p w14:paraId="73F722D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热力图绘制：使用黄-橙-红渐变色系（YlOrRd）绘制热力图，通过颜色深浅直观展示不同城市在各月份的上牌量高低。</w:t>
      </w:r>
    </w:p>
    <w:p w14:paraId="3D27E6D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数值标注与优化：在每个单元格中标注具体的上牌量数值，根据数值高低自动调整文字颜色（高值为白色，低值为黑色）以确保可读性。添加颜色条说明数值与颜色的对应关系，并设置清晰的坐标轴标签和标题。</w:t>
      </w:r>
    </w:p>
    <w:p w14:paraId="619E817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最终，该热力图以矩阵形式同时展示了时间和空间维度的数据分布，便于快速识别各城市在不同月份的上牌量变化规律和区域销售热点。</w:t>
      </w:r>
    </w:p>
    <w:p w14:paraId="3876C67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Theme="minorHAnsi" w:hAnsiTheme="minorHAnsi" w:eastAsiaTheme="minorEastAsia" w:cstheme="minorBidi"/>
          <w:kern w:val="2"/>
          <w:sz w:val="21"/>
          <w:szCs w:val="24"/>
          <w:lang w:val="en-US" w:eastAsia="zh-CN" w:bidi="ar-SA"/>
        </w:rPr>
      </w:pPr>
      <w:r>
        <w:rPr>
          <w:rFonts w:hint="eastAsia" w:ascii="宋体" w:hAnsi="宋体" w:eastAsia="宋体" w:cs="宋体"/>
          <w:b w:val="0"/>
          <w:bCs w:val="0"/>
          <w:sz w:val="24"/>
          <w:szCs w:val="24"/>
          <w:lang w:val="en-US" w:eastAsia="zh-CN"/>
        </w:rPr>
        <w:drawing>
          <wp:anchor distT="0" distB="0" distL="114300" distR="114300" simplePos="0" relativeHeight="251936768" behindDoc="0" locked="0" layoutInCell="1" allowOverlap="1">
            <wp:simplePos x="0" y="0"/>
            <wp:positionH relativeFrom="column">
              <wp:posOffset>281305</wp:posOffset>
            </wp:positionH>
            <wp:positionV relativeFrom="paragraph">
              <wp:posOffset>27305</wp:posOffset>
            </wp:positionV>
            <wp:extent cx="4834890" cy="2708275"/>
            <wp:effectExtent l="0" t="0" r="3810" b="9525"/>
            <wp:wrapTopAndBottom/>
            <wp:docPr id="1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
                    <pic:cNvPicPr>
                      <a:picLocks noChangeAspect="1"/>
                    </pic:cNvPicPr>
                  </pic:nvPicPr>
                  <pic:blipFill>
                    <a:blip r:embed="rId455"/>
                    <a:stretch>
                      <a:fillRect/>
                    </a:stretch>
                  </pic:blipFill>
                  <pic:spPr>
                    <a:xfrm>
                      <a:off x="0" y="0"/>
                      <a:ext cx="4834890" cy="2708275"/>
                    </a:xfrm>
                    <a:prstGeom prst="rect">
                      <a:avLst/>
                    </a:prstGeom>
                    <a:noFill/>
                    <a:ln>
                      <a:noFill/>
                    </a:ln>
                  </pic:spPr>
                </pic:pic>
              </a:graphicData>
            </a:graphic>
          </wp:anchor>
        </w:drawing>
      </w:r>
      <w:bookmarkStart w:id="1354" w:name="_Toc17818"/>
      <w:bookmarkStart w:id="1355" w:name="_Toc24790"/>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5</w:t>
      </w:r>
      <w:r>
        <w:rPr>
          <w:rFonts w:hint="eastAsia" w:asciiTheme="minorHAnsi" w:hAnsiTheme="minorHAnsi" w:eastAsiaTheme="minorEastAsia" w:cstheme="minorBidi"/>
          <w:kern w:val="2"/>
          <w:sz w:val="21"/>
          <w:szCs w:val="24"/>
          <w:lang w:val="en-US" w:eastAsia="zh-CN" w:bidi="ar-SA"/>
        </w:rPr>
        <w:t xml:space="preserve">   TOP</w:t>
      </w:r>
      <w:r>
        <w:rPr>
          <w:rFonts w:hint="eastAsia" w:cstheme="minorBidi"/>
          <w:kern w:val="2"/>
          <w:sz w:val="21"/>
          <w:szCs w:val="24"/>
          <w:lang w:val="en-US" w:eastAsia="zh-CN" w:bidi="ar-SA"/>
        </w:rPr>
        <w:t>8城市月度</w:t>
      </w:r>
      <w:r>
        <w:rPr>
          <w:rFonts w:hint="eastAsia" w:asciiTheme="minorHAnsi" w:hAnsiTheme="minorHAnsi" w:eastAsiaTheme="minorEastAsia" w:cstheme="minorBidi"/>
          <w:kern w:val="2"/>
          <w:sz w:val="21"/>
          <w:szCs w:val="24"/>
          <w:lang w:val="en-US" w:eastAsia="zh-CN" w:bidi="ar-SA"/>
        </w:rPr>
        <w:t>上牌</w:t>
      </w:r>
      <w:r>
        <w:rPr>
          <w:rFonts w:hint="eastAsia" w:cstheme="minorBidi"/>
          <w:kern w:val="2"/>
          <w:sz w:val="21"/>
          <w:szCs w:val="24"/>
          <w:lang w:val="en-US" w:eastAsia="zh-CN" w:bidi="ar-SA"/>
        </w:rPr>
        <w:t>热力图</w:t>
      </w:r>
      <w:bookmarkEnd w:id="1354"/>
    </w:p>
    <w:p w14:paraId="0C588C5F">
      <w:pPr>
        <w:spacing w:line="440" w:lineRule="exact"/>
        <w:ind w:firstLine="480" w:firstLineChars="200"/>
        <w:outlineLvl w:val="9"/>
        <w:rPr>
          <w:rFonts w:hint="default" w:ascii="宋体" w:hAnsi="宋体" w:eastAsia="宋体" w:cs="宋体"/>
          <w:sz w:val="24"/>
          <w:lang w:val="en-US" w:eastAsia="zh-CN"/>
        </w:rPr>
      </w:pPr>
      <w:bookmarkStart w:id="1356" w:name="_Toc29129"/>
      <w:r>
        <w:rPr>
          <w:rFonts w:hint="eastAsia" w:ascii="宋体" w:hAnsi="宋体" w:eastAsia="宋体" w:cs="宋体"/>
          <w:sz w:val="24"/>
          <w:lang w:val="en-US" w:eastAsia="zh-CN"/>
        </w:rPr>
        <w:t>7.6</w:t>
      </w:r>
      <w:r>
        <w:rPr>
          <w:rFonts w:hint="default" w:ascii="宋体" w:hAnsi="宋体" w:eastAsia="宋体" w:cs="宋体"/>
          <w:sz w:val="24"/>
          <w:lang w:val="en-US" w:eastAsia="zh-CN"/>
        </w:rPr>
        <w:t>优惠幅度与上牌量散点图</w:t>
      </w:r>
      <w:bookmarkEnd w:id="1355"/>
      <w:bookmarkEnd w:id="1356"/>
    </w:p>
    <w:p w14:paraId="3C42970B">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数据分类展示：针对销量最高的5个车型级别，分别绘制其优惠幅度与上牌量之间的分布关系，使用不同形状和颜色的标记点进行区分。</w:t>
      </w:r>
    </w:p>
    <w:p w14:paraId="583A591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关系可视化：通过散点图展示各车型级别中，不同优惠幅度对应的上牌量分布情况，直观呈现价格优惠对销售量的影响。</w:t>
      </w:r>
    </w:p>
    <w:p w14:paraId="44B1BF4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图表优化：设置清晰的标题和坐标轴标签，添加图例区分不同车型级别，并配置半透明网格线增强可读性。</w:t>
      </w:r>
    </w:p>
    <w:p w14:paraId="0258658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最终，该图表以可视化方式揭示了不同车型级别中价格优惠与销量之间的关联模式，便于分析各细分市场的价格敏感度。</w:t>
      </w:r>
    </w:p>
    <w:p w14:paraId="2B8A0D87">
      <w:pPr>
        <w:spacing w:line="440" w:lineRule="exact"/>
        <w:ind w:firstLine="420" w:firstLineChars="200"/>
        <w:jc w:val="center"/>
        <w:outlineLvl w:val="9"/>
        <w:rPr>
          <w:rFonts w:hint="default" w:asciiTheme="minorHAnsi" w:hAnsiTheme="minorHAnsi" w:eastAsiaTheme="minorEastAsia" w:cstheme="minorBidi"/>
          <w:kern w:val="2"/>
          <w:sz w:val="21"/>
          <w:szCs w:val="24"/>
          <w:lang w:val="en-US" w:eastAsia="zh-CN" w:bidi="ar-SA"/>
        </w:rPr>
      </w:pPr>
      <w:bookmarkStart w:id="1357" w:name="_Toc28938"/>
      <w:r>
        <w:drawing>
          <wp:anchor distT="0" distB="0" distL="114300" distR="114300" simplePos="0" relativeHeight="251892736" behindDoc="0" locked="0" layoutInCell="1" allowOverlap="1">
            <wp:simplePos x="0" y="0"/>
            <wp:positionH relativeFrom="column">
              <wp:posOffset>-53340</wp:posOffset>
            </wp:positionH>
            <wp:positionV relativeFrom="paragraph">
              <wp:posOffset>154305</wp:posOffset>
            </wp:positionV>
            <wp:extent cx="5499100" cy="3361055"/>
            <wp:effectExtent l="0" t="0" r="0" b="4445"/>
            <wp:wrapTopAndBottom/>
            <wp:docPr id="6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6"/>
                    <pic:cNvPicPr>
                      <a:picLocks noChangeAspect="1"/>
                    </pic:cNvPicPr>
                  </pic:nvPicPr>
                  <pic:blipFill>
                    <a:blip r:embed="rId456"/>
                    <a:stretch>
                      <a:fillRect/>
                    </a:stretch>
                  </pic:blipFill>
                  <pic:spPr>
                    <a:xfrm>
                      <a:off x="0" y="0"/>
                      <a:ext cx="5499100" cy="3361055"/>
                    </a:xfrm>
                    <a:prstGeom prst="rect">
                      <a:avLst/>
                    </a:prstGeom>
                    <a:noFill/>
                    <a:ln>
                      <a:noFill/>
                    </a:ln>
                  </pic:spPr>
                </pic:pic>
              </a:graphicData>
            </a:graphic>
          </wp:anchor>
        </w:drawing>
      </w:r>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6</w:t>
      </w:r>
      <w:r>
        <w:rPr>
          <w:rFonts w:hint="eastAsia" w:asciiTheme="minorHAnsi" w:hAnsiTheme="minorHAnsi" w:eastAsiaTheme="minorEastAsia" w:cstheme="minorBidi"/>
          <w:kern w:val="2"/>
          <w:sz w:val="21"/>
          <w:szCs w:val="24"/>
          <w:lang w:val="en-US" w:eastAsia="zh-CN" w:bidi="ar-SA"/>
        </w:rPr>
        <w:t xml:space="preserve">   </w:t>
      </w:r>
      <w:r>
        <w:rPr>
          <w:rFonts w:hint="eastAsia" w:cstheme="minorBidi"/>
          <w:kern w:val="2"/>
          <w:sz w:val="21"/>
          <w:szCs w:val="24"/>
          <w:lang w:val="en-US" w:eastAsia="zh-CN" w:bidi="ar-SA"/>
        </w:rPr>
        <w:t>优惠幅度与上牌量关系图</w:t>
      </w:r>
      <w:bookmarkEnd w:id="1357"/>
    </w:p>
    <w:p w14:paraId="5BC562BF">
      <w:pPr>
        <w:keepNext w:val="0"/>
        <w:keepLines w:val="0"/>
        <w:pageBreakBefore w:val="0"/>
        <w:numPr>
          <w:ilvl w:val="0"/>
          <w:numId w:val="0"/>
        </w:numPr>
        <w:kinsoku/>
        <w:wordWrap/>
        <w:overflowPunct/>
        <w:topLinePunct w:val="0"/>
        <w:autoSpaceDE/>
        <w:autoSpaceDN/>
        <w:bidi w:val="0"/>
        <w:adjustRightInd/>
        <w:snapToGrid/>
        <w:spacing w:line="440" w:lineRule="exact"/>
        <w:rPr>
          <w:rFonts w:hint="eastAsia"/>
          <w:b/>
          <w:bCs/>
          <w:sz w:val="28"/>
          <w:szCs w:val="28"/>
          <w:lang w:val="en-US" w:eastAsia="zh-CN"/>
        </w:rPr>
      </w:pPr>
    </w:p>
    <w:p w14:paraId="294672C1">
      <w:pPr>
        <w:spacing w:line="440" w:lineRule="exact"/>
        <w:ind w:firstLine="480" w:firstLineChars="200"/>
        <w:outlineLvl w:val="9"/>
        <w:rPr>
          <w:rFonts w:hint="default" w:ascii="宋体" w:hAnsi="宋体" w:eastAsia="宋体" w:cs="宋体"/>
          <w:sz w:val="24"/>
          <w:lang w:val="en-US" w:eastAsia="zh-CN"/>
        </w:rPr>
      </w:pPr>
      <w:bookmarkStart w:id="1358" w:name="_Toc4329"/>
      <w:bookmarkStart w:id="1359" w:name="_Toc5512"/>
      <w:r>
        <w:rPr>
          <w:rFonts w:hint="eastAsia" w:ascii="宋体" w:hAnsi="宋体" w:eastAsia="宋体" w:cs="宋体"/>
          <w:sz w:val="24"/>
          <w:lang w:val="en-US" w:eastAsia="zh-CN"/>
        </w:rPr>
        <w:t>7.7</w:t>
      </w:r>
      <w:r>
        <w:rPr>
          <w:rFonts w:hint="default" w:ascii="宋体" w:hAnsi="宋体" w:eastAsia="宋体" w:cs="宋体"/>
          <w:sz w:val="24"/>
          <w:lang w:val="en-US" w:eastAsia="zh-CN"/>
        </w:rPr>
        <w:t>主要城市价格区间占比堆叠柱状图</w:t>
      </w:r>
      <w:bookmarkEnd w:id="1358"/>
      <w:bookmarkEnd w:id="1359"/>
    </w:p>
    <w:p w14:paraId="5EE47928">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数据预处理：将“实际成交价”划分为五个明确的价格区间（如“10万以下”、“10-20万”等），并对数据进行归类。</w:t>
      </w:r>
    </w:p>
    <w:p w14:paraId="3632B73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核心分析：筛选出上牌量最高的5个城市，并统计这些城市中，各价格区间内的车辆上牌量。</w:t>
      </w:r>
    </w:p>
    <w:p w14:paraId="28CAD7E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可视化呈现：通过堆叠柱状图进行展示，每个城市对应一个柱体，柱体由不同颜色区块堆叠而成，区块高度代表对应价格区间的销量。这种方式能同时清晰展示各城市的销售总量以及其内部的价格结构分布。</w:t>
      </w:r>
    </w:p>
    <w:p w14:paraId="2240218F">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最终，该图表直观地对比了主要汽车消费市场（城市）的消费者价格偏好与销售构成，便于分析不同城市的主流购车预算区间与市场分层。</w:t>
      </w:r>
    </w:p>
    <w:p w14:paraId="426F4158">
      <w:pPr>
        <w:keepNext w:val="0"/>
        <w:keepLines w:val="0"/>
        <w:pageBreakBefore w:val="0"/>
        <w:widowControl/>
        <w:suppressLineNumbers w:val="0"/>
        <w:kinsoku/>
        <w:wordWrap/>
        <w:overflowPunct/>
        <w:topLinePunct w:val="0"/>
        <w:autoSpaceDE/>
        <w:autoSpaceDN/>
        <w:bidi w:val="0"/>
        <w:adjustRightInd/>
        <w:snapToGrid/>
        <w:spacing w:line="440" w:lineRule="exact"/>
        <w:ind w:left="0" w:leftChars="0" w:firstLine="0" w:firstLineChars="0"/>
        <w:jc w:val="center"/>
        <w:rPr>
          <w:rFonts w:hint="default"/>
          <w:b/>
          <w:bCs/>
          <w:sz w:val="28"/>
          <w:szCs w:val="28"/>
          <w:lang w:val="en-US" w:eastAsia="zh-CN"/>
        </w:rPr>
      </w:pPr>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7</w:t>
      </w:r>
      <w:r>
        <w:rPr>
          <w:rFonts w:hint="eastAsia" w:asciiTheme="minorHAnsi" w:hAnsiTheme="minorHAnsi" w:eastAsiaTheme="minorEastAsia" w:cstheme="minorBidi"/>
          <w:kern w:val="2"/>
          <w:sz w:val="21"/>
          <w:szCs w:val="24"/>
          <w:lang w:val="en-US" w:eastAsia="zh-CN" w:bidi="ar-SA"/>
        </w:rPr>
        <w:t xml:space="preserve">   </w:t>
      </w:r>
      <w:r>
        <w:drawing>
          <wp:anchor distT="0" distB="0" distL="114300" distR="114300" simplePos="0" relativeHeight="251893760" behindDoc="0" locked="0" layoutInCell="1" allowOverlap="1">
            <wp:simplePos x="0" y="0"/>
            <wp:positionH relativeFrom="column">
              <wp:posOffset>-44450</wp:posOffset>
            </wp:positionH>
            <wp:positionV relativeFrom="paragraph">
              <wp:posOffset>121920</wp:posOffset>
            </wp:positionV>
            <wp:extent cx="5273040" cy="2604135"/>
            <wp:effectExtent l="0" t="0" r="3810" b="5715"/>
            <wp:wrapTopAndBottom/>
            <wp:docPr id="69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7"/>
                    <pic:cNvPicPr>
                      <a:picLocks noChangeAspect="1"/>
                    </pic:cNvPicPr>
                  </pic:nvPicPr>
                  <pic:blipFill>
                    <a:blip r:embed="rId457"/>
                    <a:stretch>
                      <a:fillRect/>
                    </a:stretch>
                  </pic:blipFill>
                  <pic:spPr>
                    <a:xfrm>
                      <a:off x="0" y="0"/>
                      <a:ext cx="5273040" cy="2604135"/>
                    </a:xfrm>
                    <a:prstGeom prst="rect">
                      <a:avLst/>
                    </a:prstGeom>
                    <a:noFill/>
                    <a:ln>
                      <a:noFill/>
                    </a:ln>
                  </pic:spPr>
                </pic:pic>
              </a:graphicData>
            </a:graphic>
          </wp:anchor>
        </w:drawing>
      </w:r>
      <w:r>
        <w:rPr>
          <w:rFonts w:hint="eastAsia" w:cstheme="minorBidi"/>
          <w:kern w:val="2"/>
          <w:sz w:val="21"/>
          <w:szCs w:val="24"/>
          <w:lang w:val="en-US" w:eastAsia="zh-CN" w:bidi="ar-SA"/>
        </w:rPr>
        <w:t>TOP5城市个价格区间上牌量占比图</w:t>
      </w:r>
    </w:p>
    <w:p w14:paraId="2E949C4D">
      <w:pPr>
        <w:spacing w:line="440" w:lineRule="exact"/>
        <w:ind w:firstLine="480" w:firstLineChars="200"/>
        <w:outlineLvl w:val="9"/>
        <w:rPr>
          <w:rFonts w:hint="default" w:ascii="宋体" w:hAnsi="宋体" w:eastAsia="宋体" w:cs="宋体"/>
          <w:sz w:val="24"/>
          <w:lang w:val="en-US" w:eastAsia="zh-CN"/>
        </w:rPr>
      </w:pPr>
      <w:bookmarkStart w:id="1360" w:name="_Toc28477"/>
      <w:bookmarkStart w:id="1361" w:name="_Toc30781"/>
      <w:r>
        <w:rPr>
          <w:rFonts w:hint="eastAsia" w:ascii="宋体" w:hAnsi="宋体" w:eastAsia="宋体" w:cs="宋体"/>
          <w:sz w:val="24"/>
          <w:lang w:val="en-US" w:eastAsia="zh-CN"/>
        </w:rPr>
        <w:t>7.8</w:t>
      </w:r>
      <w:r>
        <w:rPr>
          <w:rFonts w:hint="default" w:ascii="宋体" w:hAnsi="宋体" w:eastAsia="宋体" w:cs="宋体"/>
          <w:sz w:val="24"/>
          <w:lang w:val="en-US" w:eastAsia="zh-CN"/>
        </w:rPr>
        <w:t>车型指导价与销量关系散点图</w:t>
      </w:r>
      <w:bookmarkEnd w:id="1360"/>
      <w:bookmarkEnd w:id="1361"/>
    </w:p>
    <w:p w14:paraId="62FE93C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数据处理：将“指导价”字段（格式如“10-15”）转换为单一数值，计算其平均值作为该车型的典型指导价。随后按车型汇总，计算各车型的平均指导价和总销量。</w:t>
      </w:r>
    </w:p>
    <w:p w14:paraId="519B173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关系可视化：以散点图形式展示车型价格与销量之间的关系。X轴为平均指导价（万元），Y轴为总销量，点的颜色深浅（使用viridis色图）和位置共同反映价格与销量的分布。</w:t>
      </w:r>
    </w:p>
    <w:p w14:paraId="2775530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图表优化：添加颜色条以说明颜色与价格的对应关系，配置网格线以提高可读性，并设置清晰的标题与坐标轴标签。</w:t>
      </w:r>
    </w:p>
    <w:p w14:paraId="78F1831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最终，该图表直观揭示了不同价位车型的市场表现，可用于分析价格对销量的影响以及市场中的价格-销量分布模式。</w:t>
      </w:r>
    </w:p>
    <w:p w14:paraId="0A29082F">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01BDF10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42A258F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24F37A9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123827A3">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1D390C5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2861F71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p>
    <w:p w14:paraId="75D09EA2">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r>
        <w:drawing>
          <wp:anchor distT="0" distB="0" distL="114300" distR="114300" simplePos="0" relativeHeight="251894784" behindDoc="0" locked="0" layoutInCell="1" allowOverlap="1">
            <wp:simplePos x="0" y="0"/>
            <wp:positionH relativeFrom="column">
              <wp:posOffset>392430</wp:posOffset>
            </wp:positionH>
            <wp:positionV relativeFrom="paragraph">
              <wp:posOffset>50800</wp:posOffset>
            </wp:positionV>
            <wp:extent cx="4932680" cy="3126740"/>
            <wp:effectExtent l="0" t="0" r="1270" b="16510"/>
            <wp:wrapNone/>
            <wp:docPr id="69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8"/>
                    <pic:cNvPicPr>
                      <a:picLocks noChangeAspect="1"/>
                    </pic:cNvPicPr>
                  </pic:nvPicPr>
                  <pic:blipFill>
                    <a:blip r:embed="rId458"/>
                    <a:stretch>
                      <a:fillRect/>
                    </a:stretch>
                  </pic:blipFill>
                  <pic:spPr>
                    <a:xfrm>
                      <a:off x="0" y="0"/>
                      <a:ext cx="4932680" cy="3126740"/>
                    </a:xfrm>
                    <a:prstGeom prst="rect">
                      <a:avLst/>
                    </a:prstGeom>
                    <a:noFill/>
                    <a:ln>
                      <a:noFill/>
                    </a:ln>
                  </pic:spPr>
                </pic:pic>
              </a:graphicData>
            </a:graphic>
          </wp:anchor>
        </w:drawing>
      </w:r>
    </w:p>
    <w:p w14:paraId="34BA1489">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7DCC1E6B">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01066FAE">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4A044232">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2F3F79B6">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224128B9">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049FCB3A">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437F7882">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189CCE85">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220C950B">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eastAsia" w:asciiTheme="minorHAnsi" w:hAnsiTheme="minorHAnsi" w:eastAsiaTheme="minorEastAsia" w:cstheme="minorBidi"/>
          <w:kern w:val="2"/>
          <w:sz w:val="21"/>
          <w:szCs w:val="24"/>
          <w:lang w:val="en-US" w:eastAsia="zh-CN" w:bidi="ar-SA"/>
        </w:rPr>
      </w:pPr>
    </w:p>
    <w:p w14:paraId="555196E6">
      <w:pPr>
        <w:keepNext w:val="0"/>
        <w:keepLines w:val="0"/>
        <w:pageBreakBefore w:val="0"/>
        <w:numPr>
          <w:ilvl w:val="0"/>
          <w:numId w:val="0"/>
        </w:numPr>
        <w:kinsoku/>
        <w:wordWrap/>
        <w:overflowPunct/>
        <w:topLinePunct w:val="0"/>
        <w:autoSpaceDE/>
        <w:autoSpaceDN/>
        <w:bidi w:val="0"/>
        <w:adjustRightInd/>
        <w:snapToGrid/>
        <w:spacing w:line="440" w:lineRule="exact"/>
        <w:jc w:val="center"/>
        <w:rPr>
          <w:rFonts w:hint="default"/>
          <w:b/>
          <w:bCs/>
          <w:sz w:val="28"/>
          <w:szCs w:val="28"/>
          <w:lang w:val="en-US" w:eastAsia="zh-CN"/>
        </w:rPr>
      </w:pPr>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8</w:t>
      </w:r>
      <w:r>
        <w:rPr>
          <w:rFonts w:hint="eastAsia" w:asciiTheme="minorHAnsi" w:hAnsiTheme="minorHAnsi" w:eastAsiaTheme="minorEastAsia" w:cstheme="minorBidi"/>
          <w:kern w:val="2"/>
          <w:sz w:val="21"/>
          <w:szCs w:val="24"/>
          <w:lang w:val="en-US" w:eastAsia="zh-CN" w:bidi="ar-SA"/>
        </w:rPr>
        <w:t xml:space="preserve">   </w:t>
      </w:r>
      <w:r>
        <w:rPr>
          <w:rFonts w:hint="eastAsia" w:cstheme="minorBidi"/>
          <w:kern w:val="2"/>
          <w:sz w:val="21"/>
          <w:szCs w:val="24"/>
          <w:lang w:val="en-US" w:eastAsia="zh-CN" w:bidi="ar-SA"/>
        </w:rPr>
        <w:t>车型指导价与总销量关系图</w:t>
      </w:r>
    </w:p>
    <w:p w14:paraId="17B720BF">
      <w:pPr>
        <w:spacing w:line="440" w:lineRule="exact"/>
        <w:ind w:firstLine="480" w:firstLineChars="200"/>
        <w:outlineLvl w:val="9"/>
        <w:rPr>
          <w:rFonts w:hint="eastAsia" w:ascii="宋体" w:hAnsi="宋体" w:eastAsia="宋体" w:cs="宋体"/>
          <w:sz w:val="24"/>
          <w:lang w:val="en-US" w:eastAsia="zh-CN"/>
        </w:rPr>
      </w:pPr>
      <w:bookmarkStart w:id="1362" w:name="_Toc15879"/>
      <w:bookmarkStart w:id="1363" w:name="_Toc31429"/>
    </w:p>
    <w:p w14:paraId="5C38C920">
      <w:pPr>
        <w:spacing w:line="440" w:lineRule="exact"/>
        <w:ind w:firstLine="480" w:firstLineChars="200"/>
        <w:outlineLvl w:val="9"/>
        <w:rPr>
          <w:rFonts w:hint="eastAsia" w:ascii="宋体" w:hAnsi="宋体" w:eastAsia="宋体" w:cs="宋体"/>
          <w:sz w:val="24"/>
          <w:lang w:val="en-US" w:eastAsia="zh-CN"/>
        </w:rPr>
      </w:pPr>
      <w:r>
        <w:rPr>
          <w:rFonts w:hint="eastAsia" w:ascii="宋体" w:hAnsi="宋体" w:eastAsia="宋体" w:cs="宋体"/>
          <w:sz w:val="24"/>
          <w:lang w:val="en-US" w:eastAsia="zh-CN"/>
        </w:rPr>
        <w:t>7.9复杂饼图：不同价格区间的车型销量分布</w:t>
      </w:r>
      <w:bookmarkEnd w:id="1362"/>
      <w:bookmarkEnd w:id="1363"/>
    </w:p>
    <w:p w14:paraId="05AAA93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① 数据预处理：计算各车型的平均指导价，并根据预设的价格区间（如0-10万、10-15万等）对车型进行分类。</w:t>
      </w:r>
    </w:p>
    <w:p w14:paraId="5E1CE37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②销量聚合：按价格区间汇总各区间内的总上牌量（即销量），为绘图准备数据。</w:t>
      </w:r>
    </w:p>
    <w:p w14:paraId="04A4249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③环形图绘制：</w:t>
      </w:r>
    </w:p>
    <w:p w14:paraId="4039B64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使用饼图展示各价格区间的销量占比，并通过explode参数突出显示关键区间（如0-10万和40万以上）。</w:t>
      </w:r>
    </w:p>
    <w:p w14:paraId="380E3E1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添加阴影和渐变色（Spectral色图）增强视觉效果。</w:t>
      </w:r>
    </w:p>
    <w:p w14:paraId="129B8D9A">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在饼图中心添加白色圆形，将其转换为环形图，并在中心位置显示总销量信息。</w:t>
      </w:r>
    </w:p>
    <w:p w14:paraId="388814C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④信息标注与图例：</w:t>
      </w:r>
    </w:p>
    <w:p w14:paraId="179F909D">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在每个扇区上标注百分比和具体销量。</w:t>
      </w:r>
    </w:p>
    <w:p w14:paraId="40F67801">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添加详细图例，说明每个价格区间的具体销量，并放置在图外右侧。</w:t>
      </w:r>
    </w:p>
    <w:p w14:paraId="714735B5">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rPr>
      </w:pPr>
      <w:r>
        <w:rPr>
          <w:rFonts w:hint="eastAsia" w:ascii="宋体" w:hAnsi="宋体" w:eastAsia="宋体" w:cs="宋体"/>
          <w:b w:val="0"/>
          <w:bCs w:val="0"/>
          <w:sz w:val="24"/>
          <w:szCs w:val="24"/>
          <w:lang w:val="en-US" w:eastAsia="zh-CN"/>
        </w:rPr>
        <w:t>最终，该图表清晰直观地展示了新能源汽车市场在不同价格区间的销量分布，突出了主流价格区间和高端市场的销售情况，便于快速把握市场结构</w:t>
      </w:r>
    </w:p>
    <w:p w14:paraId="7908B1B8">
      <w:pPr>
        <w:spacing w:line="440" w:lineRule="exact"/>
        <w:jc w:val="both"/>
        <w:outlineLvl w:val="9"/>
        <w:rPr>
          <w:rFonts w:hint="eastAsia" w:asciiTheme="minorHAnsi" w:hAnsiTheme="minorHAnsi" w:eastAsiaTheme="minorEastAsia" w:cstheme="minorBidi"/>
          <w:kern w:val="2"/>
          <w:sz w:val="21"/>
          <w:szCs w:val="24"/>
          <w:lang w:val="en-US" w:eastAsia="zh-CN" w:bidi="ar-SA"/>
        </w:rPr>
      </w:pPr>
      <w:bookmarkStart w:id="1364" w:name="_Toc13324"/>
    </w:p>
    <w:p w14:paraId="2EDA97B6">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3530B6A6">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73E95E52">
      <w:pPr>
        <w:spacing w:line="440" w:lineRule="exact"/>
        <w:jc w:val="center"/>
        <w:outlineLvl w:val="9"/>
        <w:rPr>
          <w:rFonts w:hint="eastAsia" w:asciiTheme="minorHAnsi" w:hAnsiTheme="minorHAnsi" w:eastAsiaTheme="minorEastAsia" w:cstheme="minorBidi"/>
          <w:kern w:val="2"/>
          <w:sz w:val="21"/>
          <w:szCs w:val="24"/>
          <w:lang w:val="en-US" w:eastAsia="zh-CN" w:bidi="ar-SA"/>
        </w:rPr>
      </w:pPr>
      <w:r>
        <w:drawing>
          <wp:anchor distT="0" distB="0" distL="114300" distR="114300" simplePos="0" relativeHeight="251895808" behindDoc="0" locked="0" layoutInCell="1" allowOverlap="1">
            <wp:simplePos x="0" y="0"/>
            <wp:positionH relativeFrom="column">
              <wp:posOffset>592455</wp:posOffset>
            </wp:positionH>
            <wp:positionV relativeFrom="paragraph">
              <wp:posOffset>179705</wp:posOffset>
            </wp:positionV>
            <wp:extent cx="4470400" cy="3535045"/>
            <wp:effectExtent l="0" t="0" r="6350" b="8255"/>
            <wp:wrapNone/>
            <wp:docPr id="698"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698"/>
                    <pic:cNvPicPr>
                      <a:picLocks noChangeAspect="1"/>
                    </pic:cNvPicPr>
                  </pic:nvPicPr>
                  <pic:blipFill>
                    <a:blip r:embed="rId459"/>
                    <a:stretch>
                      <a:fillRect/>
                    </a:stretch>
                  </pic:blipFill>
                  <pic:spPr>
                    <a:xfrm>
                      <a:off x="0" y="0"/>
                      <a:ext cx="4470400" cy="3535045"/>
                    </a:xfrm>
                    <a:prstGeom prst="rect">
                      <a:avLst/>
                    </a:prstGeom>
                    <a:noFill/>
                    <a:ln>
                      <a:noFill/>
                    </a:ln>
                  </pic:spPr>
                </pic:pic>
              </a:graphicData>
            </a:graphic>
          </wp:anchor>
        </w:drawing>
      </w:r>
    </w:p>
    <w:p w14:paraId="29355115">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1F0E2009">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088B45FC">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31B43854">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1BBDE700">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0C60BD83">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4C4A1749">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1F3DB9DE">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58C81C72">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6ADFEAB2">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4F902017">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1026EB43">
      <w:pPr>
        <w:spacing w:line="440" w:lineRule="exact"/>
        <w:jc w:val="center"/>
        <w:outlineLvl w:val="9"/>
        <w:rPr>
          <w:rFonts w:hint="eastAsia" w:asciiTheme="minorHAnsi" w:hAnsiTheme="minorHAnsi" w:eastAsiaTheme="minorEastAsia" w:cstheme="minorBidi"/>
          <w:kern w:val="2"/>
          <w:sz w:val="21"/>
          <w:szCs w:val="24"/>
          <w:lang w:val="en-US" w:eastAsia="zh-CN" w:bidi="ar-SA"/>
        </w:rPr>
      </w:pPr>
    </w:p>
    <w:p w14:paraId="7BE2C50D">
      <w:pPr>
        <w:spacing w:line="440" w:lineRule="exact"/>
        <w:jc w:val="center"/>
        <w:outlineLvl w:val="9"/>
        <w:rPr>
          <w:rFonts w:hint="eastAsia" w:asciiTheme="minorEastAsia" w:hAnsiTheme="minorEastAsia" w:eastAsiaTheme="minorEastAsia" w:cstheme="minorEastAsia"/>
          <w:sz w:val="24"/>
          <w:szCs w:val="24"/>
        </w:rPr>
        <w:sectPr>
          <w:headerReference r:id="rId46" w:type="default"/>
          <w:footerReference r:id="rId4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1365" w:name="_Toc24994"/>
      <w:r>
        <w:rPr>
          <w:rFonts w:hint="eastAsia" w:asciiTheme="minorHAnsi" w:hAnsiTheme="minorHAnsi" w:eastAsiaTheme="minorEastAsia" w:cstheme="minorBidi"/>
          <w:kern w:val="2"/>
          <w:sz w:val="21"/>
          <w:szCs w:val="24"/>
          <w:lang w:val="en-US" w:eastAsia="zh-CN" w:bidi="ar-SA"/>
        </w:rPr>
        <w:t>图7-</w:t>
      </w:r>
      <w:r>
        <w:rPr>
          <w:rFonts w:hint="eastAsia" w:cstheme="minorBidi"/>
          <w:kern w:val="2"/>
          <w:sz w:val="21"/>
          <w:szCs w:val="24"/>
          <w:lang w:val="en-US" w:eastAsia="zh-CN" w:bidi="ar-SA"/>
        </w:rPr>
        <w:t>9</w:t>
      </w:r>
      <w:r>
        <w:rPr>
          <w:rFonts w:hint="eastAsia" w:asciiTheme="minorHAnsi" w:hAnsiTheme="minorHAnsi" w:eastAsiaTheme="minorEastAsia" w:cstheme="minorBidi"/>
          <w:kern w:val="2"/>
          <w:sz w:val="21"/>
          <w:szCs w:val="24"/>
          <w:lang w:val="en-US" w:eastAsia="zh-CN" w:bidi="ar-SA"/>
        </w:rPr>
        <w:t xml:space="preserve">   </w:t>
      </w:r>
      <w:r>
        <w:rPr>
          <w:rFonts w:hint="eastAsia" w:cstheme="minorBidi"/>
          <w:kern w:val="2"/>
          <w:sz w:val="21"/>
          <w:szCs w:val="24"/>
          <w:lang w:val="en-US" w:eastAsia="zh-CN" w:bidi="ar-SA"/>
        </w:rPr>
        <w:t>不同价格区间新能源汽车销量分布</w:t>
      </w:r>
      <w:bookmarkEnd w:id="1364"/>
      <w:bookmarkEnd w:id="1365"/>
    </w:p>
    <w:p w14:paraId="1A79D5B4">
      <w:pPr>
        <w:pStyle w:val="3"/>
        <w:bidi w:val="0"/>
        <w:rPr>
          <w:rFonts w:hint="eastAsia"/>
        </w:rPr>
      </w:pPr>
      <w:bookmarkStart w:id="1366" w:name="_Toc32156"/>
      <w:bookmarkStart w:id="1367" w:name="_Toc22109"/>
      <w:r>
        <w:rPr>
          <w:rFonts w:hint="eastAsia"/>
          <w:lang w:val="en-US" w:eastAsia="zh-CN"/>
        </w:rPr>
        <w:t>18.</w:t>
      </w:r>
      <w:r>
        <w:rPr>
          <w:rFonts w:hint="eastAsia"/>
        </w:rPr>
        <w:t>基于python的淘宝波司登羽绒服销售情况分析</w:t>
      </w:r>
      <w:bookmarkEnd w:id="1366"/>
      <w:bookmarkEnd w:id="1367"/>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F155C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133D3B37">
            <w:pPr>
              <w:jc w:val="left"/>
              <w:outlineLvl w:val="0"/>
              <w:rPr>
                <w:rFonts w:ascii="Calibri" w:hAnsi="Calibri" w:eastAsia="黑体" w:cs="Times New Roman"/>
                <w:szCs w:val="21"/>
              </w:rPr>
            </w:pPr>
            <w:bookmarkStart w:id="1368" w:name="_Toc17984"/>
            <w:bookmarkStart w:id="1369" w:name="_Toc24108"/>
            <w:r>
              <w:rPr>
                <w:rFonts w:hint="eastAsia" w:ascii="Calibri" w:hAnsi="Calibri" w:eastAsia="黑体" w:cs="Times New Roman"/>
                <w:sz w:val="24"/>
              </w:rPr>
              <w:t>项目主题：基于python的淘宝波司登羽绒服销售情况分析</w:t>
            </w:r>
            <w:bookmarkEnd w:id="1368"/>
            <w:bookmarkEnd w:id="1369"/>
          </w:p>
        </w:tc>
      </w:tr>
      <w:tr w14:paraId="487115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17E618C">
            <w:pPr>
              <w:jc w:val="left"/>
              <w:rPr>
                <w:rFonts w:ascii="Calibri" w:hAnsi="Calibri" w:eastAsia="黑体" w:cs="Times New Roman"/>
                <w:sz w:val="24"/>
              </w:rPr>
            </w:pPr>
            <w:r>
              <w:rPr>
                <w:rFonts w:hint="eastAsia" w:ascii="Calibri" w:hAnsi="Calibri" w:eastAsia="黑体" w:cs="Times New Roman"/>
                <w:sz w:val="24"/>
              </w:rPr>
              <w:t>班    级：23数据与科学本科4班</w:t>
            </w:r>
          </w:p>
        </w:tc>
      </w:tr>
      <w:tr w14:paraId="71E72D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564AA54">
            <w:pPr>
              <w:jc w:val="left"/>
              <w:rPr>
                <w:rFonts w:ascii="Calibri" w:hAnsi="Calibri" w:eastAsia="黑体" w:cs="Times New Roman"/>
                <w:szCs w:val="21"/>
              </w:rPr>
            </w:pPr>
            <w:r>
              <w:rPr>
                <w:rFonts w:hint="eastAsia" w:ascii="Calibri" w:hAnsi="Calibri" w:eastAsia="黑体" w:cs="Times New Roman"/>
                <w:sz w:val="24"/>
              </w:rPr>
              <w:t>学生姓名：李懿 何兴玥 张子梦 董玲秀 王鑫    指导教师：胡浩</w:t>
            </w:r>
          </w:p>
        </w:tc>
      </w:tr>
    </w:tbl>
    <w:p w14:paraId="4CBD47A7">
      <w:pPr>
        <w:spacing w:line="440" w:lineRule="exact"/>
        <w:outlineLvl w:val="9"/>
        <w:rPr>
          <w:rFonts w:hint="eastAsia" w:ascii="宋体" w:hAnsi="宋体" w:cs="宋体"/>
          <w:b/>
          <w:bCs/>
          <w:kern w:val="44"/>
          <w:sz w:val="28"/>
          <w:szCs w:val="28"/>
        </w:rPr>
      </w:pPr>
      <w:bookmarkStart w:id="1370" w:name="_Toc12011"/>
      <w:bookmarkStart w:id="1371" w:name="_Toc17335"/>
      <w:r>
        <w:rPr>
          <w:rFonts w:hint="eastAsia" w:ascii="宋体" w:hAnsi="宋体" w:cs="宋体"/>
          <w:b/>
          <w:bCs/>
          <w:kern w:val="44"/>
          <w:sz w:val="28"/>
          <w:szCs w:val="28"/>
        </w:rPr>
        <w:t>1 项目概述</w:t>
      </w:r>
      <w:bookmarkEnd w:id="1370"/>
      <w:bookmarkEnd w:id="1371"/>
    </w:p>
    <w:p w14:paraId="1472BAF2">
      <w:pPr>
        <w:spacing w:line="440" w:lineRule="exact"/>
        <w:ind w:firstLine="420"/>
        <w:outlineLvl w:val="9"/>
        <w:rPr>
          <w:rFonts w:hint="eastAsia" w:ascii="宋体" w:hAnsi="宋体" w:cs="宋体"/>
          <w:sz w:val="24"/>
        </w:rPr>
      </w:pPr>
      <w:bookmarkStart w:id="1372" w:name="_Toc28892"/>
      <w:bookmarkStart w:id="1373" w:name="_Toc30102"/>
      <w:r>
        <w:rPr>
          <w:rFonts w:hint="eastAsia" w:ascii="宋体" w:hAnsi="宋体" w:cs="宋体"/>
          <w:sz w:val="24"/>
        </w:rPr>
        <w:t>1.1 项目介绍</w:t>
      </w:r>
      <w:bookmarkEnd w:id="1372"/>
      <w:bookmarkEnd w:id="1373"/>
    </w:p>
    <w:p w14:paraId="107A9143">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本项目依托江西服装学院与波司登品牌的长期校企合作基础，聚焦淘宝平台波司登羽绒服线上销售数据，通过“数据爬取→文档持久化→数据清洗→MySQL存储→数据分析→数据预测→数据可视化”的全流程处理，挖掘品牌羽绒服的销售规律、用户偏好与渠道效能。</w:t>
      </w:r>
    </w:p>
    <w:p w14:paraId="4923656C">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项目核心目标包括：为波司登提供品类优化、渠道配置、上架策略制定的精准数据支撑；为学校积累真实校企合作实践案例，提升学生数据分析与落地应用能力；最终实现学术实践与企业需求的双向赋能，输出多维度市场洞察报告与可视化成果。</w:t>
      </w:r>
    </w:p>
    <w:p w14:paraId="148387FE">
      <w:pPr>
        <w:spacing w:line="440" w:lineRule="exact"/>
        <w:ind w:firstLine="420"/>
        <w:outlineLvl w:val="9"/>
        <w:rPr>
          <w:rFonts w:ascii="宋体" w:hAnsi="宋体" w:cs="宋体"/>
          <w:sz w:val="24"/>
        </w:rPr>
      </w:pPr>
      <w:bookmarkStart w:id="1374" w:name="_Toc25232"/>
      <w:bookmarkStart w:id="1375" w:name="_Toc30270"/>
      <w:r>
        <w:rPr>
          <w:rFonts w:hint="eastAsia" w:ascii="宋体" w:hAnsi="宋体" w:cs="宋体"/>
          <w:sz w:val="24"/>
        </w:rPr>
        <w:t>1.2 项目开发环境</w:t>
      </w:r>
      <w:bookmarkEnd w:id="1374"/>
      <w:bookmarkEnd w:id="1375"/>
      <w:bookmarkStart w:id="1376" w:name="_Toc29336"/>
    </w:p>
    <w:p w14:paraId="2BA0EFD8">
      <w:pPr>
        <w:spacing w:line="440" w:lineRule="exact"/>
        <w:ind w:left="480"/>
        <w:outlineLvl w:val="9"/>
        <w:rPr>
          <w:rFonts w:hint="eastAsia" w:ascii="宋体" w:hAnsi="宋体" w:cs="宋体"/>
          <w:sz w:val="24"/>
        </w:rPr>
      </w:pPr>
      <w:bookmarkStart w:id="1377" w:name="_Toc21921"/>
      <w:r>
        <w:rPr>
          <w:rFonts w:hint="eastAsia" w:ascii="宋体" w:hAnsi="宋体" w:cs="宋体"/>
          <w:sz w:val="24"/>
        </w:rPr>
        <w:t>1.2.1 硬件环境</w:t>
      </w:r>
      <w:bookmarkEnd w:id="1376"/>
      <w:bookmarkEnd w:id="1377"/>
    </w:p>
    <w:p w14:paraId="581E0B28">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普通计算机（支持Chrome浏览器运行，满足Python脚本执行基础配置）</w:t>
      </w:r>
    </w:p>
    <w:p w14:paraId="139EE7A2">
      <w:pPr>
        <w:spacing w:line="440" w:lineRule="exact"/>
        <w:ind w:firstLine="420"/>
        <w:outlineLvl w:val="9"/>
        <w:rPr>
          <w:rFonts w:hint="eastAsia" w:ascii="宋体" w:hAnsi="宋体" w:cs="宋体"/>
          <w:sz w:val="24"/>
        </w:rPr>
      </w:pPr>
      <w:bookmarkStart w:id="1378" w:name="_Toc32571"/>
      <w:r>
        <w:rPr>
          <w:rFonts w:hint="eastAsia" w:ascii="宋体" w:hAnsi="宋体" w:cs="宋体"/>
          <w:sz w:val="24"/>
        </w:rPr>
        <w:t>1.2.2 软件环境</w:t>
      </w:r>
      <w:bookmarkEnd w:id="1378"/>
    </w:p>
    <w:p w14:paraId="5228ED1E">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操作系统：Windows/Linux</w:t>
      </w:r>
    </w:p>
    <w:p w14:paraId="071D8BBE">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操作工具：Python 3.x、Jupyter Notebook、山海鲸可视化应用软件、matplotlib、seaborn、Excel（数据查看）、CSV文件阅读器等</w:t>
      </w:r>
    </w:p>
    <w:p w14:paraId="1386A475">
      <w:pPr>
        <w:spacing w:before="62" w:beforeLines="20" w:line="440" w:lineRule="exact"/>
        <w:ind w:firstLine="480" w:firstLineChars="200"/>
        <w:rPr>
          <w:rFonts w:hint="eastAsia" w:ascii="宋体" w:hAnsi="宋体" w:cs="宋体"/>
          <w:sz w:val="24"/>
        </w:rPr>
      </w:pPr>
      <w:r>
        <w:rPr>
          <w:rFonts w:hint="eastAsia" w:ascii="宋体" w:hAnsi="宋体" w:cs="宋体"/>
          <w:sz w:val="24"/>
        </w:rPr>
        <w:t>浏览器：Chrome（匹配对应版本ChromeDriver）</w:t>
      </w:r>
    </w:p>
    <w:p w14:paraId="2F5FEB54">
      <w:pPr>
        <w:spacing w:before="62" w:beforeLines="20" w:line="440" w:lineRule="exact"/>
        <w:ind w:firstLine="480" w:firstLineChars="200"/>
        <w:rPr>
          <w:rFonts w:hint="eastAsia" w:ascii="宋体" w:hAnsi="宋体" w:cs="宋体"/>
          <w:sz w:val="24"/>
        </w:rPr>
      </w:pPr>
      <w:r>
        <w:rPr>
          <w:rFonts w:hint="eastAsia" w:ascii="宋体" w:hAnsi="宋体" w:cs="宋体"/>
          <w:sz w:val="24"/>
        </w:rPr>
        <w:t>数据库：MySQL 8.0、netcat</w:t>
      </w:r>
    </w:p>
    <w:p w14:paraId="0DD3D2A8">
      <w:pPr>
        <w:spacing w:line="440" w:lineRule="exact"/>
        <w:ind w:firstLine="420"/>
        <w:outlineLvl w:val="9"/>
        <w:rPr>
          <w:rFonts w:hint="eastAsia" w:ascii="宋体" w:hAnsi="宋体" w:cs="宋体"/>
          <w:sz w:val="24"/>
        </w:rPr>
      </w:pPr>
      <w:bookmarkStart w:id="1379" w:name="_Toc7858"/>
      <w:r>
        <w:rPr>
          <w:rFonts w:hint="eastAsia" w:ascii="宋体" w:hAnsi="宋体" w:cs="宋体"/>
          <w:sz w:val="24"/>
        </w:rPr>
        <w:t>1.2.3 技术栈</w:t>
      </w:r>
      <w:bookmarkEnd w:id="1379"/>
    </w:p>
    <w:p w14:paraId="1245220B">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本项目各环节技术栈均以Python为核心：数据爬取结合Selenium、ChromeDriver、正则表达式、time模块及logging模块；文档持久化采用CSV模块（UTF-8-sig编码）；数据清洗依托pandas与正则表达式；数据库操作通过pymysql对接MySQL；数据分析运用pandas、numpy和re模块；数据预测基于scikit-learn（随机森林分类器）及LabelEncoder；数据可视化整合pymysql、山海鲸可视化应用软件、matplotlib与seaborn实现。</w:t>
      </w:r>
    </w:p>
    <w:p w14:paraId="0137BD84">
      <w:pPr>
        <w:spacing w:line="440" w:lineRule="exact"/>
        <w:ind w:firstLine="420"/>
        <w:outlineLvl w:val="9"/>
        <w:rPr>
          <w:rFonts w:hint="eastAsia" w:ascii="宋体" w:hAnsi="宋体" w:cs="宋体"/>
          <w:sz w:val="24"/>
        </w:rPr>
      </w:pPr>
      <w:bookmarkStart w:id="1380" w:name="_Toc20700"/>
      <w:bookmarkStart w:id="1381" w:name="_Toc6045"/>
      <w:r>
        <w:rPr>
          <w:rFonts w:hint="eastAsia" w:ascii="宋体" w:hAnsi="宋体" w:cs="宋体"/>
          <w:sz w:val="24"/>
        </w:rPr>
        <w:t>1.3 小组人员及分工</w:t>
      </w:r>
      <w:bookmarkEnd w:id="1380"/>
      <w:bookmarkEnd w:id="1381"/>
    </w:p>
    <w:p w14:paraId="526E294C">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小组成员何兴玥：负责编写数据爬取初步代码并完成基础调试、最终报告与PPT的制作，核心任务：开发调试爬取基础代码、统筹撰写报告、设计制作PPT；</w:t>
      </w:r>
    </w:p>
    <w:p w14:paraId="6733393A">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小组成员张子梦：负责爬取代码完善、部分报告编写、文档PPT检查及与预测代码最终编写，核心任务：优化爬取代码、撰写报告部分章节、核查文档PPT、与李懿共同负责数据预测代码的开发与调试；</w:t>
      </w:r>
    </w:p>
    <w:p w14:paraId="33274B99">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小组组长李懿：负责汇报最终成果与数据清洗、数据分析，负责数据预测代码的初步编写；核心任务包括编写pandas清洗脚本、处理缺失/异常数据、开展核心数据分析、汇报最终成果；</w:t>
      </w:r>
    </w:p>
    <w:p w14:paraId="058C0B25">
      <w:pPr>
        <w:spacing w:before="62" w:beforeLines="20" w:line="440" w:lineRule="exact"/>
        <w:ind w:firstLine="480" w:firstLineChars="200"/>
        <w:rPr>
          <w:rFonts w:hint="eastAsia" w:ascii="宋体" w:hAnsi="宋体" w:cs="宋体"/>
          <w:sz w:val="24"/>
        </w:rPr>
      </w:pPr>
      <w:bookmarkStart w:id="1382" w:name="_Toc6706"/>
      <w:r>
        <w:rPr>
          <w:rFonts w:hint="eastAsia" w:ascii="宋体" w:hAnsi="宋体" w:cs="宋体"/>
          <w:sz w:val="24"/>
        </w:rPr>
        <w:t>小组成员王鑫：负责数据辅助校验、轻量专项分析、最终材料的汇编与整理，核心任务包括</w:t>
      </w:r>
      <w:bookmarkEnd w:id="1382"/>
      <w:r>
        <w:rPr>
          <w:rFonts w:hint="eastAsia" w:ascii="宋体" w:hAnsi="宋体" w:cs="宋体"/>
          <w:sz w:val="24"/>
        </w:rPr>
        <w:t>抽样核验清洗后数据、核对MySQL写入前数据格式、辅助整理报告及PPT所需的基础数据素材，配合完成文档格式校对；</w:t>
      </w:r>
    </w:p>
    <w:p w14:paraId="689446C2">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小组成员董玲秀：负责MySQL写入与校验、数据可视化、流程图的绘制，核心任务包括将清洗后的有效数据准确写入MySQL数据库并对数据进行校验、设计合理的数据可视化方案并制作相关图表呈现分析结果。</w:t>
      </w:r>
    </w:p>
    <w:p w14:paraId="1B6B62C9">
      <w:pPr>
        <w:spacing w:line="440" w:lineRule="exact"/>
        <w:outlineLvl w:val="9"/>
        <w:rPr>
          <w:rFonts w:hint="eastAsia" w:ascii="宋体" w:hAnsi="宋体" w:cs="宋体"/>
          <w:b/>
          <w:bCs/>
          <w:kern w:val="44"/>
          <w:sz w:val="28"/>
          <w:szCs w:val="28"/>
        </w:rPr>
      </w:pPr>
      <w:bookmarkStart w:id="1383" w:name="_Toc9890"/>
      <w:bookmarkStart w:id="1384" w:name="_Toc25743"/>
      <w:r>
        <w:rPr>
          <w:rFonts w:hint="eastAsia" w:ascii="宋体" w:hAnsi="宋体" w:cs="宋体"/>
          <w:b/>
          <w:bCs/>
          <w:kern w:val="44"/>
          <w:sz w:val="28"/>
          <w:szCs w:val="28"/>
        </w:rPr>
        <w:t>2 需求分析</w:t>
      </w:r>
      <w:bookmarkEnd w:id="1383"/>
      <w:bookmarkEnd w:id="1384"/>
    </w:p>
    <w:p w14:paraId="01B9787D">
      <w:pPr>
        <w:spacing w:line="440" w:lineRule="exact"/>
        <w:ind w:firstLine="420"/>
        <w:outlineLvl w:val="9"/>
        <w:rPr>
          <w:rFonts w:hint="eastAsia" w:ascii="宋体" w:hAnsi="宋体" w:cs="宋体"/>
          <w:sz w:val="24"/>
        </w:rPr>
      </w:pPr>
      <w:bookmarkStart w:id="1385" w:name="_Toc18099"/>
      <w:bookmarkStart w:id="1386" w:name="_Toc30755"/>
      <w:r>
        <w:rPr>
          <w:rFonts w:hint="eastAsia" w:ascii="宋体" w:hAnsi="宋体" w:cs="宋体"/>
          <w:sz w:val="24"/>
        </w:rPr>
        <w:t>2.1 系统需求分析</w:t>
      </w:r>
      <w:bookmarkEnd w:id="1385"/>
      <w:bookmarkEnd w:id="1386"/>
    </w:p>
    <w:p w14:paraId="4350011E">
      <w:pPr>
        <w:spacing w:line="440" w:lineRule="exact"/>
        <w:ind w:firstLine="420"/>
        <w:outlineLvl w:val="9"/>
        <w:rPr>
          <w:rFonts w:hint="eastAsia" w:ascii="宋体" w:hAnsi="宋体" w:cs="宋体"/>
          <w:sz w:val="24"/>
        </w:rPr>
      </w:pPr>
      <w:bookmarkStart w:id="1387" w:name="_Toc4034"/>
      <w:r>
        <w:rPr>
          <w:rFonts w:hint="eastAsia" w:ascii="宋体" w:hAnsi="宋体" w:cs="宋体"/>
          <w:sz w:val="24"/>
        </w:rPr>
        <w:t>2.1.1 业务需求</w:t>
      </w:r>
      <w:bookmarkEnd w:id="1387"/>
    </w:p>
    <w:p w14:paraId="6F47AE18">
      <w:pPr>
        <w:spacing w:before="62" w:beforeLines="20" w:line="440" w:lineRule="exact"/>
        <w:ind w:firstLine="480" w:firstLineChars="200"/>
        <w:rPr>
          <w:rFonts w:hint="eastAsia" w:ascii="宋体" w:hAnsi="宋体" w:eastAsia="宋体" w:cs="宋体"/>
          <w:sz w:val="24"/>
        </w:rPr>
      </w:pPr>
      <w:r>
        <w:rPr>
          <w:rFonts w:hint="eastAsia" w:ascii="宋体" w:hAnsi="宋体" w:eastAsia="宋体" w:cs="宋体"/>
          <w:sz w:val="24"/>
        </w:rPr>
        <w:t>本项目围绕波司登羽绒服业务发展核心诉求展开分析，具体涵盖了四方面核心需求：</w:t>
      </w:r>
    </w:p>
    <w:p w14:paraId="2BEEC987">
      <w:pPr>
        <w:spacing w:before="62" w:beforeLines="20" w:line="440" w:lineRule="exact"/>
        <w:ind w:firstLine="480" w:firstLineChars="200"/>
        <w:rPr>
          <w:rFonts w:hint="eastAsia" w:ascii="宋体" w:hAnsi="宋体" w:eastAsia="宋体" w:cs="宋体"/>
          <w:sz w:val="24"/>
        </w:rPr>
      </w:pPr>
      <w:r>
        <w:rPr>
          <w:rFonts w:hint="eastAsia" w:ascii="宋体" w:hAnsi="宋体" w:eastAsia="宋体" w:cs="宋体"/>
          <w:sz w:val="24"/>
        </w:rPr>
        <w:t>一是市场趋势分析，识别产品的季节性特征与爆款周期，为生产计划制定和新品发布策略落地提供数据支撑；二是产品优化分析，深度挖掘消费者在保暖、时尚等维度的核心诉求，以此指导产品设计的迭代升级；三是营销策略分析，精准定位高价值消费群体与高效销售渠道，助力营销资源的合理化分配；四是库存与供应链优化，基于热销品类、销售周期等数据预测库存需求，有效规避库存积压或货品短缺问题。</w:t>
      </w:r>
    </w:p>
    <w:p w14:paraId="02B60ECC">
      <w:pPr>
        <w:spacing w:line="440" w:lineRule="exact"/>
        <w:ind w:firstLine="420"/>
        <w:outlineLvl w:val="9"/>
        <w:rPr>
          <w:rFonts w:hint="eastAsia" w:ascii="宋体" w:hAnsi="宋体" w:cs="宋体"/>
          <w:sz w:val="24"/>
        </w:rPr>
      </w:pPr>
      <w:bookmarkStart w:id="1388" w:name="_Toc20608"/>
      <w:r>
        <w:rPr>
          <w:rFonts w:hint="eastAsia" w:ascii="宋体" w:hAnsi="宋体" w:cs="宋体"/>
          <w:sz w:val="24"/>
        </w:rPr>
        <w:t>2.1.2 数据需求</w:t>
      </w:r>
      <w:bookmarkEnd w:id="1388"/>
    </w:p>
    <w:p w14:paraId="1D6257EB">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本项目数据需求围绕波司登羽绒服业务分析全流程构建，以精准匹配业务洞察需求为核心，明确了涵盖数据来源、品类范围、时间维度、数据规模及核心字段的多维度要求。</w:t>
      </w:r>
    </w:p>
    <w:p w14:paraId="60D38180">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数据来源于淘宝电商平台的波司登官方及授权店铺，确保数据的权威性与针对性；品类覆盖女士、男士、童装羽绒服及羽绒服冲锋衣、马甲等全系列产品，可完整覆盖品牌核心产品线；时间维度锁定2024年1月1日至2025年1月1日，可完整覆盖秋冬核心销售周期，确保分析的时效性与全面性；数据规模明确原始数据量不低于2150条，经清洗后有效数据量需达到1600条以上，为后续分析的可靠性提供基础支撑；核心数据字段包含商品ID、商品名称、店铺名称、商品类别、销售量、好评率、适用人群、上架时间、店铺类型共9项，精准覆盖产品基础信息、销售表现、受众属性及渠道属性四大核心维度。</w:t>
      </w:r>
    </w:p>
    <w:p w14:paraId="2D1C0602">
      <w:pPr>
        <w:spacing w:line="440" w:lineRule="exact"/>
        <w:ind w:firstLine="480" w:firstLineChars="200"/>
        <w:jc w:val="left"/>
        <w:rPr>
          <w:rFonts w:hint="eastAsia" w:ascii="宋体" w:hAnsi="宋体" w:eastAsia="宋体" w:cs="宋体"/>
          <w:sz w:val="24"/>
        </w:rPr>
      </w:pPr>
      <w:r>
        <w:rPr>
          <w:rFonts w:hint="eastAsia" w:ascii="宋体" w:hAnsi="宋体" w:eastAsia="宋体" w:cs="宋体"/>
          <w:sz w:val="24"/>
        </w:rPr>
        <w:t>这些明确的需求设定形成了完整的数据采集与应用框架，全面且精准地匹配业务分析所需，为全流程业务洞察输出提供了坚实的数据支撑。</w:t>
      </w:r>
    </w:p>
    <w:p w14:paraId="271F53E5">
      <w:pPr>
        <w:spacing w:line="440" w:lineRule="exact"/>
        <w:ind w:firstLine="400" w:firstLineChars="200"/>
        <w:jc w:val="center"/>
        <w:rPr>
          <w:rFonts w:hint="eastAsia" w:ascii="宋体" w:hAnsi="宋体" w:eastAsia="宋体" w:cs="宋体"/>
          <w:sz w:val="24"/>
        </w:rPr>
      </w:pPr>
      <w:r>
        <w:rPr>
          <w:rFonts w:hint="eastAsia" w:ascii="宋体" w:hAnsi="宋体" w:eastAsia="宋体" w:cs="宋体"/>
          <w:sz w:val="20"/>
        </w:rPr>
        <w:t>表2-</w:t>
      </w:r>
      <w:r>
        <w:rPr>
          <w:rFonts w:hint="eastAsia" w:ascii="宋体" w:hAnsi="宋体" w:eastAsia="宋体" w:cs="宋体"/>
          <w:sz w:val="20"/>
        </w:rPr>
        <w:fldChar w:fldCharType="begin"/>
      </w:r>
      <w:r>
        <w:rPr>
          <w:rFonts w:hint="eastAsia" w:ascii="宋体" w:hAnsi="宋体" w:eastAsia="宋体" w:cs="宋体"/>
          <w:sz w:val="20"/>
        </w:rPr>
        <w:instrText xml:space="preserve"> SEQ 表 \* ARABIC </w:instrText>
      </w:r>
      <w:r>
        <w:rPr>
          <w:rFonts w:hint="eastAsia" w:ascii="宋体" w:hAnsi="宋体" w:eastAsia="宋体" w:cs="宋体"/>
          <w:sz w:val="20"/>
        </w:rPr>
        <w:fldChar w:fldCharType="separate"/>
      </w:r>
      <w:r>
        <w:rPr>
          <w:rFonts w:hint="eastAsia" w:ascii="宋体" w:hAnsi="宋体" w:eastAsia="宋体" w:cs="宋体"/>
          <w:sz w:val="20"/>
        </w:rPr>
        <w:t>1</w:t>
      </w:r>
      <w:r>
        <w:rPr>
          <w:rFonts w:hint="eastAsia" w:ascii="宋体" w:hAnsi="宋体" w:eastAsia="宋体" w:cs="宋体"/>
          <w:sz w:val="20"/>
        </w:rPr>
        <w:fldChar w:fldCharType="end"/>
      </w:r>
      <w:r>
        <w:rPr>
          <w:rFonts w:hint="eastAsia" w:ascii="宋体" w:hAnsi="宋体" w:eastAsia="宋体" w:cs="宋体"/>
          <w:sz w:val="20"/>
        </w:rPr>
        <w:t xml:space="preserve"> 核心字段及用途</w:t>
      </w:r>
    </w:p>
    <w:tbl>
      <w:tblPr>
        <w:tblStyle w:val="35"/>
        <w:tblW w:w="9361" w:type="dxa"/>
        <w:tblInd w:w="-37"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1480"/>
        <w:gridCol w:w="3310"/>
        <w:gridCol w:w="4571"/>
      </w:tblGrid>
      <w:tr w14:paraId="62E71DC1">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single" w:color="auto" w:sz="12" w:space="0"/>
              <w:left w:val="nil"/>
              <w:bottom w:val="nil"/>
              <w:right w:val="nil"/>
            </w:tcBorders>
            <w:shd w:val="clear" w:color="auto" w:fill="FFFFFF" w:themeFill="background1"/>
            <w:tcMar>
              <w:top w:w="144" w:type="dxa"/>
              <w:left w:w="216" w:type="dxa"/>
              <w:bottom w:w="144" w:type="dxa"/>
              <w:right w:w="216" w:type="dxa"/>
            </w:tcMar>
            <w:vAlign w:val="center"/>
          </w:tcPr>
          <w:p w14:paraId="77E23182">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字段名称</w:t>
            </w:r>
          </w:p>
        </w:tc>
        <w:tc>
          <w:tcPr>
            <w:tcW w:w="3310" w:type="dxa"/>
            <w:tcBorders>
              <w:top w:val="single" w:color="auto" w:sz="12" w:space="0"/>
              <w:left w:val="nil"/>
              <w:bottom w:val="nil"/>
              <w:right w:val="nil"/>
            </w:tcBorders>
            <w:shd w:val="clear" w:color="auto" w:fill="FFFFFF" w:themeFill="background1"/>
            <w:tcMar>
              <w:top w:w="144" w:type="dxa"/>
              <w:left w:w="216" w:type="dxa"/>
              <w:bottom w:w="144" w:type="dxa"/>
              <w:right w:w="216" w:type="dxa"/>
            </w:tcMar>
            <w:vAlign w:val="center"/>
          </w:tcPr>
          <w:p w14:paraId="3B9246B5">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字段定义</w:t>
            </w:r>
          </w:p>
        </w:tc>
        <w:tc>
          <w:tcPr>
            <w:tcW w:w="4571" w:type="dxa"/>
            <w:tcBorders>
              <w:top w:val="single" w:color="auto" w:sz="12" w:space="0"/>
              <w:left w:val="nil"/>
              <w:bottom w:val="nil"/>
              <w:right w:val="nil"/>
            </w:tcBorders>
            <w:shd w:val="clear" w:color="auto" w:fill="FFFFFF" w:themeFill="background1"/>
            <w:tcMar>
              <w:top w:w="144" w:type="dxa"/>
              <w:left w:w="216" w:type="dxa"/>
              <w:bottom w:w="144" w:type="dxa"/>
              <w:right w:w="216" w:type="dxa"/>
            </w:tcMar>
            <w:vAlign w:val="center"/>
          </w:tcPr>
          <w:p w14:paraId="75AF589B">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字段用途</w:t>
            </w:r>
          </w:p>
        </w:tc>
      </w:tr>
      <w:tr w14:paraId="18D6D7D8">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576D613C">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商品ID</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1A3818C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波司登商品的唯一标识编码</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751A9BC5">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打通全业务数据链路，实现商品精准追溯</w:t>
            </w:r>
          </w:p>
        </w:tc>
      </w:tr>
      <w:tr w14:paraId="5A35C4A8">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052335F1">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商品名称</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2D90211">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含核心属性的商品名称</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4A3123C3">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支撑商品搜索、展示及内部管理</w:t>
            </w:r>
          </w:p>
        </w:tc>
      </w:tr>
      <w:tr w14:paraId="0B0A9A09">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5BC6528C">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店铺名称</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6259A5D1">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销售商品的线上官方/授权店铺名称</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243B1E6A">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区分销售渠道，支撑店铺业绩与渠道效能分析</w:t>
            </w:r>
          </w:p>
        </w:tc>
      </w:tr>
      <w:tr w14:paraId="5B374666">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0C3F05C">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商品类别</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67E8CFE3">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按核心属性划分的层级类别</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697C28D4">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优化品类管理，为研发、备货、营销提供依据</w:t>
            </w:r>
          </w:p>
        </w:tc>
      </w:tr>
      <w:tr w14:paraId="0065129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72949AC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销售量</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4A02E1CB">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指定周期内实际销售数量</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6B9CFB64">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评估商品热度与店铺能力，支撑库存协同</w:t>
            </w:r>
          </w:p>
        </w:tc>
      </w:tr>
      <w:tr w14:paraId="05F8F26F">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40869D4B">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好评率</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074D24D0">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好评数量占总评价数的比例</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589E3E7">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衡量商品品质与用户满意度，指导商品优化</w:t>
            </w:r>
          </w:p>
        </w:tc>
      </w:tr>
      <w:tr w14:paraId="56A88229">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A7933D0">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适用人群</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56C581D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按性别、年龄、场景划分的目标群体</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7212CF5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支撑精准营销，提升需求匹配度与转化效率</w:t>
            </w:r>
          </w:p>
        </w:tc>
      </w:tr>
      <w:tr w14:paraId="62469886">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1996450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上架时间</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4E2C0C3">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商品正式上架销售的日期</w:t>
            </w:r>
          </w:p>
        </w:tc>
        <w:tc>
          <w:tcPr>
            <w:tcW w:w="4571"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7A09BA8C">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管理商品生命周期，指导新品规划与老品清仓</w:t>
            </w:r>
          </w:p>
        </w:tc>
      </w:tr>
      <w:tr w14:paraId="5ECFA037">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480"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49563CB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店铺类型</w:t>
            </w:r>
          </w:p>
        </w:tc>
        <w:tc>
          <w:tcPr>
            <w:tcW w:w="3310"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0C6367B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按经营主体/模式划分的店铺类型</w:t>
            </w:r>
          </w:p>
        </w:tc>
        <w:tc>
          <w:tcPr>
            <w:tcW w:w="4571"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5C8E6BEF">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分析不同模式效能，支撑渠道策略制定</w:t>
            </w:r>
          </w:p>
        </w:tc>
      </w:tr>
    </w:tbl>
    <w:p w14:paraId="5E424980">
      <w:pPr>
        <w:spacing w:line="440" w:lineRule="exact"/>
        <w:ind w:firstLine="420"/>
        <w:outlineLvl w:val="9"/>
        <w:rPr>
          <w:rFonts w:hint="eastAsia" w:ascii="宋体" w:hAnsi="宋体" w:cs="宋体"/>
          <w:sz w:val="24"/>
        </w:rPr>
      </w:pPr>
      <w:bookmarkStart w:id="1389" w:name="_Toc13178"/>
      <w:r>
        <w:rPr>
          <w:rFonts w:hint="eastAsia" w:ascii="宋体" w:hAnsi="宋体" w:cs="宋体"/>
          <w:sz w:val="24"/>
        </w:rPr>
        <w:t>2.1.3 数据质量需求</w:t>
      </w:r>
      <w:bookmarkEnd w:id="1389"/>
    </w:p>
    <w:p w14:paraId="300AA671">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（1）完整性：核心字段（商品ID、销售量、商品类别）缺失值占比≤5%，非核心字段缺失按规则填充默认值。</w:t>
      </w:r>
    </w:p>
    <w:p w14:paraId="23A008F5">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（2）准确性：销量无负数，好评率范围0-100，数值型数据符合业务逻辑。数据均来自目标时间范围，无过期无效数据。</w:t>
      </w:r>
    </w:p>
    <w:p w14:paraId="4D84528E">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（3）一致性：日期格式统一为“YYYY-MM”。</w:t>
      </w:r>
    </w:p>
    <w:p w14:paraId="685FEA39">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（4）唯一性：无完全重复商品记录，商品ID唯一标识单个产品。</w:t>
      </w:r>
    </w:p>
    <w:p w14:paraId="42A98857">
      <w:pPr>
        <w:spacing w:line="440" w:lineRule="exact"/>
        <w:ind w:firstLine="420"/>
        <w:outlineLvl w:val="9"/>
        <w:rPr>
          <w:rFonts w:hint="eastAsia" w:ascii="宋体" w:hAnsi="宋体" w:cs="宋体"/>
          <w:sz w:val="24"/>
        </w:rPr>
      </w:pPr>
      <w:bookmarkStart w:id="1390" w:name="_Toc28704"/>
      <w:r>
        <w:rPr>
          <w:rFonts w:hint="eastAsia" w:ascii="宋体" w:hAnsi="宋体" w:cs="宋体"/>
          <w:sz w:val="24"/>
        </w:rPr>
        <w:t>2.1.4 需求总结</w:t>
      </w:r>
      <w:bookmarkEnd w:id="1390"/>
    </w:p>
    <w:p w14:paraId="7CE04034">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本项目明确了波司登羽绒服品类的核心数据需求、应用场景及质量标准，为后续数据处理全流程提供清晰指导，最终需输出≥1600条有效数据、≥9种可视化图表及多维度市场洞察报告，兼顾学术实践要求与企业应用价值。</w:t>
      </w:r>
    </w:p>
    <w:p w14:paraId="420BF97C">
      <w:pPr>
        <w:spacing w:line="440" w:lineRule="exact"/>
        <w:ind w:firstLine="420"/>
        <w:outlineLvl w:val="9"/>
        <w:rPr>
          <w:rFonts w:hint="eastAsia" w:ascii="宋体" w:hAnsi="宋体" w:cs="宋体"/>
          <w:sz w:val="24"/>
        </w:rPr>
      </w:pPr>
      <w:bookmarkStart w:id="1391" w:name="_Toc18909"/>
      <w:bookmarkStart w:id="1392" w:name="_Toc20822"/>
      <w:r>
        <w:rPr>
          <w:rFonts w:hint="eastAsia" w:ascii="宋体" w:hAnsi="宋体" w:cs="宋体"/>
          <w:sz w:val="24"/>
        </w:rPr>
        <w:t>2.2 可行性分析</w:t>
      </w:r>
      <w:bookmarkEnd w:id="1391"/>
      <w:bookmarkEnd w:id="1392"/>
    </w:p>
    <w:p w14:paraId="606EE7C8">
      <w:pPr>
        <w:spacing w:line="440" w:lineRule="exact"/>
        <w:ind w:firstLine="420"/>
        <w:outlineLvl w:val="9"/>
        <w:rPr>
          <w:rFonts w:hint="eastAsia" w:ascii="宋体" w:hAnsi="宋体" w:cs="宋体"/>
          <w:sz w:val="24"/>
        </w:rPr>
      </w:pPr>
      <w:bookmarkStart w:id="1393" w:name="_Toc3143"/>
      <w:r>
        <w:rPr>
          <w:rFonts w:hint="eastAsia" w:ascii="宋体" w:hAnsi="宋体" w:cs="宋体"/>
          <w:sz w:val="24"/>
        </w:rPr>
        <w:t>2.2.1 技术可行性</w:t>
      </w:r>
      <w:bookmarkEnd w:id="1393"/>
    </w:p>
    <w:p w14:paraId="19BEC66A">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核心技术栈Python、Selenium、pandas、MySQL等均为学期核心教学内容，小组成员已具备相应实践能力。同时各类工具成熟度高，Selenium可有效突破淘宝反爬机制，pandas支持高效数据处理，MySQL保障结构化数据稳定存储，山海鲸可视化工具操作便捷，均为主流成熟方案，稳定性与可靠性有保障。</w:t>
      </w:r>
    </w:p>
    <w:p w14:paraId="46CE936B">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此外，环境搭建无门槛，所需硬件为普通计算机，软件与工具均为免费开源或易获取资源，无需高配置设备及付费成本。</w:t>
      </w:r>
    </w:p>
    <w:p w14:paraId="7DFA5193">
      <w:pPr>
        <w:spacing w:line="440" w:lineRule="exact"/>
        <w:ind w:firstLine="420"/>
        <w:outlineLvl w:val="9"/>
        <w:rPr>
          <w:rFonts w:hint="eastAsia" w:ascii="宋体" w:hAnsi="宋体" w:cs="宋体"/>
          <w:sz w:val="24"/>
        </w:rPr>
      </w:pPr>
      <w:bookmarkStart w:id="1394" w:name="_Toc6679"/>
      <w:r>
        <w:rPr>
          <w:rFonts w:hint="eastAsia" w:ascii="宋体" w:hAnsi="宋体" w:cs="宋体"/>
          <w:sz w:val="24"/>
        </w:rPr>
        <w:t>2.2.2 数据可行性</w:t>
      </w:r>
      <w:bookmarkEnd w:id="1394"/>
    </w:p>
    <w:p w14:paraId="07186F37">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淘宝平台波司登羽绒服类目数据公开可访问，通过模拟浏览器操作能够稳定提取核心字段，且数据来源合法合规。样本量方面，计划爬取原始数据不低于2150条，清洗后有效数据可达1600条以上，足以满足多维度分析、模型训练及可视化展示的样本需求。同时通过预设数据质量标准、多选择器兜底提取、清洗阶段异常处理等一系列措施，可有效保障数据的完整性、准确性与一致性。</w:t>
      </w:r>
    </w:p>
    <w:p w14:paraId="4F6F395E">
      <w:pPr>
        <w:spacing w:line="440" w:lineRule="exact"/>
        <w:ind w:firstLine="420"/>
        <w:outlineLvl w:val="9"/>
        <w:rPr>
          <w:rFonts w:hint="eastAsia" w:ascii="宋体" w:hAnsi="宋体" w:cs="宋体"/>
          <w:sz w:val="24"/>
        </w:rPr>
      </w:pPr>
      <w:bookmarkStart w:id="1395" w:name="_Toc26026"/>
      <w:r>
        <w:rPr>
          <w:rFonts w:hint="eastAsia" w:ascii="宋体" w:hAnsi="宋体" w:cs="宋体"/>
          <w:sz w:val="24"/>
        </w:rPr>
        <w:t>2.2.3 实践可行性</w:t>
      </w:r>
      <w:bookmarkEnd w:id="1395"/>
    </w:p>
    <w:p w14:paraId="78F8A150">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项目实践依托学校与波司登的长期合作基础，为项目开展提供了关键的方向指引与需求锚点，确保成果具备实际应用价值。团队共有5人，各成员分工明确，覆盖数据爬取、清洗、分析、预测、可视化全环节，职责边界清晰，可保障项目高效协同推进。同时，项目各环节时间分配充裕，具备充足的缓冲空间应对各种突发问题，保障项目顺利完成。</w:t>
      </w:r>
    </w:p>
    <w:p w14:paraId="755175EB">
      <w:pPr>
        <w:spacing w:line="440" w:lineRule="exact"/>
        <w:outlineLvl w:val="9"/>
        <w:rPr>
          <w:rFonts w:hint="eastAsia" w:ascii="宋体" w:hAnsi="宋体" w:cs="宋体"/>
          <w:b/>
          <w:bCs/>
          <w:kern w:val="44"/>
          <w:sz w:val="28"/>
          <w:szCs w:val="28"/>
        </w:rPr>
      </w:pPr>
      <w:bookmarkStart w:id="1396" w:name="_Toc1883"/>
      <w:bookmarkStart w:id="1397" w:name="_Toc24043"/>
      <w:r>
        <w:rPr>
          <w:rFonts w:hint="eastAsia" w:ascii="宋体" w:hAnsi="宋体" w:cs="宋体"/>
          <w:b/>
          <w:bCs/>
          <w:kern w:val="44"/>
          <w:sz w:val="28"/>
          <w:szCs w:val="28"/>
        </w:rPr>
        <w:t>3 系统设计</w:t>
      </w:r>
      <w:bookmarkEnd w:id="1396"/>
      <w:bookmarkEnd w:id="1397"/>
    </w:p>
    <w:p w14:paraId="51259BF3">
      <w:pPr>
        <w:spacing w:line="440" w:lineRule="exact"/>
        <w:ind w:firstLine="420"/>
        <w:outlineLvl w:val="9"/>
        <w:rPr>
          <w:rFonts w:hint="eastAsia" w:ascii="宋体" w:hAnsi="宋体" w:cs="宋体"/>
          <w:sz w:val="24"/>
        </w:rPr>
      </w:pPr>
      <w:bookmarkStart w:id="1398" w:name="_Toc10939"/>
      <w:bookmarkStart w:id="1399" w:name="_Toc22863"/>
      <w:r>
        <w:rPr>
          <w:rFonts w:hint="eastAsia" w:ascii="宋体" w:hAnsi="宋体" w:cs="宋体"/>
          <w:sz w:val="24"/>
        </w:rPr>
        <w:t>3.1 系统结构设计</w:t>
      </w:r>
      <w:bookmarkEnd w:id="1398"/>
      <w:bookmarkEnd w:id="1399"/>
    </w:p>
    <w:p w14:paraId="2ADCA28E">
      <w:pPr>
        <w:spacing w:before="62" w:beforeLines="20" w:line="440" w:lineRule="exact"/>
        <w:ind w:firstLine="480" w:firstLineChars="200"/>
        <w:jc w:val="left"/>
        <w:outlineLvl w:val="9"/>
        <w:rPr>
          <w:rFonts w:hint="eastAsia" w:ascii="宋体" w:hAnsi="宋体" w:cs="宋体"/>
          <w:sz w:val="24"/>
        </w:rPr>
      </w:pPr>
      <w:r>
        <w:rPr>
          <w:rFonts w:hint="eastAsia" w:ascii="宋体" w:hAnsi="宋体" w:cs="宋体"/>
          <w:sz w:val="24"/>
        </w:rPr>
        <w:t>本系统采用“线性递进+质量卡点+多模块深化”的核心架构，以数据全生命周期流转为主线，关键节点增设质量核验机制，保障数据传递的准确性与可靠性。</w:t>
      </w:r>
    </w:p>
    <w:p w14:paraId="6D54DCED">
      <w:pPr>
        <w:spacing w:before="62" w:beforeLines="20" w:line="440" w:lineRule="exact"/>
        <w:ind w:firstLine="480" w:firstLineChars="200"/>
        <w:jc w:val="left"/>
        <w:outlineLvl w:val="9"/>
        <w:rPr>
          <w:rFonts w:hint="eastAsia" w:ascii="宋体" w:hAnsi="宋体" w:cs="宋体"/>
          <w:sz w:val="24"/>
        </w:rPr>
      </w:pPr>
      <w:r>
        <w:rPr>
          <w:rFonts w:hint="eastAsia" w:ascii="宋体" w:hAnsi="宋体" w:cs="宋体"/>
          <w:sz w:val="24"/>
        </w:rPr>
        <w:t>从整体流转逻辑来看，系统形成“数据采集-处理-分析-呈现”的完整闭环，具体流转路径为：数据爬取→文档持久化→数据清洗→MySQL写入→数据分析→数据预测→数据可视化。实现了从原始数据采集到决策支撑数据呈现的无缝衔接，确保各模块功能协同联动。</w:t>
      </w:r>
      <w:r>
        <w:rPr>
          <w:rFonts w:ascii="Times New Roman" w:hAnsi="Times New Roman" w:cs="Times New Roman"/>
          <w:sz w:val="24"/>
        </w:rPr>
        <w:t>​</w:t>
      </w:r>
    </w:p>
    <w:p w14:paraId="508E1508">
      <w:pPr>
        <w:spacing w:before="62" w:beforeLines="20" w:line="440" w:lineRule="exact"/>
        <w:ind w:firstLine="480" w:firstLineChars="200"/>
        <w:jc w:val="left"/>
        <w:outlineLvl w:val="9"/>
        <w:rPr>
          <w:rFonts w:hint="eastAsia" w:ascii="宋体" w:hAnsi="宋体" w:cs="宋体"/>
          <w:sz w:val="24"/>
        </w:rPr>
      </w:pPr>
      <w:r>
        <w:rPr>
          <w:rFonts w:hint="eastAsia" w:ascii="宋体" w:hAnsi="宋体" w:cs="宋体"/>
          <w:sz w:val="24"/>
        </w:rPr>
        <w:t>通过上述架构设计，系统不仅保障了数据流转的高效顺畅，更为后续精准的业务洞察与决策支撑奠定了结构基础。系统整体结构如图3-1所示。</w:t>
      </w:r>
    </w:p>
    <w:p w14:paraId="54915044">
      <w:pPr>
        <w:spacing w:line="440" w:lineRule="exact"/>
        <w:ind w:firstLine="420"/>
        <w:outlineLvl w:val="9"/>
        <w:rPr>
          <w:rFonts w:hint="eastAsia" w:ascii="宋体" w:hAnsi="宋体" w:cs="宋体"/>
          <w:sz w:val="24"/>
        </w:rPr>
      </w:pPr>
      <w:bookmarkStart w:id="1400" w:name="_Toc1705"/>
      <w:bookmarkStart w:id="1401" w:name="_Toc9779"/>
      <w:r>
        <w:rPr>
          <w:rFonts w:ascii="宋体" w:hAnsi="宋体" w:cs="宋体"/>
          <w:sz w:val="24"/>
        </w:rPr>
        <w:drawing>
          <wp:anchor distT="0" distB="0" distL="114300" distR="114300" simplePos="0" relativeHeight="251897856" behindDoc="0" locked="0" layoutInCell="1" allowOverlap="1">
            <wp:simplePos x="0" y="0"/>
            <wp:positionH relativeFrom="column">
              <wp:posOffset>-24130</wp:posOffset>
            </wp:positionH>
            <wp:positionV relativeFrom="paragraph">
              <wp:posOffset>364490</wp:posOffset>
            </wp:positionV>
            <wp:extent cx="5271770" cy="2787015"/>
            <wp:effectExtent l="0" t="0" r="5080" b="13335"/>
            <wp:wrapTopAndBottom/>
            <wp:docPr id="699" name="图片 699" descr="Snipaste_2025-12-25_10-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699" descr="Snipaste_2025-12-25_10-42-59"/>
                    <pic:cNvPicPr>
                      <a:picLocks noChangeAspect="1"/>
                    </pic:cNvPicPr>
                  </pic:nvPicPr>
                  <pic:blipFill>
                    <a:blip r:embed="rId460"/>
                    <a:stretch>
                      <a:fillRect/>
                    </a:stretch>
                  </pic:blipFill>
                  <pic:spPr>
                    <a:xfrm>
                      <a:off x="0" y="0"/>
                      <a:ext cx="5271770" cy="2787015"/>
                    </a:xfrm>
                    <a:prstGeom prst="rect">
                      <a:avLst/>
                    </a:prstGeom>
                  </pic:spPr>
                </pic:pic>
              </a:graphicData>
            </a:graphic>
          </wp:anchor>
        </w:drawing>
      </w:r>
      <w:r>
        <w:rPr>
          <w:rFonts w:hint="eastAsia" w:ascii="宋体" w:hAnsi="宋体" w:cs="宋体"/>
          <w:sz w:val="24"/>
        </w:rPr>
        <w:t>3.2 系统功能模块设计</w:t>
      </w:r>
      <w:bookmarkEnd w:id="1400"/>
      <w:bookmarkEnd w:id="1401"/>
    </w:p>
    <w:p w14:paraId="08B752AB">
      <w:pPr>
        <w:spacing w:before="62" w:beforeLines="20" w:line="440" w:lineRule="exact"/>
        <w:ind w:firstLine="420" w:firstLineChars="200"/>
        <w:jc w:val="center"/>
        <w:rPr>
          <w:rFonts w:hint="eastAsia" w:ascii="宋体" w:hAnsi="宋体" w:cs="宋体"/>
          <w:szCs w:val="21"/>
        </w:rPr>
      </w:pPr>
      <w:bookmarkStart w:id="1402" w:name="_Toc17972"/>
      <w:r>
        <w:rPr>
          <w:rFonts w:hint="eastAsia" w:ascii="宋体" w:hAnsi="宋体" w:cs="宋体"/>
          <w:szCs w:val="21"/>
        </w:rPr>
        <w:t>图3-1 系统设计流程图</w:t>
      </w:r>
    </w:p>
    <w:p w14:paraId="2DD5D1AD">
      <w:pPr>
        <w:spacing w:line="440" w:lineRule="exact"/>
        <w:ind w:firstLine="420"/>
        <w:outlineLvl w:val="9"/>
        <w:rPr>
          <w:rFonts w:hint="eastAsia" w:ascii="宋体" w:hAnsi="宋体" w:cs="宋体"/>
          <w:sz w:val="24"/>
        </w:rPr>
      </w:pPr>
    </w:p>
    <w:p w14:paraId="65C1203C">
      <w:pPr>
        <w:spacing w:line="440" w:lineRule="exact"/>
        <w:ind w:firstLine="420"/>
        <w:outlineLvl w:val="9"/>
        <w:rPr>
          <w:rFonts w:hint="eastAsia" w:ascii="宋体" w:hAnsi="宋体" w:cs="宋体"/>
          <w:sz w:val="24"/>
        </w:rPr>
      </w:pPr>
      <w:r>
        <w:rPr>
          <w:rFonts w:hint="eastAsia" w:ascii="宋体" w:hAnsi="宋体" w:cs="宋体"/>
          <w:sz w:val="24"/>
        </w:rPr>
        <w:t>3.2.1 数据爬取模块</w:t>
      </w:r>
      <w:bookmarkEnd w:id="1402"/>
    </w:p>
    <w:p w14:paraId="3CFE8E57">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本模块采用Python+Selenium+ChromeDriver+正则表达式技术组合，核心功能为模拟浏览器操作以突破淘宝反爬机制，实现商品详情页的分页爬取与9个核心字段的精准提取；同时支持链接去重、随机延迟及异常捕获，保障爬取过程稳定，最终输出原始CSV数据。</w:t>
      </w:r>
    </w:p>
    <w:p w14:paraId="0CA772B4">
      <w:pPr>
        <w:spacing w:before="62" w:beforeLines="20" w:line="440" w:lineRule="exact"/>
        <w:ind w:firstLine="420"/>
        <w:outlineLvl w:val="9"/>
        <w:rPr>
          <w:rFonts w:hint="eastAsia" w:ascii="宋体" w:hAnsi="宋体" w:cs="宋体"/>
          <w:sz w:val="24"/>
        </w:rPr>
      </w:pPr>
      <w:bookmarkStart w:id="1403" w:name="_Toc9568"/>
      <w:r>
        <w:rPr>
          <w:rFonts w:hint="eastAsia" w:ascii="宋体" w:hAnsi="宋体" w:cs="宋体"/>
          <w:sz w:val="24"/>
        </w:rPr>
        <w:t>3.2.2 文档持久化模块</w:t>
      </w:r>
      <w:bookmarkEnd w:id="1403"/>
    </w:p>
    <w:p w14:paraId="0EE827BB">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模块基于Python+CSV模块开发，可通过UTF-8-sig编码创建标准化CSV文件，采用逐行追加方式写入爬取数据，并标注数据来源、爬取时间等元数据信息，有效保障数据的可读性与完整性。</w:t>
      </w:r>
    </w:p>
    <w:p w14:paraId="7B48D738">
      <w:pPr>
        <w:spacing w:line="440" w:lineRule="exact"/>
        <w:ind w:firstLine="420" w:firstLineChars="0"/>
        <w:outlineLvl w:val="9"/>
        <w:rPr>
          <w:rFonts w:hint="eastAsia" w:ascii="宋体" w:hAnsi="宋体" w:cs="宋体"/>
          <w:sz w:val="24"/>
        </w:rPr>
      </w:pPr>
      <w:bookmarkStart w:id="1404" w:name="_Toc9983"/>
      <w:r>
        <w:rPr>
          <w:rFonts w:hint="eastAsia" w:ascii="宋体" w:hAnsi="宋体" w:cs="宋体"/>
          <w:sz w:val="24"/>
        </w:rPr>
        <w:t>3.2.3 数据清洗模块</w:t>
      </w:r>
      <w:bookmarkEnd w:id="1404"/>
    </w:p>
    <w:p w14:paraId="34757894">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依托Python+pandas+正则表达式技术，模块可加载原始数据并完成多维度清洗：针对缺失值实施核心字段缺失删除、非核心字段填充处理，基于商品ID去重消除重复值，过滤无效数值清理异常值；同时完成时间格式标准化、销售量数值化及商品特征词提取，最终输出清洗后数据与清洗报告。</w:t>
      </w:r>
    </w:p>
    <w:p w14:paraId="199F9BB6">
      <w:pPr>
        <w:spacing w:line="440" w:lineRule="exact"/>
        <w:ind w:firstLine="420"/>
        <w:outlineLvl w:val="9"/>
        <w:rPr>
          <w:rFonts w:hint="eastAsia" w:ascii="宋体" w:hAnsi="宋体" w:cs="宋体"/>
          <w:sz w:val="24"/>
        </w:rPr>
      </w:pPr>
      <w:r>
        <w:rPr>
          <w:rFonts w:hint="eastAsia" w:ascii="宋体" w:hAnsi="宋体" w:cs="宋体"/>
          <w:sz w:val="24"/>
        </w:rPr>
        <w:t>3.2.4 MySQL写入模块</w:t>
      </w:r>
    </w:p>
    <w:p w14:paraId="1B2555B5">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采用Python+pymysql+MySQL技术架构，模块能够创建适配的数据表结构，读取清洗后的CSV数据并批量插入MySQL数据库；同时执行SQL查询校验数据完整性，输出写入校验报告，确保数据入库准确可靠。</w:t>
      </w:r>
    </w:p>
    <w:p w14:paraId="0255CA43">
      <w:pPr>
        <w:spacing w:line="440" w:lineRule="exact"/>
        <w:ind w:firstLine="420"/>
        <w:outlineLvl w:val="9"/>
        <w:rPr>
          <w:rFonts w:hint="eastAsia" w:ascii="宋体" w:hAnsi="宋体" w:cs="宋体"/>
          <w:sz w:val="24"/>
        </w:rPr>
      </w:pPr>
      <w:bookmarkStart w:id="1405" w:name="_Toc29748"/>
      <w:r>
        <w:rPr>
          <w:rFonts w:hint="eastAsia" w:ascii="宋体" w:hAnsi="宋体" w:cs="宋体"/>
          <w:sz w:val="24"/>
        </w:rPr>
        <w:t>3.2.5 数据分析模块</w:t>
      </w:r>
      <w:bookmarkEnd w:id="1405"/>
    </w:p>
    <w:p w14:paraId="303D2716">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基于Python+pandas+numpy+正则表达式技术，模块开展基础统计、商品类别、店铺类型、时间趋势、销售表现、用户评价、关键词特征、使用人群八大维度的深度分析，精准提炼核心业务结论，为后续决策提供数据支撑。</w:t>
      </w:r>
    </w:p>
    <w:p w14:paraId="35113A0E">
      <w:pPr>
        <w:spacing w:before="62" w:beforeLines="20" w:line="440" w:lineRule="exact"/>
        <w:ind w:firstLine="420"/>
        <w:outlineLvl w:val="9"/>
        <w:rPr>
          <w:rFonts w:hint="eastAsia" w:ascii="宋体" w:hAnsi="宋体" w:cs="宋体"/>
          <w:sz w:val="24"/>
        </w:rPr>
      </w:pPr>
      <w:bookmarkStart w:id="1406" w:name="_Toc18270"/>
      <w:r>
        <w:rPr>
          <w:rFonts w:hint="eastAsia" w:ascii="宋体" w:hAnsi="宋体" w:cs="宋体"/>
          <w:sz w:val="24"/>
        </w:rPr>
        <w:t>3.2.6 数据预测模块</w:t>
      </w:r>
      <w:bookmarkEnd w:id="1406"/>
    </w:p>
    <w:p w14:paraId="70ED0B5E">
      <w:pPr>
        <w:spacing w:line="440" w:lineRule="exact"/>
        <w:ind w:firstLine="480" w:firstLineChars="200"/>
        <w:outlineLvl w:val="9"/>
        <w:rPr>
          <w:rFonts w:hint="eastAsia" w:ascii="宋体" w:hAnsi="宋体" w:eastAsia="宋体" w:cs="宋体"/>
          <w:sz w:val="24"/>
        </w:rPr>
      </w:pPr>
      <w:r>
        <w:rPr>
          <w:rFonts w:hint="eastAsia" w:ascii="宋体" w:hAnsi="宋体" w:cs="宋体"/>
          <w:sz w:val="24"/>
        </w:rPr>
        <w:t>模块以Python+scikit-learn+matplotlib为核心技术，构建随机森林二分类模型，基于商品类别、店铺类型、上架季节等特征预测商品“卖得动”概率；同时挖掘核心推广规则，输出预测结果与可视化分析图。</w:t>
      </w:r>
    </w:p>
    <w:p w14:paraId="50D9FEA6">
      <w:pPr>
        <w:spacing w:before="62" w:beforeLines="20" w:line="440" w:lineRule="exact"/>
        <w:ind w:firstLine="420"/>
        <w:outlineLvl w:val="9"/>
        <w:rPr>
          <w:rFonts w:hint="eastAsia" w:ascii="宋体" w:hAnsi="宋体" w:cs="宋体"/>
          <w:sz w:val="24"/>
        </w:rPr>
      </w:pPr>
      <w:bookmarkStart w:id="1407" w:name="_Toc30285"/>
      <w:r>
        <w:rPr>
          <w:rFonts w:hint="eastAsia" w:ascii="宋体" w:hAnsi="宋体" w:cs="宋体"/>
          <w:sz w:val="24"/>
        </w:rPr>
        <w:t>3.2.7 数据可视化模块</w:t>
      </w:r>
      <w:bookmarkEnd w:id="1407"/>
    </w:p>
    <w:p w14:paraId="560AF68D">
      <w:pPr>
        <w:spacing w:line="440" w:lineRule="exact"/>
        <w:ind w:firstLine="480" w:firstLineChars="200"/>
        <w:outlineLvl w:val="9"/>
        <w:rPr>
          <w:rFonts w:hint="eastAsia" w:ascii="宋体" w:hAnsi="宋体" w:cs="宋体"/>
          <w:sz w:val="24"/>
        </w:rPr>
      </w:pPr>
      <w:r>
        <w:rPr>
          <w:rFonts w:hint="eastAsia" w:ascii="宋体" w:hAnsi="宋体" w:cs="宋体"/>
          <w:sz w:val="24"/>
        </w:rPr>
        <w:t>采用Python+pymysql+山海鲸可视化技术，模块可直接连接MySQL数据库，绘制词频分布图、玫瑰饼图、曲线面积图等9类图表，标注核心数据与业务解读，最终输出直观的可视化成果。</w:t>
      </w:r>
    </w:p>
    <w:p w14:paraId="7DA16DAA">
      <w:pPr>
        <w:spacing w:line="440" w:lineRule="exact"/>
        <w:outlineLvl w:val="9"/>
        <w:rPr>
          <w:rFonts w:hint="eastAsia" w:ascii="宋体" w:hAnsi="宋体" w:cs="宋体"/>
          <w:b/>
          <w:bCs/>
          <w:kern w:val="44"/>
          <w:sz w:val="28"/>
          <w:szCs w:val="28"/>
        </w:rPr>
      </w:pPr>
      <w:bookmarkStart w:id="1408" w:name="_Toc22333"/>
      <w:bookmarkStart w:id="1409" w:name="_Toc13611"/>
      <w:r>
        <w:rPr>
          <w:rFonts w:hint="eastAsia" w:ascii="宋体" w:hAnsi="宋体" w:cs="宋体"/>
          <w:b/>
          <w:bCs/>
          <w:kern w:val="44"/>
          <w:sz w:val="28"/>
          <w:szCs w:val="28"/>
        </w:rPr>
        <w:t>4 系统功能及使用说明</w:t>
      </w:r>
      <w:bookmarkEnd w:id="1408"/>
      <w:bookmarkEnd w:id="1409"/>
    </w:p>
    <w:p w14:paraId="34F908EC">
      <w:pPr>
        <w:spacing w:line="440" w:lineRule="exact"/>
        <w:ind w:firstLine="420"/>
        <w:outlineLvl w:val="9"/>
        <w:rPr>
          <w:rFonts w:hint="eastAsia" w:ascii="宋体" w:hAnsi="宋体" w:cs="宋体"/>
          <w:sz w:val="24"/>
        </w:rPr>
      </w:pPr>
      <w:bookmarkStart w:id="1410" w:name="_Toc1730"/>
      <w:bookmarkStart w:id="1411" w:name="_Toc30214"/>
      <w:r>
        <w:rPr>
          <w:rFonts w:hint="eastAsia" w:ascii="宋体" w:hAnsi="宋体" w:cs="宋体"/>
          <w:sz w:val="24"/>
        </w:rPr>
        <w:t>4.1 系统概述</w:t>
      </w:r>
      <w:bookmarkEnd w:id="1410"/>
      <w:bookmarkEnd w:id="1411"/>
    </w:p>
    <w:p w14:paraId="50D80A71">
      <w:pPr>
        <w:spacing w:before="62" w:beforeLines="20" w:line="440" w:lineRule="exact"/>
        <w:ind w:firstLine="480" w:firstLineChars="200"/>
        <w:outlineLvl w:val="9"/>
        <w:rPr>
          <w:rFonts w:hint="eastAsia" w:ascii="宋体" w:hAnsi="宋体" w:cs="宋体"/>
          <w:sz w:val="24"/>
        </w:rPr>
      </w:pPr>
      <w:r>
        <w:rPr>
          <w:rFonts w:hint="eastAsia" w:ascii="宋体" w:hAnsi="宋体" w:cs="宋体"/>
          <w:sz w:val="24"/>
        </w:rPr>
        <w:t>本系统核心目标为支撑波司登羽绒服淘宝电商渠道业务决策，围绕“数据获取-数据治理-数据洞察-数据预测-数据可视化”全流程构建，实现从淘宝平台商品数据爬取，到数据清洗标准化，再到多维度数据分析、销售潜力预测，最终通过可视化大屏直观呈现业务生态的完整闭环。系统各模块均配备明确的参数配置规则、操作步骤及异常处理机制，保障数据处理的规范性与结果的可靠性。</w:t>
      </w:r>
    </w:p>
    <w:p w14:paraId="0B15808C">
      <w:pPr>
        <w:spacing w:line="440" w:lineRule="exact"/>
        <w:ind w:firstLine="420"/>
        <w:outlineLvl w:val="9"/>
        <w:rPr>
          <w:rFonts w:hint="eastAsia" w:ascii="宋体" w:hAnsi="宋体" w:cs="宋体"/>
          <w:sz w:val="24"/>
        </w:rPr>
      </w:pPr>
      <w:bookmarkStart w:id="1412" w:name="_Toc21467"/>
      <w:bookmarkStart w:id="1413" w:name="_Toc22732"/>
      <w:r>
        <w:rPr>
          <w:rFonts w:hint="eastAsia" w:ascii="宋体" w:hAnsi="宋体" w:cs="宋体"/>
          <w:sz w:val="24"/>
        </w:rPr>
        <w:t>4.2 数据爬取功能</w:t>
      </w:r>
      <w:bookmarkEnd w:id="1412"/>
      <w:bookmarkEnd w:id="1413"/>
    </w:p>
    <w:p w14:paraId="52F13920">
      <w:pPr>
        <w:spacing w:line="440" w:lineRule="exact"/>
        <w:ind w:firstLine="420"/>
        <w:outlineLvl w:val="9"/>
        <w:rPr>
          <w:rFonts w:hint="eastAsia" w:ascii="宋体" w:hAnsi="宋体" w:cs="宋体"/>
          <w:sz w:val="24"/>
        </w:rPr>
      </w:pPr>
      <w:bookmarkStart w:id="1414" w:name="_Toc8611"/>
      <w:r>
        <w:rPr>
          <w:rFonts w:hint="eastAsia" w:ascii="宋体" w:hAnsi="宋体" w:cs="宋体"/>
          <w:sz w:val="24"/>
        </w:rPr>
        <w:t>4.2.1 爬取参数配置</w:t>
      </w:r>
      <w:bookmarkEnd w:id="1414"/>
    </w:p>
    <w:p w14:paraId="0B29584B">
      <w:pPr>
        <w:widowControl/>
        <w:spacing w:line="440" w:lineRule="exact"/>
        <w:ind w:firstLine="420" w:firstLineChars="200"/>
        <w:jc w:val="center"/>
        <w:rPr>
          <w:rFonts w:hint="eastAsia" w:ascii="宋体" w:hAnsi="宋体" w:cs="宋体"/>
          <w:sz w:val="24"/>
        </w:rPr>
      </w:pPr>
      <w:r>
        <w:rPr>
          <w:rFonts w:hint="eastAsia" w:ascii="宋体" w:hAnsi="宋体"/>
          <w:color w:val="000000"/>
          <w:kern w:val="0"/>
          <w:szCs w:val="21"/>
        </w:rPr>
        <w:t>表4-1 核心配置项及说明</w:t>
      </w:r>
    </w:p>
    <w:tbl>
      <w:tblPr>
        <w:tblStyle w:val="35"/>
        <w:tblW w:w="9040" w:type="dxa"/>
        <w:tblInd w:w="-105"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1680"/>
        <w:gridCol w:w="3310"/>
        <w:gridCol w:w="4050"/>
      </w:tblGrid>
      <w:tr w14:paraId="52A4A539">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1680" w:type="dxa"/>
            <w:tcBorders>
              <w:top w:val="single" w:color="auto" w:sz="12" w:space="0"/>
              <w:left w:val="nil"/>
              <w:bottom w:val="single" w:color="auto" w:sz="4" w:space="0"/>
              <w:right w:val="nil"/>
            </w:tcBorders>
            <w:shd w:val="clear" w:color="auto" w:fill="FFFFFF" w:themeFill="background1"/>
            <w:tcMar>
              <w:top w:w="144" w:type="dxa"/>
              <w:left w:w="216" w:type="dxa"/>
              <w:bottom w:w="144" w:type="dxa"/>
              <w:right w:w="216" w:type="dxa"/>
            </w:tcMar>
            <w:vAlign w:val="center"/>
          </w:tcPr>
          <w:p w14:paraId="4C2CFCA7">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配置项</w:t>
            </w:r>
          </w:p>
        </w:tc>
        <w:tc>
          <w:tcPr>
            <w:tcW w:w="3310" w:type="dxa"/>
            <w:tcBorders>
              <w:top w:val="single" w:color="auto" w:sz="12" w:space="0"/>
              <w:left w:val="nil"/>
              <w:bottom w:val="single" w:color="auto" w:sz="4" w:space="0"/>
              <w:right w:val="nil"/>
            </w:tcBorders>
            <w:shd w:val="clear" w:color="auto" w:fill="FFFFFF" w:themeFill="background1"/>
            <w:tcMar>
              <w:top w:w="144" w:type="dxa"/>
              <w:left w:w="216" w:type="dxa"/>
              <w:bottom w:w="144" w:type="dxa"/>
              <w:right w:w="216" w:type="dxa"/>
            </w:tcMar>
            <w:vAlign w:val="center"/>
          </w:tcPr>
          <w:p w14:paraId="74E5707A">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取值/设置</w:t>
            </w:r>
          </w:p>
        </w:tc>
        <w:tc>
          <w:tcPr>
            <w:tcW w:w="4050" w:type="dxa"/>
            <w:tcBorders>
              <w:top w:val="single" w:color="auto" w:sz="12" w:space="0"/>
              <w:left w:val="nil"/>
              <w:bottom w:val="single" w:color="auto" w:sz="4" w:space="0"/>
              <w:right w:val="nil"/>
            </w:tcBorders>
            <w:shd w:val="clear" w:color="auto" w:fill="FFFFFF" w:themeFill="background1"/>
            <w:tcMar>
              <w:top w:w="144" w:type="dxa"/>
              <w:left w:w="216" w:type="dxa"/>
              <w:bottom w:w="144" w:type="dxa"/>
              <w:right w:w="216" w:type="dxa"/>
            </w:tcMar>
            <w:vAlign w:val="center"/>
          </w:tcPr>
          <w:p w14:paraId="2118E20C">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说明</w:t>
            </w:r>
          </w:p>
        </w:tc>
      </w:tr>
      <w:tr w14:paraId="77DAE07E">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80" w:type="dxa"/>
            <w:tcBorders>
              <w:top w:val="single" w:color="auto" w:sz="4" w:space="0"/>
              <w:left w:val="nil"/>
              <w:bottom w:val="nil"/>
              <w:right w:val="nil"/>
            </w:tcBorders>
            <w:shd w:val="clear" w:color="auto" w:fill="FFFFFF" w:themeFill="background1"/>
            <w:tcMar>
              <w:top w:w="144" w:type="dxa"/>
              <w:left w:w="216" w:type="dxa"/>
              <w:bottom w:w="144" w:type="dxa"/>
              <w:right w:w="216" w:type="dxa"/>
            </w:tcMar>
            <w:vAlign w:val="center"/>
          </w:tcPr>
          <w:p w14:paraId="116364C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爬取页数</w:t>
            </w:r>
          </w:p>
        </w:tc>
        <w:tc>
          <w:tcPr>
            <w:tcW w:w="3310" w:type="dxa"/>
            <w:tcBorders>
              <w:top w:val="single" w:color="auto" w:sz="4" w:space="0"/>
              <w:left w:val="nil"/>
              <w:bottom w:val="nil"/>
              <w:right w:val="nil"/>
            </w:tcBorders>
            <w:shd w:val="clear" w:color="auto" w:fill="FFFFFF" w:themeFill="background1"/>
            <w:tcMar>
              <w:top w:w="144" w:type="dxa"/>
              <w:left w:w="216" w:type="dxa"/>
              <w:bottom w:w="144" w:type="dxa"/>
              <w:right w:w="216" w:type="dxa"/>
            </w:tcMar>
            <w:vAlign w:val="center"/>
          </w:tcPr>
          <w:p w14:paraId="2D1D334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total_pages=58</w:t>
            </w:r>
          </w:p>
        </w:tc>
        <w:tc>
          <w:tcPr>
            <w:tcW w:w="4050" w:type="dxa"/>
            <w:tcBorders>
              <w:top w:val="single" w:color="auto" w:sz="4" w:space="0"/>
              <w:left w:val="nil"/>
              <w:bottom w:val="nil"/>
              <w:right w:val="nil"/>
            </w:tcBorders>
            <w:shd w:val="clear" w:color="auto" w:fill="FFFFFF" w:themeFill="background1"/>
            <w:tcMar>
              <w:top w:w="144" w:type="dxa"/>
              <w:left w:w="216" w:type="dxa"/>
              <w:bottom w:w="144" w:type="dxa"/>
              <w:right w:w="216" w:type="dxa"/>
            </w:tcMar>
            <w:vAlign w:val="center"/>
          </w:tcPr>
          <w:p w14:paraId="54450B99">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可自定义调整，页数越多数据量越大</w:t>
            </w:r>
          </w:p>
        </w:tc>
      </w:tr>
      <w:tr w14:paraId="02775911">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22E341E7">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等待时间</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036405C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WebDriverWait=20秒</w:t>
            </w:r>
          </w:p>
        </w:tc>
        <w:tc>
          <w:tcPr>
            <w:tcW w:w="405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2F3E4204">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适配淘宝页面加载速度，避免元素未加载导致解析失败</w:t>
            </w:r>
          </w:p>
        </w:tc>
      </w:tr>
      <w:tr w14:paraId="0D7D089A">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37A08AD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随机延迟</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24FB0D49">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random.randint(3,6)秒</w:t>
            </w:r>
          </w:p>
        </w:tc>
        <w:tc>
          <w:tcPr>
            <w:tcW w:w="405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4E39765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模拟人工访问频率，降低反爬风险</w:t>
            </w:r>
          </w:p>
        </w:tc>
      </w:tr>
      <w:tr w14:paraId="7418A774">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8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10BFA323">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CSV编码</w:t>
            </w:r>
          </w:p>
        </w:tc>
        <w:tc>
          <w:tcPr>
            <w:tcW w:w="331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22E2291E">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utf-8-sig</w:t>
            </w:r>
          </w:p>
        </w:tc>
        <w:tc>
          <w:tcPr>
            <w:tcW w:w="4050" w:type="dxa"/>
            <w:tcBorders>
              <w:top w:val="nil"/>
              <w:left w:val="nil"/>
              <w:bottom w:val="nil"/>
              <w:right w:val="nil"/>
            </w:tcBorders>
            <w:shd w:val="clear" w:color="auto" w:fill="FFFFFF" w:themeFill="background1"/>
            <w:tcMar>
              <w:top w:w="144" w:type="dxa"/>
              <w:left w:w="216" w:type="dxa"/>
              <w:bottom w:w="144" w:type="dxa"/>
              <w:right w:w="216" w:type="dxa"/>
            </w:tcMar>
            <w:vAlign w:val="center"/>
          </w:tcPr>
          <w:p w14:paraId="59502E9A">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解决Excel打开CSV中文乱码问题</w:t>
            </w:r>
          </w:p>
        </w:tc>
      </w:tr>
      <w:tr w14:paraId="3B0A67A3">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80"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70DD015A">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浏览器配置</w:t>
            </w:r>
          </w:p>
        </w:tc>
        <w:tc>
          <w:tcPr>
            <w:tcW w:w="3310"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6989CF6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禁用自动化特征、GPU、冗余扩展等</w:t>
            </w:r>
          </w:p>
        </w:tc>
        <w:tc>
          <w:tcPr>
            <w:tcW w:w="4050" w:type="dxa"/>
            <w:tcBorders>
              <w:top w:val="nil"/>
              <w:left w:val="nil"/>
              <w:bottom w:val="single" w:color="auto" w:sz="12" w:space="0"/>
              <w:right w:val="nil"/>
            </w:tcBorders>
            <w:shd w:val="clear" w:color="auto" w:fill="FFFFFF" w:themeFill="background1"/>
            <w:tcMar>
              <w:top w:w="144" w:type="dxa"/>
              <w:left w:w="216" w:type="dxa"/>
              <w:bottom w:w="144" w:type="dxa"/>
              <w:right w:w="216" w:type="dxa"/>
            </w:tcMar>
            <w:vAlign w:val="center"/>
          </w:tcPr>
          <w:p w14:paraId="66E6B06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规避淘宝反爬检测，提升爬取稳定性</w:t>
            </w:r>
          </w:p>
        </w:tc>
      </w:tr>
    </w:tbl>
    <w:p w14:paraId="1936BA99">
      <w:pPr>
        <w:spacing w:line="440" w:lineRule="exact"/>
        <w:ind w:firstLine="420"/>
        <w:outlineLvl w:val="9"/>
        <w:rPr>
          <w:rFonts w:hint="eastAsia" w:ascii="宋体" w:hAnsi="宋体" w:cs="宋体"/>
          <w:sz w:val="24"/>
        </w:rPr>
      </w:pPr>
      <w:bookmarkStart w:id="1415" w:name="_Toc26883"/>
      <w:r>
        <w:rPr>
          <w:rFonts w:hint="eastAsia" w:ascii="宋体" w:hAnsi="宋体" w:cs="宋体"/>
          <w:sz w:val="24"/>
        </w:rPr>
        <w:t>4.2.2 字段提取规则</w:t>
      </w:r>
      <w:bookmarkEnd w:id="1415"/>
    </w:p>
    <w:p w14:paraId="63A14603">
      <w:pPr>
        <w:widowControl/>
        <w:spacing w:line="440" w:lineRule="exact"/>
        <w:ind w:firstLine="420" w:firstLineChars="200"/>
        <w:jc w:val="center"/>
        <w:rPr>
          <w:rFonts w:hint="eastAsia" w:ascii="宋体" w:hAnsi="宋体" w:cs="宋体"/>
          <w:sz w:val="24"/>
        </w:rPr>
      </w:pPr>
      <w:r>
        <w:rPr>
          <w:rFonts w:hint="eastAsia" w:ascii="宋体" w:hAnsi="宋体"/>
          <w:color w:val="000000"/>
          <w:kern w:val="0"/>
          <w:szCs w:val="21"/>
        </w:rPr>
        <w:t>表4-2 核心字段提取规则</w:t>
      </w:r>
    </w:p>
    <w:tbl>
      <w:tblPr>
        <w:tblStyle w:val="35"/>
        <w:tblW w:w="9080" w:type="dxa"/>
        <w:tblInd w:w="-155"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1650"/>
        <w:gridCol w:w="5140"/>
        <w:gridCol w:w="2290"/>
      </w:tblGrid>
      <w:tr w14:paraId="30CEDF60">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1650" w:type="dxa"/>
            <w:tcBorders>
              <w:top w:val="single" w:color="000000" w:sz="12" w:space="0"/>
              <w:left w:val="nil"/>
              <w:bottom w:val="single" w:color="000000" w:sz="4" w:space="0"/>
              <w:right w:val="nil"/>
              <w:tl2br w:val="nil"/>
            </w:tcBorders>
            <w:shd w:val="clear" w:color="auto" w:fill="FFFFFF"/>
            <w:tcMar>
              <w:top w:w="144" w:type="dxa"/>
              <w:left w:w="216" w:type="dxa"/>
              <w:bottom w:w="144" w:type="dxa"/>
              <w:right w:w="216" w:type="dxa"/>
            </w:tcMar>
            <w:vAlign w:val="center"/>
          </w:tcPr>
          <w:p w14:paraId="3D07D767">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字段名称</w:t>
            </w:r>
          </w:p>
        </w:tc>
        <w:tc>
          <w:tcPr>
            <w:tcW w:w="5140" w:type="dxa"/>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70DF5CFC">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提取优先级 / 规则</w:t>
            </w:r>
          </w:p>
        </w:tc>
        <w:tc>
          <w:tcPr>
            <w:tcW w:w="2290" w:type="dxa"/>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43FF3631">
            <w:pPr>
              <w:widowControl/>
              <w:snapToGrid w:val="0"/>
              <w:jc w:val="center"/>
              <w:rPr>
                <w:rFonts w:hint="eastAsia" w:ascii="宋体" w:hAnsi="宋体"/>
                <w:b/>
                <w:color w:val="000000"/>
                <w:kern w:val="0"/>
                <w:sz w:val="18"/>
                <w:szCs w:val="18"/>
              </w:rPr>
            </w:pPr>
            <w:r>
              <w:rPr>
                <w:rFonts w:hint="eastAsia" w:ascii="宋体" w:hAnsi="宋体"/>
                <w:b/>
                <w:color w:val="000000"/>
                <w:kern w:val="0"/>
                <w:sz w:val="18"/>
                <w:szCs w:val="18"/>
              </w:rPr>
              <w:t>兜底方案</w:t>
            </w:r>
          </w:p>
        </w:tc>
      </w:tr>
      <w:tr w14:paraId="45277B3A">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0B5C3D1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商品ID</w:t>
            </w:r>
          </w:p>
        </w:tc>
        <w:tc>
          <w:tcPr>
            <w:tcW w:w="514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6CA085AD">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从链接中正则提取id=(\d+)</w:t>
            </w:r>
          </w:p>
        </w:tc>
        <w:tc>
          <w:tcPr>
            <w:tcW w:w="229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65353462">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填充“未知ID-随机数”</w:t>
            </w:r>
          </w:p>
        </w:tc>
      </w:tr>
      <w:tr w14:paraId="34C7EAD9">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16AF41EE">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商品名称</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5C81037A">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1.tbpcDetail_SkuPanelBody标题→2..item-title→3.tb-detail-hd h1→其他</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5C6F4C1D">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填充“无”</w:t>
            </w:r>
          </w:p>
        </w:tc>
      </w:tr>
      <w:tr w14:paraId="6E3EFB29">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7489596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店铺名称</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5437A4B3">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1.left-content-area店铺链接→2.含</w:t>
            </w:r>
            <w:r>
              <w:fldChar w:fldCharType="begin"/>
            </w:r>
            <w:r>
              <w:instrText xml:space="preserve"> HYPERLINK "https://shop.taobao.com/" \t "https://www.doubao.com/chat/_blank" </w:instrText>
            </w:r>
            <w:r>
              <w:fldChar w:fldCharType="separate"/>
            </w:r>
            <w:r>
              <w:rPr>
                <w:rFonts w:hint="eastAsia" w:ascii="宋体" w:hAnsi="宋体"/>
                <w:bCs/>
                <w:color w:val="000000"/>
                <w:kern w:val="0"/>
                <w:sz w:val="18"/>
                <w:szCs w:val="18"/>
              </w:rPr>
              <w:t>shop.taobao.com</w:t>
            </w:r>
            <w:r>
              <w:rPr>
                <w:rFonts w:hint="eastAsia" w:ascii="宋体" w:hAnsi="宋体"/>
                <w:bCs/>
                <w:color w:val="000000"/>
                <w:kern w:val="0"/>
                <w:sz w:val="18"/>
                <w:szCs w:val="18"/>
              </w:rPr>
              <w:fldChar w:fldCharType="end"/>
            </w:r>
            <w:r>
              <w:rPr>
                <w:rFonts w:hint="eastAsia" w:ascii="宋体" w:hAnsi="宋体"/>
                <w:bCs/>
                <w:color w:val="000000"/>
                <w:kern w:val="0"/>
                <w:sz w:val="18"/>
                <w:szCs w:val="18"/>
              </w:rPr>
              <w:t>的链接文本</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75B65099">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填充“无”</w:t>
            </w:r>
          </w:p>
        </w:tc>
      </w:tr>
      <w:tr w14:paraId="75C6624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01363E39">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商品类别</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18FDBA98">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1.面包屑最后一级→2.商品名称关键词推断（童装/女士/男士等）</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58EC214D">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填充“羽绒服”</w:t>
            </w:r>
          </w:p>
        </w:tc>
      </w:tr>
      <w:tr w14:paraId="5D23987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56B4EAC0">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销售量</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759EA0FD">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1.tbpcDetail_SkuPanelBody销售量→2..J_price→3..tm-price→其他</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6192F08F">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填充“无”</w:t>
            </w:r>
          </w:p>
        </w:tc>
      </w:tr>
      <w:tr w14:paraId="07AA2D7F">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399C99AB">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好评率</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47C014CE">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1.含“好评率”文本的数值→2.好评率相关元素的数值</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2EEAFAF4">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填充“无”</w:t>
            </w:r>
          </w:p>
        </w:tc>
      </w:tr>
      <w:tr w14:paraId="07DCEA52">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26A02639">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适用人群</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68E71E50">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1.参数区“适用人群/适用对象”→2.商品名称关键词推断（儿童/女士/男士等）</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0582D974">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填充“通用”</w:t>
            </w:r>
          </w:p>
        </w:tc>
      </w:tr>
      <w:tr w14:paraId="46520E37">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nil"/>
              <w:right w:val="nil"/>
            </w:tcBorders>
            <w:shd w:val="clear" w:color="auto" w:fill="FFFFFF"/>
            <w:tcMar>
              <w:top w:w="144" w:type="dxa"/>
              <w:left w:w="216" w:type="dxa"/>
              <w:bottom w:w="144" w:type="dxa"/>
              <w:right w:w="216" w:type="dxa"/>
            </w:tcMar>
            <w:vAlign w:val="center"/>
          </w:tcPr>
          <w:p w14:paraId="41160196">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上架时间</w:t>
            </w:r>
          </w:p>
        </w:tc>
        <w:tc>
          <w:tcPr>
            <w:tcW w:w="5140" w:type="dxa"/>
            <w:tcBorders>
              <w:top w:val="nil"/>
              <w:left w:val="nil"/>
              <w:bottom w:val="nil"/>
              <w:right w:val="nil"/>
            </w:tcBorders>
            <w:shd w:val="clear" w:color="auto" w:fill="FFFFFF"/>
            <w:tcMar>
              <w:top w:w="144" w:type="dxa"/>
              <w:left w:w="216" w:type="dxa"/>
              <w:bottom w:w="144" w:type="dxa"/>
              <w:right w:w="216" w:type="dxa"/>
            </w:tcMar>
            <w:vAlign w:val="center"/>
          </w:tcPr>
          <w:p w14:paraId="0447C15F">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1.参数区“上市时间/上架时间”→2.商品名称提取202x年份</w:t>
            </w:r>
          </w:p>
        </w:tc>
        <w:tc>
          <w:tcPr>
            <w:tcW w:w="2290" w:type="dxa"/>
            <w:tcBorders>
              <w:top w:val="nil"/>
              <w:left w:val="nil"/>
              <w:bottom w:val="nil"/>
              <w:right w:val="nil"/>
            </w:tcBorders>
            <w:shd w:val="clear" w:color="auto" w:fill="FFFFFF"/>
            <w:tcMar>
              <w:top w:w="144" w:type="dxa"/>
              <w:left w:w="216" w:type="dxa"/>
              <w:bottom w:w="144" w:type="dxa"/>
              <w:right w:w="216" w:type="dxa"/>
            </w:tcMar>
            <w:vAlign w:val="center"/>
          </w:tcPr>
          <w:p w14:paraId="4FD1FFE0">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填充“未知”</w:t>
            </w:r>
          </w:p>
        </w:tc>
      </w:tr>
      <w:tr w14:paraId="176A0A9A">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165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54F825A7">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店铺类型</w:t>
            </w:r>
          </w:p>
        </w:tc>
        <w:tc>
          <w:tcPr>
            <w:tcW w:w="514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4EC9510F">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店铺名称关键词匹配（旗舰店→企业店→奥莱店→正品店→专营店→普通店）</w:t>
            </w:r>
          </w:p>
        </w:tc>
        <w:tc>
          <w:tcPr>
            <w:tcW w:w="229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1C377AAD">
            <w:pPr>
              <w:widowControl/>
              <w:snapToGrid w:val="0"/>
              <w:jc w:val="center"/>
              <w:rPr>
                <w:rFonts w:hint="eastAsia" w:ascii="宋体" w:hAnsi="宋体"/>
                <w:bCs/>
                <w:color w:val="000000"/>
                <w:kern w:val="0"/>
                <w:sz w:val="18"/>
                <w:szCs w:val="18"/>
              </w:rPr>
            </w:pPr>
            <w:r>
              <w:rPr>
                <w:rFonts w:hint="eastAsia" w:ascii="宋体" w:hAnsi="宋体"/>
                <w:bCs/>
                <w:color w:val="000000"/>
                <w:kern w:val="0"/>
                <w:sz w:val="18"/>
                <w:szCs w:val="18"/>
              </w:rPr>
              <w:t>填充“普通店”</w:t>
            </w:r>
          </w:p>
        </w:tc>
      </w:tr>
    </w:tbl>
    <w:p w14:paraId="5A2581EC">
      <w:pPr>
        <w:spacing w:line="440" w:lineRule="exact"/>
        <w:ind w:firstLine="420"/>
        <w:outlineLvl w:val="9"/>
        <w:rPr>
          <w:rFonts w:hint="eastAsia" w:ascii="宋体" w:hAnsi="宋体" w:cs="宋体"/>
          <w:sz w:val="24"/>
        </w:rPr>
      </w:pPr>
      <w:bookmarkStart w:id="1416" w:name="_Toc20719"/>
      <w:r>
        <w:rPr>
          <w:rFonts w:hint="eastAsia" w:ascii="宋体" w:hAnsi="宋体" w:cs="宋体"/>
          <w:sz w:val="24"/>
        </w:rPr>
        <w:t>4.2.3 使用步骤</w:t>
      </w:r>
      <w:bookmarkEnd w:id="1416"/>
    </w:p>
    <w:p w14:paraId="6BF61B9D">
      <w:pPr>
        <w:spacing w:line="440" w:lineRule="exact"/>
        <w:ind w:firstLine="420"/>
        <w:outlineLvl w:val="9"/>
        <w:rPr>
          <w:rFonts w:hint="eastAsia" w:ascii="宋体" w:hAnsi="宋体" w:cs="宋体"/>
          <w:sz w:val="24"/>
        </w:rPr>
      </w:pPr>
      <w:r>
        <w:rPr>
          <w:rFonts w:hint="eastAsia" w:ascii="宋体" w:hAnsi="宋体" w:cs="宋体"/>
          <w:sz w:val="24"/>
        </w:rPr>
        <w:t>使用前先完成环境准备，安装Chrome浏览器及对应版本的ChromeDriver，同时配置Python 环境并安装Selenium、pandas 等依赖库；接着调整脚本参数，修改爬取页数、等待时间等内容，确认ChromeDriver路径准确无误。完成配置后运行脚本，手动完成淘宝账号登录验证，登录成功后脚本将自动分页爬取商品数据并实时写入CSV文件。爬取过程中可通过控制台日志查看进度，若遭遇反爬拦截，完成手动验证后重新运行脚本即可；爬取结束后，核对CSV文件的数据量、字段完整性及中文编码是否正常，确保原始数据可用。</w:t>
      </w:r>
    </w:p>
    <w:p w14:paraId="5B8E50EB">
      <w:pPr>
        <w:spacing w:line="440" w:lineRule="exact"/>
        <w:ind w:firstLine="420"/>
        <w:outlineLvl w:val="9"/>
        <w:rPr>
          <w:rFonts w:hint="eastAsia" w:ascii="宋体" w:hAnsi="宋体" w:cs="宋体"/>
          <w:sz w:val="24"/>
        </w:rPr>
      </w:pPr>
      <w:bookmarkStart w:id="1417" w:name="_Toc11893"/>
      <w:r>
        <w:rPr>
          <w:rFonts w:hint="eastAsia" w:ascii="宋体" w:hAnsi="宋体" w:cs="宋体"/>
          <w:sz w:val="24"/>
        </w:rPr>
        <w:t>4.2.4 异常处理</w:t>
      </w:r>
      <w:bookmarkEnd w:id="1417"/>
    </w:p>
    <w:p w14:paraId="7DC31D03">
      <w:pPr>
        <w:spacing w:line="440" w:lineRule="exact"/>
        <w:ind w:firstLine="420"/>
        <w:outlineLvl w:val="9"/>
        <w:rPr>
          <w:rFonts w:hint="eastAsia" w:ascii="宋体" w:hAnsi="宋体" w:cs="宋体"/>
          <w:sz w:val="24"/>
        </w:rPr>
      </w:pPr>
      <w:r>
        <w:rPr>
          <w:rFonts w:ascii="宋体" w:hAnsi="宋体" w:cs="宋体"/>
          <w:sz w:val="24"/>
        </w:rPr>
        <w:t>针对爬取过程中可能出现的各类问题，已预设完善的异常处理机制：</w:t>
      </w:r>
    </w:p>
    <w:p w14:paraId="413CED88">
      <w:pPr>
        <w:spacing w:line="440" w:lineRule="exact"/>
        <w:ind w:firstLine="420"/>
        <w:outlineLvl w:val="9"/>
        <w:rPr>
          <w:rFonts w:hint="eastAsia" w:ascii="宋体" w:hAnsi="宋体" w:cs="宋体"/>
          <w:sz w:val="24"/>
        </w:rPr>
      </w:pPr>
      <w:r>
        <w:rPr>
          <w:rFonts w:hint="eastAsia" w:ascii="宋体" w:hAnsi="宋体" w:cs="宋体"/>
          <w:sz w:val="24"/>
        </w:rPr>
        <w:t>（1）页面加载超时：WebDriverWait设置20秒超时，超时后跳过该商品，继续爬取。</w:t>
      </w:r>
    </w:p>
    <w:p w14:paraId="5971548B">
      <w:pPr>
        <w:spacing w:line="440" w:lineRule="exact"/>
        <w:ind w:firstLine="420"/>
        <w:outlineLvl w:val="9"/>
        <w:rPr>
          <w:rFonts w:hint="eastAsia" w:ascii="宋体" w:hAnsi="宋体" w:cs="宋体"/>
          <w:sz w:val="24"/>
        </w:rPr>
      </w:pPr>
      <w:r>
        <w:rPr>
          <w:rFonts w:hint="eastAsia" w:ascii="宋体" w:hAnsi="宋体" w:cs="宋体"/>
          <w:sz w:val="24"/>
        </w:rPr>
        <w:t>（2）元素未找到：每个字段设计多选择器兜底，单选择器失效时自动尝试下一个。</w:t>
      </w:r>
    </w:p>
    <w:p w14:paraId="6BC5460A">
      <w:pPr>
        <w:spacing w:line="440" w:lineRule="exact"/>
        <w:ind w:firstLine="420"/>
        <w:outlineLvl w:val="9"/>
        <w:rPr>
          <w:rFonts w:hint="eastAsia" w:ascii="宋体" w:hAnsi="宋体" w:cs="宋体"/>
          <w:sz w:val="24"/>
        </w:rPr>
      </w:pPr>
      <w:r>
        <w:rPr>
          <w:rFonts w:hint="eastAsia" w:ascii="宋体" w:hAnsi="宋体" w:cs="宋体"/>
          <w:sz w:val="24"/>
        </w:rPr>
        <w:t>（3）iframe不存在：捕获TimeoutException，直接解析主文档。</w:t>
      </w:r>
    </w:p>
    <w:p w14:paraId="0A1CDCE8">
      <w:pPr>
        <w:spacing w:line="440" w:lineRule="exact"/>
        <w:ind w:firstLine="420"/>
        <w:outlineLvl w:val="9"/>
        <w:rPr>
          <w:rFonts w:hint="eastAsia" w:ascii="宋体" w:hAnsi="宋体" w:cs="宋体"/>
          <w:sz w:val="24"/>
        </w:rPr>
      </w:pPr>
      <w:r>
        <w:rPr>
          <w:rFonts w:hint="eastAsia" w:ascii="宋体" w:hAnsi="宋体" w:cs="宋体"/>
          <w:sz w:val="24"/>
        </w:rPr>
        <w:t>（4）数据解析失败：捕获Exception，记录失败商品链接与错误信息，继续爬取下一个商品。</w:t>
      </w:r>
    </w:p>
    <w:p w14:paraId="105359B8">
      <w:pPr>
        <w:spacing w:line="440" w:lineRule="exact"/>
        <w:ind w:firstLine="420"/>
        <w:outlineLvl w:val="9"/>
        <w:rPr>
          <w:rFonts w:hint="eastAsia" w:ascii="宋体" w:hAnsi="宋体" w:cs="宋体"/>
          <w:sz w:val="24"/>
        </w:rPr>
      </w:pPr>
      <w:r>
        <w:rPr>
          <w:rFonts w:hint="eastAsia" w:ascii="宋体" w:hAnsi="宋体" w:cs="宋体"/>
          <w:sz w:val="24"/>
        </w:rPr>
        <w:t>（5）反爬拦截：出现风控页面时，手动验证后重新运行脚本，或降低爬取页数、增加延迟时间。</w:t>
      </w:r>
    </w:p>
    <w:p w14:paraId="68A5AC7A">
      <w:pPr>
        <w:spacing w:line="440" w:lineRule="exact"/>
        <w:ind w:firstLine="420"/>
        <w:outlineLvl w:val="9"/>
        <w:rPr>
          <w:rFonts w:hint="eastAsia" w:ascii="宋体" w:hAnsi="宋体" w:cs="宋体"/>
          <w:sz w:val="24"/>
        </w:rPr>
      </w:pPr>
      <w:bookmarkStart w:id="1418" w:name="_Toc24834"/>
      <w:bookmarkStart w:id="1419" w:name="_Toc10168"/>
      <w:r>
        <w:rPr>
          <w:rFonts w:hint="eastAsia" w:ascii="宋体" w:hAnsi="宋体" w:cs="宋体"/>
          <w:sz w:val="24"/>
        </w:rPr>
        <w:t>4.3 文档持久化功能</w:t>
      </w:r>
      <w:bookmarkEnd w:id="1418"/>
      <w:bookmarkEnd w:id="1419"/>
    </w:p>
    <w:p w14:paraId="36D6ACD9">
      <w:pPr>
        <w:spacing w:line="440" w:lineRule="exact"/>
        <w:ind w:firstLine="420"/>
        <w:outlineLvl w:val="9"/>
        <w:rPr>
          <w:rFonts w:hint="eastAsia" w:ascii="宋体" w:hAnsi="宋体" w:cs="宋体"/>
          <w:sz w:val="24"/>
        </w:rPr>
      </w:pPr>
      <w:bookmarkStart w:id="1420" w:name="_Toc20828"/>
      <w:r>
        <w:rPr>
          <w:rFonts w:ascii="宋体" w:hAnsi="宋体" w:cs="宋体"/>
          <w:sz w:val="24"/>
        </w:rPr>
        <w:t>4.</w:t>
      </w:r>
      <w:r>
        <w:rPr>
          <w:rFonts w:hint="eastAsia" w:ascii="宋体" w:hAnsi="宋体" w:cs="宋体"/>
          <w:sz w:val="24"/>
        </w:rPr>
        <w:t>3</w:t>
      </w:r>
      <w:r>
        <w:rPr>
          <w:rFonts w:ascii="宋体" w:hAnsi="宋体" w:cs="宋体"/>
          <w:sz w:val="24"/>
        </w:rPr>
        <w:t>.1 功能概述</w:t>
      </w:r>
      <w:bookmarkEnd w:id="1420"/>
    </w:p>
    <w:p w14:paraId="64B1C337">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将爬取的原始数据以CSV格式结构化存储，支持逐行追加写入、字段默认值填充、元数据标注，保障数据跨平台兼容性。</w:t>
      </w:r>
    </w:p>
    <w:p w14:paraId="129B12A3">
      <w:pPr>
        <w:spacing w:line="440" w:lineRule="exact"/>
        <w:ind w:firstLine="420"/>
        <w:outlineLvl w:val="9"/>
        <w:rPr>
          <w:rFonts w:hint="eastAsia" w:ascii="宋体" w:hAnsi="宋体" w:cs="宋体"/>
          <w:sz w:val="24"/>
        </w:rPr>
      </w:pPr>
      <w:bookmarkStart w:id="1421" w:name="_Toc29527"/>
      <w:r>
        <w:rPr>
          <w:rFonts w:hint="eastAsia" w:ascii="宋体" w:hAnsi="宋体" w:cs="宋体"/>
          <w:sz w:val="24"/>
        </w:rPr>
        <w:t>4.3.2 使用前期准备</w:t>
      </w:r>
      <w:bookmarkEnd w:id="1421"/>
    </w:p>
    <w:p w14:paraId="6226C224">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使用前需确认脚本同级目录具备读写权限，无需额外创建文件，脚本将自动完成初始化操作；编码层面默认采用UTF-8-sig格式，无需手动配置，可直接保障中文数据正常读写。</w:t>
      </w:r>
    </w:p>
    <w:p w14:paraId="03F2D17F">
      <w:pPr>
        <w:spacing w:line="440" w:lineRule="exact"/>
        <w:ind w:firstLine="420"/>
        <w:outlineLvl w:val="9"/>
        <w:rPr>
          <w:rFonts w:hint="eastAsia" w:ascii="宋体" w:hAnsi="宋体" w:cs="宋体"/>
          <w:sz w:val="24"/>
        </w:rPr>
      </w:pPr>
      <w:bookmarkStart w:id="1422" w:name="_Toc21283"/>
      <w:r>
        <w:rPr>
          <w:rFonts w:hint="eastAsia" w:ascii="宋体" w:hAnsi="宋体" w:cs="宋体"/>
          <w:sz w:val="24"/>
        </w:rPr>
        <w:t>4.3.3 操作步骤</w:t>
      </w:r>
      <w:bookmarkEnd w:id="1422"/>
    </w:p>
    <w:p w14:paraId="155BB6A1">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启动爬取脚本后，系统会自动创建taobao_new_goods.csv文件并写入9个核心字段的表头；爬取过程中，每条商品数据会按照“字段对齐+空值填充”的规则逐行追加写入文件；爬取完成后，脚本会在文件末尾自动标注数据来源、爬取时间、爬取页数、原始数据量等元数据信息；最后打开CSV文件，检查表头完整性、数据格式一致性，确认无中文乱码即完成数据持久化流程。</w:t>
      </w:r>
    </w:p>
    <w:p w14:paraId="7A79E885">
      <w:pPr>
        <w:spacing w:line="440" w:lineRule="exact"/>
        <w:ind w:firstLine="420" w:firstLineChars="0"/>
        <w:outlineLvl w:val="9"/>
        <w:rPr>
          <w:rFonts w:hint="eastAsia" w:ascii="宋体" w:hAnsi="宋体" w:cs="宋体"/>
          <w:sz w:val="24"/>
        </w:rPr>
      </w:pPr>
      <w:bookmarkStart w:id="1423" w:name="_Toc15157"/>
      <w:bookmarkStart w:id="1424" w:name="_Toc11514"/>
      <w:r>
        <w:rPr>
          <w:rFonts w:hint="eastAsia" w:ascii="宋体" w:hAnsi="宋体" w:cs="宋体"/>
          <w:sz w:val="24"/>
        </w:rPr>
        <w:t>4.4 数据清洗功能</w:t>
      </w:r>
      <w:bookmarkEnd w:id="1423"/>
      <w:bookmarkEnd w:id="1424"/>
    </w:p>
    <w:p w14:paraId="31DA32B3">
      <w:pPr>
        <w:spacing w:line="440" w:lineRule="exact"/>
        <w:ind w:firstLine="420"/>
        <w:outlineLvl w:val="9"/>
        <w:rPr>
          <w:rFonts w:hint="eastAsia" w:ascii="宋体" w:hAnsi="宋体" w:cs="宋体"/>
          <w:sz w:val="24"/>
        </w:rPr>
      </w:pPr>
      <w:bookmarkStart w:id="1425" w:name="_Toc8848"/>
      <w:r>
        <w:rPr>
          <w:rFonts w:hint="eastAsia" w:ascii="宋体" w:hAnsi="宋体" w:cs="宋体"/>
          <w:sz w:val="24"/>
        </w:rPr>
        <w:t>4.4.1 核心处理规则</w:t>
      </w:r>
      <w:bookmarkEnd w:id="1425"/>
    </w:p>
    <w:p w14:paraId="1AD7C496">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（1）缺失/重复值：核心字段（上架时间、销量）缺失则删记录；非核心字段缺失按规则填充（适用人群填“通用”、店铺类型填“普通店”、其他填“无”）；基于商品ID去重，保留首条有效记录。</w:t>
      </w:r>
    </w:p>
    <w:p w14:paraId="629D73E0">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（2）异常值：销量剔除负数/非数值，“1.5万+”、“500+人付款”转15000、500；好评率仅保留0-100的有效数值。</w:t>
      </w:r>
    </w:p>
    <w:p w14:paraId="4D7339DB">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（3）格式标准化：时间统一为“YYYY-MM”；从商品名提取“加厚、轻薄”等特征词，无则返回“无”。</w:t>
      </w:r>
    </w:p>
    <w:p w14:paraId="587F6C76">
      <w:pPr>
        <w:spacing w:line="440" w:lineRule="exact"/>
        <w:ind w:firstLine="420"/>
        <w:outlineLvl w:val="9"/>
        <w:rPr>
          <w:rFonts w:hint="eastAsia" w:ascii="宋体" w:hAnsi="宋体" w:cs="宋体"/>
          <w:sz w:val="24"/>
        </w:rPr>
      </w:pPr>
      <w:bookmarkStart w:id="1426" w:name="_Toc11258"/>
      <w:r>
        <w:rPr>
          <w:rFonts w:hint="eastAsia" w:ascii="宋体" w:hAnsi="宋体" w:cs="宋体"/>
          <w:sz w:val="24"/>
        </w:rPr>
        <w:t>4.4.2 使用步骤</w:t>
      </w:r>
      <w:bookmarkEnd w:id="1426"/>
    </w:p>
    <w:p w14:paraId="2B70C5E8">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运行Python脚本后，首先通过pandas.read_csv()读取原始CSV文件（taobao_new_goods.csv），随后脚本自动执行缺失值、重复值、异常值处理，并完成格式标准化与特征工程；处理完成后通过bosideng_df.info()查看数据信息，确认有效数据量不低于1600条且核心字段无缺失；接着脚本会生成清洗后的数据CSV文件（波司登数据_处理后.csv）及数据清洗报告；最后人工抽样检查清洗后数据的格式一致性、特征词提取准确性，确保数据质量达标。</w:t>
      </w:r>
    </w:p>
    <w:p w14:paraId="2065235C">
      <w:pPr>
        <w:spacing w:line="440" w:lineRule="exact"/>
        <w:ind w:firstLine="420"/>
        <w:outlineLvl w:val="9"/>
        <w:rPr>
          <w:rFonts w:hint="eastAsia" w:ascii="宋体" w:hAnsi="宋体" w:cs="宋体"/>
          <w:sz w:val="24"/>
        </w:rPr>
      </w:pPr>
      <w:bookmarkStart w:id="1427" w:name="_Toc14013"/>
      <w:r>
        <w:rPr>
          <w:rFonts w:hint="eastAsia" w:ascii="宋体" w:hAnsi="宋体" w:cs="宋体"/>
          <w:sz w:val="24"/>
        </w:rPr>
        <w:t>4.4.3 输出结果说明</w:t>
      </w:r>
      <w:bookmarkEnd w:id="1427"/>
    </w:p>
    <w:p w14:paraId="630A3E3C">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清洗后数据CSV文件：包含11个字段，1641条有效记录。</w:t>
      </w:r>
    </w:p>
    <w:p w14:paraId="1B027E62">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数据清洗报告：包含清洗规则、原始数据量、清洗后数据量、缺失值处理统计、异常值处理统计等信息。</w:t>
      </w:r>
    </w:p>
    <w:p w14:paraId="49B72F5F">
      <w:pPr>
        <w:spacing w:line="440" w:lineRule="exact"/>
        <w:ind w:firstLine="420"/>
        <w:outlineLvl w:val="9"/>
        <w:rPr>
          <w:rFonts w:hint="eastAsia" w:ascii="宋体" w:hAnsi="宋体" w:cs="宋体"/>
          <w:sz w:val="24"/>
        </w:rPr>
      </w:pPr>
      <w:bookmarkStart w:id="1428" w:name="_Toc12578"/>
      <w:bookmarkStart w:id="1429" w:name="_Toc30905"/>
      <w:r>
        <w:rPr>
          <w:rFonts w:hint="eastAsia" w:ascii="宋体" w:hAnsi="宋体" w:cs="宋体"/>
          <w:sz w:val="24"/>
        </w:rPr>
        <w:t>4.5 MySQL写入功能</w:t>
      </w:r>
      <w:bookmarkEnd w:id="1428"/>
      <w:bookmarkEnd w:id="1429"/>
    </w:p>
    <w:p w14:paraId="13A12B14">
      <w:pPr>
        <w:spacing w:line="440" w:lineRule="exact"/>
        <w:ind w:firstLine="420"/>
        <w:outlineLvl w:val="9"/>
        <w:rPr>
          <w:rFonts w:hint="eastAsia" w:ascii="宋体" w:hAnsi="宋体" w:cs="宋体"/>
          <w:sz w:val="24"/>
        </w:rPr>
      </w:pPr>
      <w:bookmarkStart w:id="1430" w:name="_Toc725"/>
      <w:r>
        <w:rPr>
          <w:rFonts w:hint="eastAsia" w:ascii="宋体" w:hAnsi="宋体" w:cs="宋体"/>
          <w:sz w:val="24"/>
        </w:rPr>
        <w:t>4.5.1 功能概述</w:t>
      </w:r>
      <w:bookmarkEnd w:id="1430"/>
    </w:p>
    <w:p w14:paraId="28FE5065">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通过Python+pymysql实现清洗后数据批量写入MySQL数据库，支持数据表自动适配、数据类型转换、写入完整性校验，将结构化数据持久化存储，便于后续数据分析与可视化查询。</w:t>
      </w:r>
    </w:p>
    <w:p w14:paraId="3F5EFA06">
      <w:pPr>
        <w:spacing w:line="440" w:lineRule="exact"/>
        <w:ind w:firstLine="420"/>
        <w:outlineLvl w:val="9"/>
        <w:rPr>
          <w:rFonts w:hint="eastAsia" w:ascii="宋体" w:hAnsi="宋体" w:cs="宋体"/>
          <w:sz w:val="24"/>
        </w:rPr>
      </w:pPr>
      <w:bookmarkStart w:id="1431" w:name="_Toc22599"/>
      <w:r>
        <w:rPr>
          <w:rFonts w:hint="eastAsia" w:ascii="宋体" w:hAnsi="宋体" w:cs="宋体"/>
          <w:sz w:val="24"/>
        </w:rPr>
        <w:t>4.5.2 使用前期准备</w:t>
      </w:r>
      <w:bookmarkEnd w:id="1431"/>
    </w:p>
    <w:p w14:paraId="39AA8F06">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使用前需完成基础环境与权限配置：安装5.7及以上版本的MySQL数据库并启动服务，登录MySQL执行CREATE DATABASE IF NOT EXISTS spark;创建目标数据库；通过pip install pymysql安装数据库连接依赖，同时确保默认root账号具备spark数据库的增删改查权限。</w:t>
      </w:r>
    </w:p>
    <w:p w14:paraId="5F3DA0A9">
      <w:pPr>
        <w:spacing w:line="440" w:lineRule="exact"/>
        <w:ind w:firstLine="420"/>
        <w:outlineLvl w:val="9"/>
        <w:rPr>
          <w:rFonts w:hint="eastAsia" w:ascii="宋体" w:hAnsi="宋体" w:cs="宋体"/>
          <w:sz w:val="24"/>
        </w:rPr>
      </w:pPr>
      <w:bookmarkStart w:id="1432" w:name="_Toc4287"/>
      <w:r>
        <w:rPr>
          <w:rFonts w:hint="eastAsia" w:ascii="宋体" w:hAnsi="宋体" w:cs="宋体"/>
          <w:sz w:val="24"/>
        </w:rPr>
        <w:t>4.5.3 操作步骤</w:t>
      </w:r>
      <w:bookmarkEnd w:id="1432"/>
    </w:p>
    <w:p w14:paraId="5A49582C">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首先打开写入脚本，配置MySQL连接信息（默认主机localhost、端口3306，填写用户名、密码及数据库名spark）；脚本运行后自动创建closes表，该表包含9个核心字段及2个新增特征字段共11个字段；随后脚本读取清洗后的CSV文件，将数据类型转换为MySQL适配格式，通过executemany()方法批量插入数据；最后执行SELECT COUNT(*) FROM closes;查询，校验写入条数与清洗后有效数据量是否一致。</w:t>
      </w:r>
    </w:p>
    <w:p w14:paraId="4AC87596">
      <w:pPr>
        <w:spacing w:line="440" w:lineRule="exact"/>
        <w:ind w:firstLine="420"/>
        <w:outlineLvl w:val="9"/>
        <w:rPr>
          <w:rFonts w:hint="eastAsia" w:ascii="宋体" w:hAnsi="宋体" w:cs="宋体"/>
          <w:sz w:val="24"/>
        </w:rPr>
      </w:pPr>
      <w:bookmarkStart w:id="1433" w:name="_Toc13214"/>
      <w:bookmarkStart w:id="1434" w:name="_Toc11832"/>
      <w:r>
        <w:rPr>
          <w:rFonts w:hint="eastAsia" w:ascii="宋体" w:hAnsi="宋体" w:cs="宋体"/>
          <w:sz w:val="24"/>
        </w:rPr>
        <w:t>4.6 数据分析功能</w:t>
      </w:r>
      <w:bookmarkEnd w:id="1433"/>
      <w:bookmarkEnd w:id="1434"/>
    </w:p>
    <w:p w14:paraId="0753E106">
      <w:pPr>
        <w:spacing w:line="440" w:lineRule="exact"/>
        <w:ind w:firstLine="420"/>
        <w:outlineLvl w:val="9"/>
        <w:rPr>
          <w:rFonts w:hint="eastAsia" w:ascii="宋体" w:hAnsi="宋体" w:cs="宋体"/>
          <w:sz w:val="24"/>
        </w:rPr>
      </w:pPr>
      <w:bookmarkStart w:id="1435" w:name="_Toc16925"/>
      <w:r>
        <w:rPr>
          <w:rFonts w:hint="eastAsia" w:ascii="宋体" w:hAnsi="宋体" w:cs="宋体"/>
          <w:sz w:val="24"/>
        </w:rPr>
        <w:t>4.6.1 分析维度及操作说明</w:t>
      </w:r>
      <w:bookmarkEnd w:id="1435"/>
    </w:p>
    <w:p w14:paraId="37EC5B60">
      <w:pPr>
        <w:widowControl/>
        <w:spacing w:line="440" w:lineRule="exact"/>
        <w:ind w:firstLine="420" w:firstLineChars="200"/>
        <w:jc w:val="center"/>
        <w:rPr>
          <w:rFonts w:hint="eastAsia" w:ascii="宋体" w:hAnsi="宋体" w:eastAsia="宋体" w:cs="宋体"/>
          <w:sz w:val="24"/>
        </w:rPr>
      </w:pPr>
      <w:r>
        <w:rPr>
          <w:rFonts w:hint="eastAsia" w:ascii="宋体" w:hAnsi="宋体"/>
          <w:color w:val="000000"/>
          <w:kern w:val="0"/>
          <w:szCs w:val="21"/>
        </w:rPr>
        <w:t>表4-3 数据分析维度及操作说明</w:t>
      </w:r>
    </w:p>
    <w:tbl>
      <w:tblPr>
        <w:tblStyle w:val="35"/>
        <w:tblW w:w="9270" w:type="dxa"/>
        <w:tblInd w:w="-195"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tblLayout w:type="autofit"/>
        <w:tblCellMar>
          <w:top w:w="0" w:type="dxa"/>
          <w:left w:w="0" w:type="dxa"/>
          <w:bottom w:w="0" w:type="dxa"/>
          <w:right w:w="0" w:type="dxa"/>
        </w:tblCellMar>
      </w:tblPr>
      <w:tblGrid>
        <w:gridCol w:w="2180"/>
        <w:gridCol w:w="4420"/>
        <w:gridCol w:w="2670"/>
      </w:tblGrid>
      <w:tr w14:paraId="69B9B190">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rPr>
          <w:tblHeader/>
        </w:trPr>
        <w:tc>
          <w:tcPr>
            <w:tcW w:w="2180" w:type="dxa"/>
            <w:tcBorders>
              <w:top w:val="single" w:color="000000" w:sz="12" w:space="0"/>
              <w:left w:val="nil"/>
              <w:bottom w:val="single" w:color="000000" w:sz="4" w:space="0"/>
              <w:right w:val="nil"/>
              <w:tl2br w:val="nil"/>
            </w:tcBorders>
            <w:shd w:val="clear" w:color="auto" w:fill="FFFFFF"/>
            <w:tcMar>
              <w:top w:w="144" w:type="dxa"/>
              <w:left w:w="216" w:type="dxa"/>
              <w:bottom w:w="144" w:type="dxa"/>
              <w:right w:w="216" w:type="dxa"/>
            </w:tcMar>
            <w:vAlign w:val="center"/>
          </w:tcPr>
          <w:p w14:paraId="017A548F">
            <w:pPr>
              <w:widowControl/>
              <w:snapToGrid w:val="0"/>
              <w:jc w:val="center"/>
              <w:rPr>
                <w:rFonts w:hint="eastAsia" w:ascii="宋体" w:hAnsi="宋体" w:eastAsia="宋体" w:cs="Times New Roman"/>
                <w:b/>
                <w:bCs/>
                <w:color w:val="000000"/>
                <w:kern w:val="0"/>
                <w:sz w:val="18"/>
                <w:szCs w:val="18"/>
              </w:rPr>
            </w:pPr>
            <w:r>
              <w:rPr>
                <w:rFonts w:hint="eastAsia" w:ascii="宋体" w:hAnsi="宋体" w:eastAsia="宋体" w:cs="Times New Roman"/>
                <w:b/>
                <w:bCs/>
                <w:color w:val="000000"/>
                <w:kern w:val="0"/>
                <w:sz w:val="18"/>
                <w:szCs w:val="18"/>
              </w:rPr>
              <w:t>分析维度</w:t>
            </w:r>
          </w:p>
        </w:tc>
        <w:tc>
          <w:tcPr>
            <w:tcW w:w="4420" w:type="dxa"/>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4D0AADE4">
            <w:pPr>
              <w:widowControl/>
              <w:snapToGrid w:val="0"/>
              <w:jc w:val="center"/>
              <w:rPr>
                <w:rFonts w:hint="eastAsia" w:ascii="宋体" w:hAnsi="宋体" w:eastAsia="宋体" w:cs="Times New Roman"/>
                <w:b/>
                <w:bCs/>
                <w:color w:val="000000"/>
                <w:kern w:val="0"/>
                <w:sz w:val="18"/>
                <w:szCs w:val="18"/>
              </w:rPr>
            </w:pPr>
            <w:r>
              <w:rPr>
                <w:rFonts w:hint="eastAsia" w:ascii="宋体" w:hAnsi="宋体" w:eastAsia="宋体" w:cs="Times New Roman"/>
                <w:b/>
                <w:bCs/>
                <w:color w:val="000000"/>
                <w:kern w:val="0"/>
                <w:sz w:val="18"/>
                <w:szCs w:val="18"/>
              </w:rPr>
              <w:t>核心操作</w:t>
            </w:r>
          </w:p>
        </w:tc>
        <w:tc>
          <w:tcPr>
            <w:tcW w:w="2670" w:type="dxa"/>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2DBDE9A9">
            <w:pPr>
              <w:widowControl/>
              <w:snapToGrid w:val="0"/>
              <w:jc w:val="center"/>
              <w:rPr>
                <w:rFonts w:hint="eastAsia" w:ascii="宋体" w:hAnsi="宋体" w:eastAsia="宋体" w:cs="Times New Roman"/>
                <w:b/>
                <w:bCs/>
                <w:color w:val="000000"/>
                <w:kern w:val="0"/>
                <w:sz w:val="18"/>
                <w:szCs w:val="18"/>
              </w:rPr>
            </w:pPr>
            <w:r>
              <w:rPr>
                <w:rFonts w:hint="eastAsia" w:ascii="宋体" w:hAnsi="宋体" w:eastAsia="宋体" w:cs="Times New Roman"/>
                <w:b/>
                <w:bCs/>
                <w:color w:val="000000"/>
                <w:kern w:val="0"/>
                <w:sz w:val="18"/>
                <w:szCs w:val="18"/>
              </w:rPr>
              <w:t>输出结果</w:t>
            </w:r>
          </w:p>
        </w:tc>
      </w:tr>
      <w:tr w14:paraId="703048CC">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13DDD1DC">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基础统计分析</w:t>
            </w:r>
          </w:p>
        </w:tc>
        <w:tc>
          <w:tcPr>
            <w:tcW w:w="442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3FC891A8">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使用pandas.describe()、info()函数，统计数据规模、字段分布、数值特征</w:t>
            </w:r>
          </w:p>
        </w:tc>
        <w:tc>
          <w:tcPr>
            <w:tcW w:w="2670" w:type="dxa"/>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0C889E5F">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数据集概况报告（有效样本数、字段数量、数据分布等）</w:t>
            </w:r>
          </w:p>
        </w:tc>
      </w:tr>
      <w:tr w14:paraId="6E7C1016">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0765B359">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商品类别深度分析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639E0CE9">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使用groupby()函数按商品类别分组，统计占比、平均销量</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41622D99">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品类占比图表、品类销售力排序结果</w:t>
            </w:r>
          </w:p>
        </w:tc>
      </w:tr>
      <w:tr w14:paraId="033ED46F">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2881FD1A">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店铺类型深度分析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1DD79182">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按店铺类型分组统计占比、平均销量，构建店铺-品类交叉矩阵</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71F5F181">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渠道布局图表、店铺-品类协同分析表</w:t>
            </w:r>
          </w:p>
        </w:tc>
      </w:tr>
      <w:tr w14:paraId="46A560EB">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1C684F76">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时间趋势分析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68BD30FE">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按上架月份分组统计商品数量、销量，分析季节性特征</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3D0D69EC">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月度发布节奏图表、季节性洞察结论</w:t>
            </w:r>
          </w:p>
        </w:tc>
      </w:tr>
      <w:tr w14:paraId="79E4D31C">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5183FD93">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销售表现分析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4FA3C0F3">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统计各品类平均销量，划分销售分级（爆款、潜力款等）</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582E0E3B">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品类销售力对比图表、销售分级结论</w:t>
            </w:r>
          </w:p>
        </w:tc>
      </w:tr>
      <w:tr w14:paraId="634D152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5A83C5AB">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用户评价分析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0C430B90">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统计好评率分布，对比各品类口碑表现</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031F5002">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评分分布图表、品类口碑对比结论</w:t>
            </w:r>
          </w:p>
        </w:tc>
      </w:tr>
      <w:tr w14:paraId="282BF7F1">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1F312408">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关键词特征分析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3B400D7D">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使用正则表达式提取特征词，统计词频</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2352524C">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核心卖点词频图表、功能属性洞察结论</w:t>
            </w:r>
          </w:p>
        </w:tc>
      </w:tr>
      <w:tr w14:paraId="37178334">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nil"/>
              <w:right w:val="nil"/>
            </w:tcBorders>
            <w:shd w:val="clear" w:color="auto" w:fill="FFFFFF"/>
            <w:tcMar>
              <w:top w:w="144" w:type="dxa"/>
              <w:left w:w="216" w:type="dxa"/>
              <w:bottom w:w="144" w:type="dxa"/>
              <w:right w:w="216" w:type="dxa"/>
            </w:tcMar>
            <w:vAlign w:val="center"/>
          </w:tcPr>
          <w:p w14:paraId="39D39338">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使用人群分析</w:t>
            </w:r>
          </w:p>
        </w:tc>
        <w:tc>
          <w:tcPr>
            <w:tcW w:w="4420" w:type="dxa"/>
            <w:tcBorders>
              <w:top w:val="nil"/>
              <w:left w:val="nil"/>
              <w:bottom w:val="nil"/>
              <w:right w:val="nil"/>
            </w:tcBorders>
            <w:shd w:val="clear" w:color="auto" w:fill="FFFFFF"/>
            <w:tcMar>
              <w:top w:w="144" w:type="dxa"/>
              <w:left w:w="216" w:type="dxa"/>
              <w:bottom w:w="144" w:type="dxa"/>
              <w:right w:w="216" w:type="dxa"/>
            </w:tcMar>
            <w:vAlign w:val="center"/>
          </w:tcPr>
          <w:p w14:paraId="04C3ADCE">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按适用人群分组统计销量、占比，分析人群价值</w:t>
            </w:r>
          </w:p>
        </w:tc>
        <w:tc>
          <w:tcPr>
            <w:tcW w:w="2670" w:type="dxa"/>
            <w:tcBorders>
              <w:top w:val="nil"/>
              <w:left w:val="nil"/>
              <w:bottom w:val="nil"/>
              <w:right w:val="nil"/>
            </w:tcBorders>
            <w:shd w:val="clear" w:color="auto" w:fill="FFFFFF"/>
            <w:tcMar>
              <w:top w:w="144" w:type="dxa"/>
              <w:left w:w="216" w:type="dxa"/>
              <w:bottom w:w="144" w:type="dxa"/>
              <w:right w:w="216" w:type="dxa"/>
            </w:tcMar>
            <w:vAlign w:val="center"/>
          </w:tcPr>
          <w:p w14:paraId="61EF5EDF">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用户画像分布图表、人群价值对比结论</w:t>
            </w:r>
          </w:p>
        </w:tc>
      </w:tr>
      <w:tr w14:paraId="28E1AB9A">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218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1C1134D7">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综合洞察</w:t>
            </w:r>
          </w:p>
        </w:tc>
        <w:tc>
          <w:tcPr>
            <w:tcW w:w="442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5B24D281">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整合各维度分析结果，提炼市场优势与增长机会点</w:t>
            </w:r>
          </w:p>
        </w:tc>
        <w:tc>
          <w:tcPr>
            <w:tcW w:w="2670" w:type="dxa"/>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2EAC73C2">
            <w:pPr>
              <w:widowControl/>
              <w:snapToGrid w:val="0"/>
              <w:jc w:val="center"/>
              <w:rPr>
                <w:rFonts w:hint="eastAsia" w:ascii="宋体" w:hAnsi="宋体" w:eastAsia="宋体" w:cs="Times New Roman"/>
                <w:bCs/>
                <w:color w:val="000000"/>
                <w:kern w:val="0"/>
                <w:sz w:val="18"/>
                <w:szCs w:val="18"/>
              </w:rPr>
            </w:pPr>
            <w:r>
              <w:rPr>
                <w:rFonts w:hint="eastAsia" w:ascii="宋体" w:hAnsi="宋体" w:eastAsia="宋体" w:cs="Times New Roman"/>
                <w:bCs/>
                <w:color w:val="000000"/>
                <w:kern w:val="0"/>
                <w:sz w:val="18"/>
                <w:szCs w:val="18"/>
              </w:rPr>
              <w:t>综合分析报告</w:t>
            </w:r>
          </w:p>
        </w:tc>
      </w:tr>
    </w:tbl>
    <w:p w14:paraId="7480E96A">
      <w:pPr>
        <w:spacing w:line="440" w:lineRule="exact"/>
        <w:ind w:firstLine="420"/>
        <w:outlineLvl w:val="9"/>
        <w:rPr>
          <w:rFonts w:hint="eastAsia" w:ascii="宋体" w:hAnsi="宋体" w:cs="宋体"/>
          <w:sz w:val="24"/>
        </w:rPr>
      </w:pPr>
      <w:bookmarkStart w:id="1436" w:name="_Toc23930"/>
      <w:r>
        <w:rPr>
          <w:rFonts w:hint="eastAsia" w:ascii="宋体" w:hAnsi="宋体" w:cs="宋体"/>
          <w:sz w:val="24"/>
        </w:rPr>
        <w:t>4.6.2 使用步骤</w:t>
      </w:r>
      <w:bookmarkEnd w:id="1436"/>
    </w:p>
    <w:p w14:paraId="108789BD">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使用前先确认清洗后的波司登数据_处理后.csv文件已生成且格式符合要求，随后打开Jupyter Notebook运行数据分析脚本，逐模块执行分析代码。运行完成后，各维度的统计图表与文字结论直接输出在Notebook中，可即时查看；也可根据需求修改脚本中的分组字段、统计指标，实现个性化分析。最后整合各维度分析结果，生成综合洞察报告。</w:t>
      </w:r>
    </w:p>
    <w:p w14:paraId="3ABBBF73">
      <w:pPr>
        <w:spacing w:line="440" w:lineRule="exact"/>
        <w:ind w:firstLine="420"/>
        <w:outlineLvl w:val="9"/>
        <w:rPr>
          <w:rFonts w:hint="eastAsia" w:ascii="宋体" w:hAnsi="宋体" w:eastAsia="宋体" w:cs="宋体"/>
          <w:sz w:val="24"/>
        </w:rPr>
      </w:pPr>
      <w:bookmarkStart w:id="1437" w:name="_Toc29258"/>
      <w:bookmarkStart w:id="1438" w:name="_Toc11247"/>
      <w:r>
        <w:rPr>
          <w:rFonts w:hint="eastAsia" w:ascii="宋体" w:hAnsi="宋体" w:eastAsia="宋体" w:cs="宋体"/>
          <w:sz w:val="24"/>
        </w:rPr>
        <w:t>4.6.3 输出结果</w:t>
      </w:r>
      <w:bookmarkEnd w:id="1437"/>
      <w:bookmarkEnd w:id="1438"/>
    </w:p>
    <w:p w14:paraId="4FAC6390">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（1）处理后结构化CSV文件（波司登数据_处理后.csv）。</w:t>
      </w:r>
    </w:p>
    <w:p w14:paraId="23745B6A">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（2）多维度统计结论（含品类、渠道、时间、人群等核心洞察）。</w:t>
      </w:r>
    </w:p>
    <w:p w14:paraId="41E3ABA7">
      <w:pPr>
        <w:spacing w:line="440" w:lineRule="exact"/>
        <w:ind w:firstLine="420"/>
        <w:outlineLvl w:val="9"/>
        <w:rPr>
          <w:rFonts w:hint="eastAsia" w:ascii="宋体" w:hAnsi="宋体" w:cs="宋体"/>
          <w:sz w:val="24"/>
        </w:rPr>
      </w:pPr>
      <w:bookmarkStart w:id="1439" w:name="_Toc3284"/>
      <w:bookmarkStart w:id="1440" w:name="_Toc3188"/>
      <w:r>
        <w:rPr>
          <w:rFonts w:hint="eastAsia" w:ascii="宋体" w:hAnsi="宋体" w:cs="宋体"/>
          <w:sz w:val="24"/>
        </w:rPr>
        <w:t>4.7 数据预测功能</w:t>
      </w:r>
      <w:bookmarkEnd w:id="1439"/>
      <w:bookmarkEnd w:id="1440"/>
    </w:p>
    <w:p w14:paraId="563CFDB5">
      <w:pPr>
        <w:spacing w:line="440" w:lineRule="exact"/>
        <w:ind w:firstLine="420"/>
        <w:outlineLvl w:val="9"/>
        <w:rPr>
          <w:rFonts w:hint="eastAsia" w:ascii="宋体" w:hAnsi="宋体" w:cs="宋体"/>
          <w:sz w:val="24"/>
        </w:rPr>
      </w:pPr>
      <w:bookmarkStart w:id="1441" w:name="_Toc18746"/>
      <w:r>
        <w:rPr>
          <w:rFonts w:hint="eastAsia" w:ascii="宋体" w:hAnsi="宋体" w:cs="宋体"/>
          <w:sz w:val="24"/>
        </w:rPr>
        <w:t>4.7.1 分析基础</w:t>
      </w:r>
      <w:bookmarkEnd w:id="1441"/>
    </w:p>
    <w:p w14:paraId="7CDDF300">
      <w:pPr>
        <w:spacing w:line="440" w:lineRule="exact"/>
        <w:ind w:firstLine="480" w:firstLineChars="200"/>
        <w:outlineLvl w:val="9"/>
        <w:rPr>
          <w:rFonts w:hint="eastAsia" w:ascii="宋体" w:hAnsi="宋体" w:eastAsia="宋体" w:cs="宋体"/>
          <w:sz w:val="24"/>
        </w:rPr>
      </w:pPr>
      <w:bookmarkStart w:id="1442" w:name="_Toc13378"/>
      <w:r>
        <w:rPr>
          <w:rFonts w:hint="eastAsia" w:ascii="宋体" w:hAnsi="宋体" w:eastAsia="宋体" w:cs="宋体"/>
          <w:sz w:val="24"/>
        </w:rPr>
        <w:t>分析基础如下：数据源为波司登数据_处理后.csv，核心维度含商品类别、店铺类型、上架时间、好评率、销售量_数值；标签定义销量&gt;0为“卖得动（1，82.33%）”、=0为“卖不动（0，17.67%）”；分析目标是通过业务规则挖掘+随机森林二分类模型识别商品“是否卖得动”核心因素，输出推广规则。</w:t>
      </w:r>
    </w:p>
    <w:p w14:paraId="69C03691">
      <w:pPr>
        <w:spacing w:line="440" w:lineRule="exact"/>
        <w:outlineLvl w:val="9"/>
        <w:rPr>
          <w:rFonts w:hint="eastAsia" w:ascii="宋体" w:hAnsi="宋体" w:eastAsia="宋体" w:cs="宋体"/>
          <w:sz w:val="24"/>
        </w:rPr>
      </w:pPr>
      <w:bookmarkStart w:id="1443" w:name="_Toc27432"/>
      <w:r>
        <w:rPr>
          <w:rFonts w:hint="eastAsia" w:ascii="宋体" w:hAnsi="宋体" w:eastAsia="宋体" w:cs="宋体"/>
          <w:sz w:val="24"/>
        </w:rPr>
        <w:t xml:space="preserve">4.7.2 </w:t>
      </w:r>
      <w:bookmarkEnd w:id="1442"/>
      <w:r>
        <w:rPr>
          <w:rFonts w:hint="eastAsia" w:ascii="宋体" w:hAnsi="宋体" w:eastAsia="宋体" w:cs="宋体"/>
          <w:sz w:val="24"/>
        </w:rPr>
        <w:t>核心处理与规则挖掘</w:t>
      </w:r>
      <w:bookmarkEnd w:id="1443"/>
    </w:p>
    <w:p w14:paraId="0DFA445A">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（1）特征工程：提取上架月份并划分冬季/非冬季；好评率简化为95%以下/及以上两档；可视化验证旗舰店卖动率更高，可视化结果为图4-1。</w:t>
      </w:r>
    </w:p>
    <w:p w14:paraId="72A9F2F2">
      <w:pPr>
        <w:widowControl/>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t>图4-1 商品是否卖得动分布（按店铺类型）.png</w:t>
      </w:r>
    </w:p>
    <w:p w14:paraId="0EC308EC">
      <w:pPr>
        <w:widowControl/>
        <w:spacing w:line="440" w:lineRule="exact"/>
        <w:ind w:firstLine="480" w:firstLineChars="200"/>
        <w:jc w:val="center"/>
        <w:rPr>
          <w:rFonts w:hint="eastAsia" w:ascii="宋体" w:hAnsi="宋体" w:eastAsia="宋体" w:cs="Times New Roman"/>
          <w:color w:val="000000"/>
          <w:kern w:val="0"/>
          <w:szCs w:val="21"/>
        </w:rPr>
      </w:pPr>
      <w:r>
        <w:rPr>
          <w:rFonts w:hint="eastAsia" w:ascii="宋体" w:hAnsi="宋体" w:eastAsia="宋体" w:cs="宋体"/>
          <w:sz w:val="24"/>
        </w:rPr>
        <w:drawing>
          <wp:anchor distT="0" distB="0" distL="114300" distR="114300" simplePos="0" relativeHeight="251912192" behindDoc="0" locked="0" layoutInCell="1" allowOverlap="1">
            <wp:simplePos x="0" y="0"/>
            <wp:positionH relativeFrom="column">
              <wp:posOffset>522605</wp:posOffset>
            </wp:positionH>
            <wp:positionV relativeFrom="paragraph">
              <wp:posOffset>49530</wp:posOffset>
            </wp:positionV>
            <wp:extent cx="4220845" cy="2085340"/>
            <wp:effectExtent l="0" t="0" r="8255" b="10160"/>
            <wp:wrapNone/>
            <wp:docPr id="700" name="图片 700" descr="56a6639f3a2bffeb674344683e0ba2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700" descr="56a6639f3a2bffeb674344683e0ba26a"/>
                    <pic:cNvPicPr>
                      <a:picLocks noChangeAspect="1"/>
                    </pic:cNvPicPr>
                  </pic:nvPicPr>
                  <pic:blipFill>
                    <a:blip r:embed="rId461"/>
                    <a:stretch>
                      <a:fillRect/>
                    </a:stretch>
                  </pic:blipFill>
                  <pic:spPr>
                    <a:xfrm>
                      <a:off x="0" y="0"/>
                      <a:ext cx="4220845" cy="2085340"/>
                    </a:xfrm>
                    <a:prstGeom prst="rect">
                      <a:avLst/>
                    </a:prstGeom>
                  </pic:spPr>
                </pic:pic>
              </a:graphicData>
            </a:graphic>
          </wp:anchor>
        </w:drawing>
      </w:r>
    </w:p>
    <w:p w14:paraId="7B9723D9">
      <w:pPr>
        <w:widowControl/>
        <w:spacing w:line="440" w:lineRule="exact"/>
        <w:ind w:firstLine="420" w:firstLineChars="200"/>
        <w:jc w:val="center"/>
        <w:rPr>
          <w:rFonts w:hint="eastAsia" w:ascii="宋体" w:hAnsi="宋体" w:eastAsia="宋体" w:cs="Times New Roman"/>
          <w:color w:val="000000"/>
          <w:kern w:val="0"/>
          <w:szCs w:val="21"/>
        </w:rPr>
      </w:pPr>
    </w:p>
    <w:p w14:paraId="7998ACEB">
      <w:pPr>
        <w:widowControl/>
        <w:spacing w:line="440" w:lineRule="exact"/>
        <w:ind w:firstLine="420" w:firstLineChars="200"/>
        <w:jc w:val="center"/>
        <w:rPr>
          <w:rFonts w:hint="eastAsia" w:ascii="宋体" w:hAnsi="宋体" w:eastAsia="宋体" w:cs="Times New Roman"/>
          <w:color w:val="000000"/>
          <w:kern w:val="0"/>
          <w:szCs w:val="21"/>
        </w:rPr>
      </w:pPr>
    </w:p>
    <w:p w14:paraId="0256B925">
      <w:pPr>
        <w:widowControl/>
        <w:spacing w:line="440" w:lineRule="exact"/>
        <w:ind w:firstLine="420" w:firstLineChars="200"/>
        <w:jc w:val="center"/>
        <w:rPr>
          <w:rFonts w:hint="eastAsia" w:ascii="宋体" w:hAnsi="宋体" w:eastAsia="宋体" w:cs="Times New Roman"/>
          <w:color w:val="000000"/>
          <w:kern w:val="0"/>
          <w:szCs w:val="21"/>
        </w:rPr>
      </w:pPr>
    </w:p>
    <w:p w14:paraId="75A2F021">
      <w:pPr>
        <w:widowControl/>
        <w:spacing w:line="440" w:lineRule="exact"/>
        <w:ind w:firstLine="420" w:firstLineChars="200"/>
        <w:jc w:val="center"/>
        <w:rPr>
          <w:rFonts w:hint="eastAsia" w:ascii="宋体" w:hAnsi="宋体" w:eastAsia="宋体" w:cs="Times New Roman"/>
          <w:color w:val="000000"/>
          <w:kern w:val="0"/>
          <w:szCs w:val="21"/>
        </w:rPr>
      </w:pPr>
    </w:p>
    <w:p w14:paraId="4524C768">
      <w:pPr>
        <w:widowControl/>
        <w:spacing w:line="440" w:lineRule="exact"/>
        <w:ind w:firstLine="420" w:firstLineChars="200"/>
        <w:jc w:val="center"/>
        <w:rPr>
          <w:rFonts w:hint="eastAsia" w:ascii="宋体" w:hAnsi="宋体" w:eastAsia="宋体" w:cs="Times New Roman"/>
          <w:color w:val="000000"/>
          <w:kern w:val="0"/>
          <w:szCs w:val="21"/>
        </w:rPr>
      </w:pPr>
    </w:p>
    <w:p w14:paraId="7373F7A4">
      <w:pPr>
        <w:widowControl/>
        <w:spacing w:line="440" w:lineRule="exact"/>
        <w:ind w:firstLine="420" w:firstLineChars="200"/>
        <w:jc w:val="center"/>
        <w:rPr>
          <w:rFonts w:hint="eastAsia" w:ascii="宋体" w:hAnsi="宋体" w:eastAsia="宋体" w:cs="Times New Roman"/>
          <w:color w:val="000000"/>
          <w:kern w:val="0"/>
          <w:szCs w:val="21"/>
        </w:rPr>
      </w:pPr>
    </w:p>
    <w:p w14:paraId="6667755D">
      <w:pPr>
        <w:widowControl/>
        <w:spacing w:line="440" w:lineRule="exact"/>
        <w:ind w:firstLine="420" w:firstLineChars="200"/>
        <w:jc w:val="center"/>
        <w:rPr>
          <w:rFonts w:hint="eastAsia" w:ascii="宋体" w:hAnsi="宋体" w:eastAsia="宋体" w:cs="Times New Roman"/>
          <w:color w:val="000000"/>
          <w:kern w:val="0"/>
          <w:szCs w:val="21"/>
        </w:rPr>
      </w:pPr>
    </w:p>
    <w:p w14:paraId="50841C7E">
      <w:pPr>
        <w:spacing w:before="62" w:beforeLines="20" w:line="440" w:lineRule="exact"/>
        <w:ind w:firstLine="480" w:firstLineChars="200"/>
      </w:pPr>
      <w:r>
        <w:rPr>
          <w:rFonts w:hint="eastAsia" w:ascii="宋体" w:hAnsi="宋体" w:eastAsia="宋体" w:cs="宋体"/>
          <w:sz w:val="24"/>
        </w:rPr>
        <w:t>（2）卖动率分析：统计各维度非0销量占比，验证特征对销售的影响，可视化结果为图4-2、图4-3。</w:t>
      </w:r>
    </w:p>
    <w:p w14:paraId="7745E86F">
      <w:pPr>
        <w:widowControl/>
        <w:spacing w:line="440" w:lineRule="exact"/>
        <w:ind w:firstLine="420" w:firstLineChars="200"/>
        <w:jc w:val="center"/>
        <w:rPr>
          <w:rFonts w:hint="eastAsia" w:ascii="宋体" w:hAnsi="宋体" w:eastAsia="宋体" w:cs="宋体"/>
          <w:sz w:val="24"/>
        </w:rPr>
      </w:pPr>
      <w:r>
        <w:rPr>
          <w:rFonts w:hint="eastAsia" w:ascii="宋体" w:hAnsi="宋体" w:eastAsia="宋体" w:cs="Times New Roman"/>
          <w:color w:val="000000"/>
          <w:kern w:val="0"/>
          <w:szCs w:val="21"/>
        </w:rPr>
        <w:t>图4-2 店铺类型-非0销量占比.png</w:t>
      </w:r>
    </w:p>
    <w:p w14:paraId="72A4B5C0">
      <w:pPr>
        <w:widowControl/>
        <w:spacing w:line="240" w:lineRule="auto"/>
        <w:ind w:firstLine="0" w:firstLineChars="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drawing>
          <wp:anchor distT="0" distB="0" distL="114300" distR="114300" simplePos="0" relativeHeight="251909120" behindDoc="0" locked="0" layoutInCell="1" allowOverlap="1">
            <wp:simplePos x="0" y="0"/>
            <wp:positionH relativeFrom="column">
              <wp:posOffset>594995</wp:posOffset>
            </wp:positionH>
            <wp:positionV relativeFrom="paragraph">
              <wp:posOffset>34925</wp:posOffset>
            </wp:positionV>
            <wp:extent cx="4225290" cy="2242820"/>
            <wp:effectExtent l="0" t="0" r="3810" b="5080"/>
            <wp:wrapNone/>
            <wp:docPr id="701" name="图片 701" descr="071bf92a550573577d5163f85e38d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701" descr="071bf92a550573577d5163f85e38d760"/>
                    <pic:cNvPicPr>
                      <a:picLocks noChangeAspect="1"/>
                    </pic:cNvPicPr>
                  </pic:nvPicPr>
                  <pic:blipFill>
                    <a:blip r:embed="rId462"/>
                    <a:stretch>
                      <a:fillRect/>
                    </a:stretch>
                  </pic:blipFill>
                  <pic:spPr>
                    <a:xfrm>
                      <a:off x="0" y="0"/>
                      <a:ext cx="4225290" cy="2242820"/>
                    </a:xfrm>
                    <a:prstGeom prst="rect">
                      <a:avLst/>
                    </a:prstGeom>
                  </pic:spPr>
                </pic:pic>
              </a:graphicData>
            </a:graphic>
          </wp:anchor>
        </w:drawing>
      </w:r>
    </w:p>
    <w:p w14:paraId="1C18C768">
      <w:pPr>
        <w:widowControl/>
        <w:spacing w:line="240" w:lineRule="auto"/>
        <w:ind w:firstLine="0" w:firstLineChars="0"/>
        <w:jc w:val="center"/>
        <w:rPr>
          <w:rFonts w:hint="eastAsia" w:ascii="宋体" w:hAnsi="宋体" w:eastAsia="宋体" w:cs="Times New Roman"/>
          <w:color w:val="000000"/>
          <w:kern w:val="0"/>
          <w:szCs w:val="21"/>
        </w:rPr>
      </w:pPr>
    </w:p>
    <w:p w14:paraId="42ED22D0">
      <w:pPr>
        <w:spacing w:before="62" w:beforeLines="20" w:line="440" w:lineRule="exact"/>
        <w:ind w:firstLine="480" w:firstLineChars="200"/>
        <w:rPr>
          <w:rFonts w:hint="eastAsia" w:ascii="宋体" w:hAnsi="宋体" w:eastAsia="宋体" w:cs="宋体"/>
          <w:sz w:val="24"/>
        </w:rPr>
      </w:pPr>
    </w:p>
    <w:p w14:paraId="62213391">
      <w:pPr>
        <w:spacing w:before="62" w:beforeLines="20" w:line="440" w:lineRule="exact"/>
        <w:ind w:firstLine="480" w:firstLineChars="200"/>
        <w:rPr>
          <w:rFonts w:hint="eastAsia" w:ascii="宋体" w:hAnsi="宋体" w:eastAsia="宋体" w:cs="宋体"/>
          <w:sz w:val="24"/>
        </w:rPr>
      </w:pPr>
    </w:p>
    <w:p w14:paraId="3C0E43E3">
      <w:pPr>
        <w:spacing w:before="62" w:beforeLines="20" w:line="440" w:lineRule="exact"/>
        <w:ind w:firstLine="480" w:firstLineChars="200"/>
        <w:rPr>
          <w:rFonts w:hint="eastAsia" w:ascii="宋体" w:hAnsi="宋体" w:eastAsia="宋体" w:cs="宋体"/>
          <w:sz w:val="24"/>
        </w:rPr>
      </w:pPr>
    </w:p>
    <w:p w14:paraId="51614A36">
      <w:pPr>
        <w:spacing w:before="62" w:beforeLines="20" w:line="440" w:lineRule="exact"/>
        <w:ind w:firstLine="480" w:firstLineChars="200"/>
        <w:rPr>
          <w:rFonts w:hint="eastAsia" w:ascii="宋体" w:hAnsi="宋体" w:eastAsia="宋体" w:cs="宋体"/>
          <w:sz w:val="24"/>
        </w:rPr>
      </w:pPr>
    </w:p>
    <w:p w14:paraId="358F062C">
      <w:pPr>
        <w:spacing w:before="62" w:beforeLines="20" w:line="440" w:lineRule="exact"/>
        <w:ind w:firstLine="480" w:firstLineChars="200"/>
        <w:rPr>
          <w:rFonts w:hint="eastAsia" w:ascii="宋体" w:hAnsi="宋体" w:eastAsia="宋体" w:cs="宋体"/>
          <w:sz w:val="24"/>
        </w:rPr>
      </w:pPr>
    </w:p>
    <w:p w14:paraId="4369BF72">
      <w:pPr>
        <w:widowControl/>
        <w:spacing w:line="240" w:lineRule="auto"/>
        <w:ind w:firstLine="0" w:firstLineChars="0"/>
        <w:jc w:val="both"/>
        <w:rPr>
          <w:rFonts w:hint="eastAsia" w:ascii="宋体" w:hAnsi="宋体" w:eastAsia="宋体" w:cs="Times New Roman"/>
          <w:color w:val="000000"/>
          <w:kern w:val="0"/>
          <w:szCs w:val="21"/>
        </w:rPr>
      </w:pPr>
    </w:p>
    <w:p w14:paraId="74AA0CD6">
      <w:pPr>
        <w:widowControl/>
        <w:spacing w:line="240" w:lineRule="auto"/>
        <w:ind w:firstLine="0" w:firstLineChars="0"/>
        <w:jc w:val="center"/>
        <w:rPr>
          <w:rFonts w:hint="eastAsia" w:ascii="宋体" w:hAnsi="宋体" w:eastAsia="宋体" w:cs="宋体"/>
          <w:sz w:val="24"/>
        </w:rPr>
      </w:pPr>
      <w:r>
        <w:rPr>
          <w:rFonts w:hint="eastAsia" w:ascii="宋体" w:hAnsi="宋体" w:eastAsia="宋体" w:cs="Times New Roman"/>
          <w:color w:val="000000"/>
          <w:kern w:val="0"/>
          <w:szCs w:val="21"/>
        </w:rPr>
        <w:t>图4-3 上架季节-非0销量占比.png</w:t>
      </w:r>
    </w:p>
    <w:p w14:paraId="42EA8558">
      <w:pPr>
        <w:spacing w:before="62" w:beforeLines="20" w:line="440" w:lineRule="exact"/>
        <w:ind w:firstLine="480" w:firstLineChars="200"/>
        <w:rPr>
          <w:rFonts w:hint="eastAsia" w:ascii="宋体" w:hAnsi="宋体" w:eastAsia="宋体" w:cs="宋体"/>
          <w:sz w:val="24"/>
        </w:rPr>
      </w:pPr>
      <w:r>
        <w:rPr>
          <w:rFonts w:hint="eastAsia" w:ascii="宋体" w:hAnsi="宋体" w:eastAsia="宋体" w:cs="宋体"/>
          <w:sz w:val="24"/>
        </w:rPr>
        <w:drawing>
          <wp:anchor distT="0" distB="0" distL="114300" distR="114300" simplePos="0" relativeHeight="251908096" behindDoc="0" locked="0" layoutInCell="1" allowOverlap="1">
            <wp:simplePos x="0" y="0"/>
            <wp:positionH relativeFrom="column">
              <wp:posOffset>396240</wp:posOffset>
            </wp:positionH>
            <wp:positionV relativeFrom="paragraph">
              <wp:posOffset>34925</wp:posOffset>
            </wp:positionV>
            <wp:extent cx="4196080" cy="2285365"/>
            <wp:effectExtent l="0" t="0" r="13970" b="635"/>
            <wp:wrapNone/>
            <wp:docPr id="702" name="图片 702" descr="6c5860f21b59823c5422e7f9096db2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702" descr="6c5860f21b59823c5422e7f9096db2fe"/>
                    <pic:cNvPicPr>
                      <a:picLocks noChangeAspect="1"/>
                    </pic:cNvPicPr>
                  </pic:nvPicPr>
                  <pic:blipFill>
                    <a:blip r:embed="rId463"/>
                    <a:stretch>
                      <a:fillRect/>
                    </a:stretch>
                  </pic:blipFill>
                  <pic:spPr>
                    <a:xfrm>
                      <a:off x="0" y="0"/>
                      <a:ext cx="4196080" cy="2285365"/>
                    </a:xfrm>
                    <a:prstGeom prst="rect">
                      <a:avLst/>
                    </a:prstGeom>
                  </pic:spPr>
                </pic:pic>
              </a:graphicData>
            </a:graphic>
          </wp:anchor>
        </w:drawing>
      </w:r>
    </w:p>
    <w:p w14:paraId="198BFAB7">
      <w:pPr>
        <w:spacing w:before="62" w:beforeLines="20" w:line="440" w:lineRule="exact"/>
        <w:ind w:firstLine="480" w:firstLineChars="200"/>
        <w:rPr>
          <w:rFonts w:hint="eastAsia" w:ascii="宋体" w:hAnsi="宋体" w:eastAsia="宋体" w:cs="宋体"/>
          <w:sz w:val="24"/>
        </w:rPr>
      </w:pPr>
    </w:p>
    <w:p w14:paraId="1D81A2D6">
      <w:pPr>
        <w:spacing w:before="62" w:beforeLines="20" w:line="440" w:lineRule="exact"/>
        <w:ind w:firstLine="480" w:firstLineChars="200"/>
        <w:rPr>
          <w:rFonts w:hint="eastAsia" w:ascii="宋体" w:hAnsi="宋体" w:eastAsia="宋体" w:cs="宋体"/>
          <w:sz w:val="24"/>
        </w:rPr>
      </w:pPr>
    </w:p>
    <w:p w14:paraId="6F5470E8">
      <w:pPr>
        <w:spacing w:before="62" w:beforeLines="20" w:line="440" w:lineRule="exact"/>
        <w:ind w:firstLine="480" w:firstLineChars="200"/>
        <w:rPr>
          <w:rFonts w:hint="eastAsia" w:ascii="宋体" w:hAnsi="宋体" w:eastAsia="宋体" w:cs="宋体"/>
          <w:sz w:val="24"/>
        </w:rPr>
      </w:pPr>
    </w:p>
    <w:p w14:paraId="41373807">
      <w:pPr>
        <w:spacing w:before="62" w:beforeLines="20" w:line="440" w:lineRule="exact"/>
        <w:ind w:firstLine="480" w:firstLineChars="200"/>
        <w:rPr>
          <w:rFonts w:hint="eastAsia" w:ascii="宋体" w:hAnsi="宋体" w:eastAsia="宋体" w:cs="宋体"/>
          <w:sz w:val="24"/>
        </w:rPr>
      </w:pPr>
    </w:p>
    <w:p w14:paraId="482FF602">
      <w:pPr>
        <w:spacing w:before="62" w:beforeLines="20" w:line="440" w:lineRule="exact"/>
        <w:ind w:firstLine="480" w:firstLineChars="200"/>
        <w:rPr>
          <w:rFonts w:hint="eastAsia" w:ascii="宋体" w:hAnsi="宋体" w:eastAsia="宋体" w:cs="宋体"/>
          <w:sz w:val="24"/>
        </w:rPr>
      </w:pPr>
    </w:p>
    <w:p w14:paraId="23CCCCA4">
      <w:pPr>
        <w:spacing w:before="62" w:beforeLines="20" w:line="440" w:lineRule="exact"/>
        <w:ind w:firstLine="480" w:firstLineChars="200"/>
        <w:rPr>
          <w:rFonts w:hint="eastAsia" w:ascii="宋体" w:hAnsi="宋体" w:eastAsia="宋体" w:cs="宋体"/>
          <w:sz w:val="24"/>
        </w:rPr>
      </w:pPr>
    </w:p>
    <w:p w14:paraId="33DFDD04">
      <w:pPr>
        <w:spacing w:before="62" w:beforeLines="20" w:line="440" w:lineRule="exact"/>
        <w:ind w:firstLine="480" w:firstLineChars="200"/>
        <w:rPr>
          <w:rFonts w:hint="eastAsia" w:ascii="宋体" w:hAnsi="宋体" w:eastAsia="宋体" w:cs="宋体"/>
          <w:sz w:val="24"/>
        </w:rPr>
      </w:pPr>
      <w:r>
        <w:rPr>
          <w:rFonts w:hint="eastAsia" w:ascii="宋体" w:hAnsi="宋体" w:eastAsia="宋体" w:cs="宋体"/>
          <w:sz w:val="24"/>
        </w:rPr>
        <w:t>（3）核心推广规则：优先推广“旗舰店+冬季+好评率≥95%”商品；次优先推广“旗舰店+冬季/好评率≥95%”商品；避免推广“普通店+非冬季+好评率&lt;95%”商品。</w:t>
      </w:r>
    </w:p>
    <w:p w14:paraId="2E2EBBC5">
      <w:pPr>
        <w:spacing w:line="440" w:lineRule="exact"/>
        <w:ind w:firstLine="420"/>
        <w:outlineLvl w:val="9"/>
        <w:rPr>
          <w:rFonts w:hint="eastAsia" w:ascii="宋体" w:hAnsi="宋体" w:eastAsia="宋体" w:cs="宋体"/>
          <w:sz w:val="24"/>
        </w:rPr>
      </w:pPr>
      <w:bookmarkStart w:id="1444" w:name="_Toc20075"/>
      <w:r>
        <w:rPr>
          <w:rFonts w:hint="eastAsia" w:ascii="宋体" w:hAnsi="宋体" w:eastAsia="宋体" w:cs="宋体"/>
          <w:sz w:val="24"/>
        </w:rPr>
        <w:t>4.7.3 模型训练与预测</w:t>
      </w:r>
      <w:bookmarkEnd w:id="1444"/>
    </w:p>
    <w:p w14:paraId="51E63BD3">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（1）模型设计：随机森林分类器（n_estimators=100，max_depth=8）；输入特征为商品类别、店铺类型、上架月份、好评率区间；数据集分层抽样（训练集70%、测试集30%）。</w:t>
      </w:r>
    </w:p>
    <w:p w14:paraId="0891DD88">
      <w:pPr>
        <w:spacing w:before="62" w:beforeLines="20"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（2）模型结果：准确率70%-75%；特征对销量影响极小，核心决策以业务规则为主；可视化结果为图4-4、图4-5。</w:t>
      </w:r>
    </w:p>
    <w:p w14:paraId="5EEC4FA5">
      <w:pPr>
        <w:widowControl/>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t>图4-4 是否卖得动_混淆矩阵.png</w:t>
      </w:r>
    </w:p>
    <w:p w14:paraId="324B6A1D">
      <w:pPr>
        <w:widowControl/>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drawing>
          <wp:anchor distT="0" distB="0" distL="114300" distR="114300" simplePos="0" relativeHeight="251910144" behindDoc="0" locked="0" layoutInCell="1" allowOverlap="1">
            <wp:simplePos x="0" y="0"/>
            <wp:positionH relativeFrom="column">
              <wp:posOffset>1069340</wp:posOffset>
            </wp:positionH>
            <wp:positionV relativeFrom="paragraph">
              <wp:posOffset>95250</wp:posOffset>
            </wp:positionV>
            <wp:extent cx="3902710" cy="2496820"/>
            <wp:effectExtent l="0" t="0" r="2540" b="17780"/>
            <wp:wrapNone/>
            <wp:docPr id="703" name="图片 703" descr="edca9e20edf12446e12250e30ab9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703" descr="edca9e20edf12446e12250e30ab99406"/>
                    <pic:cNvPicPr>
                      <a:picLocks noChangeAspect="1"/>
                    </pic:cNvPicPr>
                  </pic:nvPicPr>
                  <pic:blipFill>
                    <a:blip r:embed="rId464"/>
                    <a:stretch>
                      <a:fillRect/>
                    </a:stretch>
                  </pic:blipFill>
                  <pic:spPr>
                    <a:xfrm>
                      <a:off x="0" y="0"/>
                      <a:ext cx="3902710" cy="2496820"/>
                    </a:xfrm>
                    <a:prstGeom prst="rect">
                      <a:avLst/>
                    </a:prstGeom>
                  </pic:spPr>
                </pic:pic>
              </a:graphicData>
            </a:graphic>
          </wp:anchor>
        </w:drawing>
      </w:r>
    </w:p>
    <w:p w14:paraId="3C1931EB">
      <w:pPr>
        <w:widowControl/>
        <w:spacing w:line="440" w:lineRule="exact"/>
        <w:ind w:firstLine="420" w:firstLineChars="200"/>
        <w:jc w:val="center"/>
        <w:rPr>
          <w:rFonts w:hint="eastAsia" w:ascii="宋体" w:hAnsi="宋体" w:eastAsia="宋体" w:cs="Times New Roman"/>
          <w:color w:val="000000"/>
          <w:kern w:val="0"/>
          <w:szCs w:val="21"/>
        </w:rPr>
      </w:pPr>
    </w:p>
    <w:p w14:paraId="64ACE951">
      <w:pPr>
        <w:widowControl/>
        <w:spacing w:line="440" w:lineRule="exact"/>
        <w:ind w:firstLine="420" w:firstLineChars="200"/>
        <w:jc w:val="center"/>
        <w:rPr>
          <w:rFonts w:hint="eastAsia" w:ascii="宋体" w:hAnsi="宋体" w:eastAsia="宋体" w:cs="Times New Roman"/>
          <w:color w:val="000000"/>
          <w:kern w:val="0"/>
          <w:szCs w:val="21"/>
        </w:rPr>
      </w:pPr>
    </w:p>
    <w:p w14:paraId="73F5F212">
      <w:pPr>
        <w:widowControl/>
        <w:spacing w:line="440" w:lineRule="exact"/>
        <w:ind w:firstLine="420" w:firstLineChars="200"/>
        <w:jc w:val="center"/>
        <w:rPr>
          <w:rFonts w:hint="eastAsia" w:ascii="宋体" w:hAnsi="宋体" w:eastAsia="宋体" w:cs="Times New Roman"/>
          <w:color w:val="000000"/>
          <w:kern w:val="0"/>
          <w:szCs w:val="21"/>
        </w:rPr>
      </w:pPr>
    </w:p>
    <w:p w14:paraId="25430EF3">
      <w:pPr>
        <w:widowControl/>
        <w:spacing w:line="440" w:lineRule="exact"/>
        <w:ind w:firstLine="420" w:firstLineChars="200"/>
        <w:jc w:val="center"/>
        <w:rPr>
          <w:rFonts w:hint="eastAsia" w:ascii="宋体" w:hAnsi="宋体" w:eastAsia="宋体" w:cs="Times New Roman"/>
          <w:color w:val="000000"/>
          <w:kern w:val="0"/>
          <w:szCs w:val="21"/>
        </w:rPr>
      </w:pPr>
    </w:p>
    <w:p w14:paraId="13E8D9E0">
      <w:pPr>
        <w:widowControl/>
        <w:spacing w:line="440" w:lineRule="exact"/>
        <w:ind w:firstLine="420" w:firstLineChars="200"/>
        <w:jc w:val="center"/>
        <w:rPr>
          <w:rFonts w:hint="eastAsia" w:ascii="宋体" w:hAnsi="宋体" w:eastAsia="宋体" w:cs="Times New Roman"/>
          <w:color w:val="000000"/>
          <w:kern w:val="0"/>
          <w:szCs w:val="21"/>
        </w:rPr>
      </w:pPr>
    </w:p>
    <w:p w14:paraId="5AE6B473">
      <w:pPr>
        <w:widowControl/>
        <w:spacing w:line="440" w:lineRule="exact"/>
        <w:ind w:firstLine="420" w:firstLineChars="200"/>
        <w:jc w:val="center"/>
        <w:rPr>
          <w:rFonts w:hint="eastAsia" w:ascii="宋体" w:hAnsi="宋体" w:eastAsia="宋体" w:cs="Times New Roman"/>
          <w:color w:val="000000"/>
          <w:kern w:val="0"/>
          <w:szCs w:val="21"/>
        </w:rPr>
      </w:pPr>
    </w:p>
    <w:p w14:paraId="0BFA712D">
      <w:pPr>
        <w:widowControl/>
        <w:spacing w:line="440" w:lineRule="exact"/>
        <w:ind w:firstLine="420" w:firstLineChars="200"/>
        <w:jc w:val="center"/>
        <w:rPr>
          <w:rFonts w:hint="eastAsia" w:ascii="宋体" w:hAnsi="宋体" w:eastAsia="宋体" w:cs="Times New Roman"/>
          <w:color w:val="000000"/>
          <w:kern w:val="0"/>
          <w:szCs w:val="21"/>
        </w:rPr>
      </w:pPr>
    </w:p>
    <w:p w14:paraId="5228689F">
      <w:pPr>
        <w:widowControl/>
        <w:spacing w:line="440" w:lineRule="exact"/>
        <w:ind w:firstLine="420" w:firstLineChars="200"/>
        <w:jc w:val="center"/>
        <w:rPr>
          <w:rFonts w:hint="eastAsia" w:ascii="宋体" w:hAnsi="宋体" w:eastAsia="宋体" w:cs="Times New Roman"/>
          <w:color w:val="000000"/>
          <w:kern w:val="0"/>
          <w:szCs w:val="21"/>
        </w:rPr>
      </w:pPr>
    </w:p>
    <w:p w14:paraId="26C5A5FC">
      <w:pPr>
        <w:widowControl/>
        <w:spacing w:line="440" w:lineRule="exact"/>
        <w:ind w:firstLine="420" w:firstLineChars="200"/>
        <w:jc w:val="center"/>
        <w:rPr>
          <w:rFonts w:hint="eastAsia" w:ascii="宋体" w:hAnsi="宋体" w:eastAsia="宋体" w:cs="Times New Roman"/>
          <w:color w:val="000000"/>
          <w:kern w:val="0"/>
          <w:szCs w:val="21"/>
        </w:rPr>
      </w:pPr>
    </w:p>
    <w:p w14:paraId="2CD0F8BF">
      <w:pPr>
        <w:widowControl/>
        <w:spacing w:line="440" w:lineRule="exact"/>
        <w:ind w:firstLine="420" w:firstLineChars="200"/>
        <w:jc w:val="center"/>
        <w:rPr>
          <w:rFonts w:hint="eastAsia" w:ascii="宋体" w:hAnsi="宋体" w:eastAsia="宋体" w:cs="Times New Roman"/>
          <w:color w:val="000000"/>
          <w:kern w:val="0"/>
          <w:szCs w:val="21"/>
        </w:rPr>
      </w:pPr>
    </w:p>
    <w:p w14:paraId="497EE12D">
      <w:pPr>
        <w:widowControl/>
        <w:spacing w:line="440" w:lineRule="exact"/>
        <w:jc w:val="both"/>
        <w:rPr>
          <w:rFonts w:hint="eastAsia" w:ascii="宋体" w:hAnsi="宋体" w:eastAsia="宋体" w:cs="Times New Roman"/>
          <w:color w:val="000000"/>
          <w:kern w:val="0"/>
          <w:szCs w:val="21"/>
        </w:rPr>
      </w:pPr>
    </w:p>
    <w:p w14:paraId="2AB85159">
      <w:pPr>
        <w:widowControl/>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t>图4-5 是否卖得动_特征重要性.png</w:t>
      </w:r>
    </w:p>
    <w:p w14:paraId="404A964A">
      <w:pPr>
        <w:widowControl/>
        <w:spacing w:line="440" w:lineRule="exact"/>
        <w:ind w:firstLine="480" w:firstLineChars="200"/>
        <w:jc w:val="center"/>
        <w:rPr>
          <w:rFonts w:hint="eastAsia" w:ascii="宋体" w:hAnsi="宋体" w:eastAsia="宋体" w:cs="Times New Roman"/>
          <w:color w:val="000000"/>
          <w:kern w:val="0"/>
          <w:szCs w:val="21"/>
        </w:rPr>
      </w:pPr>
      <w:bookmarkStart w:id="1445" w:name="_Toc20514"/>
      <w:r>
        <w:rPr>
          <w:rFonts w:hint="eastAsia" w:ascii="宋体" w:hAnsi="宋体" w:eastAsia="宋体" w:cs="宋体"/>
          <w:sz w:val="24"/>
        </w:rPr>
        <w:drawing>
          <wp:anchor distT="0" distB="0" distL="114300" distR="114300" simplePos="0" relativeHeight="251911168" behindDoc="0" locked="0" layoutInCell="1" allowOverlap="1">
            <wp:simplePos x="0" y="0"/>
            <wp:positionH relativeFrom="column">
              <wp:posOffset>463550</wp:posOffset>
            </wp:positionH>
            <wp:positionV relativeFrom="paragraph">
              <wp:posOffset>99060</wp:posOffset>
            </wp:positionV>
            <wp:extent cx="4399915" cy="1871980"/>
            <wp:effectExtent l="0" t="0" r="635" b="13970"/>
            <wp:wrapNone/>
            <wp:docPr id="704" name="图片 704" descr="d6c210132802a546aa2142ed619aa5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descr="d6c210132802a546aa2142ed619aa53a"/>
                    <pic:cNvPicPr>
                      <a:picLocks noChangeAspect="1"/>
                    </pic:cNvPicPr>
                  </pic:nvPicPr>
                  <pic:blipFill>
                    <a:blip r:embed="rId465"/>
                    <a:stretch>
                      <a:fillRect/>
                    </a:stretch>
                  </pic:blipFill>
                  <pic:spPr>
                    <a:xfrm>
                      <a:off x="0" y="0"/>
                      <a:ext cx="4399915" cy="1871980"/>
                    </a:xfrm>
                    <a:prstGeom prst="rect">
                      <a:avLst/>
                    </a:prstGeom>
                  </pic:spPr>
                </pic:pic>
              </a:graphicData>
            </a:graphic>
          </wp:anchor>
        </w:drawing>
      </w:r>
      <w:bookmarkEnd w:id="1445"/>
    </w:p>
    <w:p w14:paraId="495AFB54">
      <w:pPr>
        <w:widowControl/>
        <w:spacing w:line="440" w:lineRule="exact"/>
        <w:ind w:firstLine="420" w:firstLineChars="200"/>
        <w:jc w:val="center"/>
        <w:rPr>
          <w:rFonts w:hint="eastAsia" w:ascii="宋体" w:hAnsi="宋体" w:eastAsia="宋体" w:cs="Times New Roman"/>
          <w:color w:val="000000"/>
          <w:kern w:val="0"/>
          <w:szCs w:val="21"/>
        </w:rPr>
      </w:pPr>
    </w:p>
    <w:p w14:paraId="30AB0031">
      <w:pPr>
        <w:widowControl/>
        <w:spacing w:line="440" w:lineRule="exact"/>
        <w:ind w:firstLine="420" w:firstLineChars="200"/>
        <w:jc w:val="center"/>
        <w:rPr>
          <w:rFonts w:hint="eastAsia" w:ascii="宋体" w:hAnsi="宋体" w:eastAsia="宋体" w:cs="Times New Roman"/>
          <w:color w:val="000000"/>
          <w:kern w:val="0"/>
          <w:szCs w:val="21"/>
        </w:rPr>
      </w:pPr>
    </w:p>
    <w:p w14:paraId="4F20CA76">
      <w:pPr>
        <w:widowControl/>
        <w:spacing w:line="440" w:lineRule="exact"/>
        <w:ind w:firstLine="420" w:firstLineChars="200"/>
        <w:jc w:val="center"/>
        <w:rPr>
          <w:rFonts w:hint="eastAsia" w:ascii="宋体" w:hAnsi="宋体" w:eastAsia="宋体" w:cs="Times New Roman"/>
          <w:color w:val="000000"/>
          <w:kern w:val="0"/>
          <w:szCs w:val="21"/>
        </w:rPr>
      </w:pPr>
    </w:p>
    <w:p w14:paraId="792EE646">
      <w:pPr>
        <w:widowControl/>
        <w:spacing w:line="440" w:lineRule="exact"/>
        <w:ind w:firstLine="420" w:firstLineChars="200"/>
        <w:jc w:val="center"/>
        <w:rPr>
          <w:rFonts w:hint="eastAsia" w:ascii="宋体" w:hAnsi="宋体" w:eastAsia="宋体" w:cs="Times New Roman"/>
          <w:color w:val="000000"/>
          <w:kern w:val="0"/>
          <w:szCs w:val="21"/>
        </w:rPr>
      </w:pPr>
    </w:p>
    <w:p w14:paraId="4CFF59E8">
      <w:pPr>
        <w:spacing w:line="440" w:lineRule="exact"/>
        <w:ind w:firstLine="480" w:firstLineChars="200"/>
        <w:rPr>
          <w:rFonts w:hint="eastAsia" w:ascii="宋体" w:hAnsi="宋体" w:eastAsia="宋体" w:cs="宋体"/>
          <w:sz w:val="24"/>
        </w:rPr>
      </w:pPr>
    </w:p>
    <w:p w14:paraId="3CB80277">
      <w:pPr>
        <w:spacing w:line="440" w:lineRule="exact"/>
        <w:ind w:firstLine="480" w:firstLineChars="200"/>
        <w:rPr>
          <w:rFonts w:hint="eastAsia" w:ascii="宋体" w:hAnsi="宋体" w:eastAsia="宋体" w:cs="宋体"/>
          <w:sz w:val="24"/>
        </w:rPr>
      </w:pPr>
    </w:p>
    <w:p w14:paraId="7C158617">
      <w:pPr>
        <w:spacing w:line="440" w:lineRule="exact"/>
        <w:ind w:firstLine="480" w:firstLineChars="200"/>
        <w:rPr>
          <w:rFonts w:hint="eastAsia" w:ascii="宋体" w:hAnsi="宋体" w:eastAsia="宋体" w:cs="宋体"/>
          <w:sz w:val="24"/>
        </w:rPr>
      </w:pPr>
      <w:r>
        <w:rPr>
          <w:rFonts w:hint="eastAsia" w:ascii="宋体" w:hAnsi="宋体" w:eastAsia="宋体" w:cs="宋体"/>
          <w:sz w:val="24"/>
        </w:rPr>
        <w:t>（3）预测输出：全量预测生成是否卖得动预测结果.csv，包含商品基础信息、真实销量标签、预测结果、预测概率及业务建议；单商品验证以“女士羽绒服（旗舰店+11月上架+好评率97.8%）”为例，其预测结果为“卖得动（概率≥80%）”，以此验证规则与模型实用性，结果存档至单商品预测记录.csv。</w:t>
      </w:r>
    </w:p>
    <w:p w14:paraId="60C61A7D">
      <w:pPr>
        <w:spacing w:line="440" w:lineRule="exact"/>
        <w:ind w:firstLine="420"/>
        <w:outlineLvl w:val="9"/>
        <w:rPr>
          <w:rFonts w:hint="eastAsia" w:ascii="宋体" w:hAnsi="宋体" w:eastAsia="宋体" w:cs="宋体"/>
          <w:sz w:val="24"/>
        </w:rPr>
      </w:pPr>
      <w:bookmarkStart w:id="1446" w:name="_Toc7722"/>
      <w:r>
        <w:rPr>
          <w:rFonts w:hint="eastAsia" w:ascii="宋体" w:hAnsi="宋体" w:eastAsia="宋体" w:cs="宋体"/>
          <w:sz w:val="24"/>
        </w:rPr>
        <w:t>4.7.4 核心结论与行动建议</w:t>
      </w:r>
      <w:bookmarkEnd w:id="1446"/>
    </w:p>
    <w:p w14:paraId="2AF30A3F">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核心结论：整体卖动率82.33%，店铺类型、上架季节、好评率为核心维度；“旗舰店+冬季+95%+好评率”组合最优；模型仅作辅助，业务规则落地性更高。</w:t>
      </w:r>
    </w:p>
    <w:p w14:paraId="48DCEEC0">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行动建议：必做推广“旗舰店+10-1月+好评率≥95%”商品；次做补充推广 “旗舰店+冬季/好评率≥95%”商品；避免推广普通店+非冬季+好评率&lt;95%商品；辅助筛选预测卖得动且概率≥80%的商品补充推广。</w:t>
      </w:r>
    </w:p>
    <w:p w14:paraId="5EC009C0">
      <w:pPr>
        <w:spacing w:line="440" w:lineRule="exact"/>
        <w:ind w:firstLine="420"/>
        <w:outlineLvl w:val="9"/>
        <w:rPr>
          <w:rFonts w:hint="eastAsia" w:ascii="宋体" w:hAnsi="宋体" w:eastAsia="宋体" w:cs="宋体"/>
          <w:sz w:val="24"/>
        </w:rPr>
      </w:pPr>
      <w:bookmarkStart w:id="1447" w:name="_Toc1094"/>
      <w:r>
        <w:rPr>
          <w:rFonts w:hint="eastAsia" w:ascii="宋体" w:hAnsi="宋体" w:eastAsia="宋体" w:cs="宋体"/>
          <w:sz w:val="24"/>
        </w:rPr>
        <w:t>4.7.5 输出结果说明</w:t>
      </w:r>
      <w:bookmarkEnd w:id="1447"/>
    </w:p>
    <w:p w14:paraId="0842E7F7">
      <w:pPr>
        <w:widowControl/>
        <w:spacing w:line="440" w:lineRule="exact"/>
        <w:ind w:firstLine="420" w:firstLineChars="200"/>
        <w:jc w:val="center"/>
        <w:rPr>
          <w:rFonts w:hint="eastAsia" w:ascii="宋体" w:hAnsi="宋体"/>
          <w:color w:val="000000"/>
          <w:kern w:val="0"/>
          <w:szCs w:val="21"/>
        </w:rPr>
      </w:pPr>
      <w:r>
        <w:rPr>
          <w:rFonts w:hint="eastAsia" w:ascii="宋体" w:hAnsi="宋体"/>
          <w:color w:val="000000"/>
          <w:kern w:val="0"/>
          <w:szCs w:val="21"/>
        </w:rPr>
        <w:t>表4-4 数据预测结果输出</w:t>
      </w:r>
    </w:p>
    <w:tbl>
      <w:tblPr>
        <w:tblStyle w:val="35"/>
        <w:tblW w:w="4839" w:type="pct"/>
        <w:tblInd w:w="345" w:type="dxa"/>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558"/>
        <w:gridCol w:w="3120"/>
        <w:gridCol w:w="3779"/>
      </w:tblGrid>
      <w:tr w14:paraId="798F8A94">
        <w:tblPrEx>
          <w:tblBorders>
            <w:top w:val="none" w:color="auto" w:sz="0"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rPr>
          <w:trHeight w:val="90" w:hRule="atLeast"/>
          <w:tblHeader/>
        </w:trPr>
        <w:tc>
          <w:tcPr>
            <w:tcW w:w="921" w:type="pct"/>
            <w:tcBorders>
              <w:top w:val="single" w:color="000000" w:sz="12" w:space="0"/>
              <w:left w:val="nil"/>
              <w:bottom w:val="single" w:color="000000" w:sz="4" w:space="0"/>
              <w:right w:val="nil"/>
              <w:tl2br w:val="nil"/>
            </w:tcBorders>
            <w:shd w:val="clear" w:color="auto" w:fill="FFFFFF"/>
            <w:tcMar>
              <w:top w:w="144" w:type="dxa"/>
              <w:left w:w="216" w:type="dxa"/>
              <w:bottom w:w="144" w:type="dxa"/>
              <w:right w:w="216" w:type="dxa"/>
            </w:tcMar>
            <w:vAlign w:val="center"/>
          </w:tcPr>
          <w:p w14:paraId="09C9A0B6">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文件类型</w:t>
            </w:r>
          </w:p>
        </w:tc>
        <w:tc>
          <w:tcPr>
            <w:tcW w:w="1844" w:type="pct"/>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17271F84">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文件名</w:t>
            </w:r>
          </w:p>
        </w:tc>
        <w:tc>
          <w:tcPr>
            <w:tcW w:w="2234" w:type="pct"/>
            <w:tcBorders>
              <w:top w:val="single" w:color="000000" w:sz="12" w:space="0"/>
              <w:left w:val="nil"/>
              <w:bottom w:val="single" w:color="000000" w:sz="4" w:space="0"/>
              <w:right w:val="nil"/>
            </w:tcBorders>
            <w:shd w:val="clear" w:color="auto" w:fill="FFFFFF"/>
            <w:tcMar>
              <w:top w:w="144" w:type="dxa"/>
              <w:left w:w="216" w:type="dxa"/>
              <w:bottom w:w="144" w:type="dxa"/>
              <w:right w:w="216" w:type="dxa"/>
            </w:tcMar>
            <w:vAlign w:val="center"/>
          </w:tcPr>
          <w:p w14:paraId="52F0C3AC">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核心用途</w:t>
            </w:r>
          </w:p>
        </w:tc>
      </w:tr>
      <w:tr w14:paraId="0915BE30">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21" w:type="pct"/>
            <w:vMerge w:val="restart"/>
            <w:tcBorders>
              <w:top w:val="single" w:color="000000" w:sz="4" w:space="0"/>
              <w:left w:val="nil"/>
              <w:right w:val="nil"/>
            </w:tcBorders>
            <w:shd w:val="clear" w:color="auto" w:fill="FFFFFF"/>
            <w:tcMar>
              <w:top w:w="144" w:type="dxa"/>
              <w:left w:w="216" w:type="dxa"/>
              <w:bottom w:w="144" w:type="dxa"/>
              <w:right w:w="216" w:type="dxa"/>
            </w:tcMar>
            <w:vAlign w:val="center"/>
          </w:tcPr>
          <w:p w14:paraId="12C43B97">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CSV文件</w:t>
            </w:r>
          </w:p>
        </w:tc>
        <w:tc>
          <w:tcPr>
            <w:tcW w:w="1844" w:type="pct"/>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0D2ED205">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业务规则挖掘结果.csv</w:t>
            </w:r>
          </w:p>
        </w:tc>
        <w:tc>
          <w:tcPr>
            <w:tcW w:w="2234" w:type="pct"/>
            <w:tcBorders>
              <w:top w:val="single" w:color="000000" w:sz="4" w:space="0"/>
              <w:left w:val="nil"/>
              <w:bottom w:val="nil"/>
              <w:right w:val="nil"/>
            </w:tcBorders>
            <w:shd w:val="clear" w:color="auto" w:fill="FFFFFF"/>
            <w:tcMar>
              <w:top w:w="144" w:type="dxa"/>
              <w:left w:w="216" w:type="dxa"/>
              <w:bottom w:w="144" w:type="dxa"/>
              <w:right w:w="216" w:type="dxa"/>
            </w:tcMar>
            <w:vAlign w:val="center"/>
          </w:tcPr>
          <w:p w14:paraId="583BCC34">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各维度非0销量占比统计结果</w:t>
            </w:r>
          </w:p>
        </w:tc>
      </w:tr>
      <w:tr w14:paraId="672549D1">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921" w:type="pct"/>
            <w:vMerge w:val="continue"/>
            <w:tcBorders>
              <w:left w:val="nil"/>
              <w:right w:val="nil"/>
            </w:tcBorders>
            <w:shd w:val="clear" w:color="auto" w:fill="FFFFFF"/>
            <w:tcMar>
              <w:top w:w="144" w:type="dxa"/>
              <w:left w:w="216" w:type="dxa"/>
              <w:bottom w:w="144" w:type="dxa"/>
              <w:right w:w="216" w:type="dxa"/>
            </w:tcMar>
            <w:vAlign w:val="center"/>
          </w:tcPr>
          <w:p w14:paraId="222DDC01">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nil"/>
              <w:left w:val="nil"/>
              <w:bottom w:val="nil"/>
              <w:right w:val="nil"/>
            </w:tcBorders>
            <w:shd w:val="clear" w:color="auto" w:fill="FFFFFF"/>
            <w:tcMar>
              <w:top w:w="144" w:type="dxa"/>
              <w:left w:w="216" w:type="dxa"/>
              <w:bottom w:w="144" w:type="dxa"/>
              <w:right w:w="216" w:type="dxa"/>
            </w:tcMar>
            <w:vAlign w:val="center"/>
          </w:tcPr>
          <w:p w14:paraId="545DDE6A">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是否卖得动预测结果.csv</w:t>
            </w:r>
          </w:p>
        </w:tc>
        <w:tc>
          <w:tcPr>
            <w:tcW w:w="2234" w:type="pct"/>
            <w:tcBorders>
              <w:top w:val="nil"/>
              <w:left w:val="nil"/>
              <w:bottom w:val="nil"/>
              <w:right w:val="nil"/>
            </w:tcBorders>
            <w:shd w:val="clear" w:color="auto" w:fill="FFFFFF"/>
            <w:tcMar>
              <w:top w:w="144" w:type="dxa"/>
              <w:left w:w="216" w:type="dxa"/>
              <w:bottom w:w="144" w:type="dxa"/>
              <w:right w:w="216" w:type="dxa"/>
            </w:tcMar>
            <w:vAlign w:val="center"/>
          </w:tcPr>
          <w:p w14:paraId="302A705C">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全量商品预测+推广建议（核心）</w:t>
            </w:r>
          </w:p>
        </w:tc>
      </w:tr>
      <w:tr w14:paraId="69033CE7">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21" w:type="pct"/>
            <w:vMerge w:val="continue"/>
            <w:tcBorders>
              <w:left w:val="nil"/>
              <w:bottom w:val="nil"/>
              <w:right w:val="nil"/>
            </w:tcBorders>
            <w:shd w:val="clear" w:color="auto" w:fill="FFFFFF"/>
            <w:tcMar>
              <w:top w:w="144" w:type="dxa"/>
              <w:left w:w="216" w:type="dxa"/>
              <w:bottom w:w="144" w:type="dxa"/>
              <w:right w:w="216" w:type="dxa"/>
            </w:tcMar>
            <w:vAlign w:val="center"/>
          </w:tcPr>
          <w:p w14:paraId="1C8DD34F">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nil"/>
              <w:left w:val="nil"/>
              <w:bottom w:val="nil"/>
              <w:right w:val="nil"/>
            </w:tcBorders>
            <w:shd w:val="clear" w:color="auto" w:fill="FFFFFF"/>
            <w:tcMar>
              <w:top w:w="144" w:type="dxa"/>
              <w:left w:w="216" w:type="dxa"/>
              <w:bottom w:w="144" w:type="dxa"/>
              <w:right w:w="216" w:type="dxa"/>
            </w:tcMar>
            <w:vAlign w:val="center"/>
          </w:tcPr>
          <w:p w14:paraId="07F04542">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单商品预测记录.csv</w:t>
            </w:r>
          </w:p>
        </w:tc>
        <w:tc>
          <w:tcPr>
            <w:tcW w:w="2234" w:type="pct"/>
            <w:tcBorders>
              <w:top w:val="nil"/>
              <w:left w:val="nil"/>
              <w:bottom w:val="nil"/>
              <w:right w:val="nil"/>
            </w:tcBorders>
            <w:shd w:val="clear" w:color="auto" w:fill="FFFFFF"/>
            <w:tcMar>
              <w:top w:w="144" w:type="dxa"/>
              <w:left w:w="216" w:type="dxa"/>
              <w:bottom w:w="144" w:type="dxa"/>
              <w:right w:w="216" w:type="dxa"/>
            </w:tcMar>
            <w:vAlign w:val="center"/>
          </w:tcPr>
          <w:p w14:paraId="279DBA5D">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单商品预测结果存档</w:t>
            </w:r>
          </w:p>
        </w:tc>
      </w:tr>
      <w:tr w14:paraId="5C568F08">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921" w:type="pct"/>
            <w:vMerge w:val="restart"/>
            <w:tcBorders>
              <w:top w:val="nil"/>
              <w:left w:val="nil"/>
              <w:right w:val="nil"/>
            </w:tcBorders>
            <w:shd w:val="clear" w:color="auto" w:fill="FFFFFF"/>
            <w:tcMar>
              <w:top w:w="144" w:type="dxa"/>
              <w:left w:w="216" w:type="dxa"/>
              <w:bottom w:w="144" w:type="dxa"/>
              <w:right w:w="216" w:type="dxa"/>
            </w:tcMar>
            <w:vAlign w:val="center"/>
          </w:tcPr>
          <w:p w14:paraId="3C444FD2">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图片文件</w:t>
            </w:r>
          </w:p>
        </w:tc>
        <w:tc>
          <w:tcPr>
            <w:tcW w:w="1844" w:type="pct"/>
            <w:tcBorders>
              <w:top w:val="nil"/>
              <w:left w:val="nil"/>
              <w:bottom w:val="nil"/>
              <w:right w:val="nil"/>
            </w:tcBorders>
            <w:shd w:val="clear" w:color="auto" w:fill="FFFFFF"/>
            <w:tcMar>
              <w:top w:w="144" w:type="dxa"/>
              <w:left w:w="216" w:type="dxa"/>
              <w:bottom w:w="144" w:type="dxa"/>
              <w:right w:w="216" w:type="dxa"/>
            </w:tcMar>
            <w:vAlign w:val="center"/>
          </w:tcPr>
          <w:p w14:paraId="23B70654">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是否卖得动分布.png</w:t>
            </w:r>
          </w:p>
        </w:tc>
        <w:tc>
          <w:tcPr>
            <w:tcW w:w="2234" w:type="pct"/>
            <w:tcBorders>
              <w:top w:val="nil"/>
              <w:left w:val="nil"/>
              <w:bottom w:val="nil"/>
              <w:right w:val="nil"/>
            </w:tcBorders>
            <w:shd w:val="clear" w:color="auto" w:fill="FFFFFF"/>
            <w:tcMar>
              <w:top w:w="144" w:type="dxa"/>
              <w:left w:w="216" w:type="dxa"/>
              <w:bottom w:w="144" w:type="dxa"/>
              <w:right w:w="216" w:type="dxa"/>
            </w:tcMar>
            <w:vAlign w:val="center"/>
          </w:tcPr>
          <w:p w14:paraId="3F7A9297">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商品卖得动分布（按店铺类型）</w:t>
            </w:r>
          </w:p>
        </w:tc>
      </w:tr>
      <w:tr w14:paraId="04513AD0">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921" w:type="pct"/>
            <w:vMerge w:val="continue"/>
            <w:tcBorders>
              <w:left w:val="nil"/>
              <w:right w:val="nil"/>
            </w:tcBorders>
            <w:shd w:val="clear" w:color="auto" w:fill="FFFFFF"/>
            <w:tcMar>
              <w:top w:w="144" w:type="dxa"/>
              <w:left w:w="216" w:type="dxa"/>
              <w:bottom w:w="144" w:type="dxa"/>
              <w:right w:w="216" w:type="dxa"/>
            </w:tcMar>
            <w:vAlign w:val="center"/>
          </w:tcPr>
          <w:p w14:paraId="7FBA207C">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nil"/>
              <w:left w:val="nil"/>
              <w:bottom w:val="single" w:color="auto" w:sz="4" w:space="0"/>
              <w:right w:val="nil"/>
            </w:tcBorders>
            <w:shd w:val="clear" w:color="auto" w:fill="FFFFFF"/>
            <w:tcMar>
              <w:top w:w="144" w:type="dxa"/>
              <w:left w:w="216" w:type="dxa"/>
              <w:bottom w:w="144" w:type="dxa"/>
              <w:right w:w="216" w:type="dxa"/>
            </w:tcMar>
            <w:vAlign w:val="center"/>
          </w:tcPr>
          <w:p w14:paraId="227D3B8C">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店铺类型_非0销量占比.png</w:t>
            </w:r>
          </w:p>
        </w:tc>
        <w:tc>
          <w:tcPr>
            <w:tcW w:w="2234" w:type="pct"/>
            <w:tcBorders>
              <w:top w:val="nil"/>
              <w:left w:val="nil"/>
              <w:bottom w:val="single" w:color="auto" w:sz="4" w:space="0"/>
              <w:right w:val="nil"/>
            </w:tcBorders>
            <w:shd w:val="clear" w:color="auto" w:fill="FFFFFF"/>
            <w:tcMar>
              <w:top w:w="144" w:type="dxa"/>
              <w:left w:w="216" w:type="dxa"/>
              <w:bottom w:w="144" w:type="dxa"/>
              <w:right w:w="216" w:type="dxa"/>
            </w:tcMar>
            <w:vAlign w:val="center"/>
          </w:tcPr>
          <w:p w14:paraId="39621F22">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店铺类型对卖动率的影响</w:t>
            </w:r>
          </w:p>
        </w:tc>
      </w:tr>
      <w:tr w14:paraId="1AC68B61">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921" w:type="pct"/>
            <w:vMerge w:val="continue"/>
            <w:tcBorders>
              <w:left w:val="nil"/>
              <w:right w:val="nil"/>
            </w:tcBorders>
            <w:shd w:val="clear" w:color="auto" w:fill="FFFFFF"/>
            <w:tcMar>
              <w:top w:w="144" w:type="dxa"/>
              <w:left w:w="216" w:type="dxa"/>
              <w:bottom w:w="144" w:type="dxa"/>
              <w:right w:w="216" w:type="dxa"/>
            </w:tcMar>
            <w:vAlign w:val="center"/>
          </w:tcPr>
          <w:p w14:paraId="3B4A00C6">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single" w:color="auto" w:sz="4" w:space="0"/>
              <w:left w:val="nil"/>
              <w:bottom w:val="nil"/>
              <w:right w:val="nil"/>
            </w:tcBorders>
            <w:shd w:val="clear" w:color="auto" w:fill="FFFFFF"/>
            <w:tcMar>
              <w:top w:w="144" w:type="dxa"/>
              <w:left w:w="216" w:type="dxa"/>
              <w:bottom w:w="144" w:type="dxa"/>
              <w:right w:w="216" w:type="dxa"/>
            </w:tcMar>
            <w:vAlign w:val="center"/>
          </w:tcPr>
          <w:p w14:paraId="210C8326">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季节_非0销量占比.png</w:t>
            </w:r>
          </w:p>
        </w:tc>
        <w:tc>
          <w:tcPr>
            <w:tcW w:w="2234" w:type="pct"/>
            <w:tcBorders>
              <w:top w:val="single" w:color="auto" w:sz="4" w:space="0"/>
              <w:left w:val="nil"/>
              <w:bottom w:val="nil"/>
              <w:right w:val="nil"/>
            </w:tcBorders>
            <w:shd w:val="clear" w:color="auto" w:fill="FFFFFF"/>
            <w:tcMar>
              <w:top w:w="144" w:type="dxa"/>
              <w:left w:w="216" w:type="dxa"/>
              <w:bottom w:w="144" w:type="dxa"/>
              <w:right w:w="216" w:type="dxa"/>
            </w:tcMar>
            <w:vAlign w:val="center"/>
          </w:tcPr>
          <w:p w14:paraId="78100CC3">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上架季节对卖动率的影响</w:t>
            </w:r>
          </w:p>
        </w:tc>
      </w:tr>
      <w:tr w14:paraId="40D7837C">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921" w:type="pct"/>
            <w:vMerge w:val="continue"/>
            <w:tcBorders>
              <w:left w:val="nil"/>
              <w:right w:val="nil"/>
            </w:tcBorders>
            <w:shd w:val="clear" w:color="auto" w:fill="FFFFFF"/>
            <w:tcMar>
              <w:top w:w="144" w:type="dxa"/>
              <w:left w:w="216" w:type="dxa"/>
              <w:bottom w:w="144" w:type="dxa"/>
              <w:right w:w="216" w:type="dxa"/>
            </w:tcMar>
            <w:vAlign w:val="center"/>
          </w:tcPr>
          <w:p w14:paraId="4DDDC980">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nil"/>
              <w:left w:val="nil"/>
              <w:bottom w:val="nil"/>
              <w:right w:val="nil"/>
            </w:tcBorders>
            <w:shd w:val="clear" w:color="auto" w:fill="FFFFFF"/>
            <w:tcMar>
              <w:top w:w="144" w:type="dxa"/>
              <w:left w:w="216" w:type="dxa"/>
              <w:bottom w:w="144" w:type="dxa"/>
              <w:right w:w="216" w:type="dxa"/>
            </w:tcMar>
            <w:vAlign w:val="center"/>
          </w:tcPr>
          <w:p w14:paraId="5088155B">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是否卖得动_混淆矩阵.png</w:t>
            </w:r>
          </w:p>
        </w:tc>
        <w:tc>
          <w:tcPr>
            <w:tcW w:w="2234" w:type="pct"/>
            <w:tcBorders>
              <w:top w:val="nil"/>
              <w:left w:val="nil"/>
              <w:bottom w:val="nil"/>
              <w:right w:val="nil"/>
            </w:tcBorders>
            <w:shd w:val="clear" w:color="auto" w:fill="FFFFFF"/>
            <w:tcMar>
              <w:top w:w="144" w:type="dxa"/>
              <w:left w:w="216" w:type="dxa"/>
              <w:bottom w:w="144" w:type="dxa"/>
              <w:right w:w="216" w:type="dxa"/>
            </w:tcMar>
            <w:vAlign w:val="center"/>
          </w:tcPr>
          <w:p w14:paraId="0FA82671">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模型预测效果混淆矩阵</w:t>
            </w:r>
          </w:p>
        </w:tc>
      </w:tr>
      <w:tr w14:paraId="47D2564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921" w:type="pct"/>
            <w:vMerge w:val="continue"/>
            <w:tcBorders>
              <w:left w:val="nil"/>
              <w:bottom w:val="single" w:color="000000" w:sz="12" w:space="0"/>
              <w:right w:val="nil"/>
            </w:tcBorders>
            <w:shd w:val="clear" w:color="auto" w:fill="FFFFFF"/>
            <w:tcMar>
              <w:top w:w="144" w:type="dxa"/>
              <w:left w:w="216" w:type="dxa"/>
              <w:bottom w:w="144" w:type="dxa"/>
              <w:right w:w="216" w:type="dxa"/>
            </w:tcMar>
            <w:vAlign w:val="center"/>
          </w:tcPr>
          <w:p w14:paraId="26DBFBFF">
            <w:pPr>
              <w:widowControl/>
              <w:spacing w:line="440" w:lineRule="exact"/>
              <w:ind w:firstLine="360" w:firstLineChars="200"/>
              <w:jc w:val="center"/>
              <w:rPr>
                <w:rFonts w:hint="eastAsia" w:ascii="宋体" w:hAnsi="宋体" w:eastAsia="宋体" w:cs="Times New Roman"/>
                <w:color w:val="000000"/>
                <w:kern w:val="0"/>
                <w:sz w:val="18"/>
                <w:szCs w:val="18"/>
              </w:rPr>
            </w:pPr>
          </w:p>
        </w:tc>
        <w:tc>
          <w:tcPr>
            <w:tcW w:w="1844" w:type="pct"/>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605F3835">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是否卖得动_特征重要性.png</w:t>
            </w:r>
          </w:p>
        </w:tc>
        <w:tc>
          <w:tcPr>
            <w:tcW w:w="2234" w:type="pct"/>
            <w:tcBorders>
              <w:top w:val="nil"/>
              <w:left w:val="nil"/>
              <w:bottom w:val="single" w:color="000000" w:sz="12" w:space="0"/>
              <w:right w:val="nil"/>
            </w:tcBorders>
            <w:shd w:val="clear" w:color="auto" w:fill="FFFFFF"/>
            <w:tcMar>
              <w:top w:w="144" w:type="dxa"/>
              <w:left w:w="216" w:type="dxa"/>
              <w:bottom w:w="144" w:type="dxa"/>
              <w:right w:w="216" w:type="dxa"/>
            </w:tcMar>
            <w:vAlign w:val="center"/>
          </w:tcPr>
          <w:p w14:paraId="3FFC2989">
            <w:pPr>
              <w:widowControl/>
              <w:spacing w:line="440" w:lineRule="exact"/>
              <w:ind w:firstLine="360" w:firstLineChars="200"/>
              <w:jc w:val="center"/>
              <w:rPr>
                <w:rFonts w:hint="eastAsia" w:ascii="宋体" w:hAnsi="宋体" w:eastAsia="宋体" w:cs="Times New Roman"/>
                <w:color w:val="000000"/>
                <w:kern w:val="0"/>
                <w:sz w:val="18"/>
                <w:szCs w:val="18"/>
              </w:rPr>
            </w:pPr>
            <w:r>
              <w:rPr>
                <w:rFonts w:ascii="宋体" w:hAnsi="宋体" w:eastAsia="宋体" w:cs="Times New Roman"/>
                <w:color w:val="000000"/>
                <w:kern w:val="0"/>
                <w:sz w:val="18"/>
                <w:szCs w:val="18"/>
              </w:rPr>
              <w:t>模型特征影响程度分析</w:t>
            </w:r>
          </w:p>
        </w:tc>
      </w:tr>
    </w:tbl>
    <w:p w14:paraId="6B446550">
      <w:pPr>
        <w:spacing w:line="440" w:lineRule="exact"/>
        <w:ind w:firstLine="420"/>
        <w:outlineLvl w:val="9"/>
        <w:rPr>
          <w:rFonts w:hint="eastAsia" w:ascii="宋体" w:hAnsi="宋体" w:cs="宋体"/>
          <w:sz w:val="24"/>
        </w:rPr>
      </w:pPr>
      <w:bookmarkStart w:id="1448" w:name="_Toc19480"/>
      <w:bookmarkStart w:id="1449" w:name="_Toc23240"/>
      <w:r>
        <w:rPr>
          <w:rFonts w:hint="eastAsia" w:ascii="宋体" w:hAnsi="宋体" w:cs="宋体"/>
          <w:sz w:val="24"/>
        </w:rPr>
        <w:t>4.8 数据可视化功能</w:t>
      </w:r>
      <w:bookmarkEnd w:id="1448"/>
      <w:bookmarkEnd w:id="1449"/>
    </w:p>
    <w:p w14:paraId="39EF9C82">
      <w:pPr>
        <w:spacing w:line="440" w:lineRule="exact"/>
        <w:ind w:firstLine="420" w:firstLineChars="0"/>
        <w:outlineLvl w:val="9"/>
        <w:rPr>
          <w:rFonts w:hint="eastAsia" w:ascii="宋体" w:hAnsi="宋体" w:eastAsia="宋体" w:cs="宋体"/>
          <w:sz w:val="24"/>
        </w:rPr>
      </w:pPr>
      <w:bookmarkStart w:id="1450" w:name="_Toc22432"/>
      <w:bookmarkStart w:id="1451" w:name="_Toc2720"/>
      <w:bookmarkStart w:id="1452" w:name="_Toc5620"/>
      <w:bookmarkStart w:id="1453" w:name="_Toc32080"/>
      <w:bookmarkStart w:id="1454" w:name="_Toc8224"/>
      <w:r>
        <w:rPr>
          <w:rFonts w:hint="eastAsia" w:ascii="宋体" w:hAnsi="宋体" w:eastAsia="宋体" w:cs="宋体"/>
          <w:sz w:val="24"/>
        </w:rPr>
        <w:t>4.8.1 服装特征词（词频分布图）</w:t>
      </w:r>
      <w:bookmarkEnd w:id="1450"/>
      <w:bookmarkEnd w:id="1451"/>
      <w:bookmarkEnd w:id="1452"/>
      <w:bookmarkEnd w:id="1453"/>
      <w:bookmarkEnd w:id="1454"/>
      <w:bookmarkStart w:id="1455" w:name="_Toc21935"/>
    </w:p>
    <w:p w14:paraId="3853F72D">
      <w:pPr>
        <w:widowControl/>
        <w:spacing w:line="440" w:lineRule="exact"/>
        <w:ind w:firstLine="420" w:firstLineChars="200"/>
        <w:jc w:val="center"/>
        <w:rPr>
          <w:rFonts w:hint="eastAsia" w:ascii="宋体" w:hAnsi="宋体" w:eastAsia="宋体" w:cs="Times New Roman"/>
          <w:color w:val="000000"/>
          <w:kern w:val="0"/>
          <w:szCs w:val="21"/>
        </w:rPr>
      </w:pPr>
      <w:r>
        <w:rPr>
          <w:rFonts w:ascii="宋体" w:hAnsi="宋体" w:eastAsia="宋体" w:cs="Times New Roman"/>
          <w:color w:val="000000"/>
          <w:kern w:val="0"/>
          <w:szCs w:val="21"/>
        </w:rPr>
        <w:drawing>
          <wp:anchor distT="0" distB="0" distL="114300" distR="114300" simplePos="0" relativeHeight="251898880" behindDoc="0" locked="0" layoutInCell="1" allowOverlap="1">
            <wp:simplePos x="0" y="0"/>
            <wp:positionH relativeFrom="column">
              <wp:posOffset>841375</wp:posOffset>
            </wp:positionH>
            <wp:positionV relativeFrom="paragraph">
              <wp:posOffset>282575</wp:posOffset>
            </wp:positionV>
            <wp:extent cx="3646170" cy="1829435"/>
            <wp:effectExtent l="0" t="0" r="11430" b="18415"/>
            <wp:wrapTopAndBottom/>
            <wp:docPr id="595413297"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13297" name="图片 1" descr="文本&#10;&#10;AI 生成的内容可能不正确。"/>
                    <pic:cNvPicPr>
                      <a:picLocks noChangeAspect="1"/>
                    </pic:cNvPicPr>
                  </pic:nvPicPr>
                  <pic:blipFill>
                    <a:blip r:embed="rId466">
                      <a:extLst>
                        <a:ext uri="{28A0092B-C50C-407E-A947-70E740481C1C}">
                          <a14:useLocalDpi xmlns:a14="http://schemas.microsoft.com/office/drawing/2010/main" val="0"/>
                        </a:ext>
                      </a:extLst>
                    </a:blip>
                    <a:stretch>
                      <a:fillRect/>
                    </a:stretch>
                  </pic:blipFill>
                  <pic:spPr>
                    <a:xfrm>
                      <a:off x="0" y="0"/>
                      <a:ext cx="3646170" cy="1829435"/>
                    </a:xfrm>
                    <a:prstGeom prst="rect">
                      <a:avLst/>
                    </a:prstGeom>
                  </pic:spPr>
                </pic:pic>
              </a:graphicData>
            </a:graphic>
          </wp:anchor>
        </w:drawing>
      </w:r>
      <w:r>
        <w:rPr>
          <w:rFonts w:hint="eastAsia" w:ascii="宋体" w:hAnsi="宋体" w:eastAsia="宋体" w:cs="Times New Roman"/>
          <w:color w:val="000000"/>
          <w:kern w:val="0"/>
          <w:szCs w:val="21"/>
        </w:rPr>
        <w:t>图4-6 服装特征词</w:t>
      </w:r>
    </w:p>
    <w:p w14:paraId="083E4BEC">
      <w:pPr>
        <w:spacing w:line="440" w:lineRule="exact"/>
        <w:ind w:firstLine="480" w:firstLineChars="200"/>
        <w:rPr>
          <w:rFonts w:hint="eastAsia" w:ascii="宋体" w:hAnsi="宋体" w:eastAsia="宋体"/>
          <w:sz w:val="24"/>
        </w:rPr>
      </w:pPr>
      <w:r>
        <w:rPr>
          <w:rFonts w:hint="eastAsia" w:ascii="宋体" w:hAnsi="宋体" w:eastAsia="宋体"/>
          <w:sz w:val="24"/>
        </w:rPr>
        <w:t>（1）从词频图的视觉权重（字体大小对应出现频次）可明确：</w:t>
      </w:r>
      <w:bookmarkEnd w:id="1455"/>
    </w:p>
    <w:p w14:paraId="58F356A7">
      <w:pPr>
        <w:spacing w:line="440" w:lineRule="exact"/>
        <w:ind w:firstLine="480" w:firstLineChars="200"/>
        <w:rPr>
          <w:rFonts w:hint="eastAsia" w:ascii="宋体" w:hAnsi="宋体" w:eastAsia="宋体"/>
          <w:sz w:val="24"/>
        </w:rPr>
      </w:pPr>
      <w:r>
        <w:rPr>
          <w:rFonts w:hint="eastAsia" w:ascii="宋体" w:hAnsi="宋体" w:eastAsia="宋体"/>
          <w:sz w:val="24"/>
        </w:rPr>
        <w:t>“加厚”是绝对核心特征词（字体最大），说明“保暖”是用户对该类服装的首要诉求。</w:t>
      </w:r>
    </w:p>
    <w:p w14:paraId="0A502E2C">
      <w:pPr>
        <w:spacing w:line="440" w:lineRule="exact"/>
        <w:ind w:firstLine="480" w:firstLineChars="200"/>
        <w:rPr>
          <w:rFonts w:hint="eastAsia" w:ascii="宋体" w:hAnsi="宋体" w:eastAsia="宋体"/>
          <w:sz w:val="24"/>
        </w:rPr>
      </w:pPr>
      <w:bookmarkStart w:id="1456" w:name="_Toc13627"/>
      <w:r>
        <w:rPr>
          <w:rFonts w:hint="eastAsia" w:ascii="宋体" w:hAnsi="宋体" w:eastAsia="宋体"/>
          <w:sz w:val="24"/>
        </w:rPr>
        <w:t>高频关联词包括“防风”、“保暖”、“长款”、“新款”，体现用户在保暖基础上，同时关注实用性（防风）、版型（长款）与款式新颖度。</w:t>
      </w:r>
      <w:bookmarkEnd w:id="1456"/>
    </w:p>
    <w:p w14:paraId="4107F7DF">
      <w:pPr>
        <w:spacing w:line="440" w:lineRule="exact"/>
        <w:ind w:firstLine="480" w:firstLineChars="200"/>
        <w:rPr>
          <w:rFonts w:hint="eastAsia" w:ascii="宋体" w:hAnsi="宋体" w:eastAsia="宋体"/>
          <w:sz w:val="24"/>
        </w:rPr>
      </w:pPr>
      <w:bookmarkStart w:id="1457" w:name="_Toc27904"/>
      <w:r>
        <w:rPr>
          <w:rFonts w:hint="eastAsia" w:ascii="宋体" w:hAnsi="宋体" w:eastAsia="宋体"/>
          <w:sz w:val="24"/>
        </w:rPr>
        <w:t>（2）图中多组复合特征词（如“加厚，长款，时尚”、“轻薄，新款”、“保暖，抗寒”）显示，用户需求呈现“功能+版型+风格”的复合性（如保暖功能+长款版型+时尚风格）；存在两类典型需求分支：</w:t>
      </w:r>
      <w:bookmarkEnd w:id="1457"/>
    </w:p>
    <w:p w14:paraId="69BCEE17">
      <w:pPr>
        <w:spacing w:line="440" w:lineRule="exact"/>
        <w:ind w:firstLine="480" w:firstLineChars="200"/>
        <w:rPr>
          <w:rFonts w:hint="eastAsia" w:ascii="宋体" w:hAnsi="宋体" w:eastAsia="宋体"/>
          <w:sz w:val="24"/>
        </w:rPr>
      </w:pPr>
      <w:bookmarkStart w:id="1458" w:name="_Toc9029"/>
      <w:r>
        <w:rPr>
          <w:rFonts w:hint="eastAsia" w:ascii="宋体" w:hAnsi="宋体" w:eastAsia="宋体"/>
          <w:sz w:val="24"/>
        </w:rPr>
        <w:t>强保暖分支：“加厚+防风+抗寒+长款”（冬季刚需型）。</w:t>
      </w:r>
      <w:bookmarkEnd w:id="1458"/>
    </w:p>
    <w:p w14:paraId="1006DE85">
      <w:pPr>
        <w:spacing w:line="440" w:lineRule="exact"/>
        <w:ind w:firstLine="480" w:firstLineChars="200"/>
        <w:rPr>
          <w:rFonts w:hint="eastAsia" w:ascii="宋体" w:hAnsi="宋体" w:eastAsia="宋体"/>
          <w:sz w:val="24"/>
        </w:rPr>
      </w:pPr>
      <w:bookmarkStart w:id="1459" w:name="_Toc19624"/>
      <w:r>
        <w:rPr>
          <w:rFonts w:hint="eastAsia" w:ascii="宋体" w:hAnsi="宋体" w:eastAsia="宋体"/>
          <w:sz w:val="24"/>
        </w:rPr>
        <w:t>轻量时尚分支：“轻薄+新款+时尚”（兼顾保暖与穿搭场景的需求）。</w:t>
      </w:r>
      <w:bookmarkEnd w:id="1459"/>
    </w:p>
    <w:p w14:paraId="729358F3">
      <w:pPr>
        <w:spacing w:line="440" w:lineRule="exact"/>
        <w:ind w:firstLine="480" w:firstLineChars="200"/>
        <w:rPr>
          <w:rFonts w:hint="eastAsia" w:ascii="宋体" w:hAnsi="宋体" w:eastAsia="宋体"/>
          <w:sz w:val="24"/>
        </w:rPr>
      </w:pPr>
      <w:bookmarkStart w:id="1460" w:name="_Toc32025"/>
      <w:r>
        <w:rPr>
          <w:rFonts w:hint="eastAsia" w:ascii="宋体" w:hAnsi="宋体" w:eastAsia="宋体"/>
          <w:sz w:val="24"/>
        </w:rPr>
        <w:t>（3）辅助特征词的潜在价值</w:t>
      </w:r>
      <w:bookmarkEnd w:id="1460"/>
    </w:p>
    <w:p w14:paraId="19C84ACE">
      <w:pPr>
        <w:spacing w:line="440" w:lineRule="exact"/>
        <w:ind w:firstLine="480" w:firstLineChars="200"/>
        <w:rPr>
          <w:rFonts w:hint="eastAsia" w:ascii="宋体" w:hAnsi="宋体" w:eastAsia="宋体"/>
          <w:sz w:val="24"/>
        </w:rPr>
      </w:pPr>
      <w:bookmarkStart w:id="1461" w:name="_Toc29291"/>
      <w:r>
        <w:rPr>
          <w:rFonts w:hint="eastAsia" w:ascii="宋体" w:hAnsi="宋体" w:eastAsia="宋体"/>
          <w:sz w:val="24"/>
        </w:rPr>
        <w:t>“显瘦”、“收腰”、“宽松”等版型类特征词的出现，说明用户在功能之外，对服装的“修饰身材”、“穿着舒适度”有明确诉求；“百搭”则体现对服装“适配多场景穿搭”的期待。</w:t>
      </w:r>
      <w:bookmarkEnd w:id="1461"/>
    </w:p>
    <w:p w14:paraId="33EA834C">
      <w:pPr>
        <w:spacing w:line="440" w:lineRule="exact"/>
        <w:outlineLvl w:val="9"/>
        <w:rPr>
          <w:rFonts w:hint="eastAsia" w:ascii="宋体" w:hAnsi="宋体" w:eastAsia="宋体" w:cs="宋体"/>
          <w:sz w:val="24"/>
        </w:rPr>
      </w:pPr>
      <w:bookmarkStart w:id="1462" w:name="_Toc11096"/>
      <w:bookmarkStart w:id="1463" w:name="_Toc22459"/>
      <w:r>
        <w:rPr>
          <w:rFonts w:hint="eastAsia" w:ascii="宋体" w:hAnsi="宋体" w:eastAsia="宋体" w:cs="宋体"/>
          <w:sz w:val="24"/>
        </w:rPr>
        <w:t>4.8.2 不同类型店铺占比分析（玫瑰饼图）</w:t>
      </w:r>
      <w:bookmarkEnd w:id="1462"/>
      <w:bookmarkEnd w:id="1463"/>
    </w:p>
    <w:p w14:paraId="46BBD8DE">
      <w:pPr>
        <w:widowControl/>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t>图4-7 不同类型店铺占比分析</w:t>
      </w:r>
    </w:p>
    <w:p w14:paraId="2F7BA9D2">
      <w:pPr>
        <w:spacing w:line="440" w:lineRule="exact"/>
        <w:ind w:firstLine="482" w:firstLineChars="200"/>
        <w:rPr>
          <w:rFonts w:hint="eastAsia" w:ascii="宋体" w:hAnsi="宋体" w:eastAsia="宋体"/>
          <w:sz w:val="24"/>
        </w:rPr>
      </w:pPr>
      <w:bookmarkStart w:id="1464" w:name="_Toc156"/>
      <w:r>
        <w:rPr>
          <w:rFonts w:ascii="宋体" w:hAnsi="宋体" w:eastAsia="宋体" w:cs="宋体"/>
          <w:b/>
          <w:bCs/>
          <w:sz w:val="24"/>
        </w:rPr>
        <w:drawing>
          <wp:anchor distT="0" distB="0" distL="114300" distR="114300" simplePos="0" relativeHeight="251899904" behindDoc="0" locked="0" layoutInCell="1" allowOverlap="1">
            <wp:simplePos x="0" y="0"/>
            <wp:positionH relativeFrom="margin">
              <wp:posOffset>974725</wp:posOffset>
            </wp:positionH>
            <wp:positionV relativeFrom="paragraph">
              <wp:posOffset>8890</wp:posOffset>
            </wp:positionV>
            <wp:extent cx="3663950" cy="2002155"/>
            <wp:effectExtent l="0" t="0" r="12700" b="17145"/>
            <wp:wrapTopAndBottom/>
            <wp:docPr id="790022437" name="图片 1" descr="蓝色的牌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22437" name="图片 1" descr="蓝色的牌子&#10;&#10;AI 生成的内容可能不正确。"/>
                    <pic:cNvPicPr>
                      <a:picLocks noChangeAspect="1"/>
                    </pic:cNvPicPr>
                  </pic:nvPicPr>
                  <pic:blipFill>
                    <a:blip r:embed="rId467">
                      <a:extLst>
                        <a:ext uri="{28A0092B-C50C-407E-A947-70E740481C1C}">
                          <a14:useLocalDpi xmlns:a14="http://schemas.microsoft.com/office/drawing/2010/main" val="0"/>
                        </a:ext>
                      </a:extLst>
                    </a:blip>
                    <a:stretch>
                      <a:fillRect/>
                    </a:stretch>
                  </pic:blipFill>
                  <pic:spPr>
                    <a:xfrm>
                      <a:off x="0" y="0"/>
                      <a:ext cx="3663950" cy="2002155"/>
                    </a:xfrm>
                    <a:prstGeom prst="rect">
                      <a:avLst/>
                    </a:prstGeom>
                  </pic:spPr>
                </pic:pic>
              </a:graphicData>
            </a:graphic>
          </wp:anchor>
        </w:drawing>
      </w:r>
      <w:r>
        <w:rPr>
          <w:rFonts w:hint="eastAsia" w:ascii="宋体" w:hAnsi="宋体" w:eastAsia="宋体"/>
          <w:sz w:val="24"/>
        </w:rPr>
        <w:t>（1）店铺类型市场分布格局</w:t>
      </w:r>
      <w:bookmarkEnd w:id="1464"/>
    </w:p>
    <w:p w14:paraId="362EA9B8">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65" w:name="_Toc10064"/>
      <w:r>
        <w:rPr>
          <w:rFonts w:hint="eastAsia" w:ascii="宋体" w:hAnsi="宋体" w:eastAsia="宋体"/>
          <w:sz w:val="24"/>
        </w:rPr>
        <w:t>该饼图展示了5类店铺的市场占比结构，整体呈现“双头部+多腰部”的分布特征：</w:t>
      </w:r>
      <w:bookmarkEnd w:id="1465"/>
    </w:p>
    <w:p w14:paraId="3731B5CF">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66" w:name="_Toc3014"/>
      <w:r>
        <w:rPr>
          <w:rFonts w:hint="eastAsia" w:ascii="宋体" w:hAnsi="宋体" w:eastAsia="宋体"/>
          <w:sz w:val="24"/>
        </w:rPr>
        <w:t>头部店铺：企业店（24.86%）与旗舰店（24.07%）占比接近，合计占据近50%的市场份额，是该品类的核心销售渠道。</w:t>
      </w:r>
      <w:bookmarkEnd w:id="1466"/>
    </w:p>
    <w:p w14:paraId="0918A85C">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67" w:name="_Toc18019"/>
      <w:r>
        <w:rPr>
          <w:rFonts w:hint="eastAsia" w:ascii="宋体" w:hAnsi="宋体" w:eastAsia="宋体"/>
          <w:sz w:val="24"/>
        </w:rPr>
        <w:t>腰部店铺：奥莱店占比20.72%，处于第二梯队。</w:t>
      </w:r>
      <w:bookmarkEnd w:id="1467"/>
    </w:p>
    <w:p w14:paraId="11FF82F4">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68" w:name="_Toc18817"/>
      <w:r>
        <w:rPr>
          <w:rFonts w:hint="eastAsia" w:ascii="宋体" w:hAnsi="宋体" w:eastAsia="宋体"/>
          <w:sz w:val="24"/>
        </w:rPr>
        <w:t>尾部店铺：正品店（15.42%）、普通店（14.93%）占比较低，合计不足30%。</w:t>
      </w:r>
      <w:bookmarkEnd w:id="1468"/>
    </w:p>
    <w:p w14:paraId="124F8098">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69" w:name="_Toc9845"/>
      <w:r>
        <w:rPr>
          <w:rFonts w:hint="eastAsia" w:ascii="宋体" w:hAnsi="宋体" w:eastAsia="宋体"/>
          <w:sz w:val="24"/>
        </w:rPr>
        <w:t>（2）渠道定位与市场角色</w:t>
      </w:r>
      <w:bookmarkEnd w:id="1469"/>
    </w:p>
    <w:p w14:paraId="0F04F24E">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70" w:name="_Toc7969"/>
      <w:r>
        <w:rPr>
          <w:rFonts w:hint="eastAsia" w:ascii="宋体" w:hAnsi="宋体" w:eastAsia="宋体"/>
          <w:sz w:val="24"/>
        </w:rPr>
        <w:t>企业店+旗舰店的高占比，反映品牌官方渠道在消费者心智中的信任度更高，是品牌销售的主力载体。</w:t>
      </w:r>
      <w:bookmarkEnd w:id="1470"/>
    </w:p>
    <w:p w14:paraId="4BD05ED2">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71" w:name="_Toc32569"/>
      <w:r>
        <w:rPr>
          <w:rFonts w:hint="eastAsia" w:ascii="宋体" w:hAnsi="宋体" w:eastAsia="宋体"/>
          <w:sz w:val="24"/>
        </w:rPr>
        <w:t>奥莱店的20.72%占比，说明“折扣/特价”类渠道具备稳定的用户群体，是品牌消化库存、覆盖价格敏感型用户的重要补充。</w:t>
      </w:r>
      <w:bookmarkEnd w:id="1471"/>
    </w:p>
    <w:p w14:paraId="13D278E1">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宋体" w:hAnsi="宋体" w:eastAsia="宋体"/>
          <w:sz w:val="24"/>
        </w:rPr>
      </w:pPr>
      <w:bookmarkStart w:id="1472" w:name="_Toc22153"/>
      <w:r>
        <w:rPr>
          <w:rFonts w:hint="eastAsia" w:ascii="宋体" w:hAnsi="宋体" w:eastAsia="宋体"/>
          <w:sz w:val="24"/>
        </w:rPr>
        <w:t>普通店、正品店占比偏低，侧面体现非官方/非品牌直属渠道的市场竞争力较弱。</w:t>
      </w:r>
      <w:bookmarkEnd w:id="1472"/>
    </w:p>
    <w:p w14:paraId="0C741A5F">
      <w:pPr>
        <w:keepNext w:val="0"/>
        <w:keepLines w:val="0"/>
        <w:pageBreakBefore w:val="0"/>
        <w:widowControl w:val="0"/>
        <w:kinsoku/>
        <w:wordWrap/>
        <w:overflowPunct/>
        <w:topLinePunct w:val="0"/>
        <w:autoSpaceDE/>
        <w:autoSpaceDN/>
        <w:bidi w:val="0"/>
        <w:adjustRightInd/>
        <w:snapToGrid/>
        <w:spacing w:line="420" w:lineRule="exact"/>
        <w:ind w:firstLine="420"/>
        <w:textAlignment w:val="auto"/>
        <w:outlineLvl w:val="9"/>
        <w:rPr>
          <w:rFonts w:hint="eastAsia" w:ascii="宋体" w:hAnsi="宋体" w:eastAsia="宋体" w:cs="宋体"/>
          <w:sz w:val="24"/>
        </w:rPr>
      </w:pPr>
      <w:bookmarkStart w:id="1473" w:name="_Toc15389"/>
      <w:bookmarkStart w:id="1474" w:name="_Toc10236"/>
      <w:bookmarkStart w:id="1475" w:name="_Toc19522"/>
      <w:bookmarkStart w:id="1476" w:name="_Toc8538"/>
      <w:bookmarkStart w:id="1477" w:name="_Toc26196"/>
      <w:r>
        <w:rPr>
          <w:rFonts w:hint="eastAsia" w:ascii="宋体" w:hAnsi="宋体" w:eastAsia="宋体" w:cs="宋体"/>
          <w:sz w:val="24"/>
        </w:rPr>
        <w:t>4.8.3 2024与2025年各月份的销量变化（曲线面积图）</w:t>
      </w:r>
      <w:bookmarkEnd w:id="1473"/>
      <w:bookmarkEnd w:id="1474"/>
      <w:bookmarkEnd w:id="1475"/>
      <w:bookmarkEnd w:id="1476"/>
      <w:bookmarkEnd w:id="1477"/>
    </w:p>
    <w:p w14:paraId="5D245EB0">
      <w:pPr>
        <w:widowControl/>
        <w:spacing w:line="440" w:lineRule="exact"/>
        <w:ind w:firstLine="482" w:firstLineChars="200"/>
        <w:jc w:val="center"/>
        <w:rPr>
          <w:rFonts w:hint="eastAsia" w:ascii="宋体" w:hAnsi="宋体" w:eastAsia="宋体" w:cs="Times New Roman"/>
          <w:color w:val="000000"/>
          <w:kern w:val="0"/>
          <w:szCs w:val="21"/>
        </w:rPr>
      </w:pPr>
      <w:r>
        <w:rPr>
          <w:rFonts w:ascii="宋体" w:hAnsi="宋体" w:eastAsia="宋体" w:cs="宋体"/>
          <w:b/>
          <w:bCs/>
          <w:sz w:val="24"/>
        </w:rPr>
        <w:drawing>
          <wp:anchor distT="0" distB="0" distL="114300" distR="114300" simplePos="0" relativeHeight="251900928" behindDoc="0" locked="0" layoutInCell="1" allowOverlap="1">
            <wp:simplePos x="0" y="0"/>
            <wp:positionH relativeFrom="margin">
              <wp:posOffset>659130</wp:posOffset>
            </wp:positionH>
            <wp:positionV relativeFrom="paragraph">
              <wp:posOffset>297180</wp:posOffset>
            </wp:positionV>
            <wp:extent cx="3963670" cy="1845945"/>
            <wp:effectExtent l="0" t="0" r="17780" b="1905"/>
            <wp:wrapTopAndBottom/>
            <wp:docPr id="770416706" name="图片 1" descr="图形用户界面, 图表&#10;&#10;AI 生成的内容可能不正确。"/>
            <wp:cNvGraphicFramePr/>
            <a:graphic xmlns:a="http://schemas.openxmlformats.org/drawingml/2006/main">
              <a:graphicData uri="http://schemas.openxmlformats.org/drawingml/2006/picture">
                <pic:pic xmlns:pic="http://schemas.openxmlformats.org/drawingml/2006/picture">
                  <pic:nvPicPr>
                    <pic:cNvPr id="770416706" name="图片 1" descr="图形用户界面, 图表&#10;&#10;AI 生成的内容可能不正确。"/>
                    <pic:cNvPicPr/>
                  </pic:nvPicPr>
                  <pic:blipFill>
                    <a:blip r:embed="rId468">
                      <a:extLst>
                        <a:ext uri="{28A0092B-C50C-407E-A947-70E740481C1C}">
                          <a14:useLocalDpi xmlns:a14="http://schemas.microsoft.com/office/drawing/2010/main" val="0"/>
                        </a:ext>
                      </a:extLst>
                    </a:blip>
                    <a:stretch>
                      <a:fillRect/>
                    </a:stretch>
                  </pic:blipFill>
                  <pic:spPr>
                    <a:xfrm>
                      <a:off x="0" y="0"/>
                      <a:ext cx="3963670" cy="1845945"/>
                    </a:xfrm>
                    <a:prstGeom prst="rect">
                      <a:avLst/>
                    </a:prstGeom>
                  </pic:spPr>
                </pic:pic>
              </a:graphicData>
            </a:graphic>
          </wp:anchor>
        </w:drawing>
      </w:r>
      <w:r>
        <w:rPr>
          <w:rFonts w:hint="eastAsia" w:ascii="宋体" w:hAnsi="宋体" w:eastAsia="宋体" w:cs="Times New Roman"/>
          <w:color w:val="000000"/>
          <w:kern w:val="0"/>
          <w:szCs w:val="21"/>
        </w:rPr>
        <w:t>图4-8 2024与2025年各月份的销量变化</w:t>
      </w:r>
    </w:p>
    <w:p w14:paraId="57517E45">
      <w:pPr>
        <w:spacing w:line="440" w:lineRule="exact"/>
        <w:ind w:firstLine="480" w:firstLineChars="200"/>
        <w:rPr>
          <w:rFonts w:hint="eastAsia" w:ascii="宋体" w:hAnsi="宋体" w:eastAsia="宋体"/>
          <w:sz w:val="24"/>
        </w:rPr>
      </w:pPr>
      <w:bookmarkStart w:id="1478" w:name="_Toc13035"/>
      <w:r>
        <w:rPr>
          <w:rFonts w:hint="eastAsia" w:ascii="宋体" w:hAnsi="宋体" w:eastAsia="宋体"/>
          <w:sz w:val="24"/>
        </w:rPr>
        <w:t>该折线图清晰呈现了季节性刚需驱动的销量波动规律：</w:t>
      </w:r>
      <w:bookmarkEnd w:id="1478"/>
    </w:p>
    <w:p w14:paraId="6C661254">
      <w:pPr>
        <w:spacing w:line="440" w:lineRule="exact"/>
        <w:ind w:firstLine="480" w:firstLineChars="200"/>
        <w:rPr>
          <w:rFonts w:hint="eastAsia" w:ascii="宋体" w:hAnsi="宋体" w:eastAsia="宋体"/>
          <w:sz w:val="24"/>
        </w:rPr>
      </w:pPr>
      <w:bookmarkStart w:id="1479" w:name="_Toc17397"/>
      <w:r>
        <w:rPr>
          <w:rFonts w:hint="eastAsia" w:ascii="宋体" w:hAnsi="宋体" w:eastAsia="宋体"/>
          <w:sz w:val="24"/>
        </w:rPr>
        <w:t>淡季阶段（2024-01）：销量趋近于0，符合冬季服装在非应季时段的低需求特征。</w:t>
      </w:r>
      <w:bookmarkEnd w:id="1479"/>
    </w:p>
    <w:p w14:paraId="22DA049F">
      <w:pPr>
        <w:spacing w:line="440" w:lineRule="exact"/>
        <w:ind w:firstLine="480" w:firstLineChars="200"/>
        <w:rPr>
          <w:rFonts w:hint="eastAsia" w:ascii="宋体" w:hAnsi="宋体" w:eastAsia="宋体"/>
          <w:sz w:val="24"/>
        </w:rPr>
      </w:pPr>
      <w:bookmarkStart w:id="1480" w:name="_Toc11329"/>
      <w:r>
        <w:rPr>
          <w:rFonts w:hint="eastAsia" w:ascii="宋体" w:hAnsi="宋体" w:eastAsia="宋体"/>
          <w:sz w:val="24"/>
        </w:rPr>
        <w:t>上升期（2024-09至2024-10）：2024-09起进入增长加速期，销量随秋冬季节临近快速攀升。</w:t>
      </w:r>
      <w:bookmarkEnd w:id="1480"/>
    </w:p>
    <w:p w14:paraId="20F01504">
      <w:pPr>
        <w:spacing w:line="440" w:lineRule="exact"/>
        <w:ind w:firstLine="480" w:firstLineChars="200"/>
        <w:rPr>
          <w:rFonts w:hint="eastAsia" w:ascii="宋体" w:hAnsi="宋体" w:eastAsia="宋体"/>
          <w:sz w:val="24"/>
        </w:rPr>
      </w:pPr>
      <w:bookmarkStart w:id="1481" w:name="_Toc20048"/>
      <w:r>
        <w:rPr>
          <w:rFonts w:hint="eastAsia" w:ascii="宋体" w:hAnsi="宋体" w:eastAsia="宋体"/>
          <w:sz w:val="24"/>
        </w:rPr>
        <w:t>峰值期（2024-10）：达到销量最高点（接近500），是年度核心销售节点。</w:t>
      </w:r>
      <w:bookmarkEnd w:id="1481"/>
    </w:p>
    <w:p w14:paraId="3562F858">
      <w:pPr>
        <w:spacing w:line="440" w:lineRule="exact"/>
        <w:ind w:firstLine="480" w:firstLineChars="200"/>
        <w:rPr>
          <w:rFonts w:hint="eastAsia" w:ascii="宋体" w:hAnsi="宋体" w:eastAsia="宋体"/>
          <w:sz w:val="24"/>
        </w:rPr>
      </w:pPr>
      <w:bookmarkStart w:id="1482" w:name="_Toc4025"/>
      <w:r>
        <w:rPr>
          <w:rFonts w:hint="eastAsia" w:ascii="宋体" w:hAnsi="宋体" w:eastAsia="宋体"/>
          <w:sz w:val="24"/>
        </w:rPr>
        <w:t>回落期（2024-10至2025-01）：随冬季结束需求下降，销量逐步回落但仍保持一定规模，体现春节前的收尾消费。</w:t>
      </w:r>
      <w:bookmarkEnd w:id="1482"/>
    </w:p>
    <w:p w14:paraId="30DE2328">
      <w:pPr>
        <w:spacing w:line="440" w:lineRule="exact"/>
        <w:ind w:firstLine="420"/>
        <w:outlineLvl w:val="9"/>
        <w:rPr>
          <w:rFonts w:hint="eastAsia" w:ascii="宋体" w:hAnsi="宋体" w:eastAsia="宋体" w:cs="宋体"/>
          <w:sz w:val="24"/>
        </w:rPr>
      </w:pPr>
      <w:bookmarkStart w:id="1483" w:name="_Toc27502"/>
      <w:bookmarkStart w:id="1484" w:name="_Toc8315"/>
      <w:bookmarkStart w:id="1485" w:name="_Toc14677"/>
      <w:bookmarkStart w:id="1486" w:name="_Toc6029"/>
      <w:bookmarkStart w:id="1487" w:name="_Toc10842"/>
      <w:r>
        <w:rPr>
          <w:rFonts w:hint="eastAsia" w:ascii="宋体" w:hAnsi="宋体" w:eastAsia="宋体" w:cs="宋体"/>
          <w:sz w:val="24"/>
        </w:rPr>
        <w:t>4.8.4 不同类型店铺的平均销量对比（柱状图）</w:t>
      </w:r>
      <w:bookmarkEnd w:id="1483"/>
      <w:bookmarkEnd w:id="1484"/>
      <w:bookmarkEnd w:id="1485"/>
      <w:bookmarkEnd w:id="1486"/>
      <w:bookmarkEnd w:id="1487"/>
    </w:p>
    <w:p w14:paraId="54F7918B">
      <w:pPr>
        <w:widowControl/>
        <w:spacing w:line="440" w:lineRule="exact"/>
        <w:ind w:firstLine="482" w:firstLineChars="200"/>
        <w:jc w:val="center"/>
        <w:rPr>
          <w:rFonts w:hint="eastAsia" w:ascii="宋体" w:hAnsi="宋体" w:eastAsia="宋体" w:cs="宋体"/>
          <w:b/>
          <w:bCs/>
          <w:sz w:val="24"/>
        </w:rPr>
      </w:pPr>
      <w:r>
        <w:rPr>
          <w:rFonts w:ascii="宋体" w:hAnsi="宋体" w:eastAsia="宋体" w:cs="宋体"/>
          <w:b/>
          <w:bCs/>
          <w:sz w:val="24"/>
        </w:rPr>
        <w:drawing>
          <wp:anchor distT="0" distB="0" distL="114300" distR="114300" simplePos="0" relativeHeight="251901952" behindDoc="0" locked="0" layoutInCell="1" allowOverlap="1">
            <wp:simplePos x="0" y="0"/>
            <wp:positionH relativeFrom="margin">
              <wp:posOffset>699135</wp:posOffset>
            </wp:positionH>
            <wp:positionV relativeFrom="paragraph">
              <wp:posOffset>299085</wp:posOffset>
            </wp:positionV>
            <wp:extent cx="3968115" cy="2018665"/>
            <wp:effectExtent l="0" t="0" r="13335" b="635"/>
            <wp:wrapTopAndBottom/>
            <wp:docPr id="1508131202" name="图片 1" descr="电视游戏的萤幕截图&#10;&#10;AI 生成的内容可能不正确。"/>
            <wp:cNvGraphicFramePr/>
            <a:graphic xmlns:a="http://schemas.openxmlformats.org/drawingml/2006/main">
              <a:graphicData uri="http://schemas.openxmlformats.org/drawingml/2006/picture">
                <pic:pic xmlns:pic="http://schemas.openxmlformats.org/drawingml/2006/picture">
                  <pic:nvPicPr>
                    <pic:cNvPr id="1508131202" name="图片 1" descr="电视游戏的萤幕截图&#10;&#10;AI 生成的内容可能不正确。"/>
                    <pic:cNvPicPr/>
                  </pic:nvPicPr>
                  <pic:blipFill>
                    <a:blip r:embed="rId469">
                      <a:extLst>
                        <a:ext uri="{28A0092B-C50C-407E-A947-70E740481C1C}">
                          <a14:useLocalDpi xmlns:a14="http://schemas.microsoft.com/office/drawing/2010/main" val="0"/>
                        </a:ext>
                      </a:extLst>
                    </a:blip>
                    <a:stretch>
                      <a:fillRect/>
                    </a:stretch>
                  </pic:blipFill>
                  <pic:spPr>
                    <a:xfrm>
                      <a:off x="0" y="0"/>
                      <a:ext cx="3968115" cy="2018665"/>
                    </a:xfrm>
                    <a:prstGeom prst="rect">
                      <a:avLst/>
                    </a:prstGeom>
                  </pic:spPr>
                </pic:pic>
              </a:graphicData>
            </a:graphic>
          </wp:anchor>
        </w:drawing>
      </w:r>
      <w:r>
        <w:rPr>
          <w:rFonts w:hint="eastAsia" w:ascii="宋体" w:hAnsi="宋体" w:eastAsia="宋体" w:cs="Times New Roman"/>
          <w:color w:val="000000"/>
          <w:kern w:val="0"/>
          <w:szCs w:val="21"/>
        </w:rPr>
        <w:t>图4-9 不同类型店铺的平均销量对比</w:t>
      </w:r>
    </w:p>
    <w:p w14:paraId="38975D6F">
      <w:pPr>
        <w:spacing w:line="440" w:lineRule="exact"/>
        <w:ind w:firstLine="480" w:firstLineChars="200"/>
        <w:rPr>
          <w:rFonts w:hint="eastAsia" w:ascii="宋体" w:hAnsi="宋体" w:eastAsia="宋体"/>
          <w:sz w:val="24"/>
        </w:rPr>
      </w:pPr>
      <w:bookmarkStart w:id="1488" w:name="_Toc29811"/>
      <w:r>
        <w:rPr>
          <w:rFonts w:hint="eastAsia" w:ascii="宋体" w:hAnsi="宋体" w:eastAsia="宋体"/>
          <w:sz w:val="24"/>
        </w:rPr>
        <w:t>（1）店铺类型的销售效能差异</w:t>
      </w:r>
      <w:bookmarkEnd w:id="1488"/>
    </w:p>
    <w:p w14:paraId="21E8404C">
      <w:pPr>
        <w:spacing w:line="440" w:lineRule="exact"/>
        <w:ind w:firstLine="480" w:firstLineChars="200"/>
        <w:rPr>
          <w:rFonts w:hint="eastAsia" w:ascii="宋体" w:hAnsi="宋体" w:eastAsia="宋体"/>
          <w:sz w:val="24"/>
        </w:rPr>
      </w:pPr>
      <w:bookmarkStart w:id="1489" w:name="_Toc20772"/>
      <w:r>
        <w:rPr>
          <w:rFonts w:hint="eastAsia" w:ascii="宋体" w:hAnsi="宋体" w:eastAsia="宋体"/>
          <w:sz w:val="24"/>
        </w:rPr>
        <w:t>旗舰店平均销量（177.97）居首，是单店销售能力最强的渠道。</w:t>
      </w:r>
      <w:bookmarkEnd w:id="1489"/>
    </w:p>
    <w:p w14:paraId="65F75655">
      <w:pPr>
        <w:spacing w:line="440" w:lineRule="exact"/>
        <w:ind w:firstLine="480" w:firstLineChars="200"/>
        <w:rPr>
          <w:rFonts w:hint="eastAsia" w:ascii="宋体" w:hAnsi="宋体" w:eastAsia="宋体"/>
          <w:sz w:val="24"/>
        </w:rPr>
      </w:pPr>
      <w:bookmarkStart w:id="1490" w:name="_Toc12099"/>
      <w:r>
        <w:rPr>
          <w:rFonts w:hint="eastAsia" w:ascii="宋体" w:hAnsi="宋体" w:eastAsia="宋体"/>
          <w:sz w:val="24"/>
        </w:rPr>
        <w:t>奥莱店（125.74）与普通店（112.65）、正品店（110.47）处于第二梯队，单店效能中等。</w:t>
      </w:r>
      <w:bookmarkEnd w:id="1490"/>
    </w:p>
    <w:p w14:paraId="5CB7F9F5">
      <w:pPr>
        <w:spacing w:line="440" w:lineRule="exact"/>
        <w:ind w:firstLine="480" w:firstLineChars="200"/>
        <w:rPr>
          <w:rFonts w:hint="eastAsia" w:ascii="宋体" w:hAnsi="宋体" w:eastAsia="宋体"/>
          <w:sz w:val="24"/>
        </w:rPr>
      </w:pPr>
      <w:bookmarkStart w:id="1491" w:name="_Toc26118"/>
      <w:r>
        <w:rPr>
          <w:rFonts w:hint="eastAsia" w:ascii="宋体" w:hAnsi="宋体" w:eastAsia="宋体"/>
          <w:sz w:val="24"/>
        </w:rPr>
        <w:t>企业店平均销量（71.81）最低，单店产出能力较弱。</w:t>
      </w:r>
      <w:bookmarkEnd w:id="1491"/>
    </w:p>
    <w:p w14:paraId="18FD083E">
      <w:pPr>
        <w:spacing w:line="440" w:lineRule="exact"/>
        <w:ind w:firstLine="480" w:firstLineChars="200"/>
        <w:rPr>
          <w:rFonts w:hint="eastAsia" w:ascii="宋体" w:hAnsi="宋体" w:eastAsia="宋体"/>
          <w:sz w:val="24"/>
        </w:rPr>
      </w:pPr>
      <w:bookmarkStart w:id="1492" w:name="_Toc1355"/>
      <w:r>
        <w:rPr>
          <w:rFonts w:hint="eastAsia" w:ascii="宋体" w:hAnsi="宋体" w:eastAsia="宋体"/>
          <w:sz w:val="24"/>
        </w:rPr>
        <w:t>（2）效能与占比的错位特征</w:t>
      </w:r>
      <w:bookmarkEnd w:id="1492"/>
    </w:p>
    <w:p w14:paraId="3E31FD01">
      <w:pPr>
        <w:spacing w:line="440" w:lineRule="exact"/>
        <w:ind w:firstLine="480" w:firstLineChars="200"/>
        <w:rPr>
          <w:rFonts w:hint="eastAsia" w:ascii="宋体" w:hAnsi="宋体" w:eastAsia="宋体"/>
          <w:sz w:val="24"/>
        </w:rPr>
      </w:pPr>
      <w:bookmarkStart w:id="1493" w:name="_Toc30723"/>
      <w:r>
        <w:rPr>
          <w:rFonts w:hint="eastAsia" w:ascii="宋体" w:hAnsi="宋体" w:eastAsia="宋体"/>
          <w:sz w:val="24"/>
        </w:rPr>
        <w:t>结合此前“店铺占比饼图”的信息（企业店占比24.86%、旗舰店占比24.07%）可发现：</w:t>
      </w:r>
      <w:bookmarkEnd w:id="1493"/>
    </w:p>
    <w:p w14:paraId="1EC3D7F9">
      <w:pPr>
        <w:spacing w:line="440" w:lineRule="exact"/>
        <w:ind w:firstLine="480" w:firstLineChars="200"/>
        <w:rPr>
          <w:rFonts w:hint="eastAsia" w:ascii="宋体" w:hAnsi="宋体" w:eastAsia="宋体"/>
          <w:sz w:val="24"/>
        </w:rPr>
      </w:pPr>
      <w:bookmarkStart w:id="1494" w:name="_Toc7343"/>
      <w:r>
        <w:rPr>
          <w:rFonts w:hint="eastAsia" w:ascii="宋体" w:hAnsi="宋体" w:eastAsia="宋体"/>
          <w:sz w:val="24"/>
        </w:rPr>
        <w:t>旗舰店：“占比高+单店效能高”，是高价值核心渠道。</w:t>
      </w:r>
      <w:bookmarkEnd w:id="1494"/>
    </w:p>
    <w:p w14:paraId="5A411F4E">
      <w:pPr>
        <w:spacing w:line="440" w:lineRule="exact"/>
        <w:ind w:firstLine="480" w:firstLineChars="200"/>
        <w:rPr>
          <w:rFonts w:hint="eastAsia" w:ascii="宋体" w:hAnsi="宋体" w:eastAsia="宋体"/>
          <w:sz w:val="24"/>
        </w:rPr>
      </w:pPr>
      <w:bookmarkStart w:id="1495" w:name="_Toc11483"/>
      <w:r>
        <w:rPr>
          <w:rFonts w:hint="eastAsia" w:ascii="宋体" w:hAnsi="宋体" w:eastAsia="宋体"/>
          <w:sz w:val="24"/>
        </w:rPr>
        <w:t>企业店：“占比高但单店效能低”，存在“规模大但单店产出不足”的优化空间。</w:t>
      </w:r>
      <w:bookmarkEnd w:id="1495"/>
    </w:p>
    <w:p w14:paraId="0F5AE7DA">
      <w:pPr>
        <w:spacing w:line="440" w:lineRule="exact"/>
        <w:ind w:firstLine="480" w:firstLineChars="200"/>
        <w:rPr>
          <w:rFonts w:hint="eastAsia" w:ascii="宋体" w:hAnsi="宋体" w:eastAsia="宋体"/>
          <w:sz w:val="24"/>
        </w:rPr>
      </w:pPr>
      <w:bookmarkStart w:id="1496" w:name="_Toc25528"/>
      <w:r>
        <w:rPr>
          <w:rFonts w:hint="eastAsia" w:ascii="宋体" w:hAnsi="宋体" w:eastAsia="宋体"/>
          <w:sz w:val="24"/>
        </w:rPr>
        <w:t>奥莱店：“占比中等但单店效能不低”，是高效的补充渠道。</w:t>
      </w:r>
      <w:bookmarkEnd w:id="1496"/>
    </w:p>
    <w:p w14:paraId="681EED5B">
      <w:pPr>
        <w:spacing w:line="440" w:lineRule="exact"/>
        <w:ind w:firstLine="420"/>
        <w:outlineLvl w:val="9"/>
        <w:rPr>
          <w:rFonts w:hint="eastAsia" w:ascii="宋体" w:hAnsi="宋体" w:eastAsia="宋体" w:cs="Times New Roman"/>
          <w:color w:val="000000"/>
          <w:kern w:val="0"/>
          <w:szCs w:val="21"/>
        </w:rPr>
      </w:pPr>
      <w:bookmarkStart w:id="1497" w:name="_Toc3077"/>
      <w:bookmarkStart w:id="1498" w:name="_Toc22168"/>
      <w:r>
        <w:rPr>
          <w:rFonts w:hint="eastAsia" w:ascii="宋体" w:hAnsi="宋体" w:eastAsia="宋体" w:cs="宋体"/>
          <w:sz w:val="24"/>
        </w:rPr>
        <w:t>4.8.5 不同款式羽绒服受欢迎程度分析（漏斗图）</w:t>
      </w:r>
      <w:bookmarkEnd w:id="1497"/>
      <w:bookmarkEnd w:id="1498"/>
    </w:p>
    <w:p w14:paraId="3D181F48">
      <w:pPr>
        <w:widowControl/>
        <w:spacing w:line="440" w:lineRule="exact"/>
        <w:ind w:firstLine="420" w:firstLineChars="200"/>
        <w:jc w:val="center"/>
        <w:rPr>
          <w:rFonts w:hint="eastAsia" w:ascii="宋体" w:hAnsi="宋体" w:eastAsia="宋体" w:cs="宋体"/>
          <w:b/>
          <w:bCs/>
          <w:sz w:val="24"/>
        </w:rPr>
      </w:pPr>
      <w:r>
        <w:rPr>
          <w:rFonts w:hint="eastAsia" w:ascii="宋体" w:hAnsi="宋体" w:eastAsia="宋体" w:cs="Times New Roman"/>
          <w:color w:val="000000"/>
          <w:kern w:val="0"/>
          <w:szCs w:val="21"/>
        </w:rPr>
        <w:t>图4-10 不同款式羽绒服受欢迎程度分析</w:t>
      </w:r>
    </w:p>
    <w:p w14:paraId="6174EDAA">
      <w:pPr>
        <w:spacing w:line="440" w:lineRule="exact"/>
        <w:ind w:firstLine="482" w:firstLineChars="200"/>
        <w:rPr>
          <w:rFonts w:hint="eastAsia" w:ascii="宋体" w:hAnsi="宋体" w:eastAsia="宋体"/>
          <w:sz w:val="24"/>
        </w:rPr>
      </w:pPr>
      <w:bookmarkStart w:id="1499" w:name="_Toc10771"/>
      <w:r>
        <w:rPr>
          <w:rFonts w:ascii="宋体" w:hAnsi="宋体" w:eastAsia="宋体" w:cs="宋体"/>
          <w:b/>
          <w:bCs/>
          <w:sz w:val="24"/>
        </w:rPr>
        <w:drawing>
          <wp:anchor distT="0" distB="0" distL="114300" distR="114300" simplePos="0" relativeHeight="251902976" behindDoc="0" locked="0" layoutInCell="1" allowOverlap="1">
            <wp:simplePos x="0" y="0"/>
            <wp:positionH relativeFrom="margin">
              <wp:posOffset>933450</wp:posOffset>
            </wp:positionH>
            <wp:positionV relativeFrom="paragraph">
              <wp:posOffset>27940</wp:posOffset>
            </wp:positionV>
            <wp:extent cx="3775710" cy="1814195"/>
            <wp:effectExtent l="0" t="0" r="15240" b="14605"/>
            <wp:wrapTopAndBottom/>
            <wp:docPr id="1591517536" name="图片 1" descr="截图里有图片&#10;&#10;AI 生成的内容可能不正确。"/>
            <wp:cNvGraphicFramePr/>
            <a:graphic xmlns:a="http://schemas.openxmlformats.org/drawingml/2006/main">
              <a:graphicData uri="http://schemas.openxmlformats.org/drawingml/2006/picture">
                <pic:pic xmlns:pic="http://schemas.openxmlformats.org/drawingml/2006/picture">
                  <pic:nvPicPr>
                    <pic:cNvPr id="1591517536" name="图片 1" descr="截图里有图片&#10;&#10;AI 生成的内容可能不正确。"/>
                    <pic:cNvPicPr/>
                  </pic:nvPicPr>
                  <pic:blipFill>
                    <a:blip r:embed="rId470">
                      <a:extLst>
                        <a:ext uri="{28A0092B-C50C-407E-A947-70E740481C1C}">
                          <a14:useLocalDpi xmlns:a14="http://schemas.microsoft.com/office/drawing/2010/main" val="0"/>
                        </a:ext>
                      </a:extLst>
                    </a:blip>
                    <a:stretch>
                      <a:fillRect/>
                    </a:stretch>
                  </pic:blipFill>
                  <pic:spPr>
                    <a:xfrm>
                      <a:off x="0" y="0"/>
                      <a:ext cx="3775710" cy="1814195"/>
                    </a:xfrm>
                    <a:prstGeom prst="rect">
                      <a:avLst/>
                    </a:prstGeom>
                  </pic:spPr>
                </pic:pic>
              </a:graphicData>
            </a:graphic>
          </wp:anchor>
        </w:drawing>
      </w:r>
      <w:r>
        <w:rPr>
          <w:rFonts w:hint="eastAsia" w:ascii="宋体" w:hAnsi="宋体" w:eastAsia="宋体"/>
          <w:sz w:val="24"/>
        </w:rPr>
        <w:t>（1）该漏斗图以“区域宽度”对应受欢迎程度，呈现出明显的梯队变化：</w:t>
      </w:r>
      <w:bookmarkEnd w:id="1499"/>
    </w:p>
    <w:p w14:paraId="5DCE6ACC">
      <w:pPr>
        <w:spacing w:line="440" w:lineRule="exact"/>
        <w:ind w:firstLine="480" w:firstLineChars="200"/>
        <w:rPr>
          <w:rFonts w:hint="eastAsia" w:ascii="宋体" w:hAnsi="宋体" w:eastAsia="宋体"/>
          <w:sz w:val="24"/>
        </w:rPr>
      </w:pPr>
      <w:r>
        <w:rPr>
          <w:rFonts w:hint="eastAsia" w:ascii="宋体" w:hAnsi="宋体" w:eastAsia="宋体"/>
          <w:sz w:val="24"/>
        </w:rPr>
        <w:t>第一梯队（热度最高）：女士羽绒服、男士羽绒服（区域最宽），是核心爆款品类，占据市场主流需求。</w:t>
      </w:r>
    </w:p>
    <w:p w14:paraId="52E3FE5B">
      <w:pPr>
        <w:spacing w:line="440" w:lineRule="exact"/>
        <w:ind w:firstLine="480" w:firstLineChars="200"/>
        <w:rPr>
          <w:rFonts w:hint="eastAsia" w:ascii="宋体" w:hAnsi="宋体" w:eastAsia="宋体"/>
          <w:sz w:val="24"/>
        </w:rPr>
      </w:pPr>
      <w:bookmarkStart w:id="1500" w:name="_Toc17685"/>
      <w:r>
        <w:rPr>
          <w:rFonts w:hint="eastAsia" w:ascii="宋体" w:hAnsi="宋体" w:eastAsia="宋体"/>
          <w:sz w:val="24"/>
        </w:rPr>
        <w:t>第二梯队（热度中等）：童装羽绒服（区域宽度次之），属于潜力增长品类。</w:t>
      </w:r>
      <w:bookmarkEnd w:id="1500"/>
    </w:p>
    <w:p w14:paraId="0FA1D8A1">
      <w:pPr>
        <w:spacing w:line="440" w:lineRule="exact"/>
        <w:ind w:firstLine="480" w:firstLineChars="200"/>
        <w:rPr>
          <w:rFonts w:hint="eastAsia" w:ascii="宋体" w:hAnsi="宋体" w:eastAsia="宋体"/>
          <w:sz w:val="24"/>
        </w:rPr>
      </w:pPr>
      <w:bookmarkStart w:id="1501" w:name="_Toc22184"/>
      <w:r>
        <w:rPr>
          <w:rFonts w:hint="eastAsia" w:ascii="宋体" w:hAnsi="宋体" w:eastAsia="宋体"/>
          <w:sz w:val="24"/>
        </w:rPr>
        <w:t>第三梯队（热度较低）：羽绒服冲锋衣、羽绒服马甲、基础款羽绒服（区域最窄），是小众细分品类。</w:t>
      </w:r>
      <w:bookmarkEnd w:id="1501"/>
    </w:p>
    <w:p w14:paraId="4F005DB9">
      <w:pPr>
        <w:spacing w:line="440" w:lineRule="exact"/>
        <w:ind w:firstLine="480" w:firstLineChars="200"/>
        <w:rPr>
          <w:rFonts w:hint="eastAsia" w:ascii="宋体" w:hAnsi="宋体" w:eastAsia="宋体"/>
          <w:sz w:val="24"/>
        </w:rPr>
      </w:pPr>
      <w:bookmarkStart w:id="1502" w:name="_Toc7989"/>
      <w:r>
        <w:rPr>
          <w:rFonts w:hint="eastAsia" w:ascii="宋体" w:hAnsi="宋体" w:eastAsia="宋体"/>
          <w:sz w:val="24"/>
        </w:rPr>
        <w:t>（2）品类需求的核心逻辑分析：</w:t>
      </w:r>
      <w:bookmarkEnd w:id="1502"/>
    </w:p>
    <w:p w14:paraId="5C1855C0">
      <w:pPr>
        <w:spacing w:line="440" w:lineRule="exact"/>
        <w:ind w:firstLine="480" w:firstLineChars="200"/>
        <w:rPr>
          <w:rFonts w:hint="eastAsia" w:ascii="宋体" w:hAnsi="宋体" w:eastAsia="宋体"/>
          <w:sz w:val="24"/>
        </w:rPr>
      </w:pPr>
      <w:bookmarkStart w:id="1503" w:name="_Toc24689"/>
      <w:r>
        <w:rPr>
          <w:rFonts w:hint="eastAsia" w:ascii="宋体" w:hAnsi="宋体" w:eastAsia="宋体"/>
          <w:sz w:val="24"/>
        </w:rPr>
        <w:t>男女装羽绒服的高热度，体现“大众日常穿着”是该品类的核心消费场景。</w:t>
      </w:r>
      <w:bookmarkEnd w:id="1503"/>
    </w:p>
    <w:p w14:paraId="2C9E94E5">
      <w:pPr>
        <w:spacing w:line="440" w:lineRule="exact"/>
        <w:ind w:firstLine="480" w:firstLineChars="200"/>
        <w:rPr>
          <w:rFonts w:hint="eastAsia" w:ascii="宋体" w:hAnsi="宋体" w:eastAsia="宋体"/>
          <w:sz w:val="24"/>
        </w:rPr>
      </w:pPr>
      <w:bookmarkStart w:id="1504" w:name="_Toc21513"/>
      <w:r>
        <w:rPr>
          <w:rFonts w:hint="eastAsia" w:ascii="宋体" w:hAnsi="宋体" w:eastAsia="宋体"/>
          <w:sz w:val="24"/>
        </w:rPr>
        <w:t>童装的次热度，反映家庭消费中儿童保暖需求的刚性。</w:t>
      </w:r>
      <w:bookmarkEnd w:id="1504"/>
    </w:p>
    <w:p w14:paraId="5AC2EF7B">
      <w:pPr>
        <w:spacing w:line="440" w:lineRule="exact"/>
        <w:ind w:firstLine="480" w:firstLineChars="200"/>
        <w:rPr>
          <w:rFonts w:hint="eastAsia" w:ascii="宋体" w:hAnsi="宋体" w:eastAsia="宋体"/>
          <w:sz w:val="24"/>
        </w:rPr>
      </w:pPr>
      <w:bookmarkStart w:id="1505" w:name="_Toc31627"/>
      <w:r>
        <w:rPr>
          <w:rFonts w:hint="eastAsia" w:ascii="宋体" w:hAnsi="宋体" w:eastAsia="宋体"/>
          <w:sz w:val="24"/>
        </w:rPr>
        <w:t>冲锋衣、马甲等细分款的低热度，说明用户对“功能性细分/非基础款”的需求尚未形成规模。</w:t>
      </w:r>
      <w:bookmarkEnd w:id="1505"/>
    </w:p>
    <w:p w14:paraId="369DAB4E">
      <w:pPr>
        <w:spacing w:line="440" w:lineRule="exact"/>
        <w:ind w:firstLine="420"/>
        <w:outlineLvl w:val="9"/>
        <w:rPr>
          <w:rFonts w:hint="eastAsia" w:ascii="宋体" w:hAnsi="宋体" w:eastAsia="宋体" w:cs="Times New Roman"/>
          <w:color w:val="000000"/>
          <w:kern w:val="0"/>
          <w:szCs w:val="21"/>
        </w:rPr>
      </w:pPr>
      <w:bookmarkStart w:id="1506" w:name="_Toc30653"/>
      <w:bookmarkStart w:id="1507" w:name="_Toc8800"/>
      <w:bookmarkStart w:id="1508" w:name="_Toc17813"/>
      <w:bookmarkStart w:id="1509" w:name="_Toc17416"/>
      <w:bookmarkStart w:id="1510" w:name="_Toc14817"/>
      <w:r>
        <w:rPr>
          <w:rFonts w:hint="eastAsia" w:ascii="宋体" w:hAnsi="宋体" w:eastAsia="宋体" w:cs="宋体"/>
          <w:sz w:val="24"/>
        </w:rPr>
        <w:t>4.8.6 不同款式羽绒服销售情况分析（堆叠条形图）</w:t>
      </w:r>
      <w:bookmarkEnd w:id="1506"/>
      <w:bookmarkEnd w:id="1507"/>
      <w:bookmarkEnd w:id="1508"/>
      <w:bookmarkEnd w:id="1509"/>
      <w:bookmarkEnd w:id="1510"/>
    </w:p>
    <w:p w14:paraId="17F99D80">
      <w:pPr>
        <w:widowControl/>
        <w:spacing w:line="440" w:lineRule="exact"/>
        <w:ind w:firstLine="420" w:firstLineChars="200"/>
        <w:jc w:val="center"/>
        <w:rPr>
          <w:rFonts w:hint="eastAsia" w:ascii="宋体" w:hAnsi="宋体" w:eastAsia="宋体" w:cs="宋体"/>
          <w:b/>
          <w:bCs/>
          <w:sz w:val="24"/>
        </w:rPr>
      </w:pPr>
      <w:r>
        <w:rPr>
          <w:rFonts w:hint="eastAsia" w:ascii="宋体" w:hAnsi="宋体" w:eastAsia="宋体" w:cs="Times New Roman"/>
          <w:color w:val="000000"/>
          <w:kern w:val="0"/>
          <w:szCs w:val="21"/>
        </w:rPr>
        <w:t>图4-11 不同款式羽绒服销售情况分析</w:t>
      </w:r>
    </w:p>
    <w:p w14:paraId="5E1C07F9">
      <w:pPr>
        <w:spacing w:line="440" w:lineRule="exact"/>
        <w:ind w:firstLine="482" w:firstLineChars="200"/>
        <w:rPr>
          <w:rFonts w:hint="eastAsia" w:ascii="宋体" w:hAnsi="宋体" w:eastAsia="宋体"/>
          <w:sz w:val="24"/>
        </w:rPr>
      </w:pPr>
      <w:bookmarkStart w:id="1511" w:name="_Toc3963"/>
      <w:r>
        <w:rPr>
          <w:rFonts w:ascii="宋体" w:hAnsi="宋体" w:eastAsia="宋体" w:cs="宋体"/>
          <w:b/>
          <w:bCs/>
          <w:sz w:val="24"/>
        </w:rPr>
        <w:drawing>
          <wp:anchor distT="0" distB="0" distL="114300" distR="114300" simplePos="0" relativeHeight="251904000" behindDoc="0" locked="0" layoutInCell="1" allowOverlap="1">
            <wp:simplePos x="0" y="0"/>
            <wp:positionH relativeFrom="margin">
              <wp:posOffset>886460</wp:posOffset>
            </wp:positionH>
            <wp:positionV relativeFrom="paragraph">
              <wp:posOffset>55880</wp:posOffset>
            </wp:positionV>
            <wp:extent cx="4129405" cy="1888490"/>
            <wp:effectExtent l="0" t="0" r="4445" b="16510"/>
            <wp:wrapTopAndBottom/>
            <wp:docPr id="1864961711" name="图片 1" descr="日程表&#10;&#10;AI 生成的内容可能不正确。"/>
            <wp:cNvGraphicFramePr/>
            <a:graphic xmlns:a="http://schemas.openxmlformats.org/drawingml/2006/main">
              <a:graphicData uri="http://schemas.openxmlformats.org/drawingml/2006/picture">
                <pic:pic xmlns:pic="http://schemas.openxmlformats.org/drawingml/2006/picture">
                  <pic:nvPicPr>
                    <pic:cNvPr id="1864961711" name="图片 1" descr="日程表&#10;&#10;AI 生成的内容可能不正确。"/>
                    <pic:cNvPicPr/>
                  </pic:nvPicPr>
                  <pic:blipFill>
                    <a:blip r:embed="rId471">
                      <a:extLst>
                        <a:ext uri="{28A0092B-C50C-407E-A947-70E740481C1C}">
                          <a14:useLocalDpi xmlns:a14="http://schemas.microsoft.com/office/drawing/2010/main" val="0"/>
                        </a:ext>
                      </a:extLst>
                    </a:blip>
                    <a:stretch>
                      <a:fillRect/>
                    </a:stretch>
                  </pic:blipFill>
                  <pic:spPr>
                    <a:xfrm>
                      <a:off x="0" y="0"/>
                      <a:ext cx="4129405" cy="1888490"/>
                    </a:xfrm>
                    <a:prstGeom prst="rect">
                      <a:avLst/>
                    </a:prstGeom>
                  </pic:spPr>
                </pic:pic>
              </a:graphicData>
            </a:graphic>
          </wp:anchor>
        </w:drawing>
      </w:r>
      <w:r>
        <w:rPr>
          <w:rFonts w:hint="eastAsia" w:ascii="宋体" w:hAnsi="宋体" w:eastAsia="宋体"/>
          <w:sz w:val="24"/>
        </w:rPr>
        <w:t>（1）该图以“分段条形长度”对应不同付款人数区间的销量占比，清晰呈现各款式的销售分布：</w:t>
      </w:r>
      <w:bookmarkEnd w:id="1511"/>
    </w:p>
    <w:p w14:paraId="746AB871">
      <w:pPr>
        <w:spacing w:line="440" w:lineRule="exact"/>
        <w:ind w:firstLine="480" w:firstLineChars="200"/>
        <w:rPr>
          <w:rFonts w:hint="eastAsia" w:ascii="宋体" w:hAnsi="宋体" w:eastAsia="宋体"/>
          <w:sz w:val="24"/>
        </w:rPr>
      </w:pPr>
      <w:bookmarkStart w:id="1512" w:name="_Toc15532"/>
      <w:r>
        <w:rPr>
          <w:rFonts w:hint="eastAsia" w:ascii="宋体" w:hAnsi="宋体" w:eastAsia="宋体"/>
          <w:sz w:val="24"/>
        </w:rPr>
        <w:t>女士羽绒服：覆盖全付款区间（从0人到1000+人），且300+人、200+人付款的高销量段占比突出，是全受众覆盖的爆款品类。</w:t>
      </w:r>
      <w:bookmarkEnd w:id="1512"/>
    </w:p>
    <w:p w14:paraId="3D32B0DA">
      <w:pPr>
        <w:spacing w:line="440" w:lineRule="exact"/>
        <w:ind w:firstLine="480" w:firstLineChars="200"/>
        <w:rPr>
          <w:rFonts w:hint="eastAsia" w:ascii="宋体" w:hAnsi="宋体" w:eastAsia="宋体"/>
          <w:sz w:val="24"/>
        </w:rPr>
      </w:pPr>
      <w:bookmarkStart w:id="1513" w:name="_Toc19357"/>
      <w:r>
        <w:rPr>
          <w:rFonts w:hint="eastAsia" w:ascii="宋体" w:hAnsi="宋体" w:eastAsia="宋体"/>
          <w:sz w:val="24"/>
        </w:rPr>
        <w:t>男士羽绒服：同样覆盖多区间，100+人、50+人付款段占比高（黄色、灰色区块），属于中高销量的主力品类。</w:t>
      </w:r>
      <w:bookmarkEnd w:id="1513"/>
    </w:p>
    <w:p w14:paraId="5CB760F4">
      <w:pPr>
        <w:spacing w:line="440" w:lineRule="exact"/>
        <w:ind w:firstLine="480" w:firstLineChars="200"/>
        <w:rPr>
          <w:rFonts w:hint="eastAsia" w:ascii="宋体" w:hAnsi="宋体" w:eastAsia="宋体"/>
          <w:sz w:val="24"/>
        </w:rPr>
      </w:pPr>
      <w:bookmarkStart w:id="1514" w:name="_Toc30125"/>
      <w:r>
        <w:rPr>
          <w:rFonts w:hint="eastAsia" w:ascii="宋体" w:hAnsi="宋体" w:eastAsia="宋体"/>
          <w:sz w:val="24"/>
        </w:rPr>
        <w:t>童装羽绒服：集中在50+人以下付款段（灰色、黄色小区块），是中小单量的潜力品类。</w:t>
      </w:r>
      <w:bookmarkEnd w:id="1514"/>
    </w:p>
    <w:p w14:paraId="020F4E9B">
      <w:pPr>
        <w:spacing w:line="440" w:lineRule="exact"/>
        <w:ind w:firstLine="480" w:firstLineChars="200"/>
        <w:rPr>
          <w:rFonts w:hint="eastAsia" w:ascii="宋体" w:hAnsi="宋体" w:eastAsia="宋体"/>
          <w:sz w:val="24"/>
        </w:rPr>
      </w:pPr>
      <w:bookmarkStart w:id="1515" w:name="_Toc25474"/>
      <w:r>
        <w:rPr>
          <w:rFonts w:hint="eastAsia" w:ascii="宋体" w:hAnsi="宋体" w:eastAsia="宋体"/>
          <w:sz w:val="24"/>
        </w:rPr>
        <w:t>羽绒服冲锋衣/马甲：付款人数普遍偏低（冲锋衣以0人、50+人为主，马甲仅10人付款），属于小众低销品类。</w:t>
      </w:r>
      <w:bookmarkEnd w:id="1515"/>
    </w:p>
    <w:p w14:paraId="20473B3F">
      <w:pPr>
        <w:spacing w:line="440" w:lineRule="exact"/>
        <w:ind w:firstLine="480" w:firstLineChars="200"/>
        <w:rPr>
          <w:rFonts w:hint="eastAsia" w:ascii="宋体" w:hAnsi="宋体" w:eastAsia="宋体"/>
          <w:sz w:val="24"/>
        </w:rPr>
      </w:pPr>
      <w:bookmarkStart w:id="1516" w:name="_Toc17387"/>
      <w:r>
        <w:rPr>
          <w:rFonts w:hint="eastAsia" w:ascii="宋体" w:hAnsi="宋体" w:eastAsia="宋体"/>
          <w:sz w:val="24"/>
        </w:rPr>
        <w:t>（2）核心逻辑分析：</w:t>
      </w:r>
      <w:bookmarkEnd w:id="1516"/>
    </w:p>
    <w:p w14:paraId="67B8966F">
      <w:pPr>
        <w:spacing w:line="440" w:lineRule="exact"/>
        <w:ind w:firstLine="480" w:firstLineChars="200"/>
        <w:rPr>
          <w:rFonts w:hint="eastAsia" w:ascii="宋体" w:hAnsi="宋体" w:eastAsia="宋体"/>
          <w:sz w:val="24"/>
        </w:rPr>
      </w:pPr>
      <w:r>
        <w:rPr>
          <w:rFonts w:hint="eastAsia" w:ascii="宋体" w:hAnsi="宋体" w:eastAsia="宋体"/>
          <w:sz w:val="24"/>
        </w:rPr>
        <w:t>女士羽绒服覆盖全付款区间（含1000+人付款的爆款），高销量段占比高于男士，体现更强的市场需求与购买力。</w:t>
      </w:r>
    </w:p>
    <w:p w14:paraId="2F701A29">
      <w:pPr>
        <w:spacing w:line="440" w:lineRule="exact"/>
        <w:ind w:firstLine="420" w:firstLineChars="0"/>
        <w:outlineLvl w:val="9"/>
        <w:rPr>
          <w:rFonts w:hint="eastAsia" w:ascii="宋体" w:hAnsi="宋体" w:eastAsia="宋体" w:cs="宋体"/>
          <w:sz w:val="24"/>
        </w:rPr>
      </w:pPr>
      <w:bookmarkStart w:id="1517" w:name="_Toc29856"/>
      <w:bookmarkStart w:id="1518" w:name="_Toc5117"/>
      <w:r>
        <w:rPr>
          <w:rFonts w:hint="eastAsia" w:ascii="宋体" w:hAnsi="宋体" w:eastAsia="宋体" w:cs="宋体"/>
          <w:sz w:val="24"/>
        </w:rPr>
        <w:t>4.8.7 不同类型店铺的好评率（瀑布图）</w:t>
      </w:r>
      <w:bookmarkEnd w:id="1517"/>
      <w:bookmarkEnd w:id="1518"/>
    </w:p>
    <w:p w14:paraId="7AA857B4">
      <w:pPr>
        <w:widowControl/>
        <w:spacing w:line="440" w:lineRule="exact"/>
        <w:ind w:firstLine="420" w:firstLineChars="200"/>
        <w:jc w:val="center"/>
        <w:outlineLvl w:val="9"/>
        <w:rPr>
          <w:rFonts w:hint="eastAsia" w:ascii="宋体" w:hAnsi="宋体" w:eastAsia="宋体" w:cs="Times New Roman"/>
          <w:color w:val="000000"/>
          <w:kern w:val="0"/>
          <w:szCs w:val="21"/>
        </w:rPr>
      </w:pPr>
      <w:bookmarkStart w:id="1519" w:name="_Toc2599"/>
      <w:r>
        <w:rPr>
          <w:rFonts w:hint="eastAsia" w:ascii="宋体" w:hAnsi="宋体" w:eastAsia="宋体" w:cs="Times New Roman"/>
          <w:color w:val="000000"/>
          <w:kern w:val="0"/>
          <w:szCs w:val="21"/>
        </w:rPr>
        <w:t>图4-12 不同类型店铺的好评率</w:t>
      </w:r>
    </w:p>
    <w:p w14:paraId="2739992A">
      <w:pPr>
        <w:spacing w:line="440" w:lineRule="exact"/>
        <w:ind w:firstLine="420" w:firstLineChars="200"/>
        <w:rPr>
          <w:rFonts w:hint="eastAsia" w:ascii="宋体" w:hAnsi="宋体" w:eastAsia="宋体"/>
          <w:sz w:val="24"/>
        </w:rPr>
      </w:pPr>
      <w:r>
        <w:rPr>
          <w:rFonts w:hint="eastAsia" w:ascii="宋体" w:hAnsi="宋体" w:eastAsia="宋体" w:cs="Times New Roman"/>
          <w:color w:val="000000"/>
          <w:kern w:val="0"/>
          <w:szCs w:val="21"/>
        </w:rPr>
        <w:drawing>
          <wp:anchor distT="0" distB="0" distL="114300" distR="114300" simplePos="0" relativeHeight="251905024" behindDoc="0" locked="0" layoutInCell="1" allowOverlap="1">
            <wp:simplePos x="0" y="0"/>
            <wp:positionH relativeFrom="column">
              <wp:posOffset>719455</wp:posOffset>
            </wp:positionH>
            <wp:positionV relativeFrom="paragraph">
              <wp:posOffset>50800</wp:posOffset>
            </wp:positionV>
            <wp:extent cx="3981450" cy="1731645"/>
            <wp:effectExtent l="0" t="0" r="0" b="1905"/>
            <wp:wrapTopAndBottom/>
            <wp:docPr id="705" name="图片 705" descr="GIF 2025-12-24 21-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705" descr="GIF 2025-12-24 21-17-39"/>
                    <pic:cNvPicPr>
                      <a:picLocks noChangeAspect="1"/>
                    </pic:cNvPicPr>
                  </pic:nvPicPr>
                  <pic:blipFill>
                    <a:blip r:embed="rId472"/>
                    <a:stretch>
                      <a:fillRect/>
                    </a:stretch>
                  </pic:blipFill>
                  <pic:spPr>
                    <a:xfrm>
                      <a:off x="0" y="0"/>
                      <a:ext cx="3981450" cy="1731645"/>
                    </a:xfrm>
                    <a:prstGeom prst="rect">
                      <a:avLst/>
                    </a:prstGeom>
                  </pic:spPr>
                </pic:pic>
              </a:graphicData>
            </a:graphic>
          </wp:anchor>
        </w:drawing>
      </w:r>
      <w:r>
        <w:rPr>
          <w:rFonts w:hint="eastAsia" w:ascii="宋体" w:hAnsi="宋体" w:eastAsia="宋体"/>
          <w:sz w:val="24"/>
        </w:rPr>
        <w:t>（1）该图以 “柱形高度+排名标识”呈现各店铺的好评数量水平，分层清晰：</w:t>
      </w:r>
      <w:bookmarkEnd w:id="1519"/>
    </w:p>
    <w:p w14:paraId="67B5B500">
      <w:pPr>
        <w:spacing w:line="440" w:lineRule="exact"/>
        <w:ind w:firstLine="480" w:firstLineChars="200"/>
        <w:rPr>
          <w:rFonts w:hint="eastAsia" w:ascii="宋体" w:hAnsi="宋体" w:eastAsia="宋体"/>
          <w:sz w:val="24"/>
        </w:rPr>
      </w:pPr>
      <w:bookmarkStart w:id="1520" w:name="_Toc28205"/>
      <w:r>
        <w:rPr>
          <w:rFonts w:hint="eastAsia" w:ascii="宋体" w:hAnsi="宋体" w:eastAsia="宋体"/>
          <w:sz w:val="24"/>
        </w:rPr>
        <w:t>第一梯队（高好评）：企业店（好评数量 408，NO.1）、旗舰店（395，NO.2），品牌官方类店铺的口碑表现最优。</w:t>
      </w:r>
      <w:bookmarkEnd w:id="1520"/>
    </w:p>
    <w:p w14:paraId="40EDAB8C">
      <w:pPr>
        <w:spacing w:line="440" w:lineRule="exact"/>
        <w:ind w:firstLine="480" w:firstLineChars="200"/>
        <w:rPr>
          <w:rFonts w:hint="eastAsia" w:ascii="宋体" w:hAnsi="宋体" w:eastAsia="宋体"/>
          <w:sz w:val="24"/>
        </w:rPr>
      </w:pPr>
      <w:bookmarkStart w:id="1521" w:name="_Toc29958"/>
      <w:r>
        <w:rPr>
          <w:rFonts w:hint="eastAsia" w:ascii="宋体" w:hAnsi="宋体" w:eastAsia="宋体"/>
          <w:sz w:val="24"/>
        </w:rPr>
        <w:t>第二梯队（中好评）：奥莱店（340，NO.3），折扣类渠道的口碑处于中等水平。</w:t>
      </w:r>
      <w:bookmarkEnd w:id="1521"/>
    </w:p>
    <w:p w14:paraId="78DAFEEF">
      <w:pPr>
        <w:spacing w:line="440" w:lineRule="exact"/>
        <w:ind w:firstLine="480" w:firstLineChars="200"/>
        <w:rPr>
          <w:rFonts w:hint="eastAsia" w:ascii="宋体" w:hAnsi="宋体" w:eastAsia="宋体"/>
          <w:sz w:val="24"/>
        </w:rPr>
      </w:pPr>
      <w:bookmarkStart w:id="1522" w:name="_Toc22576"/>
      <w:r>
        <w:rPr>
          <w:rFonts w:hint="eastAsia" w:ascii="宋体" w:hAnsi="宋体" w:eastAsia="宋体"/>
          <w:sz w:val="24"/>
        </w:rPr>
        <w:t>第三梯队（低好评）：正品店（253，NO.4）、普通店（245，NO.5），非官方/非品牌直属店铺的口碑表现较弱。</w:t>
      </w:r>
      <w:bookmarkEnd w:id="1522"/>
    </w:p>
    <w:p w14:paraId="0473184E">
      <w:pPr>
        <w:spacing w:line="440" w:lineRule="exact"/>
        <w:ind w:firstLine="480" w:firstLineChars="200"/>
        <w:rPr>
          <w:rFonts w:hint="eastAsia" w:ascii="宋体" w:hAnsi="宋体" w:eastAsia="宋体"/>
          <w:sz w:val="24"/>
        </w:rPr>
      </w:pPr>
      <w:bookmarkStart w:id="1523" w:name="_Toc22086"/>
      <w:r>
        <w:rPr>
          <w:rFonts w:hint="eastAsia" w:ascii="宋体" w:hAnsi="宋体" w:eastAsia="宋体"/>
          <w:sz w:val="24"/>
        </w:rPr>
        <w:t>（2）口碑与渠道属性的关联逻辑</w:t>
      </w:r>
      <w:bookmarkEnd w:id="1523"/>
    </w:p>
    <w:p w14:paraId="4E781704">
      <w:pPr>
        <w:spacing w:line="440" w:lineRule="exact"/>
        <w:ind w:firstLine="480" w:firstLineChars="200"/>
        <w:rPr>
          <w:rFonts w:hint="eastAsia" w:ascii="宋体" w:hAnsi="宋体" w:eastAsia="宋体"/>
          <w:sz w:val="24"/>
        </w:rPr>
      </w:pPr>
      <w:bookmarkStart w:id="1524" w:name="_Toc31031"/>
      <w:r>
        <w:rPr>
          <w:rFonts w:hint="eastAsia" w:ascii="宋体" w:hAnsi="宋体" w:eastAsia="宋体"/>
          <w:sz w:val="24"/>
        </w:rPr>
        <w:t>企业店、旗舰店的高好评数量，与“品牌直营、品控稳定、服务规范”的渠道属性直接相关，是品牌信任度的核心载体。</w:t>
      </w:r>
      <w:bookmarkEnd w:id="1524"/>
    </w:p>
    <w:p w14:paraId="7017D482">
      <w:pPr>
        <w:spacing w:line="440" w:lineRule="exact"/>
        <w:ind w:firstLine="480" w:firstLineChars="200"/>
        <w:rPr>
          <w:rFonts w:hint="eastAsia" w:ascii="宋体" w:hAnsi="宋体" w:eastAsia="宋体"/>
          <w:sz w:val="24"/>
        </w:rPr>
      </w:pPr>
      <w:bookmarkStart w:id="1525" w:name="_Toc15611"/>
      <w:r>
        <w:rPr>
          <w:rFonts w:hint="eastAsia" w:ascii="宋体" w:hAnsi="宋体" w:eastAsia="宋体"/>
          <w:sz w:val="24"/>
        </w:rPr>
        <w:t>普通店、正品店的低好评数量，可能源于货源稳定性、服务标准不统一等问题，影响用户体验。</w:t>
      </w:r>
      <w:bookmarkEnd w:id="1525"/>
    </w:p>
    <w:p w14:paraId="5D407A2F">
      <w:pPr>
        <w:spacing w:line="440" w:lineRule="exact"/>
        <w:ind w:firstLine="420"/>
        <w:outlineLvl w:val="9"/>
        <w:rPr>
          <w:rFonts w:hint="eastAsia" w:ascii="宋体" w:hAnsi="宋体" w:eastAsia="宋体" w:cs="宋体"/>
          <w:sz w:val="24"/>
        </w:rPr>
      </w:pPr>
      <w:bookmarkStart w:id="1526" w:name="_Toc25473"/>
      <w:bookmarkStart w:id="1527" w:name="_Toc10050"/>
      <w:bookmarkStart w:id="1528" w:name="_Toc8028"/>
      <w:r>
        <w:rPr>
          <w:rFonts w:hint="eastAsia" w:ascii="宋体" w:hAnsi="宋体" w:eastAsia="宋体" w:cs="宋体"/>
          <w:sz w:val="24"/>
        </w:rPr>
        <w:t>4.8.8 不同功能羽绒服的销售情况分析（折线图）</w:t>
      </w:r>
      <w:bookmarkEnd w:id="1526"/>
      <w:bookmarkEnd w:id="1527"/>
    </w:p>
    <w:p w14:paraId="0D9C39C4">
      <w:pPr>
        <w:spacing w:line="440" w:lineRule="exact"/>
        <w:ind w:firstLine="420" w:firstLineChars="200"/>
        <w:jc w:val="center"/>
        <w:rPr>
          <w:rFonts w:hint="eastAsia" w:ascii="宋体" w:hAnsi="宋体" w:eastAsia="宋体" w:cs="Times New Roman"/>
          <w:color w:val="000000"/>
          <w:kern w:val="0"/>
          <w:szCs w:val="21"/>
        </w:rPr>
      </w:pPr>
      <w:r>
        <w:rPr>
          <w:rFonts w:hint="eastAsia" w:ascii="宋体" w:hAnsi="宋体" w:eastAsia="宋体" w:cs="Times New Roman"/>
          <w:color w:val="000000"/>
          <w:kern w:val="0"/>
          <w:szCs w:val="21"/>
        </w:rPr>
        <w:t>图4-13 不同功能羽绒服的销售情况分析</w:t>
      </w:r>
    </w:p>
    <w:p w14:paraId="3D60BBC4">
      <w:pPr>
        <w:spacing w:line="440" w:lineRule="exact"/>
        <w:ind w:firstLine="482" w:firstLineChars="200"/>
        <w:rPr>
          <w:rFonts w:hint="eastAsia" w:ascii="宋体" w:hAnsi="宋体" w:eastAsia="宋体" w:cs="Times New Roman"/>
          <w:sz w:val="24"/>
        </w:rPr>
      </w:pPr>
      <w:r>
        <w:rPr>
          <w:rFonts w:ascii="宋体" w:hAnsi="宋体" w:eastAsia="宋体" w:cs="宋体"/>
          <w:b/>
          <w:bCs/>
          <w:sz w:val="24"/>
        </w:rPr>
        <w:drawing>
          <wp:anchor distT="0" distB="0" distL="114300" distR="114300" simplePos="0" relativeHeight="251906048" behindDoc="0" locked="0" layoutInCell="1" allowOverlap="1">
            <wp:simplePos x="0" y="0"/>
            <wp:positionH relativeFrom="margin">
              <wp:posOffset>637540</wp:posOffset>
            </wp:positionH>
            <wp:positionV relativeFrom="paragraph">
              <wp:posOffset>13335</wp:posOffset>
            </wp:positionV>
            <wp:extent cx="4384040" cy="1741170"/>
            <wp:effectExtent l="0" t="0" r="16510" b="11430"/>
            <wp:wrapTopAndBottom/>
            <wp:docPr id="889163740" name="图片 1" descr="图形用户界面, 图表&#10;&#10;AI 生成的内容可能不正确。"/>
            <wp:cNvGraphicFramePr/>
            <a:graphic xmlns:a="http://schemas.openxmlformats.org/drawingml/2006/main">
              <a:graphicData uri="http://schemas.openxmlformats.org/drawingml/2006/picture">
                <pic:pic xmlns:pic="http://schemas.openxmlformats.org/drawingml/2006/picture">
                  <pic:nvPicPr>
                    <pic:cNvPr id="889163740" name="图片 1" descr="图形用户界面, 图表&#10;&#10;AI 生成的内容可能不正确。"/>
                    <pic:cNvPicPr/>
                  </pic:nvPicPr>
                  <pic:blipFill>
                    <a:blip r:embed="rId473">
                      <a:extLst>
                        <a:ext uri="{28A0092B-C50C-407E-A947-70E740481C1C}">
                          <a14:useLocalDpi xmlns:a14="http://schemas.microsoft.com/office/drawing/2010/main" val="0"/>
                        </a:ext>
                      </a:extLst>
                    </a:blip>
                    <a:stretch>
                      <a:fillRect/>
                    </a:stretch>
                  </pic:blipFill>
                  <pic:spPr>
                    <a:xfrm>
                      <a:off x="0" y="0"/>
                      <a:ext cx="4384040" cy="1741170"/>
                    </a:xfrm>
                    <a:prstGeom prst="rect">
                      <a:avLst/>
                    </a:prstGeom>
                  </pic:spPr>
                </pic:pic>
              </a:graphicData>
            </a:graphic>
          </wp:anchor>
        </w:drawing>
      </w:r>
      <w:r>
        <w:rPr>
          <w:rFonts w:hint="eastAsia" w:ascii="宋体" w:hAnsi="宋体" w:eastAsia="宋体" w:cs="Times New Roman"/>
          <w:sz w:val="24"/>
        </w:rPr>
        <w:t>（1）该图以“折线起伏”呈现不同功能标签组合对应的销量，核心特征如下：</w:t>
      </w:r>
      <w:bookmarkEnd w:id="1528"/>
    </w:p>
    <w:p w14:paraId="43102472">
      <w:pPr>
        <w:spacing w:line="440" w:lineRule="exact"/>
        <w:ind w:firstLine="480" w:firstLineChars="200"/>
        <w:rPr>
          <w:rFonts w:hint="eastAsia" w:ascii="宋体" w:hAnsi="宋体" w:eastAsia="宋体" w:cs="Times New Roman"/>
          <w:sz w:val="24"/>
        </w:rPr>
      </w:pPr>
      <w:bookmarkStart w:id="1529" w:name="_Toc5345"/>
      <w:r>
        <w:rPr>
          <w:rFonts w:hint="eastAsia" w:ascii="宋体" w:hAnsi="宋体" w:eastAsia="宋体" w:cs="Times New Roman"/>
          <w:sz w:val="24"/>
        </w:rPr>
        <w:t>高销量功能组合：“加厚，长款，时尚”（峰值约120）、“新款”（峰约160），是最受市场欢迎的功能+风格组合。</w:t>
      </w:r>
      <w:bookmarkEnd w:id="1529"/>
    </w:p>
    <w:p w14:paraId="5D5305E0">
      <w:pPr>
        <w:spacing w:line="440" w:lineRule="exact"/>
        <w:ind w:firstLine="480" w:firstLineChars="200"/>
        <w:rPr>
          <w:rFonts w:hint="eastAsia" w:ascii="宋体" w:hAnsi="宋体" w:eastAsia="宋体" w:cs="Times New Roman"/>
          <w:sz w:val="24"/>
        </w:rPr>
      </w:pPr>
      <w:bookmarkStart w:id="1530" w:name="_Toc11596"/>
      <w:r>
        <w:rPr>
          <w:rFonts w:hint="eastAsia" w:ascii="宋体" w:hAnsi="宋体" w:eastAsia="宋体" w:cs="Times New Roman"/>
          <w:sz w:val="24"/>
        </w:rPr>
        <w:t>中等销量组合：“轻薄，新款”、“轻薄，防风，保暖”，销量稳定在60-90区间。</w:t>
      </w:r>
      <w:bookmarkEnd w:id="1530"/>
    </w:p>
    <w:p w14:paraId="551541C2">
      <w:pPr>
        <w:spacing w:line="440" w:lineRule="exact"/>
        <w:ind w:firstLine="480" w:firstLineChars="200"/>
        <w:rPr>
          <w:rFonts w:hint="eastAsia" w:ascii="宋体" w:hAnsi="宋体" w:eastAsia="宋体" w:cs="Times New Roman"/>
          <w:sz w:val="24"/>
        </w:rPr>
      </w:pPr>
      <w:bookmarkStart w:id="1531" w:name="_Toc19528"/>
      <w:r>
        <w:rPr>
          <w:rFonts w:hint="eastAsia" w:ascii="宋体" w:hAnsi="宋体" w:eastAsia="宋体" w:cs="Times New Roman"/>
          <w:sz w:val="24"/>
        </w:rPr>
        <w:t>基础款功能：“长款”（无额外功能标签）销量偏低，说明单一版型已无法满足用户需求。</w:t>
      </w:r>
      <w:bookmarkEnd w:id="1531"/>
    </w:p>
    <w:p w14:paraId="2B889215">
      <w:pPr>
        <w:spacing w:line="440" w:lineRule="exact"/>
        <w:ind w:firstLine="480" w:firstLineChars="200"/>
        <w:rPr>
          <w:rFonts w:hint="eastAsia" w:ascii="宋体" w:hAnsi="宋体" w:eastAsia="宋体"/>
          <w:sz w:val="24"/>
        </w:rPr>
      </w:pPr>
      <w:bookmarkStart w:id="1532" w:name="_Toc32010"/>
      <w:r>
        <w:rPr>
          <w:rFonts w:hint="eastAsia" w:ascii="宋体" w:hAnsi="宋体" w:eastAsia="宋体"/>
          <w:sz w:val="24"/>
        </w:rPr>
        <w:t>（2）功能需求的核心逻辑</w:t>
      </w:r>
      <w:bookmarkEnd w:id="1532"/>
    </w:p>
    <w:p w14:paraId="31590AF8">
      <w:pPr>
        <w:spacing w:line="440" w:lineRule="exact"/>
        <w:ind w:firstLine="480" w:firstLineChars="200"/>
        <w:rPr>
          <w:rFonts w:hint="eastAsia" w:ascii="宋体" w:hAnsi="宋体" w:eastAsia="宋体"/>
          <w:sz w:val="24"/>
        </w:rPr>
      </w:pPr>
      <w:bookmarkStart w:id="1533" w:name="_Toc11865"/>
      <w:r>
        <w:rPr>
          <w:rFonts w:hint="eastAsia" w:ascii="宋体" w:hAnsi="宋体" w:eastAsia="宋体"/>
          <w:sz w:val="24"/>
        </w:rPr>
        <w:t>“加厚+长款+时尚”、“新款”的高销量，体现用户既重视“保暖实用”（加厚、长款），也关注“款式时效性”（时尚、新款）.</w:t>
      </w:r>
      <w:bookmarkEnd w:id="1533"/>
    </w:p>
    <w:p w14:paraId="40068FAE">
      <w:pPr>
        <w:spacing w:line="440" w:lineRule="exact"/>
        <w:ind w:firstLine="480" w:firstLineChars="200"/>
        <w:rPr>
          <w:rFonts w:hint="eastAsia" w:ascii="宋体" w:hAnsi="宋体" w:eastAsia="宋体"/>
          <w:sz w:val="24"/>
        </w:rPr>
      </w:pPr>
      <w:bookmarkStart w:id="1534" w:name="_Toc18841"/>
      <w:r>
        <w:rPr>
          <w:rFonts w:hint="eastAsia" w:ascii="宋体" w:hAnsi="宋体" w:eastAsia="宋体"/>
          <w:sz w:val="24"/>
        </w:rPr>
        <w:t>“轻薄+防风+保暖”的中等销量，反映部分用户对“轻量型保暖”的细分需求。</w:t>
      </w:r>
      <w:bookmarkEnd w:id="1534"/>
    </w:p>
    <w:p w14:paraId="56C2D9E8">
      <w:pPr>
        <w:spacing w:line="440" w:lineRule="exact"/>
        <w:ind w:firstLine="480" w:firstLineChars="200"/>
        <w:rPr>
          <w:rFonts w:hint="eastAsia" w:ascii="宋体" w:hAnsi="宋体" w:eastAsia="宋体"/>
          <w:sz w:val="24"/>
        </w:rPr>
      </w:pPr>
      <w:bookmarkStart w:id="1535" w:name="_Toc15484"/>
      <w:r>
        <w:rPr>
          <w:rFonts w:hint="eastAsia" w:ascii="宋体" w:hAnsi="宋体" w:eastAsia="宋体"/>
          <w:sz w:val="24"/>
        </w:rPr>
        <w:t>单一“长款”的低销量，说明功能/风格标签的叠加是提升产品吸引力的关键。</w:t>
      </w:r>
      <w:bookmarkEnd w:id="1535"/>
    </w:p>
    <w:p w14:paraId="0C2E6F01">
      <w:pPr>
        <w:spacing w:line="440" w:lineRule="exact"/>
        <w:ind w:firstLine="420"/>
        <w:outlineLvl w:val="9"/>
        <w:rPr>
          <w:rFonts w:hint="eastAsia" w:ascii="宋体" w:hAnsi="宋体" w:eastAsia="宋体" w:cs="宋体"/>
          <w:sz w:val="24"/>
        </w:rPr>
      </w:pPr>
      <w:bookmarkStart w:id="1536" w:name="_Toc5925"/>
      <w:bookmarkStart w:id="1537" w:name="_Toc24123"/>
      <w:r>
        <w:rPr>
          <w:rFonts w:hint="eastAsia" w:ascii="宋体" w:hAnsi="宋体" w:eastAsia="宋体" w:cs="宋体"/>
          <w:sz w:val="24"/>
        </w:rPr>
        <w:t>4.8.9 不同款式羽绒服销量预测（堆叠双轴图）</w:t>
      </w:r>
      <w:bookmarkEnd w:id="1536"/>
      <w:bookmarkEnd w:id="1537"/>
    </w:p>
    <w:p w14:paraId="77773A53">
      <w:pPr>
        <w:spacing w:line="440" w:lineRule="exact"/>
        <w:ind w:firstLine="420" w:firstLineChars="200"/>
        <w:jc w:val="center"/>
        <w:outlineLvl w:val="9"/>
        <w:rPr>
          <w:rFonts w:hint="eastAsia" w:ascii="宋体" w:hAnsi="宋体" w:eastAsia="宋体" w:cs="Times New Roman"/>
          <w:color w:val="000000"/>
          <w:kern w:val="0"/>
          <w:szCs w:val="21"/>
        </w:rPr>
      </w:pPr>
    </w:p>
    <w:p w14:paraId="7C11176C">
      <w:pPr>
        <w:spacing w:line="440" w:lineRule="exact"/>
        <w:ind w:firstLine="420" w:firstLineChars="200"/>
        <w:jc w:val="center"/>
        <w:rPr>
          <w:rFonts w:hint="eastAsia" w:ascii="宋体" w:hAnsi="宋体" w:eastAsia="宋体" w:cs="Times New Roman"/>
          <w:color w:val="000000"/>
          <w:kern w:val="0"/>
          <w:szCs w:val="21"/>
        </w:rPr>
      </w:pPr>
    </w:p>
    <w:p w14:paraId="6C880495">
      <w:pPr>
        <w:spacing w:line="440" w:lineRule="exact"/>
        <w:ind w:firstLine="420" w:firstLineChars="200"/>
        <w:jc w:val="center"/>
        <w:rPr>
          <w:rFonts w:hint="eastAsia" w:ascii="宋体" w:hAnsi="宋体" w:eastAsia="宋体" w:cs="Times New Roman"/>
          <w:color w:val="000000"/>
          <w:kern w:val="0"/>
          <w:szCs w:val="21"/>
        </w:rPr>
      </w:pPr>
    </w:p>
    <w:p w14:paraId="4FFA65AE">
      <w:pPr>
        <w:spacing w:line="440" w:lineRule="exact"/>
        <w:ind w:firstLine="420" w:firstLineChars="200"/>
        <w:jc w:val="center"/>
        <w:rPr>
          <w:rFonts w:hint="eastAsia" w:ascii="宋体" w:hAnsi="宋体" w:eastAsia="宋体" w:cs="Times New Roman"/>
          <w:color w:val="000000"/>
          <w:kern w:val="0"/>
          <w:szCs w:val="21"/>
        </w:rPr>
      </w:pPr>
    </w:p>
    <w:p w14:paraId="63610CB5">
      <w:pPr>
        <w:spacing w:line="440" w:lineRule="exact"/>
        <w:ind w:firstLine="420" w:firstLineChars="200"/>
        <w:jc w:val="center"/>
        <w:rPr>
          <w:rFonts w:hint="eastAsia" w:ascii="宋体" w:hAnsi="宋体" w:eastAsia="宋体" w:cs="Times New Roman"/>
          <w:color w:val="000000"/>
          <w:kern w:val="0"/>
          <w:szCs w:val="21"/>
        </w:rPr>
      </w:pPr>
    </w:p>
    <w:p w14:paraId="6C65250B">
      <w:pPr>
        <w:spacing w:line="440" w:lineRule="exact"/>
        <w:ind w:firstLine="420" w:firstLineChars="200"/>
        <w:jc w:val="center"/>
        <w:rPr>
          <w:rFonts w:hint="eastAsia" w:ascii="宋体" w:hAnsi="宋体" w:eastAsia="宋体"/>
          <w:sz w:val="24"/>
        </w:rPr>
      </w:pPr>
      <w:r>
        <w:rPr>
          <w:rFonts w:hint="eastAsia" w:ascii="宋体" w:hAnsi="宋体" w:eastAsia="宋体" w:cs="Times New Roman"/>
          <w:color w:val="000000"/>
          <w:kern w:val="0"/>
          <w:szCs w:val="21"/>
        </w:rPr>
        <w:t>图4-14 不同款式羽绒服销量预测</w:t>
      </w:r>
    </w:p>
    <w:p w14:paraId="7F4B1339">
      <w:pPr>
        <w:spacing w:line="440" w:lineRule="exact"/>
        <w:ind w:firstLine="480" w:firstLineChars="200"/>
        <w:jc w:val="left"/>
        <w:rPr>
          <w:rFonts w:hint="eastAsia" w:ascii="宋体" w:hAnsi="宋体" w:eastAsia="宋体"/>
          <w:sz w:val="24"/>
        </w:rPr>
      </w:pPr>
      <w:r>
        <w:rPr>
          <w:rFonts w:hint="eastAsia" w:ascii="宋体" w:hAnsi="宋体" w:eastAsia="宋体"/>
          <w:sz w:val="24"/>
        </w:rPr>
        <w:drawing>
          <wp:anchor distT="0" distB="0" distL="114300" distR="114300" simplePos="0" relativeHeight="251907072" behindDoc="0" locked="0" layoutInCell="1" allowOverlap="1">
            <wp:simplePos x="0" y="0"/>
            <wp:positionH relativeFrom="column">
              <wp:posOffset>657225</wp:posOffset>
            </wp:positionH>
            <wp:positionV relativeFrom="paragraph">
              <wp:posOffset>10795</wp:posOffset>
            </wp:positionV>
            <wp:extent cx="4471670" cy="1824990"/>
            <wp:effectExtent l="0" t="0" r="5080" b="3810"/>
            <wp:wrapTopAndBottom/>
            <wp:docPr id="706" name="图片 706" descr="Snipaste_2025-12-24_21-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706" descr="Snipaste_2025-12-24_21-15-23"/>
                    <pic:cNvPicPr>
                      <a:picLocks noChangeAspect="1"/>
                    </pic:cNvPicPr>
                  </pic:nvPicPr>
                  <pic:blipFill>
                    <a:blip r:embed="rId474"/>
                    <a:stretch>
                      <a:fillRect/>
                    </a:stretch>
                  </pic:blipFill>
                  <pic:spPr>
                    <a:xfrm>
                      <a:off x="0" y="0"/>
                      <a:ext cx="4471670" cy="1824990"/>
                    </a:xfrm>
                    <a:prstGeom prst="rect">
                      <a:avLst/>
                    </a:prstGeom>
                  </pic:spPr>
                </pic:pic>
              </a:graphicData>
            </a:graphic>
          </wp:anchor>
        </w:drawing>
      </w:r>
      <w:r>
        <w:rPr>
          <w:rFonts w:hint="eastAsia" w:ascii="宋体" w:hAnsi="宋体" w:eastAsia="宋体"/>
          <w:sz w:val="24"/>
        </w:rPr>
        <w:t>这是一个“不同款式羽绒服销量预测”的组合图表（柱状图+折线图），整合了销量、是否卖得动、预测卖得动概率三类数据，核心分析如下：</w:t>
      </w:r>
    </w:p>
    <w:p w14:paraId="7E2D7833">
      <w:pPr>
        <w:spacing w:line="440" w:lineRule="exact"/>
        <w:ind w:firstLine="480" w:firstLineChars="200"/>
        <w:rPr>
          <w:rFonts w:hint="eastAsia" w:ascii="宋体" w:hAnsi="宋体" w:eastAsia="宋体"/>
          <w:sz w:val="24"/>
        </w:rPr>
      </w:pPr>
      <w:r>
        <w:rPr>
          <w:rFonts w:hint="eastAsia" w:ascii="宋体" w:hAnsi="宋体" w:eastAsia="宋体"/>
          <w:sz w:val="24"/>
        </w:rPr>
        <w:t>(1)数据维度与解读</w:t>
      </w:r>
    </w:p>
    <w:p w14:paraId="31693E87">
      <w:pPr>
        <w:spacing w:line="440" w:lineRule="exact"/>
        <w:ind w:firstLine="480" w:firstLineChars="200"/>
        <w:rPr>
          <w:rFonts w:hint="eastAsia" w:ascii="宋体" w:hAnsi="宋体" w:eastAsia="宋体"/>
          <w:sz w:val="24"/>
        </w:rPr>
      </w:pPr>
      <w:r>
        <w:rPr>
          <w:rFonts w:hint="eastAsia" w:ascii="宋体" w:hAnsi="宋体" w:eastAsia="宋体"/>
          <w:sz w:val="24"/>
        </w:rPr>
        <w:t>蓝色柱状图：代表“销售量/数值”，展示各款式的实际销量规模；</w:t>
      </w:r>
    </w:p>
    <w:p w14:paraId="2D90A094">
      <w:pPr>
        <w:spacing w:line="440" w:lineRule="exact"/>
        <w:ind w:firstLine="480" w:firstLineChars="200"/>
        <w:rPr>
          <w:rFonts w:hint="eastAsia" w:ascii="宋体" w:hAnsi="宋体" w:eastAsia="宋体"/>
          <w:sz w:val="24"/>
        </w:rPr>
      </w:pPr>
      <w:r>
        <w:rPr>
          <w:rFonts w:hint="eastAsia" w:ascii="宋体" w:hAnsi="宋体" w:eastAsia="宋体"/>
          <w:sz w:val="24"/>
        </w:rPr>
        <w:t>橙色折线图：代表“预测卖得动概率”，体现各款式的市场潜力；</w:t>
      </w:r>
    </w:p>
    <w:p w14:paraId="206D17F2">
      <w:pPr>
        <w:spacing w:line="440" w:lineRule="exact"/>
        <w:ind w:firstLine="480" w:firstLineChars="200"/>
        <w:rPr>
          <w:rFonts w:hint="eastAsia" w:ascii="宋体" w:hAnsi="宋体" w:eastAsia="宋体"/>
          <w:sz w:val="24"/>
        </w:rPr>
      </w:pPr>
      <w:r>
        <w:rPr>
          <w:rFonts w:hint="eastAsia" w:ascii="宋体" w:hAnsi="宋体" w:eastAsia="宋体"/>
          <w:sz w:val="24"/>
        </w:rPr>
        <w:t>浅蓝区域（柱状图上层）：代表“是否卖得动”，是销量中符合 “卖得动”标准的部分。</w:t>
      </w:r>
    </w:p>
    <w:p w14:paraId="143C7203">
      <w:pPr>
        <w:spacing w:line="440" w:lineRule="exact"/>
        <w:ind w:firstLine="480" w:firstLineChars="200"/>
        <w:rPr>
          <w:rFonts w:hint="eastAsia" w:ascii="宋体" w:hAnsi="宋体" w:eastAsia="宋体"/>
          <w:sz w:val="24"/>
        </w:rPr>
      </w:pPr>
      <w:r>
        <w:rPr>
          <w:rFonts w:hint="eastAsia" w:ascii="宋体" w:hAnsi="宋体" w:eastAsia="宋体"/>
          <w:sz w:val="24"/>
        </w:rPr>
        <w:t>(2)各款式表现分析</w:t>
      </w:r>
    </w:p>
    <w:p w14:paraId="6DEEA16C">
      <w:pPr>
        <w:spacing w:line="440" w:lineRule="exact"/>
        <w:ind w:firstLine="480" w:firstLineChars="200"/>
        <w:rPr>
          <w:rFonts w:hint="eastAsia" w:ascii="宋体" w:hAnsi="宋体" w:eastAsia="宋体"/>
          <w:sz w:val="24"/>
        </w:rPr>
      </w:pPr>
      <w:r>
        <w:rPr>
          <w:rFonts w:hint="eastAsia" w:ascii="宋体" w:hAnsi="宋体" w:eastAsia="宋体"/>
          <w:sz w:val="24"/>
        </w:rPr>
        <w:t>女士羽绒服：销量约1500，预测卖得动概率约60%，“卖得动”占比高（浅蓝区域接近销量顶部）；</w:t>
      </w:r>
    </w:p>
    <w:p w14:paraId="76B39F3F">
      <w:pPr>
        <w:spacing w:line="440" w:lineRule="exact"/>
        <w:ind w:firstLine="480" w:firstLineChars="200"/>
        <w:rPr>
          <w:rFonts w:hint="eastAsia" w:ascii="宋体" w:hAnsi="宋体" w:eastAsia="宋体"/>
          <w:sz w:val="24"/>
        </w:rPr>
      </w:pPr>
      <w:r>
        <w:rPr>
          <w:rFonts w:hint="eastAsia" w:ascii="宋体" w:hAnsi="宋体" w:eastAsia="宋体"/>
          <w:sz w:val="24"/>
        </w:rPr>
        <w:t>男士羽绒服：销量约1500，但预测卖得动概率降至约40%，“卖得动”占比明显低于女士款；</w:t>
      </w:r>
    </w:p>
    <w:p w14:paraId="63F12D32">
      <w:pPr>
        <w:spacing w:line="440" w:lineRule="exact"/>
        <w:ind w:firstLine="480" w:firstLineChars="200"/>
        <w:rPr>
          <w:rFonts w:hint="eastAsia" w:ascii="宋体" w:hAnsi="宋体" w:eastAsia="宋体"/>
          <w:sz w:val="24"/>
        </w:rPr>
      </w:pPr>
      <w:r>
        <w:rPr>
          <w:rFonts w:hint="eastAsia" w:ascii="宋体" w:hAnsi="宋体" w:eastAsia="宋体"/>
          <w:sz w:val="24"/>
        </w:rPr>
        <w:t>童装羽绒服：销量约1200，预测卖得动概率回升至约70%，是所有款式中概率最高的；</w:t>
      </w:r>
    </w:p>
    <w:p w14:paraId="365FB400">
      <w:pPr>
        <w:spacing w:line="440" w:lineRule="exact"/>
        <w:ind w:firstLine="480" w:firstLineChars="200"/>
        <w:rPr>
          <w:rFonts w:hint="eastAsia" w:ascii="宋体" w:hAnsi="宋体" w:eastAsia="宋体"/>
          <w:sz w:val="24"/>
        </w:rPr>
      </w:pPr>
      <w:r>
        <w:rPr>
          <w:rFonts w:hint="eastAsia" w:ascii="宋体" w:hAnsi="宋体" w:eastAsia="宋体"/>
          <w:sz w:val="24"/>
        </w:rPr>
        <w:t>羽绒服：销量约1200，预测卖得动概率约60%，“卖得动”占比中等；</w:t>
      </w:r>
    </w:p>
    <w:p w14:paraId="10893FDE">
      <w:pPr>
        <w:spacing w:line="440" w:lineRule="exact"/>
        <w:ind w:firstLine="480" w:firstLineChars="200"/>
        <w:rPr>
          <w:rFonts w:hint="eastAsia" w:ascii="宋体" w:hAnsi="宋体" w:eastAsia="宋体"/>
          <w:sz w:val="24"/>
        </w:rPr>
      </w:pPr>
      <w:r>
        <w:rPr>
          <w:rFonts w:hint="eastAsia" w:ascii="宋体" w:hAnsi="宋体" w:eastAsia="宋体"/>
          <w:sz w:val="24"/>
        </w:rPr>
        <w:t>羽绒服马甲：销量仅约600，预测卖得动概率降至约40%，是销量和概率双低的款式；</w:t>
      </w:r>
    </w:p>
    <w:p w14:paraId="7C63CF48">
      <w:pPr>
        <w:spacing w:line="440" w:lineRule="exact"/>
        <w:ind w:firstLine="480" w:firstLineChars="200"/>
        <w:rPr>
          <w:rFonts w:hint="eastAsia" w:ascii="宋体" w:hAnsi="宋体" w:eastAsia="宋体"/>
          <w:sz w:val="24"/>
        </w:rPr>
      </w:pPr>
      <w:r>
        <w:rPr>
          <w:rFonts w:hint="eastAsia" w:ascii="宋体" w:hAnsi="宋体" w:eastAsia="宋体"/>
          <w:sz w:val="24"/>
        </w:rPr>
        <w:t>羽绒服冲锋衣：销量约1200，预测卖得动概率回升至约60%，“卖得动”占比与 “羽绒服”款接近。</w:t>
      </w:r>
    </w:p>
    <w:p w14:paraId="1C1400BC">
      <w:pPr>
        <w:spacing w:line="440" w:lineRule="exact"/>
        <w:ind w:firstLine="480" w:firstLineChars="200"/>
        <w:rPr>
          <w:rFonts w:hint="eastAsia" w:ascii="宋体" w:hAnsi="宋体" w:eastAsia="宋体"/>
          <w:sz w:val="24"/>
        </w:rPr>
      </w:pPr>
      <w:r>
        <w:rPr>
          <w:rFonts w:hint="eastAsia" w:ascii="宋体" w:hAnsi="宋体" w:eastAsia="宋体"/>
          <w:sz w:val="24"/>
        </w:rPr>
        <w:t>(3)核心结论</w:t>
      </w:r>
    </w:p>
    <w:p w14:paraId="466CDE46">
      <w:pPr>
        <w:spacing w:line="440" w:lineRule="exact"/>
        <w:ind w:firstLine="480" w:firstLineChars="200"/>
        <w:rPr>
          <w:rFonts w:hint="eastAsia" w:ascii="宋体" w:hAnsi="宋体" w:eastAsia="宋体"/>
          <w:sz w:val="24"/>
        </w:rPr>
      </w:pPr>
      <w:r>
        <w:rPr>
          <w:rFonts w:hint="eastAsia" w:ascii="宋体" w:hAnsi="宋体" w:eastAsia="宋体"/>
          <w:sz w:val="24"/>
        </w:rPr>
        <w:t>高潜力款式：童装羽绒服（预测概率最高）、女士羽绒服（销量与概率双高）；</w:t>
      </w:r>
    </w:p>
    <w:p w14:paraId="59980330">
      <w:pPr>
        <w:spacing w:line="440" w:lineRule="exact"/>
        <w:ind w:firstLine="480" w:firstLineChars="200"/>
        <w:rPr>
          <w:rFonts w:hint="eastAsia" w:ascii="宋体" w:hAnsi="宋体" w:cs="宋体"/>
          <w:sz w:val="24"/>
        </w:rPr>
      </w:pPr>
      <w:r>
        <w:rPr>
          <w:rFonts w:hint="eastAsia" w:ascii="宋体" w:hAnsi="宋体" w:eastAsia="宋体"/>
          <w:sz w:val="24"/>
        </w:rPr>
        <w:t>待优化款式：羽绒服马甲（销量和概率均偏低）、男士羽绒服（销量高但概率低）。</w:t>
      </w:r>
    </w:p>
    <w:p w14:paraId="37BF2786">
      <w:pPr>
        <w:spacing w:line="440" w:lineRule="exact"/>
        <w:ind w:firstLine="420"/>
        <w:outlineLvl w:val="9"/>
        <w:rPr>
          <w:rFonts w:hint="eastAsia" w:ascii="宋体" w:hAnsi="宋体" w:cs="宋体"/>
          <w:sz w:val="24"/>
        </w:rPr>
      </w:pPr>
      <w:bookmarkStart w:id="1538" w:name="_Toc31722"/>
      <w:r>
        <w:rPr>
          <w:rFonts w:hint="eastAsia" w:ascii="宋体" w:hAnsi="宋体" w:cs="宋体"/>
          <w:sz w:val="24"/>
        </w:rPr>
        <w:t>4.8.10 可视化大屏整合</w:t>
      </w:r>
      <w:bookmarkEnd w:id="1538"/>
    </w:p>
    <w:p w14:paraId="3B5C066A">
      <w:pPr>
        <w:spacing w:line="440" w:lineRule="exact"/>
        <w:ind w:firstLine="480" w:firstLineChars="200"/>
        <w:jc w:val="left"/>
        <w:rPr>
          <w:rFonts w:hint="eastAsia" w:ascii="宋体" w:hAnsi="宋体" w:cs="宋体"/>
          <w:sz w:val="24"/>
        </w:rPr>
      </w:pPr>
      <w:r>
        <w:rPr>
          <w:rFonts w:hint="eastAsia" w:ascii="宋体" w:hAnsi="宋体" w:eastAsia="宋体"/>
          <w:sz w:val="24"/>
        </w:rPr>
        <w:t>本次可视化通过9组图表，</w:t>
      </w:r>
      <w:r>
        <w:rPr>
          <w:rFonts w:hint="eastAsia" w:ascii="宋体" w:hAnsi="宋体" w:cs="宋体"/>
          <w:sz w:val="24"/>
        </w:rPr>
        <w:t>按“销量周期、渠道表现、品类特征、用户需求”四大维度整合为可视化大屏，直观呈现波司登羽绒服在淘宝平台的销售生态，支撑快速决策。可视化大屏如图4-15所示。</w:t>
      </w:r>
    </w:p>
    <w:p w14:paraId="546ED5F7">
      <w:pPr>
        <w:jc w:val="center"/>
        <w:rPr>
          <w:rFonts w:hint="eastAsia" w:ascii="宋体" w:hAnsi="宋体" w:cs="宋体"/>
          <w:sz w:val="24"/>
        </w:rPr>
      </w:pPr>
      <w:r>
        <w:rPr>
          <w:rFonts w:hint="eastAsia" w:ascii="宋体" w:hAnsi="宋体" w:eastAsia="宋体" w:cs="Times New Roman"/>
          <w:color w:val="000000"/>
          <w:kern w:val="0"/>
          <w:szCs w:val="21"/>
        </w:rPr>
        <w:t>图4-15 可视化大屏</w:t>
      </w:r>
    </w:p>
    <w:p w14:paraId="68CE6017">
      <w:pPr>
        <w:spacing w:line="440" w:lineRule="exact"/>
        <w:outlineLvl w:val="0"/>
        <w:rPr>
          <w:rFonts w:hint="eastAsia" w:ascii="宋体" w:hAnsi="宋体" w:cs="宋体"/>
          <w:sz w:val="24"/>
        </w:rPr>
        <w:sectPr>
          <w:headerReference r:id="rId48" w:type="default"/>
          <w:footerReference r:id="rId4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1539" w:name="_Toc23607"/>
      <w:r>
        <w:rPr>
          <w:rFonts w:hint="eastAsia" w:ascii="宋体" w:hAnsi="宋体" w:eastAsia="宋体" w:cs="宋体"/>
          <w:b/>
          <w:bCs/>
          <w:sz w:val="28"/>
          <w:szCs w:val="28"/>
        </w:rPr>
        <w:drawing>
          <wp:anchor distT="0" distB="0" distL="114300" distR="114300" simplePos="0" relativeHeight="251896832" behindDoc="0" locked="0" layoutInCell="1" allowOverlap="1">
            <wp:simplePos x="0" y="0"/>
            <wp:positionH relativeFrom="column">
              <wp:posOffset>-10160</wp:posOffset>
            </wp:positionH>
            <wp:positionV relativeFrom="paragraph">
              <wp:posOffset>45720</wp:posOffset>
            </wp:positionV>
            <wp:extent cx="5362575" cy="3115310"/>
            <wp:effectExtent l="0" t="0" r="9525" b="8890"/>
            <wp:wrapTopAndBottom/>
            <wp:docPr id="707" name="图片 707" descr="Snipaste_2025-12-24_21-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707" descr="Snipaste_2025-12-24_21-16-02"/>
                    <pic:cNvPicPr>
                      <a:picLocks noChangeAspect="1"/>
                    </pic:cNvPicPr>
                  </pic:nvPicPr>
                  <pic:blipFill>
                    <a:blip r:embed="rId475"/>
                    <a:stretch>
                      <a:fillRect/>
                    </a:stretch>
                  </pic:blipFill>
                  <pic:spPr>
                    <a:xfrm>
                      <a:off x="0" y="0"/>
                      <a:ext cx="5362575" cy="3115310"/>
                    </a:xfrm>
                    <a:prstGeom prst="rect">
                      <a:avLst/>
                    </a:prstGeom>
                  </pic:spPr>
                </pic:pic>
              </a:graphicData>
            </a:graphic>
          </wp:anchor>
        </w:drawing>
      </w:r>
      <w:bookmarkEnd w:id="1539"/>
    </w:p>
    <w:p w14:paraId="0D07BF62">
      <w:pPr>
        <w:pStyle w:val="3"/>
        <w:bidi w:val="0"/>
        <w:rPr>
          <w:rFonts w:hint="default"/>
          <w:lang w:val="en-US" w:eastAsia="zh-CN"/>
        </w:rPr>
      </w:pPr>
      <w:bookmarkStart w:id="1540" w:name="_Toc5322"/>
      <w:bookmarkStart w:id="1541" w:name="_Toc27377"/>
      <w:r>
        <w:rPr>
          <w:rFonts w:hint="eastAsia"/>
          <w:lang w:val="en-US" w:eastAsia="zh-CN"/>
        </w:rPr>
        <w:t>19.</w:t>
      </w:r>
      <w:r>
        <w:rPr>
          <w:rFonts w:hint="eastAsia"/>
        </w:rPr>
        <w:t>全域多平台消费数据洞察分析系统</w:t>
      </w:r>
      <w:r>
        <w:t>的设计与实现</w:t>
      </w:r>
      <w:bookmarkEnd w:id="1540"/>
      <w:bookmarkEnd w:id="1541"/>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E1069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jc w:val="center"/>
        </w:trPr>
        <w:tc>
          <w:tcPr>
            <w:tcW w:w="8522" w:type="dxa"/>
            <w:vAlign w:val="center"/>
          </w:tcPr>
          <w:p w14:paraId="4B9D569C">
            <w:pPr>
              <w:jc w:val="left"/>
              <w:outlineLvl w:val="0"/>
              <w:rPr>
                <w:rFonts w:ascii="Calibri" w:hAnsi="Calibri" w:eastAsia="黑体" w:cs="Times New Roman"/>
                <w:szCs w:val="21"/>
              </w:rPr>
            </w:pPr>
            <w:bookmarkStart w:id="1542" w:name="_Toc3492"/>
            <w:bookmarkStart w:id="1543" w:name="_Toc433"/>
            <w:r>
              <w:rPr>
                <w:rFonts w:hint="eastAsia" w:ascii="Calibri" w:hAnsi="Calibri" w:eastAsia="黑体" w:cs="Times New Roman"/>
                <w:sz w:val="24"/>
              </w:rPr>
              <w:t>项目主题：全域多平台消费数据洞察分析系统</w:t>
            </w:r>
            <w:r>
              <w:rPr>
                <w:rFonts w:ascii="Calibri" w:hAnsi="Calibri" w:eastAsia="黑体" w:cs="Times New Roman"/>
                <w:sz w:val="24"/>
              </w:rPr>
              <w:t>的设计与实现</w:t>
            </w:r>
            <w:bookmarkEnd w:id="1542"/>
            <w:bookmarkEnd w:id="1543"/>
          </w:p>
        </w:tc>
      </w:tr>
      <w:tr w14:paraId="4D2FBE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06AA4543">
            <w:pPr>
              <w:jc w:val="left"/>
              <w:rPr>
                <w:rFonts w:ascii="Calibri" w:hAnsi="Calibri" w:eastAsia="黑体" w:cs="Times New Roman"/>
                <w:sz w:val="24"/>
              </w:rPr>
            </w:pPr>
            <w:r>
              <w:rPr>
                <w:rFonts w:hint="eastAsia" w:ascii="Calibri" w:hAnsi="Calibri" w:eastAsia="黑体" w:cs="Times New Roman"/>
                <w:sz w:val="24"/>
              </w:rPr>
              <w:t>班    级：23数据科学本科4班</w:t>
            </w:r>
          </w:p>
        </w:tc>
      </w:tr>
      <w:tr w14:paraId="7020B7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BB6D546">
            <w:pPr>
              <w:jc w:val="left"/>
              <w:rPr>
                <w:rFonts w:ascii="Calibri" w:hAnsi="Calibri" w:eastAsia="黑体" w:cs="Times New Roman"/>
                <w:szCs w:val="21"/>
              </w:rPr>
            </w:pPr>
            <w:r>
              <w:rPr>
                <w:rFonts w:hint="eastAsia" w:ascii="Calibri" w:hAnsi="Calibri" w:eastAsia="黑体" w:cs="Times New Roman"/>
                <w:sz w:val="24"/>
              </w:rPr>
              <w:t>学生姓名：王君 汪欣怡 李佳慧 宋丹沁     指导教师：胡浩</w:t>
            </w:r>
          </w:p>
        </w:tc>
      </w:tr>
    </w:tbl>
    <w:p w14:paraId="3227824B">
      <w:pPr>
        <w:spacing w:line="440" w:lineRule="exact"/>
        <w:outlineLvl w:val="9"/>
        <w:rPr>
          <w:rFonts w:ascii="Calibri" w:hAnsi="Calibri" w:eastAsia="宋体" w:cs="Times New Roman"/>
        </w:rPr>
      </w:pPr>
      <w:bookmarkStart w:id="1544" w:name="_Toc28619"/>
      <w:bookmarkStart w:id="1545" w:name="_Toc22088"/>
      <w:r>
        <w:rPr>
          <w:rFonts w:hint="eastAsia" w:ascii="宋体" w:hAnsi="宋体" w:eastAsia="宋体" w:cs="宋体"/>
          <w:b/>
          <w:bCs/>
          <w:kern w:val="44"/>
          <w:sz w:val="28"/>
          <w:szCs w:val="44"/>
        </w:rPr>
        <w:t>1 项目概述</w:t>
      </w:r>
      <w:bookmarkEnd w:id="1544"/>
      <w:bookmarkEnd w:id="1545"/>
    </w:p>
    <w:p w14:paraId="30BE3583">
      <w:pPr>
        <w:keepNext/>
        <w:keepLines/>
        <w:spacing w:line="440" w:lineRule="exact"/>
        <w:ind w:firstLine="480" w:firstLineChars="200"/>
        <w:outlineLvl w:val="9"/>
        <w:rPr>
          <w:rFonts w:ascii="Arial" w:hAnsi="Arial" w:eastAsia="宋体" w:cs="Times New Roman"/>
          <w:sz w:val="24"/>
        </w:rPr>
      </w:pPr>
      <w:bookmarkStart w:id="1546" w:name="_Toc19957"/>
      <w:bookmarkStart w:id="1547" w:name="_Toc5794"/>
      <w:r>
        <w:rPr>
          <w:rFonts w:hint="eastAsia" w:ascii="Arial" w:hAnsi="Arial" w:eastAsia="宋体" w:cs="Times New Roman"/>
          <w:sz w:val="24"/>
        </w:rPr>
        <w:t>1.1</w:t>
      </w:r>
      <w:r>
        <w:rPr>
          <w:rFonts w:hint="eastAsia" w:ascii="Arial" w:hAnsi="Arial" w:eastAsia="宋体" w:cs="Times New Roman"/>
          <w:sz w:val="24"/>
          <w:lang w:val="en-US" w:eastAsia="zh-CN"/>
        </w:rPr>
        <w:t xml:space="preserve"> </w:t>
      </w:r>
      <w:r>
        <w:rPr>
          <w:rFonts w:hint="eastAsia" w:ascii="Arial" w:hAnsi="Arial" w:eastAsia="宋体" w:cs="Times New Roman"/>
          <w:sz w:val="24"/>
        </w:rPr>
        <w:t>项目介绍</w:t>
      </w:r>
      <w:bookmarkEnd w:id="1546"/>
      <w:bookmarkEnd w:id="1547"/>
    </w:p>
    <w:p w14:paraId="0C17BA42">
      <w:pPr>
        <w:keepNext/>
        <w:keepLines/>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“基于多维度行为特征的消费者交易行为分析” 项目旨在深度解析消费者的交易行为、偏好及群体特征，通过多类型可视化图表直观呈现消费数据背后的规律，助力企业精准把握用户需求、优化运营策略。​</w:t>
      </w:r>
    </w:p>
    <w:p w14:paraId="05513D63">
      <w:pPr>
        <w:keepNext/>
        <w:keepLines/>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数据处理环节以 PyCharm 为开发工具，通过导入数据集，利用 Python 编写脚本完成消费数据（含用户年龄、购物动机、消费领域、消费偏好、等）的清洗、格式转换与数据预处理；在 Navicat 中连接 MySQL 数据库，根据消费数据结构创建数据表，将处理后的结构化数据批量导入，确保数据存储的完整性与可追溯性。​</w:t>
      </w:r>
    </w:p>
    <w:p w14:paraId="18ACB66A">
      <w:pPr>
        <w:keepNext/>
        <w:keepLines/>
        <w:snapToGrid w:val="0"/>
        <w:spacing w:line="440" w:lineRule="exact"/>
        <w:ind w:firstLine="480" w:firstLineChars="200"/>
        <w:outlineLvl w:val="9"/>
        <w:rPr>
          <w:rFonts w:ascii="Arial" w:hAnsi="Arial" w:eastAsia="黑体" w:cs="Times New Roman"/>
        </w:rPr>
      </w:pPr>
      <w:r>
        <w:rPr>
          <w:rFonts w:hint="eastAsia" w:ascii="宋体" w:hAnsi="宋体" w:eastAsia="宋体" w:cs="宋体"/>
          <w:sz w:val="24"/>
        </w:rPr>
        <w:t>山海鲸可视化作为核心展示工具，承担数据可视化呈现的重任。项目先在山海鲸中配置 MySQL 数据源连接，直接调取表数据，再运用其丰富的图表组件：通过雷达图呈现不同消费品类的优惠券敏感度差异；用条形图对比不同客户群体的消费偏好分布；借助饼图展示消费者年龄结构占比；以环形图解析购物动机的构成比例；通过折线图呈现不同收入层级的优惠券使用情况；利用热力图展示购物动机与性别的交叉关联。用户可通过交互操作（如筛选特定年龄层消费者、点击分层查看购物平台消费情况）深入探索数据，还能设置图表联动效果，实现数据的动态洞察。例如，通过可视化可快速发现 “拼多多” 是核心购物平台（每个年龄层占比都较多），且 20-30 岁年龄层用户占比达 80人。该项目为企业制定精准营销方案、优化产品布局提供了直观高效的分析支撑。</w:t>
      </w:r>
    </w:p>
    <w:p w14:paraId="34DEC3DF">
      <w:pPr>
        <w:keepNext/>
        <w:keepLines/>
        <w:spacing w:line="440" w:lineRule="exact"/>
        <w:ind w:firstLine="480" w:firstLineChars="200"/>
        <w:outlineLvl w:val="9"/>
        <w:rPr>
          <w:rFonts w:ascii="Arial" w:hAnsi="Arial" w:eastAsia="宋体" w:cs="Times New Roman"/>
          <w:sz w:val="24"/>
        </w:rPr>
      </w:pPr>
      <w:bookmarkStart w:id="1548" w:name="_Toc24550"/>
      <w:r>
        <w:rPr>
          <w:rFonts w:hint="eastAsia" w:ascii="Arial" w:hAnsi="Arial" w:eastAsia="宋体" w:cs="Times New Roman"/>
          <w:sz w:val="24"/>
        </w:rPr>
        <w:t>1.2</w:t>
      </w:r>
      <w:r>
        <w:rPr>
          <w:rFonts w:hint="eastAsia" w:ascii="Arial" w:hAnsi="Arial" w:eastAsia="宋体" w:cs="Times New Roman"/>
          <w:sz w:val="24"/>
          <w:lang w:val="en-US" w:eastAsia="zh-CN"/>
        </w:rPr>
        <w:t xml:space="preserve"> </w:t>
      </w:r>
      <w:r>
        <w:rPr>
          <w:rFonts w:hint="eastAsia" w:ascii="Arial" w:hAnsi="Arial" w:eastAsia="宋体" w:cs="Times New Roman"/>
          <w:sz w:val="24"/>
        </w:rPr>
        <w:t>项目开发环境</w:t>
      </w:r>
      <w:bookmarkEnd w:id="1548"/>
    </w:p>
    <w:p w14:paraId="610D00CD">
      <w:pPr>
        <w:spacing w:line="440" w:lineRule="exact"/>
        <w:ind w:firstLine="480" w:firstLineChars="200"/>
        <w:outlineLvl w:val="9"/>
        <w:rPr>
          <w:rFonts w:hint="eastAsia" w:ascii="宋体" w:hAnsi="宋体" w:eastAsia="宋体" w:cs="宋体"/>
        </w:rPr>
      </w:pPr>
      <w:bookmarkStart w:id="1549" w:name="_Toc14051"/>
      <w:r>
        <w:rPr>
          <w:rFonts w:hint="eastAsia" w:ascii="Calibri" w:hAnsi="Calibri" w:eastAsia="宋体" w:cs="Times New Roman"/>
          <w:sz w:val="24"/>
        </w:rPr>
        <w:t>1.2.1</w:t>
      </w:r>
      <w:r>
        <w:rPr>
          <w:rFonts w:hint="eastAsia" w:ascii="Calibri" w:hAnsi="Calibri" w:eastAsia="宋体" w:cs="Times New Roman"/>
          <w:sz w:val="24"/>
          <w:lang w:val="en-US" w:eastAsia="zh-CN"/>
        </w:rPr>
        <w:t xml:space="preserve"> </w:t>
      </w:r>
      <w:r>
        <w:rPr>
          <w:rFonts w:hint="eastAsia" w:ascii="Calibri" w:hAnsi="Calibri" w:eastAsia="宋体" w:cs="Times New Roman"/>
          <w:sz w:val="24"/>
        </w:rPr>
        <w:t>开发环境整体架构</w:t>
      </w:r>
      <w:bookmarkEnd w:id="1549"/>
    </w:p>
    <w:p w14:paraId="4AE49A8E">
      <w:pPr>
        <w:spacing w:after="160" w:line="440" w:lineRule="exact"/>
        <w:ind w:firstLine="480" w:firstLineChars="200"/>
        <w:outlineLvl w:val="9"/>
        <w:rPr>
          <w:rFonts w:hint="eastAsia" w:ascii="宋体" w:hAnsi="宋体" w:eastAsia="宋体" w:cs="宋体"/>
          <w:sz w:val="24"/>
        </w:rPr>
      </w:pPr>
      <w:bookmarkStart w:id="1550" w:name="_Toc4800"/>
      <w:r>
        <w:rPr>
          <w:rFonts w:hint="eastAsia" w:ascii="宋体" w:hAnsi="宋体" w:eastAsia="宋体" w:cs="宋体"/>
          <w:sz w:val="24"/>
        </w:rPr>
        <w:t>本项目采用 “Python 数据处理 + MySQL 数据存储 + 山海鲸可视化展示” 的技术栈，通过 PyCharm 完成数据采集与预处理开发，MySQL 作为结构化数据存储载体，Navicat Premium 管理数据库，山海鲸可视化实现大屏可视化搭建。整体架构分为数据采集层、数据处理层、数据存储层和可视化展示层，各层之间通过标准化接口（Python 数据库驱动、MySQL 数据源连接）进行交互。</w:t>
      </w:r>
    </w:p>
    <w:p w14:paraId="3F0A0A82">
      <w:pPr>
        <w:spacing w:line="440" w:lineRule="exact"/>
        <w:ind w:firstLine="480" w:firstLineChars="200"/>
        <w:rPr>
          <w:rFonts w:hint="eastAsia" w:ascii="宋体" w:hAnsi="宋体" w:eastAsia="宋体" w:cs="宋体"/>
        </w:rPr>
      </w:pPr>
      <w:r>
        <w:rPr>
          <w:rFonts w:hint="eastAsia" w:ascii="Calibri" w:hAnsi="Calibri" w:eastAsia="宋体" w:cs="Times New Roman"/>
          <w:sz w:val="24"/>
        </w:rPr>
        <w:t>1.2.2</w:t>
      </w:r>
      <w:r>
        <w:rPr>
          <w:rFonts w:hint="eastAsia" w:ascii="Calibri" w:hAnsi="Calibri" w:eastAsia="宋体" w:cs="Times New Roman"/>
          <w:sz w:val="24"/>
          <w:lang w:val="en-US" w:eastAsia="zh-CN"/>
        </w:rPr>
        <w:t xml:space="preserve"> </w:t>
      </w:r>
      <w:r>
        <w:rPr>
          <w:rFonts w:hint="eastAsia" w:ascii="Calibri" w:hAnsi="Calibri" w:eastAsia="宋体" w:cs="Times New Roman"/>
          <w:sz w:val="24"/>
        </w:rPr>
        <w:t>开发环境详细配置</w:t>
      </w:r>
      <w:bookmarkEnd w:id="1550"/>
    </w:p>
    <w:p w14:paraId="7F41FDA8">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（一）PyCharm开发环境配置</w:t>
      </w:r>
    </w:p>
    <w:p w14:paraId="21AD0D78">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1.安装与激活</w:t>
      </w:r>
    </w:p>
    <w:p w14:paraId="06EA7CC1">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（1）从JetBrains官网下载PyCharm Professional 2025.2.1版本</w:t>
      </w:r>
    </w:p>
    <w:p w14:paraId="6CC0A884">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（2）直接安装社区版（免费开源）</w:t>
      </w:r>
    </w:p>
    <w:p w14:paraId="360DB6D5">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（3）配置Python 解释器（通过Anaconda安装）</w:t>
      </w:r>
    </w:p>
    <w:p w14:paraId="472BCBFD">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2.插件配置</w:t>
      </w:r>
    </w:p>
    <w:p w14:paraId="763D951B">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（1）安装 Database Tools 插件，支持直接在 PyCharm 中连接 MySQL 数据库</w:t>
      </w:r>
    </w:p>
    <w:p w14:paraId="338E11BD">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（2）配置Git版本控制（关联GitHub仓库）</w:t>
      </w:r>
    </w:p>
    <w:p w14:paraId="6C4B4CE9">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（3）安装 CSV Editor 插件，便于消费数据的格式编辑与预览</w:t>
      </w:r>
    </w:p>
    <w:p w14:paraId="1FD26AE7">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3.依赖库安装</w:t>
      </w:r>
    </w:p>
    <w:p w14:paraId="665BD4E4">
      <w:pPr>
        <w:snapToGrid w:val="0"/>
        <w:spacing w:line="440" w:lineRule="exact"/>
        <w:ind w:firstLine="480" w:firstLineChars="200"/>
        <w:rPr>
          <w:rFonts w:ascii="Calibri" w:hAnsi="Calibri" w:eastAsia="黑体" w:cs="Times New Roman"/>
        </w:rPr>
      </w:pPr>
      <w:r>
        <w:rPr>
          <w:rFonts w:hint="eastAsia" w:ascii="宋体" w:hAnsi="宋体" w:eastAsia="宋体" w:cs="宋体"/>
          <w:sz w:val="24"/>
        </w:rPr>
        <w:t>在 PyCharm 终端执行命令安装数据处理与数据库连接依赖</w:t>
      </w:r>
    </w:p>
    <w:p w14:paraId="6C0318C6">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（二）MySQL数据库环境配置</w:t>
      </w:r>
    </w:p>
    <w:p w14:paraId="4DDA5DFD">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1.安装与基础配置</w:t>
      </w:r>
    </w:p>
    <w:p w14:paraId="4D5488B4">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（1）安装MySQL 8.0.33社区版（Windows x64 Installer）</w:t>
      </w:r>
    </w:p>
    <w:p w14:paraId="3F0D3A68">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（2）配置root用户密码（建议使用强密码：Forbes@2023!）</w:t>
      </w:r>
    </w:p>
    <w:p w14:paraId="79867986">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（3）设置字符集为utf8mb4以支持中文中文消费数据（如购物动机、消费品类）</w:t>
      </w:r>
    </w:p>
    <w:p w14:paraId="36F11067">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（4）配置端口号3306（默认），并确保防火墙放行该端口</w:t>
      </w:r>
    </w:p>
    <w:p w14:paraId="590F09AC">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（三）山海鲸可视化环境配置</w:t>
      </w:r>
    </w:p>
    <w:p w14:paraId="30F2E58D">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1.安装与激活</w:t>
      </w:r>
    </w:p>
    <w:p w14:paraId="715D126F">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（1）下载山海鲸可视化 4.0 版本（Windows 客户端）</w:t>
      </w:r>
    </w:p>
    <w:p w14:paraId="1A991FB7">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（2）按照安装向导完成安装（默认安装路径）</w:t>
      </w:r>
    </w:p>
    <w:p w14:paraId="7F627ED3">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（3）启动客户端，使用个人手机号注册并登录</w:t>
      </w:r>
    </w:p>
    <w:p w14:paraId="00A87292">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2.数据源配置（MySQL）</w:t>
      </w:r>
    </w:p>
    <w:p w14:paraId="593FFFB6">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（1）登录山海鲸</w:t>
      </w:r>
    </w:p>
    <w:p w14:paraId="0741DD90">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（2）点击 "数据"→"添加新数据"</w:t>
      </w:r>
    </w:p>
    <w:p w14:paraId="04DD803C">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（3）选择 MySQL 连接</w:t>
      </w:r>
    </w:p>
    <w:p w14:paraId="408D23A3">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（4）输入连接信息</w:t>
      </w:r>
    </w:p>
    <w:p w14:paraId="019CF3A5">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（5）测试连接并保存</w:t>
      </w:r>
    </w:p>
    <w:p w14:paraId="7D3BA2BB">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3.可视化组件配置</w:t>
      </w:r>
    </w:p>
    <w:p w14:paraId="73DEDD10">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（1）新建可视化大屏项目，选择 “自定义布局”</w:t>
      </w:r>
    </w:p>
    <w:p w14:paraId="47D3A13A">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（2）从组件库拖拽雷达图、条形图、饼图等组件至画布</w:t>
      </w:r>
    </w:p>
    <w:p w14:paraId="1CDD1600">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（3）为各组件拖入相应的字段生成图表</w:t>
      </w:r>
    </w:p>
    <w:p w14:paraId="68A1AF00">
      <w:pPr>
        <w:snapToGrid w:val="0"/>
        <w:spacing w:line="440" w:lineRule="exact"/>
        <w:ind w:firstLine="480" w:firstLineChars="200"/>
        <w:rPr>
          <w:rFonts w:ascii="Calibri" w:hAnsi="Calibri" w:eastAsia="宋体" w:cs="Times New Roman"/>
        </w:rPr>
      </w:pPr>
      <w:r>
        <w:rPr>
          <w:rFonts w:hint="eastAsia" w:ascii="宋体" w:hAnsi="宋体" w:eastAsia="宋体" w:cs="宋体"/>
          <w:sz w:val="24"/>
        </w:rPr>
        <w:t>（4）为图表增加联动功能</w:t>
      </w:r>
    </w:p>
    <w:p w14:paraId="1DC38B43">
      <w:pPr>
        <w:spacing w:line="440" w:lineRule="exact"/>
        <w:ind w:firstLine="480" w:firstLineChars="200"/>
        <w:rPr>
          <w:rFonts w:hint="eastAsia" w:ascii="宋体" w:hAnsi="宋体" w:eastAsia="宋体" w:cs="宋体"/>
        </w:rPr>
      </w:pPr>
      <w:bookmarkStart w:id="1551" w:name="_Toc3901"/>
      <w:r>
        <w:rPr>
          <w:rFonts w:hint="eastAsia" w:ascii="Calibri" w:hAnsi="Calibri" w:eastAsia="宋体" w:cs="Times New Roman"/>
          <w:sz w:val="24"/>
        </w:rPr>
        <w:t>1.2.3</w:t>
      </w:r>
      <w:r>
        <w:rPr>
          <w:rFonts w:hint="eastAsia" w:ascii="Calibri" w:hAnsi="Calibri" w:eastAsia="宋体" w:cs="Times New Roman"/>
          <w:sz w:val="24"/>
          <w:lang w:val="en-US" w:eastAsia="zh-CN"/>
        </w:rPr>
        <w:t xml:space="preserve"> </w:t>
      </w:r>
      <w:r>
        <w:rPr>
          <w:rFonts w:hint="eastAsia" w:ascii="Calibri" w:hAnsi="Calibri" w:eastAsia="宋体" w:cs="Times New Roman"/>
          <w:sz w:val="24"/>
        </w:rPr>
        <w:t>开发环境集成配置</w:t>
      </w:r>
      <w:bookmarkEnd w:id="1551"/>
    </w:p>
    <w:p w14:paraId="71C25145">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（一）PyCharm 与 MySQL 集成</w:t>
      </w:r>
    </w:p>
    <w:p w14:paraId="46B4AC4B">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1.在 PyCharm 中配置数据库连接</w:t>
      </w:r>
    </w:p>
    <w:p w14:paraId="1C428633">
      <w:pPr>
        <w:snapToGrid w:val="0"/>
        <w:spacing w:line="440" w:lineRule="exact"/>
        <w:ind w:firstLine="480" w:firstLineChars="200"/>
        <w:rPr>
          <w:rFonts w:ascii="Calibri" w:hAnsi="Calibri" w:eastAsia="宋体" w:cs="Times New Roman"/>
        </w:rPr>
      </w:pPr>
      <w:r>
        <w:rPr>
          <w:rFonts w:hint="eastAsia" w:ascii="宋体" w:hAnsi="宋体" w:eastAsia="宋体" w:cs="宋体"/>
          <w:sz w:val="24"/>
        </w:rPr>
        <w:t>使用脚本书写相应代码完成数据库的连接</w:t>
      </w:r>
    </w:p>
    <w:p w14:paraId="3F231AE9">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2.Python 脚本写入数据至 MySQL</w:t>
      </w:r>
    </w:p>
    <w:p w14:paraId="40CC21F4">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编写 Python 脚本将清洗后的消费数据插入 MySQL</w:t>
      </w:r>
    </w:p>
    <w:p w14:paraId="723F6827">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（二）MySQL 与山海鲸可视化集成</w:t>
      </w:r>
    </w:p>
    <w:p w14:paraId="058B8A32">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1.数据同步验证</w:t>
      </w:r>
    </w:p>
    <w:p w14:paraId="5541548A">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（1）在 PyCharm 中更新 MySQL 的表数据后，在山海鲸客户端点击 “数据”→对应 MySQL 数据源→“刷新数据”</w:t>
      </w:r>
    </w:p>
    <w:p w14:paraId="46550AB3">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（2）打开已创建的可视化大屏，验证各图表组件的数据展示是否同步更新</w:t>
      </w:r>
    </w:p>
    <w:p w14:paraId="47884354">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2.数据筛选配置</w:t>
      </w:r>
    </w:p>
    <w:p w14:paraId="518BC03C">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在山海鲸中基于 MySQL 数据源设置筛选条件（如按 “购物平台” 筛选淘宝、京东、拼多多、唯品会、天猫 ），实现可视化图表的动态数据过滤。</w:t>
      </w:r>
    </w:p>
    <w:p w14:paraId="795AAC03">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该开发环境方案充分结合 PyCharm 的数据处理能力、MySQL 的数据存储优势与山海鲸的可视化特性，实现了从数据采集、清洗、存储到可视化展示的全流程落地，满足项目的数据分析与可视化展示需求。</w:t>
      </w:r>
    </w:p>
    <w:p w14:paraId="2685F6B6">
      <w:pPr>
        <w:keepNext/>
        <w:keepLines/>
        <w:spacing w:line="440" w:lineRule="exact"/>
        <w:ind w:firstLine="480" w:firstLineChars="200"/>
        <w:outlineLvl w:val="9"/>
        <w:rPr>
          <w:rFonts w:ascii="Arial" w:hAnsi="Arial" w:eastAsia="宋体" w:cs="Times New Roman"/>
          <w:sz w:val="24"/>
        </w:rPr>
      </w:pPr>
      <w:bookmarkStart w:id="1552" w:name="_Toc2015"/>
      <w:bookmarkStart w:id="1553" w:name="_Toc6581"/>
      <w:r>
        <w:rPr>
          <w:rFonts w:hint="eastAsia" w:ascii="Arial" w:hAnsi="Arial" w:eastAsia="宋体" w:cs="Times New Roman"/>
          <w:sz w:val="24"/>
        </w:rPr>
        <w:t>1.3 小组人员及分工</w:t>
      </w:r>
      <w:bookmarkEnd w:id="1552"/>
      <w:bookmarkEnd w:id="1553"/>
    </w:p>
    <w:p w14:paraId="7C567543">
      <w:pPr>
        <w:snapToGrid w:val="0"/>
        <w:spacing w:line="440" w:lineRule="exact"/>
        <w:ind w:firstLine="480" w:firstLineChars="200"/>
        <w:outlineLvl w:val="9"/>
        <w:rPr>
          <w:rFonts w:hint="eastAsia" w:ascii="宋体" w:hAnsi="宋体" w:eastAsia="宋体" w:cs="宋体"/>
          <w:sz w:val="24"/>
        </w:rPr>
      </w:pPr>
      <w:bookmarkStart w:id="1554" w:name="_Toc686"/>
      <w:r>
        <w:rPr>
          <w:rFonts w:hint="eastAsia" w:ascii="宋体" w:hAnsi="宋体" w:eastAsia="宋体" w:cs="宋体"/>
          <w:sz w:val="24"/>
        </w:rPr>
        <w:t>本项目小组由宋丹沁、李佳慧、汪欣怡、王君四位成员组成，团队秉持分工明确、协作高效的原则推进各项任务，具体职责划分如下：</w:t>
      </w:r>
    </w:p>
    <w:p w14:paraId="1BDD80AE">
      <w:pPr>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1.数据采集与预处理专项工作</w:t>
      </w:r>
    </w:p>
    <w:p w14:paraId="1B9E5813">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由汪欣怡、李佳慧两位成员牵头负责。二人将共同制定数据采集方案，明确数据源的筛选标准与获取渠道，完成原始数据的收集、整合工作；同时承担数据预处理的核心任务，包括数据清洗、缺失值填充、异常值剔除、数据格式标准化等环节，将原始数据转化为满足可视化需求的规整数据集；同时，基于预处理后的高质量数据，联手开展算法建模工作，先后完成K-means 聚类算法的模型构建、参数调优与聚类结果分析，以及随机森林算法的特征重要性评估、模型训练与预测验证，为项目后续的数据分析与结论输出提供了坚实的算法支撑与数据基础。</w:t>
      </w:r>
    </w:p>
    <w:p w14:paraId="24A5819C">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2.核心成果产出协同工作</w:t>
      </w:r>
    </w:p>
    <w:p w14:paraId="7C69F3B1">
      <w:pPr>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数据可视化、项目文档撰写、PPT 制作三项关键工作，由小组四位成员全员参与、分工协作完成。在数据可视化环节，四人将结合各自对数据的理解，共同设计可视化图表的呈现形式，确保图表既能精准反映数据规律，又具备清晰直观的展示效果；在项目文档撰写方面，团队成员将按模块分工执笔，由李佳慧负责项目背景和需求分析模块；由王君负责系统设计和总结模块；由汪欣怡负责系统功能及使用说明模块；由宋丹沁负责系统测试模块，并通过集体审核、反复打磨，保障文档的逻辑性、严谨性与完整性；在 PPT 制作阶段，由宋丹沁负责项目背景以及总结与展望模块；由李佳慧负责系统设计模块；由王君负责系统功能模块；由汪欣怡进行小组汇报，四人协同完成内容梳理、版式设计、视觉优化等工作，力求 PPT 既能精准传达项目核心成果，又能以专业美观的呈现形式适配汇报场景。</w:t>
      </w:r>
    </w:p>
    <w:p w14:paraId="07B6CC15">
      <w:pPr>
        <w:keepNext/>
        <w:keepLines/>
        <w:spacing w:line="440" w:lineRule="exact"/>
        <w:jc w:val="left"/>
        <w:outlineLvl w:val="9"/>
        <w:rPr>
          <w:rFonts w:ascii="Calibri" w:hAnsi="Calibri" w:eastAsia="宋体" w:cs="Times New Roman"/>
          <w:b/>
          <w:bCs/>
          <w:kern w:val="44"/>
          <w:sz w:val="28"/>
          <w:szCs w:val="44"/>
        </w:rPr>
      </w:pPr>
      <w:bookmarkStart w:id="1555" w:name="_Toc32421"/>
      <w:r>
        <w:rPr>
          <w:rFonts w:hint="eastAsia" w:ascii="宋体" w:hAnsi="宋体" w:eastAsia="宋体" w:cs="宋体"/>
          <w:b/>
          <w:bCs/>
          <w:kern w:val="44"/>
          <w:sz w:val="28"/>
          <w:szCs w:val="44"/>
        </w:rPr>
        <w:t>2 需求分析</w:t>
      </w:r>
      <w:bookmarkEnd w:id="1554"/>
      <w:bookmarkEnd w:id="1555"/>
    </w:p>
    <w:p w14:paraId="0AC001FF">
      <w:pPr>
        <w:keepNext/>
        <w:keepLines/>
        <w:spacing w:line="440" w:lineRule="exact"/>
        <w:ind w:firstLine="480" w:firstLineChars="200"/>
        <w:outlineLvl w:val="9"/>
        <w:rPr>
          <w:rFonts w:ascii="Arial" w:hAnsi="Arial" w:eastAsia="宋体" w:cs="Times New Roman"/>
          <w:sz w:val="24"/>
        </w:rPr>
      </w:pPr>
      <w:bookmarkStart w:id="1556" w:name="_Toc21933"/>
      <w:bookmarkStart w:id="1557" w:name="_Toc24363"/>
      <w:r>
        <w:rPr>
          <w:rFonts w:hint="eastAsia" w:ascii="宋体" w:hAnsi="宋体" w:eastAsia="宋体" w:cs="宋体"/>
          <w:sz w:val="24"/>
        </w:rPr>
        <w:t>2.1 系统需求分析</w:t>
      </w:r>
      <w:bookmarkEnd w:id="1556"/>
      <w:bookmarkEnd w:id="1557"/>
    </w:p>
    <w:p w14:paraId="0319483E">
      <w:pPr>
        <w:spacing w:line="440" w:lineRule="exact"/>
        <w:ind w:firstLine="480" w:firstLineChars="200"/>
        <w:outlineLvl w:val="9"/>
        <w:rPr>
          <w:rFonts w:ascii="Calibri" w:hAnsi="Calibri" w:eastAsia="宋体" w:cs="Times New Roman"/>
          <w:sz w:val="24"/>
        </w:rPr>
      </w:pPr>
      <w:r>
        <w:rPr>
          <w:rFonts w:hint="eastAsia" w:ascii="宋体" w:hAnsi="宋体" w:eastAsia="宋体" w:cs="宋体"/>
          <w:sz w:val="24"/>
        </w:rPr>
        <w:t>2.1.1</w:t>
      </w:r>
      <w:r>
        <w:rPr>
          <w:rFonts w:hint="eastAsia" w:ascii="Calibri" w:hAnsi="Calibri" w:eastAsia="宋体" w:cs="Times New Roman"/>
          <w:sz w:val="24"/>
        </w:rPr>
        <w:t>用户需求</w:t>
      </w:r>
    </w:p>
    <w:p w14:paraId="7BF51344">
      <w:pPr>
        <w:spacing w:line="440" w:lineRule="exact"/>
        <w:ind w:firstLine="480" w:firstLineChars="200"/>
        <w:outlineLvl w:val="9"/>
        <w:rPr>
          <w:rFonts w:ascii="Calibri" w:hAnsi="Calibri" w:eastAsia="宋体" w:cs="Times New Roman"/>
          <w:sz w:val="24"/>
        </w:rPr>
      </w:pPr>
      <w:r>
        <w:rPr>
          <w:rFonts w:hint="eastAsia" w:ascii="Calibri" w:hAnsi="Calibri" w:eastAsia="宋体" w:cs="Times New Roman"/>
          <w:sz w:val="24"/>
        </w:rPr>
        <w:t>企业运营人员：通过可视化大屏快速获取消费群体特征（如年龄分布、偏好品类），辅助制定营销方案。</w:t>
      </w:r>
    </w:p>
    <w:p w14:paraId="03F10002">
      <w:pPr>
        <w:spacing w:line="440" w:lineRule="exact"/>
        <w:ind w:firstLine="480" w:firstLineChars="200"/>
        <w:outlineLvl w:val="9"/>
        <w:rPr>
          <w:rFonts w:ascii="Calibri" w:hAnsi="Calibri" w:eastAsia="宋体" w:cs="Times New Roman"/>
          <w:sz w:val="24"/>
        </w:rPr>
      </w:pPr>
      <w:r>
        <w:rPr>
          <w:rFonts w:hint="eastAsia" w:ascii="Calibri" w:hAnsi="Calibri" w:eastAsia="宋体" w:cs="Times New Roman"/>
          <w:sz w:val="24"/>
        </w:rPr>
        <w:t>数据分析师：通过交互功能深入挖掘数据关联（如购物动机与性别交叉关系），输出分析报告。</w:t>
      </w:r>
    </w:p>
    <w:p w14:paraId="6495FF13">
      <w:pPr>
        <w:spacing w:line="440" w:lineRule="exact"/>
        <w:ind w:firstLine="480" w:firstLineChars="200"/>
        <w:outlineLvl w:val="9"/>
        <w:rPr>
          <w:rFonts w:ascii="Calibri" w:hAnsi="Calibri" w:eastAsia="宋体" w:cs="Times New Roman"/>
        </w:rPr>
      </w:pPr>
      <w:r>
        <w:rPr>
          <w:rFonts w:hint="eastAsia" w:ascii="Calibri" w:hAnsi="Calibri" w:eastAsia="宋体" w:cs="Times New Roman"/>
          <w:sz w:val="24"/>
        </w:rPr>
        <w:t>技术维护人员：通过 PyCharm、Navicat 实现数据流程的便捷维护，保障系统稳定运行。</w:t>
      </w:r>
    </w:p>
    <w:p w14:paraId="696768C5">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2.1.2性能需求</w:t>
      </w:r>
    </w:p>
    <w:p w14:paraId="3F2B4AD9">
      <w:pPr>
        <w:spacing w:line="440" w:lineRule="exact"/>
        <w:ind w:left="420" w:leftChars="200"/>
        <w:outlineLvl w:val="9"/>
        <w:rPr>
          <w:rFonts w:hint="eastAsia" w:ascii="宋体" w:hAnsi="宋体" w:eastAsia="宋体" w:cs="宋体"/>
          <w:sz w:val="24"/>
        </w:rPr>
      </w:pPr>
      <w:r>
        <w:rPr>
          <w:rFonts w:hint="eastAsia" w:ascii="宋体" w:hAnsi="宋体" w:eastAsia="宋体" w:cs="宋体"/>
          <w:sz w:val="24"/>
        </w:rPr>
        <w:t>数据处理效率：Python 脚本处理 1000 条以上消费数据的时间不超过 1 分钟，MySQL 数据写入延迟不超过 5 秒。</w:t>
      </w:r>
    </w:p>
    <w:p w14:paraId="7AE33547">
      <w:pPr>
        <w:spacing w:line="440" w:lineRule="exact"/>
        <w:ind w:left="420" w:leftChars="200"/>
        <w:outlineLvl w:val="9"/>
        <w:rPr>
          <w:rFonts w:hint="eastAsia" w:ascii="宋体" w:hAnsi="宋体" w:eastAsia="宋体" w:cs="宋体"/>
          <w:sz w:val="24"/>
        </w:rPr>
      </w:pPr>
      <w:r>
        <w:rPr>
          <w:rFonts w:hint="eastAsia" w:ascii="宋体" w:hAnsi="宋体" w:eastAsia="宋体" w:cs="宋体"/>
          <w:sz w:val="24"/>
        </w:rPr>
        <w:t>可视化响应速度：山海鲸大屏中图表加载、筛选操作的响应时间不超过 2 秒，数据刷新无明显卡顿。</w:t>
      </w:r>
    </w:p>
    <w:p w14:paraId="797FEBD0">
      <w:pPr>
        <w:spacing w:line="440" w:lineRule="exact"/>
        <w:ind w:left="420" w:leftChars="200"/>
        <w:rPr>
          <w:rFonts w:hint="eastAsia" w:ascii="宋体" w:hAnsi="宋体" w:eastAsia="宋体" w:cs="宋体"/>
          <w:sz w:val="24"/>
        </w:rPr>
      </w:pPr>
      <w:r>
        <w:rPr>
          <w:rFonts w:hint="eastAsia" w:ascii="宋体" w:hAnsi="宋体" w:eastAsia="宋体" w:cs="宋体"/>
          <w:sz w:val="24"/>
        </w:rPr>
        <w:t>兼容性：支持 Windows 系统下 PyCharm、MySQL、山海鲸的稳定运行，数据格式（CSV、MySQL 表）兼容各工具接口。</w:t>
      </w:r>
    </w:p>
    <w:p w14:paraId="3B8670B1">
      <w:pPr>
        <w:spacing w:line="440" w:lineRule="exact"/>
        <w:ind w:left="420" w:leftChars="200"/>
        <w:rPr>
          <w:rFonts w:hint="eastAsia" w:ascii="宋体" w:hAnsi="宋体" w:eastAsia="宋体" w:cs="宋体"/>
          <w:sz w:val="24"/>
        </w:rPr>
      </w:pPr>
      <w:r>
        <w:rPr>
          <w:rFonts w:hint="eastAsia" w:ascii="宋体" w:hAnsi="宋体" w:eastAsia="宋体" w:cs="宋体"/>
          <w:sz w:val="24"/>
        </w:rPr>
        <w:t>2.1.3功能需求</w:t>
      </w:r>
    </w:p>
    <w:p w14:paraId="2F9DFFF5">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数据采集与处理</w:t>
      </w:r>
    </w:p>
    <w:p w14:paraId="5B7122AF">
      <w:pPr>
        <w:spacing w:line="440" w:lineRule="exact"/>
        <w:ind w:firstLine="480" w:firstLineChars="200"/>
        <w:rPr>
          <w:rFonts w:hint="eastAsia" w:ascii="宋体" w:hAnsi="宋体" w:eastAsia="宋体" w:cs="宋体"/>
          <w:sz w:val="24"/>
        </w:rPr>
      </w:pPr>
      <w:r>
        <w:rPr>
          <w:rFonts w:hint="eastAsia" w:ascii="宋体" w:hAnsi="宋体" w:eastAsia="宋体" w:cs="宋体"/>
          <w:sz w:val="24"/>
        </w:rPr>
        <w:t>支持消费数据（年龄、购物动机、消费品类等）的采集，通过 Python 脚本完成数据清洗、格式标准化。</w:t>
      </w:r>
    </w:p>
    <w:p w14:paraId="1E4C74C2">
      <w:pPr>
        <w:spacing w:line="440" w:lineRule="exact"/>
        <w:ind w:firstLine="480" w:firstLineChars="200"/>
        <w:rPr>
          <w:rFonts w:hint="eastAsia" w:ascii="宋体" w:hAnsi="宋体" w:eastAsia="宋体" w:cs="宋体"/>
          <w:sz w:val="24"/>
        </w:rPr>
      </w:pPr>
      <w:r>
        <w:rPr>
          <w:rFonts w:hint="eastAsia" w:ascii="宋体" w:hAnsi="宋体" w:eastAsia="宋体" w:cs="宋体"/>
          <w:sz w:val="24"/>
        </w:rPr>
        <w:t>实现清洗后数据向 MySQL 数据库的自动写入与更新，保证数据完整性。</w:t>
      </w:r>
    </w:p>
    <w:p w14:paraId="76280081">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数据存储与管理</w:t>
      </w:r>
    </w:p>
    <w:p w14:paraId="77A84062">
      <w:pPr>
        <w:spacing w:line="440" w:lineRule="exact"/>
        <w:ind w:firstLine="480" w:firstLineChars="200"/>
        <w:rPr>
          <w:rFonts w:hint="eastAsia" w:ascii="宋体" w:hAnsi="宋体" w:eastAsia="宋体" w:cs="宋体"/>
          <w:sz w:val="24"/>
        </w:rPr>
      </w:pPr>
      <w:r>
        <w:rPr>
          <w:rFonts w:hint="eastAsia" w:ascii="宋体" w:hAnsi="宋体" w:eastAsia="宋体" w:cs="宋体"/>
          <w:sz w:val="24"/>
        </w:rPr>
        <w:t>基于 MySQL 构建结构化数据表，支持数据的增删改查，满足多维度消费数据的长期存储需求。</w:t>
      </w:r>
    </w:p>
    <w:p w14:paraId="0CBAE29F">
      <w:pPr>
        <w:spacing w:line="440" w:lineRule="exact"/>
        <w:ind w:firstLine="480" w:firstLineChars="200"/>
        <w:rPr>
          <w:rFonts w:hint="eastAsia" w:ascii="宋体" w:hAnsi="宋体" w:eastAsia="宋体" w:cs="宋体"/>
          <w:sz w:val="24"/>
        </w:rPr>
      </w:pPr>
      <w:r>
        <w:rPr>
          <w:rFonts w:hint="eastAsia" w:ascii="宋体" w:hAnsi="宋体" w:eastAsia="宋体" w:cs="宋体"/>
          <w:sz w:val="24"/>
        </w:rPr>
        <w:t>通过 Navicat/PyCharm 实现数据库的可视化管理与数据校验。</w:t>
      </w:r>
    </w:p>
    <w:p w14:paraId="78949A57">
      <w:pPr>
        <w:spacing w:line="440" w:lineRule="exact"/>
        <w:ind w:firstLine="480" w:firstLineChars="200"/>
        <w:rPr>
          <w:rFonts w:hint="eastAsia" w:ascii="宋体" w:hAnsi="宋体" w:eastAsia="宋体" w:cs="宋体"/>
          <w:sz w:val="24"/>
        </w:rPr>
      </w:pPr>
      <w:r>
        <w:rPr>
          <w:rFonts w:hint="eastAsia" w:ascii="宋体" w:hAnsi="宋体" w:eastAsia="宋体" w:cs="宋体"/>
          <w:sz w:val="24"/>
        </w:rPr>
        <w:t>可视化展示与交互</w:t>
      </w:r>
    </w:p>
    <w:p w14:paraId="77F1FEBA">
      <w:pPr>
        <w:spacing w:line="440" w:lineRule="exact"/>
        <w:ind w:firstLine="480" w:firstLineChars="200"/>
        <w:rPr>
          <w:rFonts w:hint="eastAsia" w:ascii="宋体" w:hAnsi="宋体" w:eastAsia="宋体" w:cs="宋体"/>
          <w:sz w:val="24"/>
        </w:rPr>
      </w:pPr>
      <w:r>
        <w:rPr>
          <w:rFonts w:hint="eastAsia" w:ascii="宋体" w:hAnsi="宋体" w:eastAsia="宋体" w:cs="宋体"/>
          <w:sz w:val="24"/>
        </w:rPr>
        <w:t>提供多类型图表（雷达图、条形图、饼图等），直观呈现消费行为特征。</w:t>
      </w:r>
    </w:p>
    <w:p w14:paraId="19C620FB">
      <w:pPr>
        <w:spacing w:line="440" w:lineRule="exact"/>
        <w:ind w:firstLine="480" w:firstLineChars="200"/>
        <w:rPr>
          <w:rFonts w:hint="eastAsia" w:ascii="宋体" w:hAnsi="宋体" w:eastAsia="宋体" w:cs="宋体"/>
          <w:sz w:val="24"/>
        </w:rPr>
      </w:pPr>
      <w:r>
        <w:rPr>
          <w:rFonts w:hint="eastAsia" w:ascii="宋体" w:hAnsi="宋体" w:eastAsia="宋体" w:cs="宋体"/>
          <w:sz w:val="24"/>
        </w:rPr>
        <w:t xml:space="preserve">支持交互操作（筛选年龄层、点击品类联动），实现数据的动态探索；支持图表联动效果，提升数据洞察效率。 </w:t>
      </w:r>
    </w:p>
    <w:p w14:paraId="60EBF6F4">
      <w:pPr>
        <w:spacing w:line="440" w:lineRule="exact"/>
        <w:ind w:firstLine="480" w:firstLineChars="200"/>
        <w:rPr>
          <w:rFonts w:hint="eastAsia" w:ascii="宋体" w:hAnsi="宋体" w:eastAsia="宋体" w:cs="宋体"/>
          <w:sz w:val="24"/>
        </w:rPr>
      </w:pPr>
      <w:r>
        <w:rPr>
          <w:rFonts w:hint="eastAsia" w:ascii="宋体" w:hAnsi="宋体" w:eastAsia="宋体" w:cs="宋体"/>
          <w:sz w:val="24"/>
        </w:rPr>
        <w:t>2.1.4可视化设计需求</w:t>
      </w:r>
    </w:p>
    <w:p w14:paraId="576DCA34">
      <w:pPr>
        <w:spacing w:line="440" w:lineRule="exact"/>
        <w:ind w:firstLine="480" w:firstLineChars="200"/>
        <w:rPr>
          <w:rFonts w:hint="eastAsia" w:ascii="宋体" w:hAnsi="宋体" w:eastAsia="宋体" w:cs="宋体"/>
          <w:sz w:val="24"/>
        </w:rPr>
      </w:pPr>
      <w:r>
        <w:rPr>
          <w:rFonts w:hint="eastAsia" w:ascii="宋体" w:hAnsi="宋体" w:eastAsia="宋体" w:cs="宋体"/>
          <w:sz w:val="24"/>
        </w:rPr>
        <w:t>图表选择与设计：根据数据特性与分析目的，选用适配图表。注重图表美学设计，色彩搭配协调，元素布局合理，确保视觉舒适与信息传达高效。</w:t>
      </w:r>
    </w:p>
    <w:p w14:paraId="29F30562">
      <w:pPr>
        <w:spacing w:line="440" w:lineRule="exact"/>
        <w:ind w:firstLine="480" w:firstLineChars="200"/>
        <w:rPr>
          <w:rFonts w:hint="eastAsia" w:ascii="宋体" w:hAnsi="宋体" w:eastAsia="宋体" w:cs="宋体"/>
          <w:sz w:val="24"/>
        </w:rPr>
      </w:pPr>
      <w:r>
        <w:rPr>
          <w:rFonts w:hint="eastAsia" w:ascii="宋体" w:hAnsi="宋体" w:eastAsia="宋体" w:cs="宋体"/>
          <w:sz w:val="24"/>
        </w:rPr>
        <w:t>交互设计：优化交互流程，使操作简洁直观。如点击、拖拽、缩放等交互响应灵敏。</w:t>
      </w:r>
    </w:p>
    <w:p w14:paraId="6B2247EE">
      <w:pPr>
        <w:spacing w:line="440" w:lineRule="exact"/>
        <w:ind w:firstLine="480" w:firstLineChars="200"/>
        <w:rPr>
          <w:rFonts w:hint="eastAsia" w:ascii="宋体" w:hAnsi="宋体" w:eastAsia="宋体" w:cs="宋体"/>
          <w:sz w:val="24"/>
        </w:rPr>
      </w:pPr>
      <w:r>
        <w:rPr>
          <w:rFonts w:hint="eastAsia" w:ascii="宋体" w:hAnsi="宋体" w:eastAsia="宋体" w:cs="宋体"/>
          <w:sz w:val="24"/>
        </w:rPr>
        <w:t>界面布局：设计简洁大气界面，核心图表置于页面中心，各区域边界清晰，信息层次分明 。</w:t>
      </w:r>
    </w:p>
    <w:p w14:paraId="1D2E72AB">
      <w:pPr>
        <w:keepNext/>
        <w:keepLines/>
        <w:spacing w:line="440" w:lineRule="exact"/>
        <w:ind w:firstLine="480" w:firstLineChars="200"/>
        <w:outlineLvl w:val="9"/>
        <w:rPr>
          <w:rFonts w:ascii="Arial" w:hAnsi="Arial" w:eastAsia="宋体" w:cs="Times New Roman"/>
          <w:sz w:val="24"/>
        </w:rPr>
      </w:pPr>
      <w:bookmarkStart w:id="1558" w:name="_Toc31822"/>
      <w:bookmarkStart w:id="1559" w:name="_Toc1627"/>
      <w:r>
        <w:rPr>
          <w:rFonts w:hint="eastAsia" w:ascii="宋体" w:hAnsi="宋体" w:eastAsia="宋体" w:cs="宋体"/>
          <w:sz w:val="24"/>
        </w:rPr>
        <w:t>2.2 可行性分析</w:t>
      </w:r>
      <w:bookmarkEnd w:id="1558"/>
      <w:bookmarkEnd w:id="1559"/>
    </w:p>
    <w:p w14:paraId="19F1D1AE">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技术可行性</w:t>
      </w:r>
    </w:p>
    <w:p w14:paraId="6D05C598">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工具成熟度：PyCharm（Python 开发）、MySQL（数据存储）、山海鲸（可视化）均为主流工具，技术文档完善、社区支持充足。</w:t>
      </w:r>
    </w:p>
    <w:p w14:paraId="117A39B4">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技术链路完整性：Python 数据处理→MySQL 存储→山海鲸可视化的流程已形成成熟方案，无技术瓶颈；数据库连接、数据同步等环节均有现成库 / 功能支持。</w:t>
      </w:r>
    </w:p>
    <w:p w14:paraId="19046E02">
      <w:pPr>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实现成本低：所有工具均提供免费 / 社区版本，无需高额成本即可完成开发部署。</w:t>
      </w:r>
    </w:p>
    <w:p w14:paraId="59FCFE5E">
      <w:pPr>
        <w:spacing w:line="440" w:lineRule="exact"/>
        <w:ind w:firstLine="480" w:firstLineChars="200"/>
        <w:rPr>
          <w:rFonts w:hint="eastAsia" w:ascii="宋体" w:hAnsi="宋体" w:eastAsia="宋体" w:cs="宋体"/>
          <w:sz w:val="24"/>
        </w:rPr>
      </w:pPr>
      <w:r>
        <w:rPr>
          <w:rFonts w:hint="eastAsia" w:ascii="宋体" w:hAnsi="宋体" w:eastAsia="宋体" w:cs="宋体"/>
          <w:sz w:val="24"/>
        </w:rPr>
        <w:t>经济可行性</w:t>
      </w:r>
    </w:p>
    <w:p w14:paraId="59B74C77">
      <w:pPr>
        <w:spacing w:line="440" w:lineRule="exact"/>
        <w:ind w:firstLine="480" w:firstLineChars="200"/>
        <w:rPr>
          <w:rFonts w:hint="eastAsia" w:ascii="宋体" w:hAnsi="宋体" w:eastAsia="宋体" w:cs="宋体"/>
          <w:sz w:val="24"/>
        </w:rPr>
      </w:pPr>
      <w:r>
        <w:rPr>
          <w:rFonts w:hint="eastAsia" w:ascii="宋体" w:hAnsi="宋体" w:eastAsia="宋体" w:cs="宋体"/>
          <w:sz w:val="24"/>
        </w:rPr>
        <w:t>开发成本：工具均为免费 / 低成本（PyCharm 社区版、MySQL 社区版、山海鲸免费版），无软件采购费用；开发过程基于现有技术栈，人力成本可控。</w:t>
      </w:r>
    </w:p>
    <w:p w14:paraId="67FD55C8">
      <w:pPr>
        <w:spacing w:line="440" w:lineRule="exact"/>
        <w:ind w:firstLine="480" w:firstLineChars="200"/>
        <w:rPr>
          <w:rFonts w:hint="eastAsia" w:ascii="宋体" w:hAnsi="宋体" w:eastAsia="宋体" w:cs="宋体"/>
          <w:sz w:val="24"/>
        </w:rPr>
      </w:pPr>
      <w:r>
        <w:rPr>
          <w:rFonts w:hint="eastAsia" w:ascii="宋体" w:hAnsi="宋体" w:eastAsia="宋体" w:cs="宋体"/>
          <w:sz w:val="24"/>
        </w:rPr>
        <w:t>效益回报：通过可视化分析优化营销策略，可提升用户转化率、降低运营成本，项目收益远高于开发投入。</w:t>
      </w:r>
    </w:p>
    <w:p w14:paraId="7CD0D0B7">
      <w:pPr>
        <w:spacing w:line="440" w:lineRule="exact"/>
        <w:ind w:firstLine="480" w:firstLineChars="200"/>
        <w:rPr>
          <w:rFonts w:hint="eastAsia" w:ascii="宋体" w:hAnsi="宋体" w:eastAsia="宋体" w:cs="宋体"/>
          <w:sz w:val="24"/>
        </w:rPr>
      </w:pPr>
      <w:r>
        <w:rPr>
          <w:rFonts w:hint="eastAsia" w:ascii="宋体" w:hAnsi="宋体" w:eastAsia="宋体" w:cs="宋体"/>
          <w:sz w:val="24"/>
        </w:rPr>
        <w:t>操作可行性</w:t>
      </w:r>
    </w:p>
    <w:p w14:paraId="71E3EE5E">
      <w:pPr>
        <w:spacing w:line="440" w:lineRule="exact"/>
        <w:ind w:firstLine="480" w:firstLineChars="200"/>
        <w:rPr>
          <w:rFonts w:hint="eastAsia" w:ascii="宋体" w:hAnsi="宋体" w:eastAsia="宋体" w:cs="宋体"/>
          <w:sz w:val="24"/>
        </w:rPr>
      </w:pPr>
      <w:r>
        <w:rPr>
          <w:rFonts w:hint="eastAsia" w:ascii="宋体" w:hAnsi="宋体" w:eastAsia="宋体" w:cs="宋体"/>
          <w:sz w:val="24"/>
        </w:rPr>
        <w:t>工具易用性：PyCharm 操作友好（代码编辑、数据库连接），MySQL 通过 Navicat 可视化管理，山海鲸支持拖拽式图表配置，用户（含非技术人员）经简单培训即可上手。</w:t>
      </w:r>
    </w:p>
    <w:p w14:paraId="503C8FF2">
      <w:pPr>
        <w:spacing w:line="440" w:lineRule="exact"/>
        <w:ind w:firstLine="480" w:firstLineChars="200"/>
        <w:rPr>
          <w:rFonts w:hint="eastAsia" w:ascii="宋体" w:hAnsi="宋体" w:eastAsia="宋体" w:cs="宋体"/>
          <w:sz w:val="24"/>
        </w:rPr>
      </w:pPr>
      <w:r>
        <w:rPr>
          <w:rFonts w:hint="eastAsia" w:ascii="宋体" w:hAnsi="宋体" w:eastAsia="宋体" w:cs="宋体"/>
          <w:sz w:val="24"/>
        </w:rPr>
        <w:t>流程简洁性：数据流程（采集→处理→存储→可视化）逻辑清晰，各环节操作步骤明确，无复杂操作门槛。</w:t>
      </w:r>
    </w:p>
    <w:p w14:paraId="3E6B243C">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数据可行性</w:t>
      </w:r>
    </w:p>
    <w:p w14:paraId="2F59EC29">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数据来源于公开的数据集网站得到</w:t>
      </w:r>
    </w:p>
    <w:p w14:paraId="27C5BCFC">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数据质量：目标数据（年龄、购物动机、消费品类等）为结构化字段，可通过 Python 脚本标准化清洗，满足 MySQL 存储与山海鲸可视化的格式要求。</w:t>
      </w:r>
    </w:p>
    <w:p w14:paraId="67EFCC16">
      <w:pPr>
        <w:spacing w:line="440" w:lineRule="exact"/>
        <w:ind w:firstLine="480" w:firstLineChars="200"/>
        <w:rPr>
          <w:rFonts w:hint="eastAsia" w:ascii="宋体" w:hAnsi="宋体" w:eastAsia="宋体" w:cs="宋体"/>
          <w:sz w:val="24"/>
        </w:rPr>
      </w:pPr>
      <w:r>
        <w:rPr>
          <w:rFonts w:hint="eastAsia" w:ascii="宋体" w:hAnsi="宋体" w:eastAsia="宋体" w:cs="宋体"/>
          <w:sz w:val="24"/>
        </w:rPr>
        <w:t>需求可行性：</w:t>
      </w:r>
    </w:p>
    <w:p w14:paraId="75755F33">
      <w:pPr>
        <w:spacing w:line="440" w:lineRule="exact"/>
        <w:ind w:firstLine="480" w:firstLineChars="200"/>
        <w:rPr>
          <w:rFonts w:hint="eastAsia" w:ascii="宋体" w:hAnsi="宋体" w:eastAsia="宋体" w:cs="宋体"/>
          <w:sz w:val="24"/>
        </w:rPr>
      </w:pPr>
      <w:r>
        <w:rPr>
          <w:rFonts w:hint="eastAsia" w:ascii="宋体" w:hAnsi="宋体" w:eastAsia="宋体" w:cs="宋体"/>
          <w:sz w:val="24"/>
        </w:rPr>
        <w:t>行业价值：消费行为分析是零售、电商行业的核心需求，项目输出的可视化结果可直接服务于运营决策，需求具备业务必要性。</w:t>
      </w:r>
    </w:p>
    <w:p w14:paraId="32D2275B">
      <w:pPr>
        <w:spacing w:line="440" w:lineRule="exact"/>
        <w:ind w:firstLine="480" w:firstLineChars="200"/>
        <w:rPr>
          <w:rFonts w:hint="eastAsia" w:ascii="宋体" w:hAnsi="宋体" w:eastAsia="宋体" w:cs="宋体"/>
          <w:sz w:val="24"/>
        </w:rPr>
      </w:pPr>
      <w:r>
        <w:rPr>
          <w:rFonts w:hint="eastAsia" w:ascii="宋体" w:hAnsi="宋体" w:eastAsia="宋体" w:cs="宋体"/>
          <w:sz w:val="24"/>
        </w:rPr>
        <w:t>用户价值：各角色用户（运营 / 分析 / 维护）均可通过项目功能提升工作效率（如分析师减少手动制表时间），需求具备用户价值。</w:t>
      </w:r>
    </w:p>
    <w:p w14:paraId="433CA367">
      <w:pPr>
        <w:keepNext/>
        <w:keepLines/>
        <w:spacing w:line="440" w:lineRule="exact"/>
        <w:jc w:val="left"/>
        <w:outlineLvl w:val="9"/>
        <w:rPr>
          <w:rFonts w:ascii="Calibri" w:hAnsi="Calibri" w:eastAsia="宋体" w:cs="Times New Roman"/>
          <w:b/>
          <w:bCs/>
          <w:kern w:val="44"/>
          <w:sz w:val="28"/>
          <w:szCs w:val="44"/>
        </w:rPr>
      </w:pPr>
      <w:bookmarkStart w:id="1560" w:name="_Toc25268"/>
      <w:bookmarkStart w:id="1561" w:name="_Toc23422"/>
      <w:r>
        <w:rPr>
          <w:rFonts w:hint="eastAsia" w:ascii="宋体" w:hAnsi="宋体" w:eastAsia="宋体" w:cs="宋体"/>
          <w:b/>
          <w:bCs/>
          <w:kern w:val="44"/>
          <w:sz w:val="28"/>
          <w:szCs w:val="44"/>
        </w:rPr>
        <w:t>3系统设计</w:t>
      </w:r>
      <w:bookmarkEnd w:id="1560"/>
      <w:bookmarkEnd w:id="1561"/>
    </w:p>
    <w:p w14:paraId="08557BFD">
      <w:pPr>
        <w:keepNext/>
        <w:keepLines/>
        <w:spacing w:line="440" w:lineRule="exact"/>
        <w:ind w:firstLine="480" w:firstLineChars="200"/>
        <w:outlineLvl w:val="9"/>
        <w:rPr>
          <w:rFonts w:hint="eastAsia" w:ascii="宋体" w:hAnsi="宋体" w:eastAsia="宋体" w:cs="宋体"/>
          <w:sz w:val="24"/>
          <w:szCs w:val="24"/>
        </w:rPr>
      </w:pPr>
      <w:bookmarkStart w:id="1562" w:name="_Toc18500"/>
      <w:bookmarkStart w:id="1563" w:name="_Toc14843"/>
      <w:r>
        <w:rPr>
          <w:rFonts w:hint="eastAsia" w:ascii="宋体" w:hAnsi="宋体" w:eastAsia="宋体" w:cs="宋体"/>
          <w:sz w:val="24"/>
          <w:szCs w:val="24"/>
        </w:rPr>
        <w:t>3.1 系统结构设计</w:t>
      </w:r>
      <w:bookmarkEnd w:id="1562"/>
      <w:bookmarkEnd w:id="1563"/>
    </w:p>
    <w:p w14:paraId="52825D05">
      <w:pPr>
        <w:spacing w:line="440" w:lineRule="exact"/>
        <w:ind w:firstLine="480" w:firstLineChars="200"/>
        <w:outlineLvl w:val="9"/>
        <w:rPr>
          <w:rFonts w:ascii="Calibri" w:hAnsi="Calibri" w:eastAsia="宋体" w:cs="Times New Roman"/>
          <w:sz w:val="28"/>
        </w:rPr>
      </w:pPr>
      <w:bookmarkStart w:id="1564" w:name="_Toc28037"/>
      <w:r>
        <w:rPr>
          <w:rFonts w:hint="eastAsia" w:ascii="宋体" w:hAnsi="宋体" w:eastAsia="宋体" w:cs="宋体"/>
          <w:sz w:val="24"/>
          <w:szCs w:val="24"/>
        </w:rPr>
        <w:t>3.1.1开发与运行架构</w:t>
      </w:r>
      <w:bookmarkEnd w:id="1564"/>
    </w:p>
    <w:p w14:paraId="6E3766ED">
      <w:pPr>
        <w:numPr>
          <w:ilvl w:val="0"/>
          <w:numId w:val="0"/>
        </w:numPr>
        <w:spacing w:line="440" w:lineRule="exact"/>
        <w:ind w:left="700" w:leftChars="0"/>
        <w:outlineLvl w:val="9"/>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核心工具协作架构</w:t>
      </w:r>
    </w:p>
    <w:p w14:paraId="2EB48FE5">
      <w:pPr>
        <w:keepNext/>
        <w:keepLines/>
        <w:widowControl w:val="0"/>
        <w:numPr>
          <w:ilvl w:val="0"/>
          <w:numId w:val="0"/>
        </w:numPr>
        <w:tabs>
          <w:tab w:val="left" w:pos="1584"/>
        </w:tabs>
        <w:spacing w:before="240" w:after="64" w:line="320" w:lineRule="auto"/>
        <w:jc w:val="center"/>
        <w:outlineLvl w:val="9"/>
        <w:rPr>
          <w:rFonts w:hint="default" w:eastAsia="黑体"/>
          <w:sz w:val="21"/>
          <w:szCs w:val="21"/>
          <w:lang w:val="en-US" w:eastAsia="zh-CN"/>
        </w:rPr>
      </w:pPr>
      <w:r>
        <w:rPr>
          <w:rFonts w:hint="eastAsia" w:ascii="宋体" w:hAnsi="宋体" w:eastAsia="宋体" w:cs="宋体"/>
          <w:sz w:val="21"/>
          <w:szCs w:val="21"/>
          <w:lang w:val="en-US" w:eastAsia="zh-CN"/>
        </w:rPr>
        <w:t>图3-1 核心工具协作架构</w:t>
      </w:r>
    </w:p>
    <w:p w14:paraId="5E747154">
      <w:pPr>
        <w:rPr>
          <w:rFonts w:hint="eastAsia" w:ascii="宋体" w:hAnsi="宋体" w:eastAsia="宋体" w:cs="宋体"/>
          <w:sz w:val="24"/>
        </w:rPr>
      </w:pPr>
      <w:r>
        <w:rPr>
          <w:rFonts w:hint="eastAsia" w:ascii="宋体" w:hAnsi="宋体" w:eastAsia="宋体" w:cs="宋体"/>
          <w:sz w:val="24"/>
        </w:rPr>
        <w:drawing>
          <wp:inline distT="0" distB="0" distL="114300" distR="114300">
            <wp:extent cx="5266690" cy="5334000"/>
            <wp:effectExtent l="0" t="0" r="10160" b="0"/>
            <wp:docPr id="709" name="图片 709" descr="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709" descr="流程图"/>
                    <pic:cNvPicPr>
                      <a:picLocks noChangeAspect="1"/>
                    </pic:cNvPicPr>
                  </pic:nvPicPr>
                  <pic:blipFill>
                    <a:blip r:embed="rId476"/>
                    <a:stretch>
                      <a:fillRect/>
                    </a:stretch>
                  </pic:blipFill>
                  <pic:spPr>
                    <a:xfrm>
                      <a:off x="0" y="0"/>
                      <a:ext cx="5266690" cy="5334000"/>
                    </a:xfrm>
                    <a:prstGeom prst="rect">
                      <a:avLst/>
                    </a:prstGeom>
                  </pic:spPr>
                </pic:pic>
              </a:graphicData>
            </a:graphic>
          </wp:inline>
        </w:drawing>
      </w:r>
    </w:p>
    <w:p w14:paraId="342C9EA0">
      <w:pPr>
        <w:spacing w:line="440" w:lineRule="exact"/>
        <w:ind w:firstLine="480" w:firstLineChars="200"/>
        <w:rPr>
          <w:rFonts w:ascii="Calibri" w:hAnsi="Calibri" w:eastAsia="宋体" w:cs="Times New Roman"/>
          <w:sz w:val="24"/>
        </w:rPr>
      </w:pPr>
      <w:r>
        <w:rPr>
          <w:rFonts w:hint="eastAsia" w:ascii="Calibri" w:hAnsi="Calibri" w:eastAsia="宋体" w:cs="Times New Roman"/>
          <w:sz w:val="24"/>
        </w:rPr>
        <w:t>2.开发环境配置与系统运行流程</w:t>
      </w:r>
    </w:p>
    <w:p w14:paraId="2ECE2450">
      <w:pPr>
        <w:spacing w:line="44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在开发环境配置上，PyCharm 作为核心开发工具，采用 Python 3.8 + 编程语言，适配 Pandas、NumPy等数据处理库，配置 Pandas（数据清洗）、SQL（数据库连接）、Matplotlib（辅助数据验证）等依赖库；Navicat 作为数据库管理工具，对接 MySQL 8.0 + 数据库（轻量高效，适配山海鲸可视化），核心实现建立数据库连接、设计表结构、编写存储过程、定时备份数据、执行 SQL 查询验证数据完整性等功能；山海鲸可视化作为结果呈现工具，连接 Navicat 管理的 MySQL 数据库，运行环境支持 Windows 服务器 / 本地客户端。在系统运行流程上，开发阶段由 PyCharm 编写数据清洗、特征提取、用户分层等 Python 脚本，同步通过 Navicat 创建数据库表并调试数据写入逻辑；通过 Python 脚本从原始数据源采集数据，经清洗分析后写入 MySQL 数据库，期间可通过 Navicat 监控数据写入状态；展示阶段由山海鲸可视化读取 MySQL 中的分析结果数据，雷达图、饼图、热力图、词云图等多维度可视化看板，支持业务人员交互查询。</w:t>
      </w:r>
      <w:bookmarkStart w:id="1565" w:name="_Toc4194"/>
    </w:p>
    <w:p w14:paraId="3553CFC7">
      <w:pPr>
        <w:spacing w:line="440" w:lineRule="exact"/>
        <w:ind w:firstLine="480" w:firstLineChars="200"/>
        <w:rPr>
          <w:rFonts w:hint="eastAsia" w:ascii="宋体" w:hAnsi="宋体" w:eastAsia="宋体" w:cs="宋体"/>
          <w:color w:val="000000"/>
          <w:sz w:val="24"/>
        </w:rPr>
      </w:pPr>
      <w:r>
        <w:rPr>
          <w:rFonts w:hint="eastAsia" w:ascii="宋体" w:hAnsi="宋体" w:eastAsia="宋体" w:cs="宋体"/>
          <w:color w:val="000000"/>
          <w:sz w:val="24"/>
        </w:rPr>
        <w:t>3.1.2分层架构设计</w:t>
      </w:r>
      <w:bookmarkEnd w:id="1565"/>
    </w:p>
    <w:p w14:paraId="6B56E067">
      <w:pPr>
        <w:spacing w:line="440" w:lineRule="exact"/>
        <w:ind w:firstLine="480" w:firstLineChars="200"/>
        <w:rPr>
          <w:rFonts w:hint="eastAsia" w:ascii="宋体" w:hAnsi="宋体" w:eastAsia="宋体" w:cs="宋体"/>
          <w:sz w:val="24"/>
        </w:rPr>
      </w:pPr>
      <w:r>
        <w:rPr>
          <w:rFonts w:hint="eastAsia" w:ascii="宋体" w:hAnsi="宋体" w:eastAsia="宋体" w:cs="宋体"/>
          <w:sz w:val="24"/>
        </w:rPr>
        <w:t>数据层作为系统底层底座，由 Navicat 管理 MySQL 数据库实现核心功能。一方面对接数据源，支持 csv 批量导入接入方式；另一方面按划分原始数据表、清洗后数据表、分析结果表，通过 Navicat 完成表结构设计、SQL 调试、数据备份与索引优化，保障数据的安全性、完整性与可追溯性，为上层提供高质量数据支撑。</w:t>
      </w:r>
    </w:p>
    <w:p w14:paraId="7EEBCAD2">
      <w:pPr>
        <w:spacing w:line="440" w:lineRule="exact"/>
        <w:ind w:firstLine="480" w:firstLineChars="200"/>
        <w:rPr>
          <w:rFonts w:hint="eastAsia" w:ascii="宋体" w:hAnsi="宋体" w:eastAsia="宋体" w:cs="宋体"/>
          <w:sz w:val="24"/>
        </w:rPr>
      </w:pPr>
      <w:r>
        <w:rPr>
          <w:rFonts w:hint="eastAsia" w:ascii="宋体" w:hAnsi="宋体" w:eastAsia="宋体" w:cs="宋体"/>
          <w:sz w:val="24"/>
        </w:rPr>
        <w:t xml:space="preserve">数据处理层是数据层与分析层的关键桥梁，基于 PyCharm 以 Python 为开发语言实现数据标准化转化。借助 Pandas 库完成数据去重、缺失值智能填充、异常值过滤及字段标准化等清洗操作，同时提取多维度核心特征，涵盖交易特征、用户特征、行为特征与动机特征，最终标准化数据同步至 MySQL。                        </w:t>
      </w:r>
    </w:p>
    <w:p w14:paraId="36D0E0C9">
      <w:pPr>
        <w:spacing w:line="440" w:lineRule="exact"/>
        <w:ind w:firstLine="480" w:firstLineChars="200"/>
        <w:rPr>
          <w:rFonts w:hint="eastAsia" w:ascii="宋体" w:hAnsi="宋体" w:eastAsia="宋体" w:cs="宋体"/>
          <w:sz w:val="24"/>
        </w:rPr>
      </w:pPr>
      <w:r>
        <w:rPr>
          <w:rFonts w:hint="eastAsia" w:ascii="宋体" w:hAnsi="宋体" w:eastAsia="宋体" w:cs="宋体"/>
          <w:sz w:val="24"/>
        </w:rPr>
        <w:t>分析层是系统核心业务逻辑层，由 PyCharm 开发多维度分析模型挖掘数据价值。通过因子分析量化家居、美妆等品类的消费倾向，输出雷达图数据源；基于统计占比分析购物动机分布，输出环形图数据源；采用 K-Means 聚类算法划分价格敏感型、品质型等用户群体；构建关联分析模型，挖掘渠道与客单价、年龄与品类偏好的内在关联，输出折线图、条形图数据源，最终将结构化分析结果写入数据库。</w:t>
      </w:r>
    </w:p>
    <w:p w14:paraId="064C5AA9">
      <w:pPr>
        <w:spacing w:line="440" w:lineRule="exact"/>
        <w:ind w:firstLine="480" w:firstLineChars="200"/>
        <w:rPr>
          <w:rFonts w:ascii="Calibri" w:hAnsi="Calibri" w:eastAsia="宋体" w:cs="Times New Roman"/>
          <w:sz w:val="24"/>
        </w:rPr>
      </w:pPr>
      <w:r>
        <w:rPr>
          <w:rFonts w:hint="eastAsia" w:ascii="Calibri" w:hAnsi="Calibri" w:eastAsia="宋体" w:cs="Times New Roman"/>
          <w:sz w:val="24"/>
        </w:rPr>
        <w:t>应用层作为前端呈现入口，通过山海鲸可视化配置多类型图表，搭建消费者交易行为分析看板，支持交互功能，还可导出看板为图片、Excel 格式，可为业务决策提供直观、可落地的洞察结果。</w:t>
      </w:r>
    </w:p>
    <w:p w14:paraId="3A3EBE7E">
      <w:pPr>
        <w:keepNext/>
        <w:keepLines/>
        <w:spacing w:line="440" w:lineRule="exact"/>
        <w:ind w:firstLine="480" w:firstLineChars="200"/>
        <w:outlineLvl w:val="9"/>
        <w:rPr>
          <w:rFonts w:ascii="Arial" w:hAnsi="Arial" w:eastAsia="宋体" w:cs="Times New Roman"/>
          <w:sz w:val="24"/>
        </w:rPr>
      </w:pPr>
      <w:bookmarkStart w:id="1566" w:name="_Toc2692"/>
      <w:bookmarkStart w:id="1567" w:name="_Toc5819"/>
      <w:r>
        <w:rPr>
          <w:rFonts w:hint="eastAsia" w:ascii="Arial" w:hAnsi="Arial" w:eastAsia="宋体" w:cs="Times New Roman"/>
          <w:sz w:val="24"/>
        </w:rPr>
        <w:t>3.2 系统功能模块设计</w:t>
      </w:r>
      <w:bookmarkEnd w:id="1566"/>
      <w:bookmarkEnd w:id="1567"/>
    </w:p>
    <w:p w14:paraId="141EAAFD">
      <w:pPr>
        <w:keepNext/>
        <w:keepLines/>
        <w:adjustRightInd w:val="0"/>
        <w:snapToGrid w:val="0"/>
        <w:spacing w:line="440" w:lineRule="exact"/>
        <w:ind w:left="1610" w:leftChars="248" w:hanging="1089" w:hangingChars="454"/>
        <w:outlineLvl w:val="9"/>
        <w:rPr>
          <w:rFonts w:hint="eastAsia" w:ascii="宋体" w:hAnsi="宋体" w:eastAsia="宋体" w:cs="宋体"/>
          <w:sz w:val="24"/>
        </w:rPr>
      </w:pPr>
      <w:r>
        <w:rPr>
          <w:rFonts w:hint="eastAsia" w:ascii="宋体" w:hAnsi="宋体" w:eastAsia="宋体" w:cs="宋体"/>
          <w:sz w:val="24"/>
        </w:rPr>
        <w:t>3.2.1数据管理模块</w:t>
      </w:r>
    </w:p>
    <w:p w14:paraId="77925CC3">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数据采集与导入：通过 Python 编写网络爬虫程序，在 PyCharm 环境中运行，从网站或其他可靠数据源采集数据。采集到的数据以 CSV、JSON 等格式临时存储，然后利用 Navicat Premium Lite17 将数据导入到 MySQL 数据库中。在导入过程中，需要根据数据库表结构对数据进行格式转换和映射，确保数据准确无误地存储到相应字段中。​</w:t>
      </w:r>
    </w:p>
    <w:p w14:paraId="44FD8F2A">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数据清洗与预处理：在 PyCharm 中编写数据清洗脚本，对导入到 MySQL 数据库中的原始数据进行处理。针对数据中存在的缺失值，采用均值填充、中位数填充或根据业务逻辑进行合理估算填充；对于重复数据，通过数据库的去重语句或 Python 的数据处理库进行删除；对于错误数据，进行修正或标记。此外，还需对数据进行类型转换、编码处理等预处理操作，使数据符合后续分析和可视化的要求。​</w:t>
      </w:r>
    </w:p>
    <w:p w14:paraId="4E6A0E81">
      <w:pPr>
        <w:adjustRightInd w:val="0"/>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数据存储与维护：借助 MySQL 数据库和 Navicat Premium Lite17 进行数据的存储和日常维护。根据数据的特点和使用频率，建立合适的索引，提高数据查询效率；定期对数据库进行备份，防止数据丢失；监控数据库的运行状态，及时处理出现的性能问题和错误。同时，随着数据量的增加，对数据库表结构进行优化调整，确保系统的稳定运行。</w:t>
      </w:r>
    </w:p>
    <w:p w14:paraId="55BB594E">
      <w:pPr>
        <w:keepNext/>
        <w:keepLines/>
        <w:adjustRightInd w:val="0"/>
        <w:snapToGrid w:val="0"/>
        <w:spacing w:line="440" w:lineRule="exact"/>
        <w:ind w:left="1610" w:leftChars="248" w:hanging="1089" w:hangingChars="454"/>
        <w:outlineLvl w:val="9"/>
        <w:rPr>
          <w:rFonts w:hint="eastAsia" w:ascii="宋体" w:hAnsi="宋体" w:eastAsia="宋体" w:cs="宋体"/>
          <w:sz w:val="24"/>
        </w:rPr>
      </w:pPr>
      <w:r>
        <w:rPr>
          <w:rFonts w:hint="eastAsia" w:ascii="宋体" w:hAnsi="宋体" w:eastAsia="宋体" w:cs="宋体"/>
          <w:sz w:val="24"/>
        </w:rPr>
        <w:t>3.2.2可视化展示模块</w:t>
      </w:r>
    </w:p>
    <w:p w14:paraId="0F5DFB80">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1.模块核心定位</w:t>
      </w:r>
    </w:p>
    <w:p w14:paraId="23862223">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该模块以 “业务导向、直观易懂、高效交互” 为原则，承接数据管理模块与分析模块的输出结果，将品类偏好、购物动机、用户分层、渠道分布等多维度交易行为数据，通过多样化图表组件进行可视化呈现，打破 “数据孤岛” 与 “技术壁垒”，让非技术业务人员无需编写代码，即可快速洞察消费者交易规律，为营销活动优化、核心品类布局、用户精细化运营等业务场景提供直接的数据支撑。</w:t>
      </w:r>
    </w:p>
    <w:p w14:paraId="6BD85AE0">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2.核心可视化布局设计</w:t>
      </w:r>
    </w:p>
    <w:p w14:paraId="66232C1F">
      <w:pPr>
        <w:adjustRightInd w:val="0"/>
        <w:snapToGrid w:val="0"/>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基于消费者交易行为分析的核心需求，在山海鲸可视化中搭建一体化分析看板，覆盖五大核心展示区域，实现数据全面呈现，核心可视化布局以 “多维度联动、业务聚焦” 为核心逻辑，采用一体化看板设计，整体划分为基础信息区与核心分析区两大模块。基础信息区置顶，展示数据时间戳与环境信息，明确数据时效。核心分析区按 “品类 - 动机 - 客群 - 交易” 四大维度布局：左上以雷达图呈现家居、美妆等品类消费倾向；用环形图展示兴趣爱好、日常使用等购物动机占比；通过词云强化高频消费品类认知；以多系列柱状图对比不同客群的品类消费差异；条形图呈现各平台客群分布；中下折线图联动客单价区间与优惠券类型，分析优惠敏感度。右侧辅以年龄分布饼图与动机 - 性别热力图，实现用户属性与交易行为的交叉关联，助力业务人员快速完成全链路洞察。</w:t>
      </w:r>
    </w:p>
    <w:p w14:paraId="6E609F10">
      <w:pPr>
        <w:adjustRightInd w:val="0"/>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3.交互功能与落地能力</w:t>
      </w:r>
    </w:p>
    <w:p w14:paraId="0BC3280B">
      <w:pPr>
        <w:adjustRightInd w:val="0"/>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灵活交互查询：支持三大核心交互操作，一是数据钻取，点击某一年龄段或渠道，可下钻查看该群体的详细品类偏好与购物动机；二是多条件筛选，支持按消费偏好、用户分层标签等维度筛选数据；三是图表联动，修改某一筛选条件，所有关联图表自动同步更新，提升分析效率。</w:t>
      </w:r>
    </w:p>
    <w:p w14:paraId="58E3F1F4">
      <w:pPr>
        <w:adjustRightInd w:val="0"/>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数据导出与分享：支持将可视化看板导出为图片、Excel、PDF 等格式，满足业务汇报与数据存档需求；同时支持生成共享链接，实现多人协同查看，便于跨部门同步分析结果。</w:t>
      </w:r>
    </w:p>
    <w:p w14:paraId="3BC6142E">
      <w:pPr>
        <w:adjustRightInd w:val="0"/>
        <w:snapToGrid w:val="0"/>
        <w:spacing w:line="440" w:lineRule="exact"/>
        <w:ind w:firstLine="480" w:firstLineChars="200"/>
        <w:rPr>
          <w:rFonts w:hint="eastAsia" w:ascii="宋体" w:hAnsi="宋体" w:eastAsia="宋体" w:cs="宋体"/>
          <w:sz w:val="24"/>
        </w:rPr>
      </w:pPr>
      <w:r>
        <w:rPr>
          <w:rFonts w:hint="eastAsia" w:ascii="宋体" w:hAnsi="宋体" w:eastAsia="宋体" w:cs="宋体"/>
          <w:sz w:val="24"/>
        </w:rPr>
        <w:t>实时更新与定制化配置：支持拖拽式组件调整与布局自定义，业务人员可根据自身需求，新增或隐藏展示维度，适配不同场景的分析需求。</w:t>
      </w:r>
    </w:p>
    <w:p w14:paraId="3900E9D3">
      <w:pPr>
        <w:keepNext/>
        <w:keepLines/>
        <w:spacing w:line="440" w:lineRule="exact"/>
        <w:jc w:val="left"/>
        <w:outlineLvl w:val="9"/>
        <w:rPr>
          <w:rFonts w:ascii="Calibri" w:hAnsi="Calibri" w:eastAsia="宋体" w:cs="Times New Roman"/>
          <w:b/>
          <w:bCs/>
          <w:kern w:val="44"/>
          <w:sz w:val="28"/>
          <w:szCs w:val="44"/>
        </w:rPr>
      </w:pPr>
      <w:bookmarkStart w:id="1568" w:name="_Toc988"/>
      <w:bookmarkStart w:id="1569" w:name="_Toc4502"/>
      <w:r>
        <w:rPr>
          <w:rFonts w:hint="eastAsia" w:ascii="Calibri" w:hAnsi="Calibri" w:eastAsia="宋体" w:cs="Times New Roman"/>
          <w:b/>
          <w:bCs/>
          <w:kern w:val="44"/>
          <w:sz w:val="28"/>
          <w:szCs w:val="44"/>
        </w:rPr>
        <w:t>4 系统功能及使用说明</w:t>
      </w:r>
      <w:bookmarkEnd w:id="1568"/>
      <w:bookmarkEnd w:id="1569"/>
    </w:p>
    <w:p w14:paraId="73171792">
      <w:pPr>
        <w:keepNext/>
        <w:keepLines/>
        <w:spacing w:line="440" w:lineRule="exact"/>
        <w:ind w:firstLine="480" w:firstLineChars="200"/>
        <w:outlineLvl w:val="9"/>
        <w:rPr>
          <w:rFonts w:ascii="Arial" w:hAnsi="Arial" w:eastAsia="宋体" w:cs="Times New Roman"/>
          <w:sz w:val="24"/>
        </w:rPr>
      </w:pPr>
      <w:bookmarkStart w:id="1570" w:name="_Toc820"/>
      <w:bookmarkStart w:id="1571" w:name="_Toc2604"/>
      <w:r>
        <w:rPr>
          <w:rFonts w:hint="eastAsia" w:ascii="Arial" w:hAnsi="Arial" w:eastAsia="宋体" w:cs="Times New Roman"/>
          <w:sz w:val="24"/>
        </w:rPr>
        <w:t>4.1系统结构设计</w:t>
      </w:r>
      <w:bookmarkEnd w:id="1570"/>
      <w:bookmarkEnd w:id="1571"/>
    </w:p>
    <w:p w14:paraId="57F026A9">
      <w:pPr>
        <w:spacing w:line="440" w:lineRule="exact"/>
        <w:ind w:firstLine="480" w:firstLineChars="200"/>
        <w:outlineLvl w:val="9"/>
        <w:rPr>
          <w:rFonts w:ascii="Calibri" w:hAnsi="Calibri" w:eastAsia="宋体" w:cs="Times New Roman"/>
        </w:rPr>
      </w:pPr>
      <w:r>
        <w:rPr>
          <w:rFonts w:hint="eastAsia" w:ascii="宋体" w:hAnsi="宋体" w:eastAsia="宋体" w:cs="Times New Roman"/>
          <w:sz w:val="24"/>
        </w:rPr>
        <w:t>本消费者交易行为分析系统基于 “数据层 - 处理层 - 应用层 - 可视化层” 的四层架构，实现多维度数据的全流程处理与可视化分析，适配山海鲸可视化图表展示，结构设计如下：</w:t>
      </w:r>
    </w:p>
    <w:p w14:paraId="33080D84">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4.1.1数据层</w:t>
      </w:r>
    </w:p>
    <w:p w14:paraId="56FB5EEA">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核心数据源：完整消费者交易行为 CSV 数据集，包含 16 个维度（消费者姓名、年龄、性别、月薪等），覆盖3000条消费者样本，涵盖 “低薪囤货党”“中产性价比”“中高薪理性”“高薪追品质” 四类客户群。</w:t>
      </w:r>
    </w:p>
    <w:p w14:paraId="0475084F">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数据存储：采用结构化存储，支持 CSV 格式导入导出，确保数据可直接对接山海鲸可视化工具，无需额外格式转换。</w:t>
      </w:r>
    </w:p>
    <w:p w14:paraId="18CC7540">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数据预处理：包含数据清洗（剔除重复值、填充缺失值）、特征转换（年龄分层、收入分级、购买量分级）、数据整合（多维度特征关联映射），生成标准化分析数据集，保障分析准确性。</w:t>
      </w:r>
    </w:p>
    <w:p w14:paraId="76BAD4B7">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4.1.2处理层</w:t>
      </w:r>
    </w:p>
    <w:p w14:paraId="787F60B8">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数据计算模块：实现基础统计（各维度频次、占比、均值）、关联分析（消费偏好与购买量、优惠券类型与消费领域等）、聚类结果落地（四类客户群特征提取）。</w:t>
      </w:r>
    </w:p>
    <w:p w14:paraId="49AE76F1">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特征工程模块：从原始数据中提炼核心分析维度，包括人口统计特征（年龄、性别、收入）、行为特征（消费偏好、购物动机、优惠券使用）、交易特征（消费领域、购物平台、购买量）。</w:t>
      </w:r>
    </w:p>
    <w:p w14:paraId="4515DE62">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接口适配模块：提供标准化数据接口，支持与山海鲸可视化的图表生成需求，确保数据流转高效。</w:t>
      </w:r>
    </w:p>
    <w:p w14:paraId="73011F7A">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4.1.3应用层</w:t>
      </w:r>
    </w:p>
    <w:p w14:paraId="0D218F46">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核心功能模块：涵盖消费者画像分析、交易行为深度分析、优惠券效果分析、客户群细分分析四大模块，覆盖多维度行为特征的全场景分析。</w:t>
      </w:r>
    </w:p>
    <w:p w14:paraId="5B821EF5">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交互控制模块：支持按年龄、收入、消费领域等维度筛选数据，自定义分析条件，配置可视化图表类型及展示维度。</w:t>
      </w:r>
    </w:p>
    <w:p w14:paraId="29EA957E">
      <w:pPr>
        <w:keepNext/>
        <w:keepLines/>
        <w:spacing w:line="440" w:lineRule="exact"/>
        <w:ind w:left="1608" w:leftChars="248" w:hanging="1087" w:hangingChars="453"/>
        <w:outlineLvl w:val="9"/>
        <w:rPr>
          <w:rFonts w:ascii="Arial" w:hAnsi="Arial" w:eastAsia="黑体" w:cs="Times New Roman"/>
          <w:sz w:val="24"/>
        </w:rPr>
      </w:pPr>
      <w:r>
        <w:rPr>
          <w:rFonts w:hint="eastAsia" w:ascii="宋体" w:hAnsi="宋体" w:eastAsia="宋体" w:cs="Times New Roman"/>
          <w:sz w:val="24"/>
        </w:rPr>
        <w:t>4.1.4</w:t>
      </w:r>
      <w:r>
        <w:rPr>
          <w:rFonts w:hint="eastAsia" w:ascii="宋体" w:hAnsi="宋体" w:eastAsia="宋体" w:cs="宋体"/>
          <w:sz w:val="24"/>
        </w:rPr>
        <w:t>可视化层</w:t>
      </w:r>
    </w:p>
    <w:p w14:paraId="2775B940">
      <w:pPr>
        <w:spacing w:line="440" w:lineRule="exact"/>
        <w:ind w:firstLine="480" w:firstLineChars="200"/>
        <w:outlineLvl w:val="9"/>
        <w:rPr>
          <w:rFonts w:ascii="Calibri" w:hAnsi="Calibri" w:eastAsia="宋体" w:cs="Times New Roman"/>
          <w:sz w:val="24"/>
        </w:rPr>
      </w:pPr>
      <w:r>
        <w:rPr>
          <w:rFonts w:ascii="Calibri" w:hAnsi="Calibri" w:eastAsia="宋体" w:cs="Times New Roman"/>
          <w:sz w:val="24"/>
        </w:rPr>
        <w:t>图表生成模块：对接山海鲸可视化，支持生成雷达图、环形图、词云图</w:t>
      </w:r>
      <w:r>
        <w:rPr>
          <w:rFonts w:hint="eastAsia" w:ascii="Calibri" w:hAnsi="Calibri" w:eastAsia="宋体" w:cs="Times New Roman"/>
          <w:sz w:val="24"/>
        </w:rPr>
        <w:t>、柱状图、折线图、玫瑰图、条形图、热力图</w:t>
      </w:r>
      <w:r>
        <w:rPr>
          <w:rFonts w:ascii="Calibri" w:hAnsi="Calibri" w:eastAsia="宋体" w:cs="Times New Roman"/>
          <w:sz w:val="24"/>
        </w:rPr>
        <w:t>，覆盖所有分析维度的可视化需求</w:t>
      </w:r>
      <w:r>
        <w:rPr>
          <w:rFonts w:hint="eastAsia" w:ascii="Calibri" w:hAnsi="Calibri" w:eastAsia="宋体" w:cs="Times New Roman"/>
          <w:sz w:val="24"/>
          <w:lang w:eastAsia="zh-CN"/>
        </w:rPr>
        <w:t>，</w:t>
      </w:r>
      <w:r>
        <w:rPr>
          <w:rFonts w:hint="eastAsia" w:ascii="Calibri" w:hAnsi="Calibri" w:eastAsia="宋体" w:cs="Times New Roman"/>
          <w:sz w:val="24"/>
          <w:lang w:val="en-US" w:eastAsia="zh-CN"/>
        </w:rPr>
        <w:t>如图4-1所示</w:t>
      </w:r>
      <w:r>
        <w:rPr>
          <w:rFonts w:ascii="Calibri" w:hAnsi="Calibri" w:eastAsia="宋体" w:cs="Times New Roman"/>
          <w:sz w:val="24"/>
        </w:rPr>
        <w:t>。</w:t>
      </w:r>
    </w:p>
    <w:p w14:paraId="6A5081BF">
      <w:pPr>
        <w:spacing w:line="440" w:lineRule="exact"/>
        <w:ind w:firstLine="480" w:firstLineChars="200"/>
        <w:outlineLvl w:val="9"/>
        <w:rPr>
          <w:rFonts w:ascii="Calibri" w:hAnsi="Calibri" w:eastAsia="宋体" w:cs="Times New Roman"/>
          <w:sz w:val="24"/>
        </w:rPr>
      </w:pPr>
      <w:r>
        <w:rPr>
          <w:rFonts w:ascii="Calibri" w:hAnsi="Calibri" w:eastAsia="宋体" w:cs="Times New Roman"/>
          <w:sz w:val="24"/>
        </w:rPr>
        <w:t>可视化配置模块：支持图表样式（颜色、布局、图例）、数据展示维度的自定义，满足设计的展示规范。</w:t>
      </w:r>
    </w:p>
    <w:p w14:paraId="53AFA46C">
      <w:pPr>
        <w:tabs>
          <w:tab w:val="left" w:pos="1584"/>
        </w:tabs>
        <w:jc w:val="center"/>
        <w:outlineLvl w:val="9"/>
        <w:rPr>
          <w:rFonts w:hint="default" w:eastAsia="宋体"/>
          <w:sz w:val="21"/>
          <w:szCs w:val="21"/>
          <w:lang w:val="en-US" w:eastAsia="zh-CN"/>
        </w:rPr>
      </w:pPr>
      <w:r>
        <w:rPr>
          <w:rFonts w:hint="eastAsia" w:ascii="宋体" w:hAnsi="宋体" w:eastAsia="宋体" w:cs="宋体"/>
          <w:sz w:val="21"/>
          <w:szCs w:val="21"/>
          <w:lang w:val="en-US" w:eastAsia="zh-CN"/>
        </w:rPr>
        <w:t>图4-1 核心流程图</w:t>
      </w:r>
    </w:p>
    <w:p w14:paraId="2D8E70C0">
      <w:pPr>
        <w:keepNext/>
        <w:keepLines/>
        <w:spacing w:before="240" w:after="64" w:line="320" w:lineRule="auto"/>
        <w:ind w:left="1584" w:hanging="1584"/>
        <w:outlineLvl w:val="9"/>
        <w:rPr>
          <w:rFonts w:ascii="Arial" w:hAnsi="Arial" w:eastAsia="黑体" w:cs="Times New Roman"/>
        </w:rPr>
      </w:pPr>
      <w:r>
        <w:rPr>
          <w:rFonts w:ascii="宋体" w:hAnsi="宋体" w:eastAsia="宋体" w:cs="宋体"/>
          <w:sz w:val="24"/>
        </w:rPr>
        <w:drawing>
          <wp:inline distT="0" distB="0" distL="114300" distR="114300">
            <wp:extent cx="5633720" cy="2349500"/>
            <wp:effectExtent l="0" t="0" r="5080" b="12700"/>
            <wp:docPr id="93981764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17644" name="图片 13" descr="IMG_256"/>
                    <pic:cNvPicPr>
                      <a:picLocks noChangeAspect="1"/>
                    </pic:cNvPicPr>
                  </pic:nvPicPr>
                  <pic:blipFill>
                    <a:blip r:embed="rId477"/>
                    <a:stretch>
                      <a:fillRect/>
                    </a:stretch>
                  </pic:blipFill>
                  <pic:spPr>
                    <a:xfrm>
                      <a:off x="0" y="0"/>
                      <a:ext cx="5633720" cy="2349500"/>
                    </a:xfrm>
                    <a:prstGeom prst="rect">
                      <a:avLst/>
                    </a:prstGeom>
                    <a:noFill/>
                    <a:ln w="9525">
                      <a:noFill/>
                    </a:ln>
                  </pic:spPr>
                </pic:pic>
              </a:graphicData>
            </a:graphic>
          </wp:inline>
        </w:drawing>
      </w:r>
    </w:p>
    <w:p w14:paraId="4C8852F6">
      <w:pPr>
        <w:keepNext/>
        <w:keepLines/>
        <w:spacing w:line="440" w:lineRule="exact"/>
        <w:ind w:firstLine="480" w:firstLineChars="200"/>
        <w:outlineLvl w:val="9"/>
        <w:rPr>
          <w:rFonts w:ascii="Arial" w:hAnsi="Arial" w:eastAsia="宋体" w:cs="Times New Roman"/>
          <w:sz w:val="24"/>
        </w:rPr>
      </w:pPr>
      <w:bookmarkStart w:id="1572" w:name="_Toc2301"/>
      <w:r>
        <w:rPr>
          <w:rFonts w:hint="eastAsia" w:ascii="Arial" w:hAnsi="Arial" w:eastAsia="宋体" w:cs="Times New Roman"/>
          <w:sz w:val="24"/>
        </w:rPr>
        <w:t>4.2使用说明</w:t>
      </w:r>
      <w:bookmarkEnd w:id="1572"/>
    </w:p>
    <w:p w14:paraId="24E37FB6">
      <w:pPr>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4.2.1系统操作流程</w:t>
      </w:r>
    </w:p>
    <w:p w14:paraId="46A72283">
      <w:pPr>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数据导入：打开系统数据管理模块，点击 “导入文件”，选择消费者交易行为 CSV 文件，系统自动完成数据识别与适配，无需手动调整字段。</w:t>
      </w:r>
    </w:p>
    <w:p w14:paraId="14E3DAAD">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功能模块选择：根据分析需求选择对应模块（消费者画像分析 / 交易行为关联分析 / 优惠券效果分析），配置筛选条件（如年龄分层、消费领域等）。</w:t>
      </w:r>
    </w:p>
    <w:p w14:paraId="0448E595">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可视化生成：选择目标图表类型（如玫瑰图、热力图），点击 “生成图表”，系统自动对接山海鲸可视化工具生成图表，同时输出图表分析结论。</w:t>
      </w:r>
    </w:p>
    <w:p w14:paraId="7B9C4A96">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4.2.2山海鲸可视化图表分析</w:t>
      </w:r>
    </w:p>
    <w:p w14:paraId="35E644F1">
      <w:pPr>
        <w:keepNext/>
        <w:keepLines/>
        <w:spacing w:line="440" w:lineRule="exact"/>
        <w:ind w:left="1584" w:hanging="1584"/>
        <w:outlineLvl w:val="9"/>
        <w:rPr>
          <w:rFonts w:hint="eastAsia" w:ascii="宋体" w:hAnsi="宋体" w:eastAsia="宋体" w:cs="Times New Roman"/>
          <w:sz w:val="24"/>
        </w:rPr>
      </w:pPr>
      <w:r>
        <w:rPr>
          <w:rFonts w:hint="eastAsia" w:ascii="宋体" w:hAnsi="宋体" w:eastAsia="宋体" w:cs="Times New Roman"/>
          <w:sz w:val="24"/>
        </w:rPr>
        <w:t xml:space="preserve">    优惠券情况与消费领域雷达图（适配优惠券类型与消费领域的关联分析）</w:t>
      </w:r>
    </w:p>
    <w:p w14:paraId="38C54B18">
      <w:pPr>
        <w:tabs>
          <w:tab w:val="left" w:pos="1584"/>
        </w:tabs>
        <w:jc w:val="center"/>
        <w:outlineLvl w:val="9"/>
        <w:rPr>
          <w:rFonts w:hint="default" w:eastAsia="黑体"/>
          <w:sz w:val="21"/>
          <w:szCs w:val="21"/>
          <w:lang w:val="en-US" w:eastAsia="zh-CN"/>
        </w:rPr>
      </w:pPr>
      <w:r>
        <w:rPr>
          <w:rFonts w:hint="eastAsia" w:ascii="宋体" w:hAnsi="宋体" w:eastAsia="宋体" w:cs="Times New Roman"/>
          <w:kern w:val="2"/>
          <w:sz w:val="21"/>
          <w:szCs w:val="21"/>
          <w:lang w:val="en-US" w:eastAsia="zh-CN" w:bidi="ar-SA"/>
        </w:rPr>
        <w:t>图4-2 优惠券情况与消费领域雷达图</w:t>
      </w:r>
    </w:p>
    <w:p w14:paraId="5DEFB37B">
      <w:pPr>
        <w:spacing w:after="160" w:line="278" w:lineRule="auto"/>
        <w:rPr>
          <w:rFonts w:hint="eastAsia" w:ascii="宋体" w:hAnsi="宋体" w:eastAsia="宋体" w:cs="Times New Roman"/>
          <w:sz w:val="24"/>
        </w:rPr>
      </w:pPr>
      <w:r>
        <w:rPr>
          <w:rFonts w:ascii="宋体" w:hAnsi="宋体" w:eastAsia="宋体" w:cs="宋体"/>
          <w:sz w:val="24"/>
        </w:rPr>
        <w:drawing>
          <wp:inline distT="0" distB="0" distL="114300" distR="114300">
            <wp:extent cx="5461635" cy="2872740"/>
            <wp:effectExtent l="0" t="0" r="5715" b="3810"/>
            <wp:docPr id="12924730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473013" name="图片 2" descr="IMG_256"/>
                    <pic:cNvPicPr>
                      <a:picLocks noChangeAspect="1"/>
                    </pic:cNvPicPr>
                  </pic:nvPicPr>
                  <pic:blipFill>
                    <a:blip r:embed="rId478"/>
                    <a:stretch>
                      <a:fillRect/>
                    </a:stretch>
                  </pic:blipFill>
                  <pic:spPr>
                    <a:xfrm>
                      <a:off x="0" y="0"/>
                      <a:ext cx="5461635" cy="2872740"/>
                    </a:xfrm>
                    <a:prstGeom prst="rect">
                      <a:avLst/>
                    </a:prstGeom>
                    <a:noFill/>
                    <a:ln w="9525">
                      <a:noFill/>
                    </a:ln>
                  </pic:spPr>
                </pic:pic>
              </a:graphicData>
            </a:graphic>
          </wp:inline>
        </w:drawing>
      </w:r>
    </w:p>
    <w:p w14:paraId="4FC55F08">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图表内容：以六边形雷达图形式展示图书音像、美妆护肤、珠宝首饰、母婴用品、服装、家居用品 6 大消费领域中，免费赠品、有优惠券、无优惠券 3 类优惠券情况的占比分布，不同线条对应不同优惠券类型，线条覆盖范围代表该类型优惠券在对应领域的占比强度。</w:t>
      </w:r>
    </w:p>
    <w:p w14:paraId="61DB9E94">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意义：多维度呈现各消费领域的优惠券使用偏好差异，直观反映不同优惠券类型在各消费领域的渗透程度。</w:t>
      </w:r>
    </w:p>
    <w:p w14:paraId="415F8A74">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作用：快速识别各领域的核心优惠券类型（例如服装领域 “免费赠品” 占比更高、图书音像领域 “无优惠券” 占比较突出），为分领域设计优惠券策略（如向家居用品领域侧重投放 “有优惠券” 类型）、匹配消费领域与优惠形式提供精准的领域 - 优惠券维度依据。</w:t>
      </w:r>
    </w:p>
    <w:p w14:paraId="094F5332">
      <w:pPr>
        <w:spacing w:line="440" w:lineRule="exact"/>
        <w:outlineLvl w:val="9"/>
        <w:rPr>
          <w:rFonts w:hint="eastAsia" w:ascii="宋体" w:hAnsi="宋体" w:eastAsia="宋体" w:cs="Times New Roman"/>
          <w:sz w:val="24"/>
        </w:rPr>
      </w:pPr>
      <w:r>
        <w:rPr>
          <w:rFonts w:hint="eastAsia" w:ascii="宋体" w:hAnsi="宋体" w:eastAsia="宋体" w:cs="Times New Roman"/>
          <w:sz w:val="24"/>
        </w:rPr>
        <w:t>购物动机分布环形图（适配购物动机的占比分析）</w:t>
      </w:r>
    </w:p>
    <w:p w14:paraId="42008E31">
      <w:pPr>
        <w:tabs>
          <w:tab w:val="left" w:pos="1584"/>
        </w:tabs>
        <w:jc w:val="center"/>
        <w:outlineLvl w:val="9"/>
        <w:rPr>
          <w:rFonts w:hint="default" w:eastAsia="黑体"/>
          <w:sz w:val="21"/>
          <w:szCs w:val="21"/>
          <w:lang w:val="en-US" w:eastAsia="zh-CN"/>
        </w:rPr>
      </w:pPr>
      <w:r>
        <w:rPr>
          <w:rFonts w:hint="eastAsia" w:ascii="宋体" w:hAnsi="宋体" w:eastAsia="宋体" w:cs="Times New Roman"/>
          <w:kern w:val="2"/>
          <w:sz w:val="21"/>
          <w:szCs w:val="21"/>
          <w:lang w:val="en-US" w:eastAsia="zh-CN" w:bidi="ar-SA"/>
        </w:rPr>
        <w:t>图4-3 购物动机分布环形图</w:t>
      </w:r>
    </w:p>
    <w:p w14:paraId="43374A7A">
      <w:pPr>
        <w:spacing w:line="279" w:lineRule="auto"/>
        <w:outlineLvl w:val="9"/>
        <w:rPr>
          <w:rFonts w:ascii="Calibri" w:hAnsi="Calibri" w:eastAsia="宋体" w:cs="Times New Roman"/>
        </w:rPr>
      </w:pPr>
      <w:r>
        <w:rPr>
          <w:rFonts w:ascii="宋体" w:hAnsi="宋体" w:eastAsia="宋体" w:cs="宋体"/>
          <w:sz w:val="24"/>
        </w:rPr>
        <w:drawing>
          <wp:inline distT="0" distB="0" distL="114300" distR="114300">
            <wp:extent cx="5314950" cy="2306320"/>
            <wp:effectExtent l="0" t="0" r="0" b="17780"/>
            <wp:docPr id="39303758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037580" name="图片 3" descr="IMG_256"/>
                    <pic:cNvPicPr>
                      <a:picLocks noChangeAspect="1"/>
                    </pic:cNvPicPr>
                  </pic:nvPicPr>
                  <pic:blipFill>
                    <a:blip r:embed="rId479"/>
                    <a:stretch>
                      <a:fillRect/>
                    </a:stretch>
                  </pic:blipFill>
                  <pic:spPr>
                    <a:xfrm>
                      <a:off x="0" y="0"/>
                      <a:ext cx="5314950" cy="2306320"/>
                    </a:xfrm>
                    <a:prstGeom prst="rect">
                      <a:avLst/>
                    </a:prstGeom>
                    <a:noFill/>
                    <a:ln w="9525">
                      <a:noFill/>
                    </a:ln>
                  </pic:spPr>
                </pic:pic>
              </a:graphicData>
            </a:graphic>
          </wp:inline>
        </w:drawing>
      </w:r>
    </w:p>
    <w:p w14:paraId="3B3115B1">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图表内容：以环形分区形式展示日常使用、礼物赠送、跟风购买、促销打折、兴趣爱好、商品推荐、品牌忠诚等 7 类购物动机的占比分布，同时标注 “兴趣爱好” 动机对应的具体交易数量（425）。</w:t>
      </w:r>
    </w:p>
    <w:p w14:paraId="651A0C4D">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意义：直观呈现各类购物动机的市场占比格局，突出主流消费驱动因素。</w:t>
      </w:r>
    </w:p>
    <w:p w14:paraId="3356E07B">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作用：快速识别 “兴趣爱好” 是核心购物动机（对应交易数量最多），其余动机占比相对均衡（多集中在 12%-15% 区间），为后续营销活动策划（如围绕 “兴趣爱好” 设计主题推广）、产品推荐策略（匹配动机对应的品类）提供动机维度的决策依据。</w:t>
      </w:r>
    </w:p>
    <w:p w14:paraId="26EEA7DA">
      <w:pPr>
        <w:keepNext/>
        <w:keepLines/>
        <w:spacing w:line="440" w:lineRule="exact"/>
        <w:ind w:left="1584" w:hanging="1584"/>
        <w:outlineLvl w:val="9"/>
        <w:rPr>
          <w:rFonts w:hint="eastAsia" w:ascii="宋体" w:hAnsi="宋体" w:eastAsia="宋体" w:cs="Times New Roman"/>
          <w:sz w:val="24"/>
        </w:rPr>
      </w:pPr>
      <w:r>
        <w:rPr>
          <w:rFonts w:hint="eastAsia" w:ascii="宋体" w:hAnsi="宋体" w:eastAsia="宋体" w:cs="Times New Roman"/>
          <w:sz w:val="24"/>
        </w:rPr>
        <w:t xml:space="preserve">    消费领域词云图（适配消费领域的交易热度分析）</w:t>
      </w:r>
    </w:p>
    <w:p w14:paraId="6B0A75A7">
      <w:pPr>
        <w:tabs>
          <w:tab w:val="left" w:pos="1584"/>
        </w:tabs>
        <w:jc w:val="center"/>
        <w:outlineLvl w:val="9"/>
        <w:rPr>
          <w:rFonts w:hint="default" w:eastAsia="宋体"/>
          <w:sz w:val="21"/>
          <w:szCs w:val="21"/>
          <w:lang w:val="en-US" w:eastAsia="zh-CN"/>
        </w:rPr>
      </w:pPr>
      <w:r>
        <w:rPr>
          <w:rFonts w:hint="eastAsia" w:ascii="宋体" w:hAnsi="宋体" w:eastAsia="宋体" w:cs="Times New Roman"/>
          <w:sz w:val="21"/>
          <w:szCs w:val="21"/>
          <w:lang w:val="en-US" w:eastAsia="zh-CN"/>
        </w:rPr>
        <w:t>图4-4 消费领域词云图</w:t>
      </w:r>
    </w:p>
    <w:p w14:paraId="2CAA0F84">
      <w:pPr>
        <w:spacing w:after="160" w:line="278" w:lineRule="auto"/>
        <w:jc w:val="center"/>
        <w:outlineLvl w:val="9"/>
        <w:rPr>
          <w:rFonts w:ascii="Calibri" w:hAnsi="Calibri" w:eastAsia="宋体" w:cs="Times New Roman"/>
        </w:rPr>
      </w:pPr>
      <w:r>
        <w:rPr>
          <w:rFonts w:ascii="宋体" w:hAnsi="宋体" w:eastAsia="宋体" w:cs="宋体"/>
          <w:sz w:val="24"/>
        </w:rPr>
        <w:drawing>
          <wp:inline distT="0" distB="0" distL="114300" distR="114300">
            <wp:extent cx="5302885" cy="2912110"/>
            <wp:effectExtent l="0" t="0" r="12065" b="2540"/>
            <wp:docPr id="115948692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86925" name="图片 4" descr="IMG_256"/>
                    <pic:cNvPicPr>
                      <a:picLocks noChangeAspect="1"/>
                    </pic:cNvPicPr>
                  </pic:nvPicPr>
                  <pic:blipFill>
                    <a:blip r:embed="rId480"/>
                    <a:stretch>
                      <a:fillRect/>
                    </a:stretch>
                  </pic:blipFill>
                  <pic:spPr>
                    <a:xfrm>
                      <a:off x="0" y="0"/>
                      <a:ext cx="5302885" cy="2912110"/>
                    </a:xfrm>
                    <a:prstGeom prst="rect">
                      <a:avLst/>
                    </a:prstGeom>
                    <a:noFill/>
                    <a:ln w="9525">
                      <a:noFill/>
                    </a:ln>
                  </pic:spPr>
                </pic:pic>
              </a:graphicData>
            </a:graphic>
          </wp:inline>
        </w:drawing>
      </w:r>
    </w:p>
    <w:p w14:paraId="13221312">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图表内容：以词云形式展示家居用品、美妆护肤、图书音像、珠宝首饰、服装等多类消费领域，词汇的字体大小与颜色深浅对应该领域的交易热度（字体越大、颜色越突出，代表交易频次越高）。</w:t>
      </w:r>
    </w:p>
    <w:p w14:paraId="1D426465">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意义：直观呈现各消费领域的市场热度差异，快速聚焦高频消费领域。</w:t>
      </w:r>
    </w:p>
    <w:p w14:paraId="17123BC7">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作用：快速识别美妆护肤、珠宝首饰、服装为核心消费领域（字体最大、视觉占比突出），为品类资源倾斜（如加大核心领域的库存与推广投入）、消费趋势预判提供领域热度维度的决策依据。</w:t>
      </w:r>
    </w:p>
    <w:p w14:paraId="318C06E7">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客户群名称消费偏好对比图（适配不同客户群的消费偏好差异分析）</w:t>
      </w:r>
    </w:p>
    <w:p w14:paraId="46F84617">
      <w:pPr>
        <w:spacing w:line="440" w:lineRule="exact"/>
        <w:ind w:firstLine="420" w:firstLineChars="200"/>
        <w:jc w:val="center"/>
        <w:rPr>
          <w:rFonts w:hint="default" w:ascii="宋体" w:hAnsi="宋体" w:eastAsia="宋体" w:cs="宋体"/>
          <w:sz w:val="21"/>
          <w:szCs w:val="21"/>
          <w:lang w:val="en-US"/>
        </w:rPr>
      </w:pPr>
      <w:r>
        <w:rPr>
          <w:rFonts w:hint="eastAsia" w:ascii="宋体" w:hAnsi="宋体" w:eastAsia="宋体" w:cs="Times New Roman"/>
          <w:sz w:val="21"/>
          <w:szCs w:val="21"/>
          <w:lang w:val="en-US" w:eastAsia="zh-CN"/>
        </w:rPr>
        <w:t>图4-5 客户群名称消费偏好对比图</w:t>
      </w:r>
    </w:p>
    <w:p w14:paraId="3DA5BC85">
      <w:pPr>
        <w:spacing w:line="440" w:lineRule="exact"/>
        <w:ind w:firstLine="480" w:firstLineChars="200"/>
        <w:rPr>
          <w:rFonts w:hint="eastAsia" w:ascii="宋体" w:hAnsi="宋体" w:eastAsia="宋体" w:cs="宋体"/>
          <w:sz w:val="24"/>
        </w:rPr>
      </w:pPr>
      <w:r>
        <w:rPr>
          <w:rFonts w:ascii="宋体" w:hAnsi="宋体" w:eastAsia="宋体" w:cs="宋体"/>
          <w:sz w:val="24"/>
        </w:rPr>
        <w:drawing>
          <wp:anchor distT="0" distB="0" distL="114300" distR="114300" simplePos="0" relativeHeight="251919360" behindDoc="0" locked="0" layoutInCell="1" allowOverlap="1">
            <wp:simplePos x="0" y="0"/>
            <wp:positionH relativeFrom="column">
              <wp:posOffset>445135</wp:posOffset>
            </wp:positionH>
            <wp:positionV relativeFrom="paragraph">
              <wp:posOffset>85090</wp:posOffset>
            </wp:positionV>
            <wp:extent cx="4451985" cy="2617470"/>
            <wp:effectExtent l="0" t="0" r="5715" b="11430"/>
            <wp:wrapTopAndBottom/>
            <wp:docPr id="1402134274"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134274" name="图片 9" descr="IMG_256"/>
                    <pic:cNvPicPr>
                      <a:picLocks noChangeAspect="1"/>
                    </pic:cNvPicPr>
                  </pic:nvPicPr>
                  <pic:blipFill>
                    <a:blip r:embed="rId481"/>
                    <a:stretch>
                      <a:fillRect/>
                    </a:stretch>
                  </pic:blipFill>
                  <pic:spPr>
                    <a:xfrm>
                      <a:off x="0" y="0"/>
                      <a:ext cx="4451985" cy="2617470"/>
                    </a:xfrm>
                    <a:prstGeom prst="rect">
                      <a:avLst/>
                    </a:prstGeom>
                    <a:noFill/>
                    <a:ln w="9525">
                      <a:noFill/>
                    </a:ln>
                  </pic:spPr>
                </pic:pic>
              </a:graphicData>
            </a:graphic>
          </wp:anchor>
        </w:drawing>
      </w:r>
      <w:r>
        <w:rPr>
          <w:rFonts w:hint="eastAsia" w:ascii="宋体" w:hAnsi="宋体" w:eastAsia="宋体" w:cs="宋体"/>
          <w:sz w:val="24"/>
        </w:rPr>
        <w:t>图表内容：以多系列柱状图形式展示 “低薪囤货党”“中高薪理性”“中产性价比”“高薪追品质” 4 类客户群，在功能性、品牌追求、性价比、时尚潮流等 6 类消费偏好上的偏好程度（柱形高度对应偏好强度）。</w:t>
      </w:r>
    </w:p>
    <w:p w14:paraId="1A3DFDD4">
      <w:pPr>
        <w:spacing w:line="440" w:lineRule="exact"/>
        <w:ind w:firstLine="480" w:firstLineChars="200"/>
        <w:rPr>
          <w:rFonts w:hint="eastAsia" w:ascii="宋体" w:hAnsi="宋体" w:eastAsia="宋体" w:cs="宋体"/>
          <w:sz w:val="24"/>
        </w:rPr>
      </w:pPr>
      <w:r>
        <w:rPr>
          <w:rFonts w:hint="eastAsia" w:ascii="宋体" w:hAnsi="宋体" w:eastAsia="宋体" w:cs="宋体"/>
          <w:sz w:val="24"/>
        </w:rPr>
        <w:t>意义：直观呈现不同客户群的消费偏好差异，清晰区分各类客户群的核心偏好特征。</w:t>
      </w:r>
    </w:p>
    <w:p w14:paraId="573F7ABE">
      <w:pPr>
        <w:spacing w:line="440" w:lineRule="exact"/>
        <w:ind w:firstLine="480" w:firstLineChars="200"/>
        <w:rPr>
          <w:rFonts w:hint="eastAsia" w:ascii="宋体" w:hAnsi="宋体" w:eastAsia="宋体" w:cs="宋体"/>
          <w:sz w:val="24"/>
        </w:rPr>
      </w:pPr>
      <w:r>
        <w:rPr>
          <w:rFonts w:hint="eastAsia" w:ascii="宋体" w:hAnsi="宋体" w:eastAsia="宋体" w:cs="宋体"/>
          <w:sz w:val="24"/>
        </w:rPr>
        <w:t>作用：快速识别每类客户群的主导消费偏好（例如 “低薪囤货党” 更倾向性价比、“高薪追品质” 侧重品牌追求与环保可持续），为分客户群定制产品推荐、营销话术（如向 “中产性价比” 群体突出高性价比卖点）提供精准的客户群 - 偏好维度依据。</w:t>
      </w:r>
    </w:p>
    <w:p w14:paraId="3954A4DD">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各收入分级 — 优惠券使用情况折线图（适配收入分级与优惠券使用的趋势分析）</w:t>
      </w:r>
    </w:p>
    <w:p w14:paraId="666C5F63">
      <w:pPr>
        <w:tabs>
          <w:tab w:val="left" w:pos="1584"/>
        </w:tabs>
        <w:jc w:val="center"/>
        <w:outlineLvl w:val="9"/>
        <w:rPr>
          <w:rFonts w:hint="default" w:eastAsia="宋体"/>
          <w:sz w:val="21"/>
          <w:szCs w:val="21"/>
          <w:lang w:val="en-US" w:eastAsia="zh-CN"/>
        </w:rPr>
      </w:pPr>
      <w:r>
        <w:rPr>
          <w:rFonts w:hint="eastAsia" w:ascii="宋体" w:hAnsi="宋体" w:eastAsia="宋体" w:cs="Times New Roman"/>
          <w:sz w:val="21"/>
          <w:szCs w:val="21"/>
          <w:lang w:val="en-US" w:eastAsia="zh-CN"/>
        </w:rPr>
        <w:t>图 4-6 优惠券使用情况折线图</w:t>
      </w:r>
    </w:p>
    <w:p w14:paraId="7F4583F4">
      <w:pPr>
        <w:ind w:firstLine="420" w:firstLineChars="200"/>
        <w:jc w:val="center"/>
        <w:outlineLvl w:val="9"/>
        <w:rPr>
          <w:rFonts w:ascii="Calibri" w:hAnsi="Calibri" w:eastAsia="宋体" w:cs="Times New Roman"/>
        </w:rPr>
      </w:pPr>
      <w:r>
        <w:rPr>
          <w:rFonts w:hint="eastAsia" w:ascii="Calibri" w:hAnsi="Calibri" w:eastAsia="宋体" w:cs="Times New Roman"/>
        </w:rPr>
        <w:drawing>
          <wp:inline distT="0" distB="0" distL="114300" distR="114300">
            <wp:extent cx="5269865" cy="2954020"/>
            <wp:effectExtent l="0" t="0" r="6985" b="17780"/>
            <wp:docPr id="814769925" name="图片 814769925" descr="76037DEC9E72ABAB27378BB972759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769925" name="图片 814769925" descr="76037DEC9E72ABAB27378BB972759E45"/>
                    <pic:cNvPicPr>
                      <a:picLocks noChangeAspect="1"/>
                    </pic:cNvPicPr>
                  </pic:nvPicPr>
                  <pic:blipFill>
                    <a:blip r:embed="rId482"/>
                    <a:stretch>
                      <a:fillRect/>
                    </a:stretch>
                  </pic:blipFill>
                  <pic:spPr>
                    <a:xfrm>
                      <a:off x="0" y="0"/>
                      <a:ext cx="5269865" cy="2954020"/>
                    </a:xfrm>
                    <a:prstGeom prst="rect">
                      <a:avLst/>
                    </a:prstGeom>
                  </pic:spPr>
                </pic:pic>
              </a:graphicData>
            </a:graphic>
          </wp:inline>
        </w:drawing>
      </w:r>
    </w:p>
    <w:p w14:paraId="28E42765">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图表内容：以多折线形式展示 3000-6000 元、6000-9000 元等 6 个收入分级中，有优惠券、折扣优惠、满减优惠、免费赠品、无优惠券 5 类优惠券使用情况的数量变化（折线起伏对应使用数量的增减），同时标注各优惠券类型在对应收入级别的具体数值（如免费赠品在某收入级别的使用量为 119）。</w:t>
      </w:r>
    </w:p>
    <w:p w14:paraId="53C81BFE">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意义：动态呈现不同收入群体对各类优惠券的使用趋势差异，直观反映收入变化与优惠券偏好的关联规律。</w:t>
      </w:r>
    </w:p>
    <w:p w14:paraId="3EE6B1FF">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作用：快速识别收入分级对应的优惠券偏好（例如中低收入群体对 “免费赠品” 使用量更高、高收入群体 “无优惠券” 使用占比上升），为分收入层级制定优惠券投放策略（如向低薪群体加大免费赠品类优惠发放）、优化优惠资源配置提供收入 - 优惠券维度的决策依据。</w:t>
      </w:r>
    </w:p>
    <w:p w14:paraId="33474B7E">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年龄分布玫瑰图（适配年龄分层的规模分布分析）</w:t>
      </w:r>
    </w:p>
    <w:p w14:paraId="569C13A4">
      <w:pPr>
        <w:tabs>
          <w:tab w:val="left" w:pos="1584"/>
        </w:tabs>
        <w:jc w:val="center"/>
        <w:outlineLvl w:val="9"/>
        <w:rPr>
          <w:rFonts w:hint="default" w:eastAsia="宋体"/>
          <w:sz w:val="21"/>
          <w:szCs w:val="21"/>
          <w:lang w:val="en-US" w:eastAsia="zh-CN"/>
        </w:rPr>
      </w:pPr>
      <w:r>
        <w:rPr>
          <w:rFonts w:hint="eastAsia" w:ascii="宋体" w:hAnsi="宋体" w:eastAsia="宋体" w:cs="Times New Roman"/>
          <w:sz w:val="21"/>
          <w:szCs w:val="21"/>
          <w:lang w:val="en-US" w:eastAsia="zh-CN"/>
        </w:rPr>
        <w:t>图4-7 年龄分布玫瑰图</w:t>
      </w:r>
    </w:p>
    <w:p w14:paraId="51280208">
      <w:pPr>
        <w:keepNext/>
        <w:keepLines/>
        <w:spacing w:before="240" w:after="64" w:line="320" w:lineRule="auto"/>
        <w:ind w:left="1584" w:hanging="1584"/>
        <w:jc w:val="center"/>
        <w:outlineLvl w:val="9"/>
        <w:rPr>
          <w:rFonts w:ascii="Arial" w:hAnsi="Arial" w:eastAsia="黑体" w:cs="Times New Roman"/>
        </w:rPr>
      </w:pPr>
      <w:r>
        <w:rPr>
          <w:rFonts w:ascii="宋体" w:hAnsi="宋体" w:eastAsia="宋体" w:cs="宋体"/>
          <w:sz w:val="24"/>
        </w:rPr>
        <w:drawing>
          <wp:inline distT="0" distB="0" distL="114300" distR="114300">
            <wp:extent cx="2257425" cy="1915160"/>
            <wp:effectExtent l="0" t="0" r="9525" b="8890"/>
            <wp:docPr id="7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1" descr="IMG_256"/>
                    <pic:cNvPicPr>
                      <a:picLocks noChangeAspect="1"/>
                    </pic:cNvPicPr>
                  </pic:nvPicPr>
                  <pic:blipFill>
                    <a:blip r:embed="rId483"/>
                    <a:stretch>
                      <a:fillRect/>
                    </a:stretch>
                  </pic:blipFill>
                  <pic:spPr>
                    <a:xfrm>
                      <a:off x="0" y="0"/>
                      <a:ext cx="2257425" cy="1915160"/>
                    </a:xfrm>
                    <a:prstGeom prst="rect">
                      <a:avLst/>
                    </a:prstGeom>
                    <a:noFill/>
                    <a:ln w="9525">
                      <a:noFill/>
                    </a:ln>
                  </pic:spPr>
                </pic:pic>
              </a:graphicData>
            </a:graphic>
          </wp:inline>
        </w:drawing>
      </w:r>
      <w:r>
        <w:rPr>
          <w:rFonts w:ascii="宋体" w:hAnsi="宋体" w:eastAsia="宋体" w:cs="宋体"/>
          <w:sz w:val="24"/>
        </w:rPr>
        <w:drawing>
          <wp:inline distT="0" distB="0" distL="114300" distR="114300">
            <wp:extent cx="2572385" cy="1911985"/>
            <wp:effectExtent l="0" t="0" r="18415" b="12065"/>
            <wp:docPr id="46317767"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7767" name="图片 12" descr="IMG_256"/>
                    <pic:cNvPicPr>
                      <a:picLocks noChangeAspect="1"/>
                    </pic:cNvPicPr>
                  </pic:nvPicPr>
                  <pic:blipFill>
                    <a:blip r:embed="rId484"/>
                    <a:stretch>
                      <a:fillRect/>
                    </a:stretch>
                  </pic:blipFill>
                  <pic:spPr>
                    <a:xfrm>
                      <a:off x="0" y="0"/>
                      <a:ext cx="2572385" cy="1911985"/>
                    </a:xfrm>
                    <a:prstGeom prst="rect">
                      <a:avLst/>
                    </a:prstGeom>
                    <a:noFill/>
                    <a:ln w="9525">
                      <a:noFill/>
                    </a:ln>
                  </pic:spPr>
                </pic:pic>
              </a:graphicData>
            </a:graphic>
          </wp:inline>
        </w:drawing>
      </w:r>
    </w:p>
    <w:p w14:paraId="06E2BDE8">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图表内容：以玫瑰花瓣形式展示 10-20 岁、20-30 岁、30-40 岁、40-50 岁、50-60 岁、60-70 岁 6 个年龄分层的消费者占比，其中 20-30 岁占 21.14%、40-50 岁占 21%、30-40 岁占 20.53%、50-60 岁占 19.2%、60-70 岁占 11.5%、10-20 岁占 6.63%。</w:t>
      </w:r>
    </w:p>
    <w:p w14:paraId="439C2E52">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意义：直观呈现不同年龄阶段消费者的占比格局，清晰区分各年龄层的规模差异。</w:t>
      </w:r>
    </w:p>
    <w:p w14:paraId="59A9CCBD">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作用：快速识别 20-30 岁、40-50 岁为核心消费群体（占比均超 21%），10-20 岁为小众群体（占比仅 6.63%），为后续分年龄层的产品设计（如向 20-30 岁群体侧重时尚类产品）、营销渠道选择（针对核心年龄层投放广告）提供年龄维度的决策依据。</w:t>
      </w:r>
    </w:p>
    <w:p w14:paraId="62205D67">
      <w:pPr>
        <w:spacing w:line="440" w:lineRule="exact"/>
        <w:ind w:firstLine="480" w:firstLineChars="200"/>
        <w:rPr>
          <w:rFonts w:hint="eastAsia" w:ascii="宋体" w:hAnsi="宋体" w:eastAsia="宋体" w:cs="Times New Roman"/>
          <w:sz w:val="24"/>
        </w:rPr>
      </w:pPr>
    </w:p>
    <w:p w14:paraId="0EAC2418">
      <w:pPr>
        <w:spacing w:line="440" w:lineRule="exact"/>
        <w:ind w:firstLine="480" w:firstLineChars="200"/>
        <w:rPr>
          <w:rFonts w:hint="eastAsia" w:ascii="宋体" w:hAnsi="宋体" w:eastAsia="宋体" w:cs="Times New Roman"/>
          <w:sz w:val="24"/>
        </w:rPr>
      </w:pPr>
    </w:p>
    <w:p w14:paraId="7CF160DE">
      <w:pPr>
        <w:keepNext/>
        <w:keepLines/>
        <w:pageBreakBefore w:val="0"/>
        <w:widowControl w:val="0"/>
        <w:kinsoku/>
        <w:wordWrap/>
        <w:overflowPunct/>
        <w:topLinePunct w:val="0"/>
        <w:autoSpaceDE/>
        <w:autoSpaceDN/>
        <w:bidi w:val="0"/>
        <w:adjustRightInd/>
        <w:snapToGrid/>
        <w:spacing w:line="440" w:lineRule="exact"/>
        <w:ind w:left="42" w:leftChars="20" w:firstLine="480" w:firstLineChars="200"/>
        <w:textAlignment w:val="auto"/>
        <w:outlineLvl w:val="9"/>
        <w:rPr>
          <w:rFonts w:hint="eastAsia" w:ascii="宋体" w:hAnsi="宋体" w:eastAsia="宋体" w:cs="Times New Roman"/>
          <w:sz w:val="24"/>
        </w:rPr>
      </w:pPr>
      <w:r>
        <w:rPr>
          <w:rFonts w:hint="eastAsia" w:ascii="宋体" w:hAnsi="宋体" w:eastAsia="宋体" w:cs="Times New Roman"/>
          <w:sz w:val="24"/>
        </w:rPr>
        <w:t>各购物平台 — 年龄分层分布条形图（适配购物平台与年龄分层的关联分析）</w:t>
      </w:r>
    </w:p>
    <w:p w14:paraId="3647E788">
      <w:pPr>
        <w:keepNext/>
        <w:pageBreakBefore w:val="0"/>
        <w:widowControl w:val="0"/>
        <w:tabs>
          <w:tab w:val="left" w:pos="1584"/>
        </w:tabs>
        <w:kinsoku/>
        <w:wordWrap/>
        <w:overflowPunct/>
        <w:topLinePunct w:val="0"/>
        <w:autoSpaceDE/>
        <w:autoSpaceDN/>
        <w:bidi w:val="0"/>
        <w:adjustRightInd/>
        <w:snapToGrid/>
        <w:jc w:val="center"/>
        <w:textAlignment w:val="auto"/>
        <w:outlineLvl w:val="9"/>
        <w:rPr>
          <w:rFonts w:hint="default" w:eastAsia="黑体"/>
          <w:sz w:val="21"/>
          <w:szCs w:val="21"/>
          <w:lang w:val="en-US" w:eastAsia="zh-CN"/>
        </w:rPr>
      </w:pPr>
      <w:r>
        <w:rPr>
          <w:rFonts w:hint="eastAsia" w:ascii="宋体" w:hAnsi="宋体" w:eastAsia="宋体" w:cs="Times New Roman"/>
          <w:kern w:val="2"/>
          <w:sz w:val="21"/>
          <w:szCs w:val="21"/>
          <w:lang w:val="en-US" w:eastAsia="zh-CN" w:bidi="ar-SA"/>
        </w:rPr>
        <w:t>图4-8 年龄分层分布条形图</w:t>
      </w:r>
    </w:p>
    <w:p w14:paraId="531E0EAC">
      <w:pPr>
        <w:keepNext/>
        <w:pageBreakBefore w:val="0"/>
        <w:widowControl w:val="0"/>
        <w:kinsoku/>
        <w:wordWrap/>
        <w:overflowPunct/>
        <w:topLinePunct w:val="0"/>
        <w:autoSpaceDE/>
        <w:autoSpaceDN/>
        <w:bidi w:val="0"/>
        <w:adjustRightInd/>
        <w:snapToGrid/>
        <w:spacing w:line="279" w:lineRule="auto"/>
        <w:jc w:val="center"/>
        <w:textAlignment w:val="auto"/>
        <w:rPr>
          <w:rFonts w:ascii="Calibri" w:hAnsi="Calibri" w:eastAsia="宋体" w:cs="Times New Roman"/>
        </w:rPr>
      </w:pPr>
      <w:r>
        <w:rPr>
          <w:rFonts w:ascii="宋体" w:hAnsi="宋体" w:eastAsia="宋体" w:cs="宋体"/>
          <w:sz w:val="24"/>
        </w:rPr>
        <w:drawing>
          <wp:inline distT="0" distB="0" distL="114300" distR="114300">
            <wp:extent cx="4222750" cy="2444750"/>
            <wp:effectExtent l="0" t="0" r="6350" b="12700"/>
            <wp:docPr id="23248440"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8440" name="图片 8" descr="IMG_256"/>
                    <pic:cNvPicPr>
                      <a:picLocks noChangeAspect="1"/>
                    </pic:cNvPicPr>
                  </pic:nvPicPr>
                  <pic:blipFill>
                    <a:blip r:embed="rId485"/>
                    <a:stretch>
                      <a:fillRect/>
                    </a:stretch>
                  </pic:blipFill>
                  <pic:spPr>
                    <a:xfrm>
                      <a:off x="0" y="0"/>
                      <a:ext cx="4222750" cy="2444750"/>
                    </a:xfrm>
                    <a:prstGeom prst="rect">
                      <a:avLst/>
                    </a:prstGeom>
                    <a:noFill/>
                    <a:ln w="9525">
                      <a:noFill/>
                    </a:ln>
                  </pic:spPr>
                </pic:pic>
              </a:graphicData>
            </a:graphic>
          </wp:inline>
        </w:drawing>
      </w:r>
    </w:p>
    <w:p w14:paraId="4325B739">
      <w:pPr>
        <w:keepNext/>
        <w:keepLines/>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Times New Roman"/>
          <w:sz w:val="24"/>
        </w:rPr>
      </w:pPr>
      <w:r>
        <w:rPr>
          <w:rFonts w:hint="eastAsia" w:ascii="宋体" w:hAnsi="宋体" w:eastAsia="宋体" w:cs="Times New Roman"/>
          <w:sz w:val="24"/>
        </w:rPr>
        <w:t>图表内容：以分段条形形式展示京东、拼多多、天猫、唯品会、淘宝 5 大购物平台中，10-20 岁、20-30 岁、30-40 岁等 6 个年龄分层的消费者数量分布，不同颜色对应不同年龄分层，条形长度及数值代表对应年龄层在该平台的用户规模。</w:t>
      </w:r>
    </w:p>
    <w:p w14:paraId="18F2DE46">
      <w:pPr>
        <w:keepNext/>
        <w:keepLines/>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eastAsia" w:ascii="宋体" w:hAnsi="宋体" w:eastAsia="宋体" w:cs="Times New Roman"/>
          <w:sz w:val="24"/>
        </w:rPr>
      </w:pPr>
      <w:r>
        <w:rPr>
          <w:rFonts w:hint="eastAsia" w:ascii="宋体" w:hAnsi="宋体" w:eastAsia="宋体" w:cs="Times New Roman"/>
          <w:sz w:val="24"/>
        </w:rPr>
        <w:t>意义：清晰呈现各购物平台的核心年龄用户群体，直观反映平台的用户年龄画像差异。</w:t>
      </w:r>
    </w:p>
    <w:p w14:paraId="3845F1BB">
      <w:pPr>
        <w:keepNext/>
        <w:keepLines/>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ascii="Arial" w:hAnsi="Arial" w:eastAsia="宋体" w:cs="Times New Roman"/>
        </w:rPr>
      </w:pPr>
      <w:r>
        <w:rPr>
          <w:rFonts w:hint="eastAsia" w:ascii="宋体" w:hAnsi="宋体" w:eastAsia="宋体" w:cs="Times New Roman"/>
          <w:sz w:val="24"/>
        </w:rPr>
        <w:t>作用：快速识别各平台的主力用户层（例如拼多多 30-40 岁用户占比最高、淘宝 20-30 岁用户规模较大），为平台的年龄定向运营（如向京东的 40-50 岁用户推送适配品类）、跨平台用户引流提供精准的平台 - 年龄维度依据。</w:t>
      </w:r>
    </w:p>
    <w:p w14:paraId="6E5765A7">
      <w:pPr>
        <w:keepNext/>
        <w:keepLines/>
        <w:pageBreakBefore w:val="0"/>
        <w:widowControl w:val="0"/>
        <w:kinsoku/>
        <w:wordWrap/>
        <w:overflowPunct/>
        <w:topLinePunct w:val="0"/>
        <w:autoSpaceDE/>
        <w:autoSpaceDN/>
        <w:bidi w:val="0"/>
        <w:adjustRightInd/>
        <w:snapToGrid/>
        <w:spacing w:line="440" w:lineRule="exact"/>
        <w:ind w:left="1582" w:hanging="1582"/>
        <w:textAlignment w:val="auto"/>
        <w:outlineLvl w:val="9"/>
        <w:rPr>
          <w:rFonts w:hint="eastAsia" w:ascii="宋体" w:hAnsi="宋体" w:eastAsia="宋体" w:cs="Times New Roman"/>
          <w:sz w:val="24"/>
        </w:rPr>
      </w:pPr>
      <w:r>
        <w:rPr>
          <w:rFonts w:hint="eastAsia" w:ascii="宋体" w:hAnsi="宋体" w:eastAsia="宋体" w:cs="Times New Roman"/>
          <w:sz w:val="24"/>
        </w:rPr>
        <w:t xml:space="preserve">    购物动机 — 性别交叉热力图（适配购物动机与性别关联分析）</w:t>
      </w:r>
    </w:p>
    <w:p w14:paraId="0AF4E07F">
      <w:pPr>
        <w:tabs>
          <w:tab w:val="left" w:pos="1584"/>
        </w:tabs>
        <w:jc w:val="center"/>
        <w:outlineLvl w:val="9"/>
        <w:rPr>
          <w:rFonts w:hint="default" w:eastAsia="宋体"/>
          <w:lang w:val="en-US" w:eastAsia="zh-CN"/>
        </w:rPr>
      </w:pPr>
      <w:r>
        <w:rPr>
          <w:rFonts w:hint="eastAsia" w:ascii="宋体" w:hAnsi="宋体" w:eastAsia="宋体" w:cs="Times New Roman"/>
          <w:sz w:val="24"/>
          <w:lang w:val="en-US" w:eastAsia="zh-CN"/>
        </w:rPr>
        <w:t>图4-9 性别交叉热力图</w:t>
      </w:r>
    </w:p>
    <w:p w14:paraId="29E3A5E4">
      <w:pPr>
        <w:spacing w:after="160" w:line="278" w:lineRule="auto"/>
        <w:jc w:val="center"/>
        <w:rPr>
          <w:rFonts w:ascii="Calibri" w:hAnsi="Calibri" w:eastAsia="宋体" w:cs="Times New Roman"/>
        </w:rPr>
      </w:pPr>
      <w:r>
        <w:rPr>
          <w:rFonts w:ascii="宋体" w:hAnsi="宋体" w:eastAsia="宋体" w:cs="宋体"/>
          <w:sz w:val="24"/>
        </w:rPr>
        <w:drawing>
          <wp:inline distT="0" distB="0" distL="114300" distR="114300">
            <wp:extent cx="3960495" cy="1757045"/>
            <wp:effectExtent l="0" t="0" r="1905" b="14605"/>
            <wp:docPr id="127520909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09097" name="图片 7" descr="IMG_256"/>
                    <pic:cNvPicPr>
                      <a:picLocks noChangeAspect="1"/>
                    </pic:cNvPicPr>
                  </pic:nvPicPr>
                  <pic:blipFill>
                    <a:blip r:embed="rId486"/>
                    <a:stretch>
                      <a:fillRect/>
                    </a:stretch>
                  </pic:blipFill>
                  <pic:spPr>
                    <a:xfrm>
                      <a:off x="0" y="0"/>
                      <a:ext cx="3960495" cy="1757045"/>
                    </a:xfrm>
                    <a:prstGeom prst="rect">
                      <a:avLst/>
                    </a:prstGeom>
                    <a:noFill/>
                    <a:ln w="9525">
                      <a:noFill/>
                    </a:ln>
                  </pic:spPr>
                </pic:pic>
              </a:graphicData>
            </a:graphic>
          </wp:inline>
        </w:drawing>
      </w:r>
    </w:p>
    <w:p w14:paraId="1D5FD6CD">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图表内容：以热力色块形式展示不同购物动机（如日常使用、兴趣爱好等）与性别（男 / 女）的交叉关联，颜色深浅对应交易频次，数值范围覆盖 189-236，深色代表对应 “性别 - 动机” 组合的交易频次更高。</w:t>
      </w:r>
    </w:p>
    <w:p w14:paraId="00C02814">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意义：量化呈现不同性别群体的购物动机偏好差异，直观反映性别与消费驱动因素的关联强度。</w:t>
      </w:r>
    </w:p>
    <w:p w14:paraId="66CE442E">
      <w:pPr>
        <w:keepNext/>
        <w:keepLines/>
        <w:spacing w:line="440" w:lineRule="exact"/>
        <w:ind w:firstLine="480" w:firstLineChars="200"/>
        <w:outlineLvl w:val="9"/>
        <w:rPr>
          <w:rFonts w:hint="eastAsia" w:ascii="宋体" w:hAnsi="宋体" w:eastAsia="宋体" w:cs="Times New Roman"/>
          <w:sz w:val="24"/>
        </w:rPr>
      </w:pPr>
      <w:r>
        <w:rPr>
          <w:rFonts w:hint="eastAsia" w:ascii="宋体" w:hAnsi="宋体" w:eastAsia="宋体" w:cs="Times New Roman"/>
          <w:sz w:val="24"/>
        </w:rPr>
        <w:t>作用：可快速识别性别对应的核心购物动机（例如女性在某类动机下交易频次更高、男性更倾向于另一类动机），为分性别设计营销活动、匹配产品与消费需求提供精准的动机维度依据。</w:t>
      </w:r>
    </w:p>
    <w:p w14:paraId="4FF207DB">
      <w:pPr>
        <w:outlineLvl w:val="9"/>
        <w:sectPr>
          <w:headerReference r:id="rId5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FC3875F">
      <w:pPr>
        <w:pStyle w:val="3"/>
        <w:bidi w:val="0"/>
        <w:rPr>
          <w:rFonts w:hint="eastAsia"/>
        </w:rPr>
      </w:pPr>
      <w:bookmarkStart w:id="1573" w:name="_Toc9252"/>
      <w:bookmarkStart w:id="1574" w:name="_Toc5703"/>
      <w:r>
        <w:rPr>
          <w:rFonts w:hint="eastAsia"/>
          <w:lang w:val="en-US" w:eastAsia="zh-CN"/>
        </w:rPr>
        <w:t>20.</w:t>
      </w:r>
      <w:r>
        <w:rPr>
          <w:rFonts w:hint="eastAsia"/>
        </w:rPr>
        <w:t>基于python的全国本科高校分布分析系统</w:t>
      </w:r>
      <w:bookmarkEnd w:id="1573"/>
      <w:bookmarkEnd w:id="1574"/>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4DAC1B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522A8A1">
            <w:pPr>
              <w:jc w:val="left"/>
              <w:outlineLvl w:val="0"/>
              <w:rPr>
                <w:rFonts w:ascii="Calibri" w:hAnsi="Calibri" w:eastAsia="黑体" w:cs="Times New Roman"/>
                <w:szCs w:val="21"/>
              </w:rPr>
            </w:pPr>
            <w:bookmarkStart w:id="1575" w:name="_Toc22488"/>
            <w:bookmarkStart w:id="1576" w:name="_Toc10418"/>
            <w:r>
              <w:rPr>
                <w:rFonts w:hint="eastAsia" w:ascii="Calibri" w:hAnsi="Calibri" w:eastAsia="黑体" w:cs="Times New Roman"/>
                <w:sz w:val="24"/>
              </w:rPr>
              <w:t>项目主题：基于python的全国本科高校分布分析系统</w:t>
            </w:r>
            <w:bookmarkEnd w:id="1575"/>
            <w:bookmarkEnd w:id="1576"/>
          </w:p>
        </w:tc>
      </w:tr>
      <w:tr w14:paraId="570DC4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E96B795">
            <w:pPr>
              <w:jc w:val="left"/>
              <w:rPr>
                <w:rFonts w:ascii="Calibri" w:hAnsi="Calibri" w:eastAsia="黑体" w:cs="Times New Roman"/>
                <w:sz w:val="24"/>
              </w:rPr>
            </w:pPr>
            <w:r>
              <w:rPr>
                <w:rFonts w:hint="eastAsia" w:ascii="Calibri" w:hAnsi="Calibri" w:eastAsia="黑体" w:cs="Times New Roman"/>
                <w:sz w:val="24"/>
              </w:rPr>
              <w:t>班    级：23数据与科学本科4班</w:t>
            </w:r>
          </w:p>
        </w:tc>
      </w:tr>
      <w:tr w14:paraId="21D3F1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63CB40B">
            <w:pPr>
              <w:jc w:val="left"/>
              <w:rPr>
                <w:rFonts w:ascii="Calibri" w:hAnsi="Calibri" w:eastAsia="黑体" w:cs="Times New Roman"/>
                <w:szCs w:val="21"/>
              </w:rPr>
            </w:pPr>
            <w:r>
              <w:rPr>
                <w:rFonts w:hint="eastAsia" w:ascii="Calibri" w:hAnsi="Calibri" w:eastAsia="黑体" w:cs="Times New Roman"/>
                <w:sz w:val="24"/>
              </w:rPr>
              <w:t>学生姓名：卢萍、赖雪玲、王茗、吴志杰、申耘瑞    指导教师：胡浩</w:t>
            </w:r>
          </w:p>
        </w:tc>
      </w:tr>
    </w:tbl>
    <w:p w14:paraId="5ADAE343">
      <w:pPr>
        <w:spacing w:line="440" w:lineRule="exact"/>
        <w:outlineLvl w:val="9"/>
        <w:rPr>
          <w:rFonts w:hint="eastAsia" w:ascii="宋体" w:hAnsi="宋体" w:eastAsia="宋体" w:cs="宋体"/>
          <w:b/>
          <w:bCs/>
          <w:sz w:val="28"/>
          <w:szCs w:val="28"/>
        </w:rPr>
      </w:pPr>
      <w:bookmarkStart w:id="1577" w:name="_Toc19765"/>
      <w:r>
        <w:rPr>
          <w:rFonts w:hint="eastAsia" w:ascii="宋体" w:hAnsi="宋体" w:eastAsia="宋体" w:cs="宋体"/>
          <w:b/>
          <w:bCs/>
          <w:sz w:val="28"/>
          <w:szCs w:val="28"/>
        </w:rPr>
        <w:t>1.项目概述</w:t>
      </w:r>
      <w:bookmarkEnd w:id="1577"/>
    </w:p>
    <w:p w14:paraId="1A4D7854">
      <w:pPr>
        <w:tabs>
          <w:tab w:val="left" w:pos="1584"/>
        </w:tabs>
        <w:spacing w:before="0" w:after="0" w:line="440" w:lineRule="exact"/>
        <w:ind w:left="0" w:firstLine="480" w:firstLineChars="200"/>
        <w:outlineLvl w:val="9"/>
        <w:rPr>
          <w:rFonts w:hint="eastAsia" w:ascii="宋体" w:hAnsi="宋体" w:eastAsia="宋体" w:cs="宋体"/>
          <w:sz w:val="24"/>
        </w:rPr>
      </w:pPr>
      <w:r>
        <w:rPr>
          <w:rFonts w:hint="eastAsia" w:ascii="宋体" w:hAnsi="宋体" w:eastAsia="宋体" w:cs="宋体"/>
          <w:sz w:val="24"/>
        </w:rPr>
        <w:t>1.1项目介绍</w:t>
      </w:r>
    </w:p>
    <w:p w14:paraId="290DF314">
      <w:pPr>
        <w:tabs>
          <w:tab w:val="left" w:pos="1584"/>
        </w:tabs>
        <w:spacing w:before="0" w:after="0" w:line="440" w:lineRule="exact"/>
        <w:ind w:left="0" w:firstLine="480" w:firstLineChars="200"/>
        <w:outlineLvl w:val="9"/>
        <w:rPr>
          <w:rFonts w:hint="eastAsia" w:ascii="宋体" w:hAnsi="宋体" w:eastAsia="宋体" w:cs="宋体"/>
          <w:sz w:val="24"/>
        </w:rPr>
      </w:pPr>
      <w:r>
        <w:rPr>
          <w:rFonts w:hint="eastAsia" w:ascii="宋体" w:hAnsi="宋体" w:eastAsia="宋体" w:cs="宋体"/>
          <w:sz w:val="24"/>
        </w:rPr>
        <w:t>在数字经济与教育强国战略的双重驱动下，教育数据的资产化价值日益凸显。高等教育作为国家创新体系的核心组成部分，其基础信息的准确性、完整性、时效性直接影响教育资源配置、政策评估、学术研究及社会服务的质量与效率。中华人民共和国教育部作为全国教育事业的最高行政主管机构，定期通过其官方网站向社会发布《全国高等学校名单》等权威数据，这些数据构成了我国高等教育版图的官方“基座”。然而，当前这些极具价值的数据在可利用性层面面临多重挑战。首先，数据呈现形式非结构化。信息通常以静态HTML表格的形式嵌入在网页中，虽对人类阅读友好，却难以被计算机程序直接理解和批量处理。其次，数据质量存在固有缺陷。原始数据中可能包含重复条目、关键信息缺失（如部分院校主管部门未标注）、表述不一致（如“本科层次”与“本科”混用）等问题。再次，数据处理流程低效脆弱。传统依赖人工复制、粘贴、整理的方式，不仅耗时费力、容易出错，更无法适应数据动态更新的需求，难以支持大规模、深层次的数据分析。</w:t>
      </w:r>
    </w:p>
    <w:p w14:paraId="17330176">
      <w:pPr>
        <w:keepNext/>
        <w:keepLines/>
        <w:widowControl w:val="0"/>
        <w:spacing w:before="0" w:after="0" w:line="440" w:lineRule="exact"/>
        <w:ind w:firstLine="480" w:firstLineChars="200"/>
        <w:jc w:val="both"/>
        <w:outlineLvl w:val="9"/>
        <w:rPr>
          <w:rFonts w:hint="eastAsia" w:ascii="宋体" w:hAnsi="宋体" w:eastAsia="宋体" w:cs="宋体"/>
          <w:kern w:val="2"/>
          <w:sz w:val="24"/>
          <w:szCs w:val="24"/>
          <w:lang w:val="en-US" w:eastAsia="zh-CN" w:bidi="ar-SA"/>
        </w:rPr>
      </w:pPr>
      <w:bookmarkStart w:id="1578" w:name="_Toc7135"/>
      <w:r>
        <w:rPr>
          <w:rFonts w:hint="eastAsia" w:ascii="宋体" w:hAnsi="宋体" w:eastAsia="宋体" w:cs="宋体"/>
          <w:kern w:val="2"/>
          <w:sz w:val="24"/>
          <w:szCs w:val="24"/>
          <w:lang w:val="en-US" w:eastAsia="zh-CN" w:bidi="ar-SA"/>
        </w:rPr>
        <w:t>因此，构建一套自动化、智能化、标准化的高校信息数据处理系统，实现从“数据网页”到“知识洞察”的端到端转化，具有重要的现实意义与理论价值。在实践层面，该系统能够为教育行政部门提供实时、准确的数据看板，辅助科学决策；为研究机构提供干净、规范的基础数据集，支撑学术探索；为社会公众提供直观、透明的信息服务。在方法论层面，本研究探索并实践了一套针对权威发布、结构相对规整的表格类数据进行自动化处理的技术路径与工程规范，对提升公共数据资源的开发利用效率具有示范作用。</w:t>
      </w:r>
      <w:bookmarkEnd w:id="1578"/>
    </w:p>
    <w:p w14:paraId="1ACBD261">
      <w:pPr>
        <w:keepNext/>
        <w:keepLines/>
        <w:spacing w:line="440" w:lineRule="exact"/>
        <w:ind w:firstLine="480" w:firstLineChars="200"/>
        <w:outlineLvl w:val="9"/>
      </w:pPr>
      <w:bookmarkStart w:id="1579" w:name="_Toc17167"/>
      <w:r>
        <w:rPr>
          <w:rFonts w:hint="eastAsia" w:ascii="宋体" w:hAnsi="宋体" w:cs="宋体"/>
          <w:sz w:val="24"/>
        </w:rPr>
        <w:t>1.2项目开发环境</w:t>
      </w:r>
      <w:bookmarkEnd w:id="1579"/>
    </w:p>
    <w:p w14:paraId="185283CB">
      <w:pPr>
        <w:keepNext/>
        <w:keepLines/>
        <w:spacing w:line="440" w:lineRule="exact"/>
        <w:ind w:firstLine="480" w:firstLineChars="200"/>
        <w:outlineLvl w:val="9"/>
        <w:rPr>
          <w:rFonts w:hint="eastAsia" w:ascii="宋体" w:hAnsi="宋体" w:cs="宋体"/>
          <w:sz w:val="24"/>
        </w:rPr>
      </w:pPr>
      <w:bookmarkStart w:id="1580" w:name="_Toc30122"/>
      <w:r>
        <w:rPr>
          <w:rFonts w:hint="eastAsia" w:ascii="宋体" w:hAnsi="宋体" w:cs="宋体"/>
          <w:sz w:val="24"/>
        </w:rPr>
        <w:t>本系统的开发与运行基于以下开发环境配置，以支持从数据采集到可视化展示的全链路开发与部署需求：</w:t>
      </w:r>
      <w:bookmarkEnd w:id="1580"/>
    </w:p>
    <w:p w14:paraId="3096D133">
      <w:pPr>
        <w:keepNext/>
        <w:keepLines/>
        <w:spacing w:line="440" w:lineRule="exact"/>
        <w:ind w:firstLine="480" w:firstLineChars="200"/>
        <w:outlineLvl w:val="9"/>
        <w:rPr>
          <w:rFonts w:hint="eastAsia" w:ascii="宋体" w:hAnsi="宋体" w:cs="宋体"/>
          <w:sz w:val="24"/>
        </w:rPr>
      </w:pPr>
      <w:bookmarkStart w:id="1581" w:name="_Toc75"/>
      <w:r>
        <w:rPr>
          <w:rFonts w:hint="eastAsia" w:ascii="宋体" w:hAnsi="宋体" w:cs="宋体"/>
          <w:sz w:val="24"/>
        </w:rPr>
        <w:t>操作系统环境：</w:t>
      </w:r>
      <w:bookmarkEnd w:id="1581"/>
    </w:p>
    <w:p w14:paraId="24E44BD3">
      <w:pPr>
        <w:outlineLvl w:val="9"/>
        <w:sectPr>
          <w:headerReference r:id="rId51" w:type="default"/>
          <w:footerReference r:id="rId5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53D9D44">
      <w:pPr>
        <w:keepNext/>
        <w:keepLines/>
        <w:spacing w:line="440" w:lineRule="exact"/>
        <w:ind w:firstLine="480" w:firstLineChars="200"/>
        <w:outlineLvl w:val="9"/>
        <w:rPr>
          <w:rFonts w:hint="eastAsia" w:ascii="宋体" w:hAnsi="宋体" w:cs="宋体"/>
          <w:sz w:val="24"/>
        </w:rPr>
      </w:pPr>
      <w:bookmarkStart w:id="1582" w:name="_Toc26689"/>
      <w:r>
        <w:rPr>
          <w:rFonts w:hint="eastAsia" w:ascii="宋体" w:hAnsi="宋体" w:cs="宋体"/>
          <w:sz w:val="24"/>
        </w:rPr>
        <w:t>开发平台：Windows 10/11，支持主流IDE和数据库工具</w:t>
      </w:r>
      <w:bookmarkEnd w:id="1582"/>
    </w:p>
    <w:p w14:paraId="07C71BB7">
      <w:pPr>
        <w:keepNext/>
        <w:keepLines/>
        <w:spacing w:line="440" w:lineRule="exact"/>
        <w:ind w:firstLine="480" w:firstLineChars="200"/>
        <w:outlineLvl w:val="9"/>
        <w:rPr>
          <w:rFonts w:hint="eastAsia" w:ascii="宋体" w:hAnsi="宋体" w:cs="宋体"/>
          <w:sz w:val="24"/>
        </w:rPr>
      </w:pPr>
      <w:bookmarkStart w:id="1583" w:name="_Toc31309"/>
      <w:r>
        <w:rPr>
          <w:rFonts w:hint="eastAsia" w:ascii="宋体" w:hAnsi="宋体" w:cs="宋体"/>
          <w:sz w:val="24"/>
        </w:rPr>
        <w:t>服务器环境：Linux（可选部署环境），确保系统长期稳定运行</w:t>
      </w:r>
      <w:bookmarkEnd w:id="1583"/>
    </w:p>
    <w:p w14:paraId="7C7EDF11">
      <w:pPr>
        <w:keepNext/>
        <w:keepLines/>
        <w:spacing w:line="440" w:lineRule="exact"/>
        <w:ind w:firstLine="480" w:firstLineChars="200"/>
        <w:outlineLvl w:val="9"/>
        <w:rPr>
          <w:rFonts w:hint="eastAsia" w:ascii="宋体" w:hAnsi="宋体" w:cs="宋体"/>
          <w:sz w:val="24"/>
        </w:rPr>
      </w:pPr>
      <w:bookmarkStart w:id="1584" w:name="_Toc11004"/>
      <w:r>
        <w:rPr>
          <w:rFonts w:hint="eastAsia" w:ascii="宋体" w:hAnsi="宋体" w:cs="宋体"/>
          <w:sz w:val="24"/>
        </w:rPr>
        <w:t>编程语言与核心版本：</w:t>
      </w:r>
      <w:bookmarkEnd w:id="1584"/>
    </w:p>
    <w:p w14:paraId="2A409A18">
      <w:pPr>
        <w:keepNext/>
        <w:keepLines/>
        <w:spacing w:line="440" w:lineRule="exact"/>
        <w:ind w:firstLine="480" w:firstLineChars="200"/>
        <w:outlineLvl w:val="9"/>
        <w:rPr>
          <w:rFonts w:hint="eastAsia" w:ascii="宋体" w:hAnsi="宋体" w:cs="宋体"/>
          <w:sz w:val="24"/>
        </w:rPr>
      </w:pPr>
      <w:bookmarkStart w:id="1585" w:name="_Toc19870"/>
      <w:r>
        <w:rPr>
          <w:rFonts w:hint="eastAsia" w:ascii="宋体" w:hAnsi="宋体" w:cs="宋体"/>
          <w:sz w:val="24"/>
        </w:rPr>
        <w:t>Python 3.9+：全栈数据处理语言，支持数据采集、清洗、存储及可视化全流程</w:t>
      </w:r>
      <w:bookmarkEnd w:id="1585"/>
    </w:p>
    <w:p w14:paraId="0B645B92">
      <w:pPr>
        <w:keepNext/>
        <w:keepLines/>
        <w:spacing w:line="440" w:lineRule="exact"/>
        <w:ind w:firstLine="480" w:firstLineChars="200"/>
        <w:outlineLvl w:val="9"/>
        <w:rPr>
          <w:rFonts w:hint="eastAsia" w:ascii="宋体" w:hAnsi="宋体" w:cs="宋体"/>
          <w:sz w:val="24"/>
        </w:rPr>
      </w:pPr>
      <w:bookmarkStart w:id="1586" w:name="_Toc32027"/>
      <w:r>
        <w:rPr>
          <w:rFonts w:hint="eastAsia" w:ascii="宋体" w:hAnsi="宋体" w:cs="宋体"/>
          <w:sz w:val="24"/>
        </w:rPr>
        <w:t>开发工具与环境：</w:t>
      </w:r>
      <w:bookmarkEnd w:id="1586"/>
    </w:p>
    <w:p w14:paraId="2419A324">
      <w:pPr>
        <w:keepNext/>
        <w:keepLines/>
        <w:spacing w:line="440" w:lineRule="exact"/>
        <w:ind w:firstLine="480" w:firstLineChars="200"/>
        <w:outlineLvl w:val="9"/>
        <w:rPr>
          <w:rFonts w:hint="eastAsia" w:ascii="宋体" w:hAnsi="宋体" w:cs="宋体"/>
          <w:sz w:val="24"/>
        </w:rPr>
      </w:pPr>
      <w:bookmarkStart w:id="1587" w:name="_Toc18471"/>
      <w:r>
        <w:rPr>
          <w:rFonts w:hint="eastAsia" w:ascii="宋体" w:hAnsi="宋体" w:cs="宋体"/>
          <w:sz w:val="24"/>
        </w:rPr>
        <w:t>PyCharm Professional 2023.1：作为主要集成开发环境，提供代码智能提示、调试支持、版本控制集成与项目管理功能，提升开发效率</w:t>
      </w:r>
      <w:bookmarkEnd w:id="1587"/>
    </w:p>
    <w:p w14:paraId="06947147">
      <w:pPr>
        <w:keepNext/>
        <w:keepLines/>
        <w:spacing w:line="440" w:lineRule="exact"/>
        <w:ind w:firstLine="480" w:firstLineChars="200"/>
        <w:outlineLvl w:val="9"/>
        <w:rPr>
          <w:rFonts w:hint="eastAsia" w:ascii="宋体" w:hAnsi="宋体" w:cs="宋体"/>
          <w:sz w:val="24"/>
        </w:rPr>
      </w:pPr>
      <w:bookmarkStart w:id="1588" w:name="_Toc15209"/>
      <w:r>
        <w:rPr>
          <w:rFonts w:hint="eastAsia" w:ascii="宋体" w:hAnsi="宋体" w:cs="宋体"/>
          <w:sz w:val="24"/>
        </w:rPr>
        <w:t>Jupyter Notebook：用于交互式数据分析、可视化算法验证与原型快速迭代，支持数据预览与图表实时调试。数据库系统与工具：</w:t>
      </w:r>
      <w:bookmarkEnd w:id="1588"/>
    </w:p>
    <w:p w14:paraId="07CA5211">
      <w:pPr>
        <w:keepNext/>
        <w:keepLines/>
        <w:spacing w:line="440" w:lineRule="exact"/>
        <w:ind w:firstLine="480" w:firstLineChars="200"/>
        <w:outlineLvl w:val="9"/>
        <w:rPr>
          <w:rFonts w:hint="eastAsia" w:ascii="宋体" w:hAnsi="宋体" w:cs="宋体"/>
          <w:sz w:val="24"/>
        </w:rPr>
      </w:pPr>
      <w:bookmarkStart w:id="1589" w:name="_Toc419"/>
      <w:r>
        <w:rPr>
          <w:rFonts w:hint="eastAsia" w:ascii="宋体" w:hAnsi="宋体" w:cs="宋体"/>
          <w:sz w:val="24"/>
        </w:rPr>
        <w:t>MySQL 8.0+：作为主数据库，支持JSON字段存储、窗口函数、事务处理等高级特性，满足复杂查询与统计分析需求</w:t>
      </w:r>
      <w:bookmarkEnd w:id="1589"/>
    </w:p>
    <w:p w14:paraId="77BAFC29">
      <w:pPr>
        <w:keepNext/>
        <w:keepLines/>
        <w:spacing w:line="440" w:lineRule="exact"/>
        <w:ind w:firstLine="480" w:firstLineChars="200"/>
        <w:outlineLvl w:val="9"/>
        <w:rPr>
          <w:rFonts w:hint="eastAsia" w:ascii="宋体" w:hAnsi="宋体" w:cs="宋体"/>
          <w:sz w:val="24"/>
        </w:rPr>
      </w:pPr>
      <w:bookmarkStart w:id="1590" w:name="_Toc883"/>
      <w:r>
        <w:rPr>
          <w:rFonts w:hint="eastAsia" w:ascii="宋体" w:hAnsi="宋体" w:cs="宋体"/>
          <w:sz w:val="24"/>
        </w:rPr>
        <w:t>Navicat Premium：作为数据库管理工具，支持数据建模、SQL调试、数据导入导出与可视化查询，提升开发与维护效率</w:t>
      </w:r>
      <w:bookmarkEnd w:id="1590"/>
    </w:p>
    <w:p w14:paraId="5B68B49E">
      <w:pPr>
        <w:keepNext/>
        <w:keepLines/>
        <w:spacing w:line="440" w:lineRule="exact"/>
        <w:ind w:firstLine="480" w:firstLineChars="200"/>
        <w:outlineLvl w:val="9"/>
        <w:rPr>
          <w:rFonts w:hint="eastAsia" w:ascii="宋体" w:hAnsi="宋体" w:cs="宋体"/>
          <w:sz w:val="24"/>
        </w:rPr>
      </w:pPr>
      <w:bookmarkStart w:id="1591" w:name="_Toc817"/>
      <w:r>
        <w:rPr>
          <w:rFonts w:hint="eastAsia" w:ascii="宋体" w:hAnsi="宋体" w:cs="宋体"/>
          <w:sz w:val="24"/>
        </w:rPr>
        <w:t>数据可视化工具：山海鲸可视化平台：用于实现数据驱动的动态交互式大屏展示，支持多图表联动、实时数据更新与地图可视化，用于生成最终汇报展示的可视化大屏</w:t>
      </w:r>
      <w:bookmarkEnd w:id="1591"/>
    </w:p>
    <w:p w14:paraId="5AE5F7D3">
      <w:pPr>
        <w:keepNext/>
        <w:keepLines/>
        <w:spacing w:line="440" w:lineRule="exact"/>
        <w:ind w:firstLine="480" w:firstLineChars="200"/>
        <w:outlineLvl w:val="9"/>
        <w:rPr>
          <w:rFonts w:hint="eastAsia" w:ascii="宋体" w:hAnsi="宋体" w:cs="宋体"/>
          <w:sz w:val="24"/>
        </w:rPr>
      </w:pPr>
      <w:bookmarkStart w:id="1592" w:name="_Toc5253"/>
      <w:r>
        <w:rPr>
          <w:rFonts w:hint="eastAsia" w:ascii="宋体" w:hAnsi="宋体" w:cs="宋体"/>
          <w:sz w:val="24"/>
        </w:rPr>
        <w:t>依赖库与技术栈：</w:t>
      </w:r>
      <w:bookmarkEnd w:id="1592"/>
    </w:p>
    <w:p w14:paraId="43613F1B">
      <w:pPr>
        <w:keepNext/>
        <w:keepLines/>
        <w:spacing w:line="440" w:lineRule="exact"/>
        <w:ind w:firstLine="480" w:firstLineChars="200"/>
        <w:outlineLvl w:val="9"/>
        <w:rPr>
          <w:rFonts w:hint="eastAsia" w:ascii="宋体" w:hAnsi="宋体" w:cs="宋体"/>
          <w:sz w:val="24"/>
        </w:rPr>
      </w:pPr>
      <w:bookmarkStart w:id="1593" w:name="_Toc14931"/>
      <w:r>
        <w:rPr>
          <w:rFonts w:hint="eastAsia" w:ascii="宋体" w:hAnsi="宋体" w:cs="宋体"/>
          <w:sz w:val="24"/>
        </w:rPr>
        <w:t>数据采集层：requests, beautifulsoup4</w:t>
      </w:r>
      <w:bookmarkEnd w:id="1593"/>
    </w:p>
    <w:p w14:paraId="04BEC667">
      <w:pPr>
        <w:keepNext/>
        <w:keepLines/>
        <w:spacing w:line="440" w:lineRule="exact"/>
        <w:ind w:firstLine="480" w:firstLineChars="200"/>
        <w:outlineLvl w:val="9"/>
        <w:rPr>
          <w:rFonts w:hint="eastAsia" w:ascii="宋体" w:hAnsi="宋体" w:cs="宋体"/>
          <w:sz w:val="24"/>
        </w:rPr>
      </w:pPr>
      <w:bookmarkStart w:id="1594" w:name="_Toc22840"/>
      <w:r>
        <w:rPr>
          <w:rFonts w:hint="eastAsia" w:ascii="宋体" w:hAnsi="宋体" w:cs="宋体"/>
          <w:sz w:val="24"/>
        </w:rPr>
        <w:t>数据处理层：pandas, numpy</w:t>
      </w:r>
      <w:bookmarkEnd w:id="1594"/>
    </w:p>
    <w:p w14:paraId="25CE1DDC">
      <w:pPr>
        <w:keepNext/>
        <w:keepLines/>
        <w:spacing w:line="440" w:lineRule="exact"/>
        <w:ind w:firstLine="480" w:firstLineChars="200"/>
        <w:outlineLvl w:val="9"/>
        <w:rPr>
          <w:rFonts w:hint="eastAsia" w:ascii="宋体" w:hAnsi="宋体" w:cs="宋体"/>
          <w:sz w:val="24"/>
        </w:rPr>
      </w:pPr>
      <w:bookmarkStart w:id="1595" w:name="_Toc12946"/>
      <w:r>
        <w:rPr>
          <w:rFonts w:hint="eastAsia" w:ascii="宋体" w:hAnsi="宋体" w:cs="宋体"/>
          <w:sz w:val="24"/>
        </w:rPr>
        <w:t>数据存储层：pymysql, csv</w:t>
      </w:r>
      <w:bookmarkEnd w:id="1595"/>
    </w:p>
    <w:p w14:paraId="6F5C3C7D">
      <w:pPr>
        <w:keepNext/>
        <w:keepLines/>
        <w:spacing w:line="440" w:lineRule="exact"/>
        <w:ind w:firstLine="480" w:firstLineChars="200"/>
        <w:outlineLvl w:val="9"/>
        <w:rPr>
          <w:rFonts w:hint="eastAsia" w:ascii="宋体" w:hAnsi="宋体" w:cs="宋体"/>
          <w:sz w:val="24"/>
        </w:rPr>
      </w:pPr>
      <w:bookmarkStart w:id="1596" w:name="_Toc3992"/>
      <w:r>
        <w:rPr>
          <w:rFonts w:hint="eastAsia" w:ascii="宋体" w:hAnsi="宋体" w:cs="宋体"/>
          <w:sz w:val="24"/>
        </w:rPr>
        <w:t>可视化开发层：matplotlib, seaborn（用于静态图表生成）</w:t>
      </w:r>
      <w:bookmarkEnd w:id="1596"/>
    </w:p>
    <w:p w14:paraId="408970C2">
      <w:pPr>
        <w:keepNext/>
        <w:keepLines/>
        <w:spacing w:line="440" w:lineRule="exact"/>
        <w:ind w:firstLine="480" w:firstLineChars="200"/>
        <w:outlineLvl w:val="9"/>
        <w:rPr>
          <w:rFonts w:hint="eastAsia" w:ascii="宋体" w:hAnsi="宋体" w:cs="宋体"/>
          <w:sz w:val="24"/>
        </w:rPr>
      </w:pPr>
      <w:bookmarkStart w:id="1597" w:name="_Toc23478"/>
      <w:r>
        <w:rPr>
          <w:rFonts w:hint="eastAsia" w:ascii="宋体" w:hAnsi="宋体" w:cs="宋体"/>
          <w:sz w:val="24"/>
        </w:rPr>
        <w:t>系统支持库：logging, time, random, datetime, json, os, sys</w:t>
      </w:r>
      <w:bookmarkEnd w:id="1597"/>
    </w:p>
    <w:p w14:paraId="73B7AB4C">
      <w:pPr>
        <w:keepNext/>
        <w:keepLines/>
        <w:spacing w:line="440" w:lineRule="exact"/>
        <w:ind w:firstLine="480" w:firstLineChars="200"/>
        <w:outlineLvl w:val="9"/>
        <w:rPr>
          <w:rFonts w:hint="eastAsia" w:ascii="宋体" w:hAnsi="宋体" w:cs="宋体"/>
          <w:sz w:val="24"/>
        </w:rPr>
      </w:pPr>
      <w:bookmarkStart w:id="1598" w:name="_Toc12919"/>
      <w:r>
        <w:rPr>
          <w:rFonts w:hint="eastAsia" w:ascii="宋体" w:hAnsi="宋体" w:cs="宋体"/>
          <w:sz w:val="24"/>
        </w:rPr>
        <w:t>协作与部署工具：Git + GitHub/Gitee：版本控制与团队协作；Docker（可选）：环境容器化部署；Markdown + Typora：技术文档撰写</w:t>
      </w:r>
      <w:bookmarkEnd w:id="1598"/>
    </w:p>
    <w:p w14:paraId="6833873B">
      <w:pPr>
        <w:keepNext/>
        <w:keepLines/>
        <w:spacing w:line="440" w:lineRule="exact"/>
        <w:ind w:firstLine="480" w:firstLineChars="200"/>
        <w:outlineLvl w:val="9"/>
        <w:rPr>
          <w:rFonts w:hint="eastAsia" w:ascii="宋体" w:hAnsi="宋体" w:cs="宋体"/>
          <w:sz w:val="24"/>
        </w:rPr>
      </w:pPr>
      <w:bookmarkStart w:id="1599" w:name="_Toc3793"/>
      <w:r>
        <w:rPr>
          <w:rFonts w:hint="eastAsia" w:ascii="宋体" w:hAnsi="宋体" w:cs="宋体"/>
          <w:sz w:val="24"/>
        </w:rPr>
        <w:t>硬件与网络要求：内存：≥16GB RAM（建议配置，支持多工具并行运行）存储：≥100GB可用空间（用于数据存储与可视化资源）网络：稳定互联网连接，支持数据采集与工具更新</w:t>
      </w:r>
      <w:bookmarkEnd w:id="1599"/>
    </w:p>
    <w:p w14:paraId="1BD7CFC2">
      <w:pPr>
        <w:keepNext/>
        <w:keepLines/>
        <w:spacing w:line="440" w:lineRule="exact"/>
        <w:ind w:firstLine="480" w:firstLineChars="200"/>
        <w:outlineLvl w:val="9"/>
        <w:rPr>
          <w:rFonts w:hint="eastAsia" w:ascii="宋体" w:hAnsi="宋体" w:eastAsia="宋体" w:cs="宋体"/>
          <w:b/>
          <w:bCs/>
        </w:rPr>
      </w:pPr>
      <w:bookmarkStart w:id="1600" w:name="_Toc25118"/>
      <w:r>
        <w:rPr>
          <w:rFonts w:hint="eastAsia" w:ascii="宋体" w:hAnsi="宋体" w:cs="宋体"/>
          <w:sz w:val="24"/>
        </w:rPr>
        <w:t>该环境构建了一套从开发调试到可视化呈现的完整工具链，兼顾开发效率、系统稳定性与成果展示的专业性，能够有效支撑项目从原型验证到产品化落地的全周期开发需求。</w:t>
      </w:r>
      <w:bookmarkEnd w:id="1600"/>
      <w:bookmarkStart w:id="1601" w:name="_Toc894"/>
    </w:p>
    <w:p w14:paraId="4149F97A">
      <w:pPr>
        <w:keepNext/>
        <w:keepLines/>
        <w:widowControl w:val="0"/>
        <w:spacing w:before="0" w:after="0" w:line="440" w:lineRule="exact"/>
        <w:ind w:firstLine="480" w:firstLineChars="200"/>
        <w:jc w:val="both"/>
        <w:outlineLvl w:val="9"/>
        <w:rPr>
          <w:rFonts w:hint="eastAsia" w:ascii="宋体" w:hAnsi="宋体" w:eastAsia="宋体" w:cs="宋体"/>
          <w:b/>
          <w:bCs/>
          <w:kern w:val="2"/>
          <w:sz w:val="24"/>
          <w:szCs w:val="24"/>
          <w:lang w:val="en-US" w:eastAsia="zh-CN" w:bidi="ar-SA"/>
        </w:rPr>
      </w:pPr>
      <w:bookmarkStart w:id="1602" w:name="_Toc20635"/>
      <w:r>
        <w:rPr>
          <w:rFonts w:hint="eastAsia" w:ascii="宋体" w:hAnsi="宋体" w:eastAsia="宋体" w:cs="宋体"/>
          <w:kern w:val="2"/>
          <w:sz w:val="24"/>
          <w:szCs w:val="24"/>
          <w:lang w:val="en-US" w:eastAsia="zh-CN" w:bidi="ar-SA"/>
        </w:rPr>
        <w:t>1.3</w:t>
      </w:r>
      <w:bookmarkEnd w:id="1601"/>
      <w:r>
        <w:rPr>
          <w:rFonts w:hint="eastAsia" w:ascii="宋体" w:hAnsi="宋体" w:eastAsia="宋体" w:cs="宋体"/>
          <w:kern w:val="2"/>
          <w:sz w:val="24"/>
          <w:szCs w:val="24"/>
          <w:lang w:val="en-US" w:eastAsia="zh-CN" w:bidi="ar-SA"/>
        </w:rPr>
        <w:t>研究目标与主要内容</w:t>
      </w:r>
      <w:bookmarkEnd w:id="1602"/>
    </w:p>
    <w:p w14:paraId="4DF49968">
      <w:pPr>
        <w:keepNext/>
        <w:keepLines/>
        <w:widowControl w:val="0"/>
        <w:spacing w:before="0" w:after="0" w:line="440" w:lineRule="exact"/>
        <w:ind w:firstLine="480" w:firstLineChars="200"/>
        <w:jc w:val="both"/>
        <w:outlineLvl w:val="9"/>
        <w:rPr>
          <w:rFonts w:hint="eastAsia" w:ascii="宋体" w:hAnsi="宋体" w:eastAsia="宋体" w:cs="宋体"/>
          <w:kern w:val="2"/>
          <w:sz w:val="24"/>
          <w:szCs w:val="24"/>
          <w:lang w:val="en-US" w:eastAsia="zh-CN" w:bidi="ar-SA"/>
        </w:rPr>
      </w:pPr>
      <w:bookmarkStart w:id="1603" w:name="_Toc10153"/>
      <w:r>
        <w:rPr>
          <w:rFonts w:hint="eastAsia" w:ascii="宋体" w:hAnsi="宋体" w:eastAsia="宋体" w:cs="宋体"/>
          <w:kern w:val="2"/>
          <w:sz w:val="24"/>
          <w:szCs w:val="24"/>
          <w:lang w:val="en-US" w:eastAsia="zh-CN" w:bidi="ar-SA"/>
        </w:rPr>
        <w:t>本研究的核心目标是：设计并实现一个高可靠性、高自动化程度的高校信息数据处理系统，将教育部官网的非结构化表格数据，转化为可用于深度分析与决策支持的结构化知识与可视化洞察。为实现这一目标，本文主要研究内容包括：</w:t>
      </w:r>
      <w:bookmarkEnd w:id="1603"/>
    </w:p>
    <w:p w14:paraId="3BAE0DB0">
      <w:pPr>
        <w:keepNext/>
        <w:keepLines/>
        <w:widowControl w:val="0"/>
        <w:spacing w:before="0" w:after="0" w:line="440" w:lineRule="exact"/>
        <w:ind w:firstLine="480" w:firstLineChars="200"/>
        <w:jc w:val="both"/>
        <w:outlineLvl w:val="9"/>
        <w:rPr>
          <w:rFonts w:hint="eastAsia" w:ascii="宋体" w:hAnsi="宋体" w:eastAsia="黑体" w:cs="宋体"/>
          <w:b/>
          <w:bCs/>
          <w:kern w:val="2"/>
          <w:sz w:val="24"/>
          <w:szCs w:val="24"/>
          <w:lang w:val="en-US" w:eastAsia="zh-CN" w:bidi="ar-SA"/>
        </w:rPr>
      </w:pPr>
      <w:bookmarkStart w:id="1604" w:name="_Toc26588"/>
      <w:r>
        <w:rPr>
          <w:rFonts w:hint="eastAsia" w:ascii="宋体" w:hAnsi="宋体" w:eastAsia="宋体" w:cs="宋体"/>
          <w:kern w:val="2"/>
          <w:sz w:val="24"/>
          <w:szCs w:val="24"/>
          <w:lang w:val="en-US" w:eastAsia="zh-CN" w:bidi="ar-SA"/>
        </w:rPr>
        <w:t>数据采集方案设计：研究针对目标官网的稳健爬虫策略，解决反爬虫、页面解析、编码处理等问题，确保原始数据完整、准确获取。数据清洗规则制定与实现：系统分析原始数据质量痛点，设计一套完整的数据清洗规则集，并利用Python数据处理库实现自动化清洗流程，产出高质量的结构化数据集。数据库存储模型设计：根据高校数据特性和未来分析需求，设计合理的数据库表结构，确保数据存储的效率、一致性与可扩展性，并实现自动化写入机制。多维可视化分析模块开发：基于清洗后的数据，规划多个分析主题与视角，设计并实现一系列静态与交互式可视化图表，将数据转化为直观、易懂的视觉语言。系统集成与工程化实践：将上述模块整合为一个协调运作的系统，关注配置管理、错误处理、日志记录、运行调度等工程细节，形成一套可部署、可维护的解决方案。</w:t>
      </w:r>
      <w:bookmarkEnd w:id="1604"/>
      <w:bookmarkStart w:id="1605" w:name="_Toc13327"/>
    </w:p>
    <w:p w14:paraId="1F4FE9CA">
      <w:pPr>
        <w:spacing w:line="440" w:lineRule="exact"/>
        <w:ind w:firstLine="480" w:firstLineChars="200"/>
        <w:outlineLvl w:val="9"/>
        <w:rPr>
          <w:rFonts w:hint="eastAsia" w:ascii="宋体" w:hAnsi="宋体" w:cs="宋体"/>
          <w:sz w:val="24"/>
        </w:rPr>
      </w:pPr>
      <w:r>
        <w:rPr>
          <w:rFonts w:hint="eastAsia" w:ascii="宋体" w:hAnsi="宋体" w:cs="宋体"/>
          <w:sz w:val="24"/>
        </w:rPr>
        <w:t>1.4 小组人员及分工</w:t>
      </w:r>
    </w:p>
    <w:p w14:paraId="4A1E57A9">
      <w:pPr>
        <w:bidi w:val="0"/>
        <w:jc w:val="center"/>
        <w:rPr>
          <w:rFonts w:hint="default" w:eastAsiaTheme="minorEastAsia"/>
          <w:lang w:val="en-US" w:eastAsia="zh-CN"/>
        </w:rPr>
      </w:pPr>
      <w:r>
        <w:rPr>
          <w:rFonts w:hint="eastAsia" w:asciiTheme="minorHAnsi" w:eastAsiaTheme="minorEastAsia"/>
          <w:lang w:val="en-US" w:eastAsia="zh-CN"/>
        </w:rPr>
        <w:t>表1-1 小组人员及分工</w:t>
      </w:r>
    </w:p>
    <w:tbl>
      <w:tblPr>
        <w:tblStyle w:val="36"/>
        <w:tblW w:w="84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6"/>
        <w:gridCol w:w="7273"/>
      </w:tblGrid>
      <w:tr w14:paraId="4AA7D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1146" w:type="dxa"/>
            <w:vAlign w:val="center"/>
          </w:tcPr>
          <w:p w14:paraId="57C89D7C">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成员</w:t>
            </w:r>
          </w:p>
        </w:tc>
        <w:tc>
          <w:tcPr>
            <w:tcW w:w="7273" w:type="dxa"/>
            <w:vAlign w:val="center"/>
          </w:tcPr>
          <w:p w14:paraId="464E733E">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分工</w:t>
            </w:r>
          </w:p>
        </w:tc>
      </w:tr>
      <w:tr w14:paraId="338C5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1146" w:type="dxa"/>
            <w:vAlign w:val="center"/>
          </w:tcPr>
          <w:p w14:paraId="24429FE3">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卢萍</w:t>
            </w:r>
          </w:p>
        </w:tc>
        <w:tc>
          <w:tcPr>
            <w:tcW w:w="7273" w:type="dxa"/>
            <w:vAlign w:val="center"/>
          </w:tcPr>
          <w:p w14:paraId="2AFC7E77">
            <w:pPr>
              <w:keepNext/>
              <w:keepLines/>
              <w:spacing w:line="440" w:lineRule="exact"/>
              <w:ind w:firstLine="480" w:firstLineChars="200"/>
              <w:jc w:val="left"/>
              <w:outlineLvl w:val="8"/>
              <w:rPr>
                <w:rFonts w:hint="eastAsia" w:asciiTheme="minorEastAsia" w:hAnsiTheme="minorEastAsia" w:cstheme="minorEastAsia"/>
                <w:sz w:val="24"/>
              </w:rPr>
            </w:pPr>
            <w:r>
              <w:rPr>
                <w:rFonts w:hint="eastAsia" w:asciiTheme="minorEastAsia" w:hAnsiTheme="minorEastAsia" w:cstheme="minorEastAsia"/>
                <w:sz w:val="24"/>
              </w:rPr>
              <w:t>完成数据爬取 / 清洗 / MySQL 入库，预测算法，设计并生成所有标准化数据文件，完成可视化大屏的布局、图表配置、交互逻辑与最终渲染，统筹项目全流程进度，制作ppt及汇报项目</w:t>
            </w:r>
          </w:p>
        </w:tc>
      </w:tr>
      <w:tr w14:paraId="74132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1146" w:type="dxa"/>
            <w:vAlign w:val="center"/>
          </w:tcPr>
          <w:p w14:paraId="2A9171F6">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赖雪玲</w:t>
            </w:r>
          </w:p>
        </w:tc>
        <w:tc>
          <w:tcPr>
            <w:tcW w:w="7273" w:type="dxa"/>
            <w:vAlign w:val="center"/>
          </w:tcPr>
          <w:p w14:paraId="28CDA3D7">
            <w:pPr>
              <w:keepNext/>
              <w:keepLines/>
              <w:spacing w:line="440" w:lineRule="exact"/>
              <w:ind w:firstLine="480" w:firstLineChars="200"/>
              <w:jc w:val="left"/>
              <w:outlineLvl w:val="8"/>
              <w:rPr>
                <w:rFonts w:hint="eastAsia" w:asciiTheme="minorEastAsia" w:hAnsiTheme="minorEastAsia" w:cstheme="minorEastAsia"/>
                <w:sz w:val="24"/>
              </w:rPr>
            </w:pPr>
            <w:r>
              <w:rPr>
                <w:rFonts w:asciiTheme="minorEastAsia" w:hAnsiTheme="minorEastAsia" w:cstheme="minorEastAsia"/>
                <w:sz w:val="24"/>
              </w:rPr>
              <w:t>协同完成数据爬取并独立撰写项目所有设计文档</w:t>
            </w:r>
            <w:r>
              <w:rPr>
                <w:rFonts w:hint="eastAsia" w:asciiTheme="minorEastAsia" w:hAnsiTheme="minorEastAsia" w:cstheme="minorEastAsia"/>
                <w:sz w:val="24"/>
              </w:rPr>
              <w:t>，</w:t>
            </w:r>
            <w:r>
              <w:rPr>
                <w:rFonts w:asciiTheme="minorEastAsia" w:hAnsiTheme="minorEastAsia" w:cstheme="minorEastAsia"/>
                <w:sz w:val="24"/>
              </w:rPr>
              <w:t>包括数据需求分析、文档持久性、数据清洗</w:t>
            </w:r>
            <w:r>
              <w:rPr>
                <w:rFonts w:hint="eastAsia" w:asciiTheme="minorEastAsia" w:hAnsiTheme="minorEastAsia" w:cstheme="minorEastAsia"/>
                <w:sz w:val="24"/>
              </w:rPr>
              <w:t>和绘图</w:t>
            </w:r>
            <w:r>
              <w:rPr>
                <w:rFonts w:asciiTheme="minorEastAsia" w:hAnsiTheme="minorEastAsia" w:cstheme="minorEastAsia"/>
                <w:sz w:val="24"/>
              </w:rPr>
              <w:t>等项目设计说明书</w:t>
            </w:r>
          </w:p>
        </w:tc>
      </w:tr>
      <w:tr w14:paraId="23FA4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trPr>
        <w:tc>
          <w:tcPr>
            <w:tcW w:w="1146" w:type="dxa"/>
            <w:vAlign w:val="center"/>
          </w:tcPr>
          <w:p w14:paraId="1EF70AB9">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王茗</w:t>
            </w:r>
          </w:p>
        </w:tc>
        <w:tc>
          <w:tcPr>
            <w:tcW w:w="7273" w:type="dxa"/>
            <w:vAlign w:val="center"/>
          </w:tcPr>
          <w:p w14:paraId="0663211E">
            <w:pPr>
              <w:keepNext/>
              <w:keepLines/>
              <w:spacing w:line="440" w:lineRule="exact"/>
              <w:ind w:firstLine="480" w:firstLineChars="200"/>
              <w:outlineLvl w:val="8"/>
              <w:rPr>
                <w:rFonts w:hint="eastAsia" w:asciiTheme="minorEastAsia" w:hAnsiTheme="minorEastAsia" w:cstheme="minorEastAsia"/>
                <w:sz w:val="24"/>
              </w:rPr>
            </w:pPr>
            <w:r>
              <w:rPr>
                <w:rFonts w:asciiTheme="minorEastAsia" w:hAnsiTheme="minorEastAsia" w:cstheme="minorEastAsia"/>
                <w:sz w:val="24"/>
              </w:rPr>
              <w:t>配合完成数据爬取及设计全国高校办学性质统计图，各省各类办学性质统计图和全国公办院校省份数量统计词云图</w:t>
            </w:r>
          </w:p>
        </w:tc>
      </w:tr>
      <w:tr w14:paraId="260A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trPr>
        <w:tc>
          <w:tcPr>
            <w:tcW w:w="1146" w:type="dxa"/>
            <w:vAlign w:val="center"/>
          </w:tcPr>
          <w:p w14:paraId="52AD0861">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吴志杰</w:t>
            </w:r>
          </w:p>
        </w:tc>
        <w:tc>
          <w:tcPr>
            <w:tcW w:w="7273" w:type="dxa"/>
            <w:vAlign w:val="center"/>
          </w:tcPr>
          <w:p w14:paraId="53274EE6">
            <w:pPr>
              <w:keepNext/>
              <w:keepLines/>
              <w:spacing w:line="440" w:lineRule="exact"/>
              <w:ind w:firstLine="480" w:firstLineChars="200"/>
              <w:jc w:val="left"/>
              <w:outlineLvl w:val="8"/>
              <w:rPr>
                <w:rFonts w:hint="eastAsia" w:asciiTheme="minorEastAsia" w:hAnsiTheme="minorEastAsia" w:cstheme="minorEastAsia"/>
                <w:sz w:val="24"/>
              </w:rPr>
            </w:pPr>
            <w:r>
              <w:rPr>
                <w:rFonts w:asciiTheme="minorEastAsia" w:hAnsiTheme="minorEastAsia" w:cstheme="minorEastAsia"/>
                <w:sz w:val="24"/>
              </w:rPr>
              <w:t>协助数据入库及设计全国本科高校办学层次，核心学科及特色专业说明图，全国各省本科上线率折线图</w:t>
            </w:r>
          </w:p>
        </w:tc>
      </w:tr>
      <w:tr w14:paraId="71288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1146" w:type="dxa"/>
            <w:vAlign w:val="center"/>
          </w:tcPr>
          <w:p w14:paraId="020F5C01">
            <w:pPr>
              <w:keepNext/>
              <w:keepLines/>
              <w:spacing w:line="440" w:lineRule="exact"/>
              <w:jc w:val="center"/>
              <w:outlineLvl w:val="8"/>
              <w:rPr>
                <w:rFonts w:hint="eastAsia" w:asciiTheme="minorEastAsia" w:hAnsiTheme="minorEastAsia" w:cstheme="minorEastAsia"/>
                <w:sz w:val="24"/>
              </w:rPr>
            </w:pPr>
            <w:r>
              <w:rPr>
                <w:rFonts w:hint="eastAsia" w:asciiTheme="minorEastAsia" w:hAnsiTheme="minorEastAsia" w:cstheme="minorEastAsia"/>
                <w:sz w:val="24"/>
              </w:rPr>
              <w:t>申耘瑞</w:t>
            </w:r>
          </w:p>
        </w:tc>
        <w:tc>
          <w:tcPr>
            <w:tcW w:w="7273" w:type="dxa"/>
            <w:vAlign w:val="center"/>
          </w:tcPr>
          <w:p w14:paraId="22494D56">
            <w:pPr>
              <w:keepNext/>
              <w:keepLines/>
              <w:spacing w:line="440" w:lineRule="exact"/>
              <w:ind w:firstLine="480" w:firstLineChars="200"/>
              <w:jc w:val="left"/>
              <w:outlineLvl w:val="8"/>
              <w:rPr>
                <w:rFonts w:hint="eastAsia" w:asciiTheme="minorEastAsia" w:hAnsiTheme="minorEastAsia" w:cstheme="minorEastAsia"/>
                <w:sz w:val="24"/>
              </w:rPr>
            </w:pPr>
            <w:r>
              <w:rPr>
                <w:rFonts w:hint="eastAsia" w:asciiTheme="minorEastAsia" w:hAnsiTheme="minorEastAsia" w:cstheme="minorEastAsia"/>
                <w:sz w:val="24"/>
              </w:rPr>
              <w:t>辅助完成数据清洗及设计大屏中气泡图、环形图（学校类型占比图，各省本科院校数量分布）</w:t>
            </w:r>
          </w:p>
        </w:tc>
      </w:tr>
      <w:bookmarkEnd w:id="1605"/>
    </w:tbl>
    <w:p w14:paraId="3BD691C1">
      <w:pPr>
        <w:spacing w:line="440" w:lineRule="exact"/>
        <w:rPr>
          <w:rFonts w:hint="eastAsia" w:ascii="宋体" w:hAnsi="宋体" w:cs="宋体"/>
          <w:sz w:val="24"/>
        </w:rPr>
      </w:pPr>
      <w:r>
        <w:rPr>
          <w:rFonts w:hint="eastAsia" w:ascii="宋体" w:hAnsi="宋体" w:cs="宋体"/>
          <w:b/>
          <w:bCs/>
          <w:sz w:val="28"/>
          <w:szCs w:val="28"/>
        </w:rPr>
        <w:t>2 需求分析</w:t>
      </w:r>
    </w:p>
    <w:p w14:paraId="31A25D60">
      <w:pPr>
        <w:widowControl/>
        <w:shd w:val="clear" w:color="auto" w:fill="FFFFFF"/>
        <w:spacing w:beforeAutospacing="0" w:afterAutospacing="0" w:line="440" w:lineRule="exact"/>
        <w:ind w:firstLine="480" w:firstLineChars="200"/>
        <w:outlineLvl w:val="9"/>
        <w:rPr>
          <w:rFonts w:hint="eastAsia" w:ascii="宋体" w:hAnsi="宋体" w:eastAsia="宋体" w:cs="宋体"/>
          <w:bCs/>
          <w:color w:val="0F1115"/>
          <w:sz w:val="24"/>
          <w:szCs w:val="24"/>
          <w:lang w:val="en-US" w:eastAsia="zh-CN" w:bidi="ar-SA"/>
        </w:rPr>
      </w:pPr>
      <w:bookmarkStart w:id="1606" w:name="_Toc2957"/>
      <w:r>
        <w:rPr>
          <w:rFonts w:hint="eastAsia" w:ascii="宋体" w:hAnsi="宋体" w:eastAsia="宋体" w:cs="宋体"/>
          <w:bCs/>
          <w:sz w:val="24"/>
          <w:szCs w:val="24"/>
          <w:lang w:val="en-US" w:eastAsia="zh-CN" w:bidi="ar-SA"/>
        </w:rPr>
        <w:t xml:space="preserve">2.1 </w:t>
      </w:r>
      <w:bookmarkEnd w:id="1606"/>
      <w:bookmarkStart w:id="1607" w:name="_Toc17427"/>
      <w:r>
        <w:rPr>
          <w:rFonts w:hint="eastAsia" w:ascii="宋体" w:hAnsi="宋体" w:eastAsia="宋体" w:cs="宋体"/>
          <w:bCs/>
          <w:sz w:val="24"/>
          <w:szCs w:val="24"/>
          <w:lang w:val="en-US" w:eastAsia="zh-CN" w:bidi="ar-SA"/>
        </w:rPr>
        <w:t>系统需求分析</w:t>
      </w:r>
    </w:p>
    <w:p w14:paraId="3CE4F18F">
      <w:pPr>
        <w:widowControl/>
        <w:shd w:val="clear" w:color="auto" w:fill="FFFFFF"/>
        <w:spacing w:beforeAutospacing="0" w:afterAutospacing="0" w:line="440" w:lineRule="exact"/>
        <w:ind w:firstLine="480" w:firstLineChars="200"/>
        <w:outlineLvl w:val="9"/>
        <w:rPr>
          <w:rFonts w:hint="default" w:asciiTheme="minorEastAsia" w:hAnsiTheme="minorEastAsia" w:eastAsiaTheme="minorEastAsia" w:cstheme="minorEastAsia"/>
          <w:bCs w:val="0"/>
          <w:kern w:val="2"/>
          <w:sz w:val="24"/>
          <w:szCs w:val="24"/>
          <w:lang w:val="en-US" w:eastAsia="zh-CN" w:bidi="ar-SA"/>
        </w:rPr>
      </w:pPr>
      <w:r>
        <w:rPr>
          <w:rFonts w:hint="default" w:asciiTheme="minorEastAsia" w:hAnsiTheme="minorEastAsia" w:eastAsiaTheme="minorEastAsia" w:cstheme="minorEastAsia"/>
          <w:bCs w:val="0"/>
          <w:kern w:val="2"/>
          <w:sz w:val="24"/>
          <w:szCs w:val="24"/>
          <w:lang w:val="en-US" w:eastAsia="zh-CN" w:bidi="ar-SA"/>
        </w:rPr>
        <w:t>系统的构建源于对教育数据资源高效利用的实际需求。教育部官网发布的《全国高等学校名单》虽然权威，但在可用性方面存在明显局限。为构建一套自动化、智能化的高校信息处理系统，本系统需满足以下核心需求：数据采集需求：系统需能从教育部官网稳定、准确地采集高校基础数据，包括学校名称、标识码、省份、主管部门、办学层次与性质等核心字段。数据处理需求：系统需具备数据清洗与标准化能力，能自动处理原始数据中的重复记录、缺失值、不一致表述等问题，输出高质量结构化数据集。数据存储需求：系统需提供可靠的数据存储机制，支持数据版本管理与历史追溯，并具备高效查询能力以支撑后续分析。可视化分析需求：系统需能将清洗后的数据转化为直观的可视化图表，支持从地域分布、办学类型、层次结构等多维度呈现教育资源格局。系统运维需求：系统需具备良好的可配置性、容错性和日志记录能力，支持自动化运行与异常监控，保障长期稳定运行。</w:t>
      </w:r>
    </w:p>
    <w:p w14:paraId="3613D1F1">
      <w:pPr>
        <w:widowControl/>
        <w:shd w:val="clear" w:color="auto" w:fill="FFFFFF"/>
        <w:spacing w:beforeAutospacing="0" w:afterAutospacing="0" w:line="440" w:lineRule="exact"/>
        <w:ind w:firstLine="480" w:firstLineChars="200"/>
        <w:outlineLvl w:val="9"/>
        <w:rPr>
          <w:rFonts w:hint="eastAsia" w:ascii="宋体" w:hAnsi="宋体" w:eastAsia="宋体" w:cs="宋体"/>
          <w:bCs/>
          <w:sz w:val="24"/>
          <w:szCs w:val="24"/>
          <w:lang w:val="en-US" w:eastAsia="zh-CN" w:bidi="ar-SA"/>
        </w:rPr>
      </w:pPr>
      <w:r>
        <w:rPr>
          <w:rFonts w:hint="eastAsia" w:ascii="宋体" w:hAnsi="宋体" w:eastAsia="宋体" w:cs="宋体"/>
          <w:bCs/>
          <w:sz w:val="24"/>
          <w:szCs w:val="24"/>
          <w:lang w:val="en-US" w:eastAsia="zh-CN" w:bidi="ar-SA"/>
        </w:rPr>
        <w:t>2.2 可行性分析</w:t>
      </w:r>
    </w:p>
    <w:p w14:paraId="3169DFF8">
      <w:pPr>
        <w:widowControl/>
        <w:shd w:val="clear" w:color="auto" w:fill="FFFFFF"/>
        <w:spacing w:line="440" w:lineRule="exact"/>
        <w:ind w:firstLine="480" w:firstLineChars="200"/>
        <w:jc w:val="left"/>
        <w:outlineLvl w:val="9"/>
        <w:rPr>
          <w:rFonts w:hint="eastAsia" w:ascii="宋体" w:hAnsi="宋体" w:cs="宋体"/>
          <w:sz w:val="24"/>
        </w:rPr>
      </w:pPr>
      <w:r>
        <w:rPr>
          <w:rFonts w:hint="eastAsia" w:ascii="宋体" w:hAnsi="宋体" w:cs="宋体"/>
          <w:color w:val="0F1115"/>
          <w:kern w:val="0"/>
          <w:sz w:val="24"/>
          <w:shd w:val="clear" w:color="auto" w:fill="FFFFFF"/>
          <w:lang w:bidi="ar"/>
        </w:rPr>
        <w:t>该层负责将原始的非标准化数据转化为干净、一致的结构化数据。Pandas库：这是Python数据分析和操作的事实标准库。其核心数据结构是DataFrame，一个二维的、大小可变、潜在的异质类型的表格数据。Pandas提供了大量高效函数，用于数据的读取（支持CSV、Excel、JSON等多种格式）、清洗（处理缺失值、重复值）、转换（数据类型转换、字符串操作）、过滤、分组、聚合以及合并。在本系统中，原始CSV数据的加载、所有清洗规则（去重、填充、替换）的执行，均在Pandas DataFrame上高效完成，极大地简化了数据准备过程。NumPy库：作为科学计算的基础包，NumPy提供了强大的N维数组对象、复杂的（广播）函数以及集成C/C++和Fortran代码的工具。Pandas的底层数值运算依赖于NumPy。在本系统的数据清洗中，NumPy的np.nan被用作标准缺失值标识，其高效的数组操作也为大规模数值处理提供了支撑。</w:t>
      </w:r>
    </w:p>
    <w:p w14:paraId="45C209A1">
      <w:pPr>
        <w:widowControl/>
        <w:shd w:val="clear" w:color="auto" w:fill="FFFFFF"/>
        <w:spacing w:beforeAutospacing="0" w:afterAutospacing="0" w:line="440" w:lineRule="exact"/>
        <w:ind w:firstLine="480" w:firstLineChars="200"/>
        <w:outlineLvl w:val="9"/>
        <w:rPr>
          <w:rFonts w:hint="eastAsia" w:ascii="宋体" w:hAnsi="宋体" w:eastAsia="宋体" w:cs="宋体"/>
          <w:bCs/>
          <w:sz w:val="24"/>
          <w:szCs w:val="24"/>
          <w:lang w:val="en-US" w:eastAsia="zh-CN" w:bidi="ar-SA"/>
        </w:rPr>
      </w:pPr>
      <w:bookmarkStart w:id="1608" w:name="_Toc25200"/>
      <w:r>
        <w:rPr>
          <w:rFonts w:hint="eastAsia" w:ascii="宋体" w:hAnsi="宋体" w:eastAsia="宋体" w:cs="宋体"/>
          <w:bCs/>
          <w:sz w:val="24"/>
          <w:szCs w:val="24"/>
          <w:lang w:val="en-US" w:eastAsia="zh-CN" w:bidi="ar-SA"/>
        </w:rPr>
        <w:t>2.</w:t>
      </w:r>
      <w:bookmarkEnd w:id="1608"/>
      <w:r>
        <w:rPr>
          <w:rFonts w:hint="eastAsia" w:ascii="宋体" w:hAnsi="宋体" w:eastAsia="宋体" w:cs="宋体"/>
          <w:bCs/>
          <w:sz w:val="24"/>
          <w:szCs w:val="24"/>
          <w:lang w:val="en-US" w:eastAsia="zh-CN" w:bidi="ar-SA"/>
        </w:rPr>
        <w:t>3 数据存储层技术</w:t>
      </w:r>
    </w:p>
    <w:p w14:paraId="3FF84BD7">
      <w:pPr>
        <w:pStyle w:val="32"/>
        <w:widowControl/>
        <w:spacing w:beforeAutospacing="0" w:afterAutospacing="0" w:line="440" w:lineRule="exact"/>
        <w:ind w:firstLine="480" w:firstLineChars="200"/>
        <w:outlineLvl w:val="9"/>
        <w:rPr>
          <w:rFonts w:hint="eastAsia" w:ascii="宋体" w:hAnsi="宋体" w:eastAsia="宋体" w:cs="宋体"/>
        </w:rPr>
      </w:pPr>
      <w:r>
        <w:rPr>
          <w:rFonts w:hint="eastAsia" w:ascii="宋体" w:hAnsi="宋体" w:cs="宋体"/>
        </w:rPr>
        <w:t>从技术、操作、经济三个维度对本系统的可行性进行评估：</w:t>
      </w:r>
    </w:p>
    <w:p w14:paraId="33825597">
      <w:pPr>
        <w:pStyle w:val="32"/>
        <w:widowControl/>
        <w:spacing w:beforeAutospacing="0" w:afterAutospacing="0" w:line="440" w:lineRule="exact"/>
        <w:ind w:firstLine="480" w:firstLineChars="200"/>
        <w:outlineLvl w:val="9"/>
        <w:rPr>
          <w:rFonts w:hint="eastAsia" w:ascii="宋体" w:hAnsi="宋体" w:cs="宋体"/>
        </w:rPr>
      </w:pPr>
      <w:r>
        <w:rPr>
          <w:rFonts w:hint="eastAsia" w:ascii="宋体" w:hAnsi="宋体" w:cs="宋体"/>
        </w:rPr>
        <w:t>技术可行性：系统依托成熟的Python数据科学生态系统实现。数据采集使用Requests与BeautifulSoup库，可稳定解析网页表格；数据处理使用Pandas与NumPy，具备强大的数据清洗与转换能力；数据存储采用MySQL数据库，支持结构化存储与高效查询；可视化使用Matplotlib与Seaborn，能够生成高质量统计图表。相关技术工具开源、文档丰富、社区活跃，技术实现路径清晰可行。</w:t>
      </w:r>
    </w:p>
    <w:p w14:paraId="2A1A5D92">
      <w:pPr>
        <w:pStyle w:val="32"/>
        <w:widowControl/>
        <w:spacing w:beforeAutospacing="0" w:afterAutospacing="0" w:line="440" w:lineRule="exact"/>
        <w:ind w:firstLine="480" w:firstLineChars="200"/>
        <w:outlineLvl w:val="9"/>
        <w:rPr>
          <w:rFonts w:hint="eastAsia" w:ascii="宋体" w:hAnsi="宋体" w:cs="宋体"/>
        </w:rPr>
      </w:pPr>
      <w:r>
        <w:rPr>
          <w:rFonts w:hint="eastAsia" w:ascii="宋体" w:hAnsi="宋体" w:cs="宋体"/>
        </w:rPr>
        <w:t>操作可行性：系统采用模块化设计，各功能模块职责清晰，接口明确。用户可通过配置文件调整采集参数、清洗规则与输出格式，无需深入代码层。系统提供完整的运行日志与清洗报告，便于问题追溯与结果复核。即便对非专业开发人员，也可通过简单培训掌握系统的部署与使用流程。经济可行性：系统完全基于开源技术栈构建，无软件许可费用。部署环境要求较低，可在普通服务器或云主机上运行。系统的自动化处理能力可显著降低人工采集、整理数据的时间与人力成本，提升数据更新与分析的效率，具备良好的投入产出比。</w:t>
      </w:r>
    </w:p>
    <w:p w14:paraId="50846A1A">
      <w:pPr>
        <w:keepNext/>
        <w:keepLines/>
        <w:widowControl w:val="0"/>
        <w:spacing w:before="0" w:after="0" w:line="440" w:lineRule="exact"/>
        <w:ind w:firstLine="480" w:firstLineChars="200"/>
        <w:jc w:val="both"/>
        <w:outlineLvl w:val="9"/>
        <w:rPr>
          <w:rFonts w:hint="eastAsia" w:ascii="宋体" w:hAnsi="宋体" w:eastAsia="宋体" w:cs="宋体"/>
          <w:kern w:val="2"/>
          <w:sz w:val="24"/>
          <w:szCs w:val="24"/>
          <w:lang w:val="en-US" w:eastAsia="zh-CN" w:bidi="ar-SA"/>
        </w:rPr>
      </w:pPr>
      <w:bookmarkStart w:id="1609" w:name="_Toc4188"/>
      <w:bookmarkStart w:id="1610" w:name="_Toc31388"/>
      <w:r>
        <w:rPr>
          <w:rFonts w:hint="eastAsia" w:ascii="宋体" w:hAnsi="宋体" w:eastAsia="宋体" w:cs="宋体"/>
          <w:kern w:val="2"/>
          <w:sz w:val="24"/>
          <w:szCs w:val="24"/>
          <w:lang w:val="en-US" w:eastAsia="zh-CN" w:bidi="ar-SA"/>
        </w:rPr>
        <w:t>2.4数据可视化层技术</w:t>
      </w:r>
      <w:bookmarkEnd w:id="1609"/>
    </w:p>
    <w:p w14:paraId="02E74CE7">
      <w:pPr>
        <w:widowControl/>
        <w:shd w:val="clear" w:color="auto" w:fill="FFFFFF"/>
        <w:spacing w:line="440" w:lineRule="exact"/>
        <w:ind w:firstLine="480" w:firstLineChars="200"/>
        <w:jc w:val="left"/>
        <w:rPr>
          <w:rFonts w:hint="eastAsia" w:ascii="宋体" w:hAnsi="宋体" w:cs="宋体"/>
          <w:kern w:val="0"/>
          <w:sz w:val="24"/>
          <w:lang w:bidi="ar"/>
        </w:rPr>
      </w:pPr>
      <w:r>
        <w:rPr>
          <w:rFonts w:hint="eastAsia" w:ascii="宋体" w:hAnsi="宋体" w:cs="宋体"/>
          <w:color w:val="0F1115"/>
          <w:kern w:val="0"/>
          <w:sz w:val="24"/>
          <w:shd w:val="clear" w:color="auto" w:fill="FFFFFF"/>
          <w:lang w:bidi="ar"/>
        </w:rPr>
        <w:t>可视化是将数据分析结果转化为直观见解的最后一步，也是价值呈现的关键环节。</w:t>
      </w:r>
    </w:p>
    <w:p w14:paraId="7E7DEB24">
      <w:pPr>
        <w:widowControl/>
        <w:shd w:val="clear" w:color="auto" w:fill="FFFFFF"/>
        <w:spacing w:line="440" w:lineRule="exact"/>
        <w:ind w:firstLine="480" w:firstLineChars="200"/>
        <w:jc w:val="left"/>
        <w:rPr>
          <w:rFonts w:hint="eastAsia" w:ascii="宋体" w:hAnsi="宋体" w:cs="宋体"/>
          <w:kern w:val="0"/>
          <w:sz w:val="24"/>
          <w:lang w:bidi="ar"/>
        </w:rPr>
      </w:pPr>
      <w:r>
        <w:rPr>
          <w:rFonts w:hint="eastAsia" w:ascii="宋体" w:hAnsi="宋体" w:cs="宋体"/>
          <w:color w:val="0F1115"/>
          <w:kern w:val="0"/>
          <w:sz w:val="24"/>
          <w:shd w:val="clear" w:color="auto" w:fill="FFFFFF"/>
          <w:lang w:bidi="ar"/>
        </w:rPr>
        <w:t>Matplotlib库：这是Python最基础、最强大的绘图库，提供了类似于MATLAB的绘图框架和API。它支持创建高质量的静态、交互式和动画图表，几乎能绘制任何类型的图形（线图、散点图、条形图、直方图、饼图等），并对图形元素（颜色、字体、线条样式、坐标轴）提供极其精细的控制。本系统以Matplotlib为底层绘图引擎，确保图表生成的灵活性和可控性。</w:t>
      </w:r>
    </w:p>
    <w:p w14:paraId="3FB2D13F">
      <w:pPr>
        <w:widowControl/>
        <w:shd w:val="clear" w:color="auto" w:fill="FFFFFF"/>
        <w:spacing w:line="440" w:lineRule="exact"/>
        <w:ind w:firstLine="480" w:firstLineChars="200"/>
        <w:jc w:val="left"/>
        <w:rPr>
          <w:rFonts w:hint="eastAsia" w:ascii="宋体" w:hAnsi="宋体" w:cs="宋体"/>
          <w:kern w:val="0"/>
          <w:sz w:val="24"/>
          <w:lang w:bidi="ar"/>
        </w:rPr>
      </w:pPr>
      <w:r>
        <w:rPr>
          <w:rFonts w:hint="eastAsia" w:ascii="宋体" w:hAnsi="宋体" w:cs="宋体"/>
          <w:color w:val="0F1115"/>
          <w:kern w:val="0"/>
          <w:sz w:val="24"/>
          <w:shd w:val="clear" w:color="auto" w:fill="FFFFFF"/>
          <w:lang w:bidi="ar"/>
        </w:rPr>
        <w:t>Seaborn库：这是一个基于Matplotlib构建的高级统计图表库。它提供了更美观的默认样式和配色方案，并简化了许多常见统计图表（如分布图、分类图、回归图、热力图）的创建过程。Seaborn的API设计更偏向于使用数据集和变量名进行绘图，与Pandas DataFrame的结合尤为紧密。在本系统中，大量使用Seaborn来快速构建美观且信息丰富的统计图表，提升了可视化开发效率和最终成果的美观度。</w:t>
      </w:r>
    </w:p>
    <w:bookmarkEnd w:id="1607"/>
    <w:bookmarkEnd w:id="1610"/>
    <w:p w14:paraId="4A123088">
      <w:pPr>
        <w:spacing w:line="440" w:lineRule="exact"/>
        <w:rPr>
          <w:rFonts w:hint="eastAsia" w:ascii="宋体" w:hAnsi="宋体" w:cs="宋体"/>
          <w:b/>
          <w:bCs/>
          <w:sz w:val="28"/>
          <w:szCs w:val="28"/>
        </w:rPr>
      </w:pPr>
      <w:bookmarkStart w:id="1611" w:name="_Toc3020"/>
      <w:r>
        <w:rPr>
          <w:rFonts w:hint="eastAsia" w:ascii="宋体" w:hAnsi="宋体" w:cs="宋体"/>
          <w:b/>
          <w:bCs/>
          <w:sz w:val="28"/>
          <w:szCs w:val="28"/>
        </w:rPr>
        <w:t>3</w:t>
      </w:r>
      <w:bookmarkEnd w:id="1611"/>
      <w:r>
        <w:rPr>
          <w:rFonts w:hint="eastAsia" w:ascii="宋体" w:hAnsi="宋体" w:cs="宋体"/>
          <w:b/>
          <w:bCs/>
          <w:sz w:val="28"/>
          <w:szCs w:val="28"/>
        </w:rPr>
        <w:t xml:space="preserve"> 系统设计</w:t>
      </w:r>
    </w:p>
    <w:p w14:paraId="36DCB8A9">
      <w:pPr>
        <w:spacing w:line="440" w:lineRule="exact"/>
        <w:ind w:firstLine="480" w:firstLineChars="200"/>
        <w:rPr>
          <w:rFonts w:hint="eastAsia" w:ascii="宋体" w:hAnsi="宋体" w:cs="宋体"/>
          <w:sz w:val="24"/>
        </w:rPr>
      </w:pPr>
      <w:r>
        <w:rPr>
          <w:rFonts w:hint="eastAsia" w:ascii="宋体" w:hAnsi="宋体" w:cs="宋体"/>
          <w:sz w:val="24"/>
        </w:rPr>
        <w:t>3.1 系统结构设计</w:t>
      </w:r>
    </w:p>
    <w:p w14:paraId="4CA4EA69">
      <w:pPr>
        <w:tabs>
          <w:tab w:val="left" w:pos="550"/>
        </w:tabs>
        <w:spacing w:line="440" w:lineRule="exact"/>
        <w:ind w:firstLine="480" w:firstLineChars="200"/>
        <w:rPr>
          <w:rFonts w:hint="eastAsia" w:ascii="宋体" w:hAnsi="宋体" w:cs="宋体"/>
          <w:sz w:val="24"/>
        </w:rPr>
      </w:pPr>
      <w:r>
        <w:rPr>
          <w:rFonts w:hint="eastAsia" w:ascii="宋体" w:hAnsi="宋体" w:cs="宋体"/>
          <w:sz w:val="24"/>
        </w:rPr>
        <w:t>为确保系统具备良好的可维护性、可扩展性与鲁棒性，本系统采用模块化、分层化的架构设计理念，明确划分功能模块，定义清晰的交互接口，构建高内聚、低耦合的系统结构。</w:t>
      </w:r>
    </w:p>
    <w:p w14:paraId="6DC18EC4">
      <w:pPr>
        <w:tabs>
          <w:tab w:val="left" w:pos="550"/>
        </w:tabs>
        <w:spacing w:line="440" w:lineRule="exact"/>
        <w:ind w:firstLine="480" w:firstLineChars="200"/>
        <w:rPr>
          <w:rFonts w:hint="eastAsia" w:ascii="宋体" w:hAnsi="宋体" w:cs="宋体"/>
          <w:sz w:val="24"/>
        </w:rPr>
      </w:pPr>
      <w:r>
        <w:rPr>
          <w:rFonts w:hint="eastAsia" w:ascii="宋体" w:hAnsi="宋体" w:cs="宋体"/>
          <w:sz w:val="24"/>
        </w:rPr>
        <w:t>模块化设计：系统整体划分为四个核心功能模块，每个模块职责明确、内部高度内聚，模块间通过标准化数据流与接口进行通信，耦合度降至最低。各模块分别为数据采集模块、数据清洗模块、数据库存储模块、可视化展示模块。此种设计确保单一模块的修改、测试或替换不影响其他模块功能，提升系统的可维护性与可复用性。</w:t>
      </w:r>
    </w:p>
    <w:p w14:paraId="358EE020">
      <w:pPr>
        <w:tabs>
          <w:tab w:val="left" w:pos="550"/>
        </w:tabs>
        <w:spacing w:line="440" w:lineRule="exact"/>
        <w:ind w:firstLine="480" w:firstLineChars="200"/>
        <w:rPr>
          <w:rFonts w:hint="eastAsia" w:ascii="宋体" w:hAnsi="宋体" w:cs="宋体"/>
          <w:sz w:val="24"/>
        </w:rPr>
      </w:pPr>
      <w:r>
        <w:rPr>
          <w:rFonts w:hint="eastAsia" w:ascii="宋体" w:hAnsi="宋体" w:cs="宋体"/>
          <w:sz w:val="24"/>
        </w:rPr>
        <w:t>分层架构设计：系统采用经典的四层架构，自底向上分别为数据采集层、数据持久层、业务逻辑层和应用展示层。每层为上层提供服务，职责清晰，便于系统扩展与功能迭代。</w:t>
      </w:r>
    </w:p>
    <w:p w14:paraId="45390D42">
      <w:pPr>
        <w:tabs>
          <w:tab w:val="left" w:pos="550"/>
        </w:tabs>
        <w:spacing w:line="440" w:lineRule="exact"/>
        <w:ind w:firstLine="480" w:firstLineChars="200"/>
        <w:rPr>
          <w:rFonts w:hint="eastAsia" w:ascii="宋体" w:hAnsi="宋体" w:cs="宋体"/>
          <w:sz w:val="24"/>
        </w:rPr>
      </w:pPr>
      <w:r>
        <w:rPr>
          <w:rFonts w:hint="eastAsia" w:ascii="宋体" w:hAnsi="宋体" w:cs="宋体"/>
          <w:sz w:val="24"/>
        </w:rPr>
        <w:t>数据流设计：系统遵循线性流水线处理模式，数据从采集到展示依次流经各模块，各环节输出作为下一环节输入，形成闭环处理管道。控制流基于配置驱动，支持流程调度与异常分支处理，保证系统运行的有序性与稳定性。</w:t>
      </w:r>
    </w:p>
    <w:p w14:paraId="38BE6A74">
      <w:pPr>
        <w:tabs>
          <w:tab w:val="left" w:pos="550"/>
        </w:tabs>
        <w:spacing w:line="440" w:lineRule="exact"/>
        <w:ind w:firstLine="480" w:firstLineChars="200"/>
        <w:rPr>
          <w:rFonts w:hint="eastAsia" w:ascii="宋体" w:hAnsi="宋体" w:cs="宋体"/>
          <w:sz w:val="24"/>
        </w:rPr>
      </w:pPr>
      <w:r>
        <w:rPr>
          <w:rFonts w:hint="eastAsia" w:ascii="宋体" w:hAnsi="宋体" w:cs="宋体"/>
          <w:sz w:val="24"/>
        </w:rPr>
        <w:t>接口与配置管理：模块间通过文件（CSV、JSON）、数据库表等方式进行数据传递。系统将运行时参数抽象为配置文件，支持多种配置方式。通过元数据管理机制记录数据来源、处理过程等信息，实现全链路数据溯源与系统状态可观测。</w:t>
      </w:r>
    </w:p>
    <w:p w14:paraId="7C06B6EF">
      <w:pPr>
        <w:tabs>
          <w:tab w:val="left" w:pos="550"/>
        </w:tabs>
        <w:spacing w:line="440" w:lineRule="exact"/>
        <w:ind w:firstLine="480" w:firstLineChars="200"/>
        <w:rPr>
          <w:rFonts w:hint="eastAsia" w:ascii="宋体" w:hAnsi="宋体" w:cs="宋体"/>
          <w:sz w:val="24"/>
        </w:rPr>
      </w:pPr>
      <w:r>
        <w:rPr>
          <w:rFonts w:hint="eastAsia" w:ascii="宋体" w:hAnsi="宋体" w:cs="宋体"/>
          <w:sz w:val="24"/>
        </w:rPr>
        <w:t>该结构设计兼顾系统的工程规范性、功能独立性与演进灵活性，为后续系统实现、测试与运维提供了清晰的架构蓝图。</w:t>
      </w:r>
    </w:p>
    <w:p w14:paraId="28A4E404">
      <w:pPr>
        <w:spacing w:line="440" w:lineRule="exact"/>
        <w:ind w:firstLine="480" w:firstLineChars="200"/>
        <w:rPr>
          <w:rFonts w:hint="eastAsia" w:ascii="宋体" w:hAnsi="宋体" w:cs="宋体"/>
          <w:sz w:val="24"/>
        </w:rPr>
      </w:pPr>
      <w:r>
        <w:rPr>
          <w:rFonts w:hint="eastAsia" w:ascii="宋体" w:hAnsi="宋体" w:cs="宋体"/>
          <w:sz w:val="24"/>
        </w:rPr>
        <w:t>3.2 系统功能模块设计</w:t>
      </w:r>
    </w:p>
    <w:p w14:paraId="58CC2439">
      <w:pPr>
        <w:spacing w:line="440" w:lineRule="exact"/>
        <w:ind w:firstLine="480" w:firstLineChars="200"/>
        <w:rPr>
          <w:rFonts w:hint="eastAsia" w:ascii="宋体" w:hAnsi="宋体" w:cs="宋体"/>
          <w:sz w:val="24"/>
        </w:rPr>
      </w:pPr>
      <w:r>
        <w:rPr>
          <w:rFonts w:hint="eastAsia" w:ascii="宋体" w:hAnsi="宋体" w:cs="宋体"/>
          <w:sz w:val="24"/>
        </w:rPr>
        <w:t>本系统采用模块化设计，划分为四大核心功能模块，各模块功能明确、职责清晰，协同完成从数据采集到可视化展示的完整数据处理流程。</w:t>
      </w:r>
    </w:p>
    <w:p w14:paraId="2A969672">
      <w:pPr>
        <w:spacing w:line="440" w:lineRule="exact"/>
        <w:ind w:firstLine="480" w:firstLineChars="200"/>
        <w:rPr>
          <w:rFonts w:hint="eastAsia" w:ascii="宋体" w:hAnsi="宋体" w:cs="宋体"/>
          <w:sz w:val="24"/>
        </w:rPr>
      </w:pPr>
      <w:r>
        <w:rPr>
          <w:rFonts w:hint="eastAsia" w:ascii="宋体" w:hAnsi="宋体" w:cs="宋体"/>
          <w:sz w:val="24"/>
        </w:rPr>
        <w:t>数据采集模块：负责从教育部官网自动获取高校原始数据，完成网络请求发送、HTML页面解析、表格数据提取等任务，输出结构化的原始数据文件。该模块集成反爬虫策略与容错机制，确保数据采集的稳定性和完整性。</w:t>
      </w:r>
    </w:p>
    <w:p w14:paraId="6E1650ED">
      <w:pPr>
        <w:spacing w:line="440" w:lineRule="exact"/>
        <w:ind w:firstLine="480" w:firstLineChars="200"/>
        <w:rPr>
          <w:rFonts w:hint="eastAsia" w:ascii="宋体" w:hAnsi="宋体" w:cs="宋体"/>
          <w:sz w:val="24"/>
        </w:rPr>
      </w:pPr>
      <w:r>
        <w:rPr>
          <w:rFonts w:hint="eastAsia" w:ascii="宋体" w:hAnsi="宋体" w:cs="宋体"/>
          <w:sz w:val="24"/>
        </w:rPr>
        <w:t>数据清洗模块：接收原始数据文件，执行数据质量评估与标准化清洗操作，包括去除重复记录、填充缺失值、统一字段格式、处理异常值等。通过预定义清洗规则实现自动化处理，输出高质量数据集并生成清洗过程报告。</w:t>
      </w:r>
    </w:p>
    <w:p w14:paraId="692B992B">
      <w:pPr>
        <w:spacing w:line="440" w:lineRule="exact"/>
        <w:ind w:firstLine="480" w:firstLineChars="200"/>
        <w:rPr>
          <w:rFonts w:hint="eastAsia" w:ascii="宋体" w:hAnsi="宋体" w:cs="宋体"/>
          <w:sz w:val="24"/>
        </w:rPr>
      </w:pPr>
      <w:r>
        <w:rPr>
          <w:rFonts w:hint="eastAsia" w:ascii="宋体" w:hAnsi="宋体" w:cs="宋体"/>
          <w:sz w:val="24"/>
        </w:rPr>
        <w:t>数据库存储模块：负责数据的持久化存储与管理，将清洗后的数据批量写入MySQL数据库，支持数据更新冲突处理和完整性验证。该模块设计合理的表结构与索引策略，为上层应用提供高效的数据查询与检索服务。</w:t>
      </w:r>
    </w:p>
    <w:p w14:paraId="489FF73D">
      <w:pPr>
        <w:spacing w:line="440" w:lineRule="exact"/>
        <w:ind w:firstLine="480" w:firstLineChars="200"/>
        <w:rPr>
          <w:rFonts w:hint="eastAsia" w:ascii="宋体" w:hAnsi="宋体" w:cs="宋体"/>
          <w:sz w:val="24"/>
        </w:rPr>
      </w:pPr>
      <w:r>
        <w:rPr>
          <w:rFonts w:hint="eastAsia" w:ascii="宋体" w:hAnsi="宋体" w:cs="宋体"/>
          <w:sz w:val="24"/>
        </w:rPr>
        <w:t>可视化展示模块：基于数据库中的结构化数据，生成多种类型的统计图表和交互式可视化大屏，直观展示高校的地理分布特征、办学类型结构、区域差异等分析结果，支持数据洞察与决策支持。</w:t>
      </w:r>
    </w:p>
    <w:p w14:paraId="3BDCB939">
      <w:pPr>
        <w:spacing w:line="440" w:lineRule="exact"/>
        <w:ind w:firstLine="480" w:firstLineChars="200"/>
        <w:rPr>
          <w:rFonts w:hint="eastAsia" w:ascii="宋体" w:hAnsi="宋体" w:cs="宋体"/>
          <w:sz w:val="24"/>
        </w:rPr>
      </w:pPr>
      <w:r>
        <w:rPr>
          <w:rFonts w:hint="eastAsia" w:ascii="宋体" w:hAnsi="宋体" w:cs="宋体"/>
          <w:sz w:val="24"/>
        </w:rPr>
        <w:t>各模块之间通过标准化的数据接口进行通信，形成清晰的数据处理流水线，确保系统的高内聚、低耦合特性，便于后续的维护、扩展和优化。</w:t>
      </w:r>
    </w:p>
    <w:p w14:paraId="1DBAA649">
      <w:pPr>
        <w:spacing w:line="440" w:lineRule="exact"/>
        <w:ind w:firstLine="480" w:firstLineChars="200"/>
        <w:rPr>
          <w:rFonts w:hint="eastAsia" w:ascii="宋体" w:hAnsi="宋体" w:cs="宋体"/>
          <w:sz w:val="24"/>
        </w:rPr>
      </w:pPr>
      <w:r>
        <w:rPr>
          <w:rFonts w:hint="eastAsia" w:ascii="宋体" w:hAnsi="宋体" w:cs="宋体"/>
          <w:sz w:val="24"/>
        </w:rPr>
        <w:t>3.3 核心数据处理流程设计</w:t>
      </w:r>
    </w:p>
    <w:p w14:paraId="1C8A0B8C">
      <w:pPr>
        <w:spacing w:line="440" w:lineRule="exact"/>
        <w:ind w:firstLine="480" w:firstLineChars="200"/>
        <w:rPr>
          <w:rFonts w:hint="eastAsia" w:ascii="宋体" w:hAnsi="宋体" w:cs="宋体"/>
          <w:sz w:val="24"/>
        </w:rPr>
      </w:pPr>
      <w:r>
        <w:rPr>
          <w:rFonts w:hint="eastAsia" w:ascii="宋体" w:hAnsi="宋体" w:cs="宋体"/>
          <w:sz w:val="24"/>
        </w:rPr>
        <w:t>系统运行遵循一个清晰、线性的主数据处理管道，如图2所示。该流程定义了数据从原始状态演变为最终知识产品的标准路径。</w:t>
      </w:r>
    </w:p>
    <w:p w14:paraId="76E9C935">
      <w:pPr>
        <w:spacing w:line="440" w:lineRule="exact"/>
        <w:rPr>
          <w:rFonts w:hint="eastAsia" w:ascii="宋体" w:hAnsi="宋体" w:cs="宋体"/>
          <w:sz w:val="24"/>
        </w:rPr>
      </w:pPr>
      <w:r>
        <w:rPr>
          <w:rFonts w:hint="eastAsia" w:ascii="宋体" w:hAnsi="宋体" w:cs="宋体"/>
          <w:sz w:val="24"/>
        </w:rPr>
        <w:t>流程详解：</w:t>
      </w:r>
    </w:p>
    <w:p w14:paraId="01D8DDCF">
      <w:pPr>
        <w:spacing w:line="440" w:lineRule="exact"/>
        <w:ind w:firstLine="480" w:firstLineChars="200"/>
        <w:rPr>
          <w:rFonts w:hint="eastAsia" w:ascii="宋体" w:hAnsi="宋体" w:cs="宋体"/>
          <w:sz w:val="24"/>
        </w:rPr>
      </w:pPr>
      <w:r>
        <w:rPr>
          <w:rFonts w:hint="eastAsia" w:ascii="宋体" w:hAnsi="宋体" w:cs="宋体"/>
          <w:sz w:val="24"/>
        </w:rPr>
        <w:t>数据采集与原始持久化：系统根据配置，启动爬虫访问目标网页，解析HTML并提取高校信息列表。随后，将该列表与关键元数据（来源URL、爬取时间戳）一同写入本地raw_data.csv文件，完成数据落地，防止因后续步骤失败导致数据丢失。</w:t>
      </w:r>
    </w:p>
    <w:p w14:paraId="77C202DF">
      <w:pPr>
        <w:spacing w:line="440" w:lineRule="exact"/>
        <w:ind w:firstLine="480" w:firstLineChars="200"/>
        <w:rPr>
          <w:rFonts w:hint="eastAsia" w:ascii="宋体" w:hAnsi="宋体" w:cs="宋体"/>
          <w:sz w:val="24"/>
        </w:rPr>
      </w:pPr>
      <w:r>
        <w:rPr>
          <w:rFonts w:hint="eastAsia" w:ascii="宋体" w:hAnsi="宋体" w:cs="宋体"/>
          <w:sz w:val="24"/>
        </w:rPr>
        <w:t>数据清洗与中间持久化：读取raw_data.csv，加载到Pandas DataFrame中。按照预定义的清洗规则集（去重、填充、标准化等）逐条处理数据。处理完成后，将干净的DataFrame保存为clean_data.csv，同时生成一份文本格式的清洗报告，记录清洗动作的统计数据。</w:t>
      </w:r>
    </w:p>
    <w:p w14:paraId="68F51973">
      <w:pPr>
        <w:spacing w:line="440" w:lineRule="exact"/>
        <w:ind w:firstLine="480" w:firstLineChars="200"/>
        <w:rPr>
          <w:rFonts w:hint="eastAsia" w:ascii="宋体" w:hAnsi="宋体" w:cs="宋体"/>
          <w:sz w:val="24"/>
        </w:rPr>
      </w:pPr>
      <w:r>
        <w:rPr>
          <w:rFonts w:hint="eastAsia" w:ascii="宋体" w:hAnsi="宋体" w:cs="宋体"/>
          <w:sz w:val="24"/>
        </w:rPr>
        <w:t>数据库存储与验证：建立与MySQL数据库的连接，读取clean_data.csv文件。通过批量操作将数据插入或更新到设计好的数据库表中。插入完成后，执行简单的验证查询（如比较记录数），确保数据完整入库。</w:t>
      </w:r>
    </w:p>
    <w:p w14:paraId="1DDE4C09">
      <w:pPr>
        <w:spacing w:line="440" w:lineRule="exact"/>
        <w:rPr>
          <w:rFonts w:hint="eastAsia" w:ascii="宋体" w:hAnsi="宋体" w:cs="宋体"/>
          <w:sz w:val="24"/>
        </w:rPr>
      </w:pPr>
      <w:r>
        <w:rPr>
          <w:rFonts w:hint="eastAsia" w:ascii="宋体" w:hAnsi="宋体" w:cs="宋体"/>
          <w:sz w:val="24"/>
        </w:rPr>
        <w:t>数据分析与可视化报告生成：从MySQL数据库中查询所需数据，根据预设的分析维度（如分省统计、类型对比），利用Matplotlib和Seaborn绘制一系列图表（柱状图、饼图、折线图等）。将图表、关键数据摘要和文字分析组织起来，生成最终的可视化分析报告（可以是PDF、HTML或一组图片文件）。</w:t>
      </w:r>
    </w:p>
    <w:p w14:paraId="7417C763">
      <w:pPr>
        <w:spacing w:line="440" w:lineRule="exact"/>
        <w:rPr>
          <w:rFonts w:hint="eastAsia" w:ascii="宋体" w:hAnsi="宋体" w:cs="宋体"/>
          <w:sz w:val="24"/>
        </w:rPr>
      </w:pPr>
      <w:r>
        <w:rPr>
          <w:rFonts w:hint="eastAsia" w:ascii="宋体" w:hAnsi="宋体" w:cs="宋体"/>
          <w:sz w:val="24"/>
        </w:rPr>
        <w:t>该流程设计保证了数据处理的有序性和可重复性，每个环节的输出都是下一环节的可靠输入，构成了一个完整的自动化数据流水线。</w:t>
      </w:r>
    </w:p>
    <w:p w14:paraId="4F49242A">
      <w:pPr>
        <w:spacing w:line="440" w:lineRule="exact"/>
        <w:rPr>
          <w:rFonts w:hint="eastAsia" w:ascii="宋体" w:hAnsi="宋体" w:cs="宋体"/>
          <w:b/>
          <w:bCs/>
          <w:sz w:val="28"/>
          <w:szCs w:val="28"/>
        </w:rPr>
      </w:pPr>
      <w:r>
        <w:rPr>
          <w:rFonts w:hint="eastAsia" w:ascii="宋体" w:hAnsi="宋体" w:cs="宋体"/>
          <w:b/>
          <w:bCs/>
          <w:sz w:val="28"/>
          <w:szCs w:val="28"/>
        </w:rPr>
        <w:t>4 系统详细设计及使用说明</w:t>
      </w:r>
    </w:p>
    <w:p w14:paraId="43FD3B32">
      <w:pPr>
        <w:spacing w:line="440" w:lineRule="exact"/>
        <w:ind w:firstLine="480" w:firstLineChars="200"/>
        <w:rPr>
          <w:rFonts w:hint="eastAsia" w:ascii="宋体" w:hAnsi="宋体" w:cs="宋体"/>
          <w:sz w:val="24"/>
        </w:rPr>
      </w:pPr>
      <w:r>
        <w:rPr>
          <w:rFonts w:hint="eastAsia" w:ascii="宋体" w:hAnsi="宋体" w:cs="宋体"/>
          <w:sz w:val="24"/>
        </w:rPr>
        <w:t>本章将深入阐述系统四大核心模块——数据采集、数据清洗、数据库存储和数据可视化的具体设计思路、关键算法与实现细节。</w:t>
      </w:r>
    </w:p>
    <w:p w14:paraId="64D4C221">
      <w:pPr>
        <w:spacing w:line="440" w:lineRule="exact"/>
        <w:ind w:firstLine="480" w:firstLineChars="200"/>
        <w:rPr>
          <w:rFonts w:hint="eastAsia" w:ascii="宋体" w:hAnsi="宋体" w:cs="宋体"/>
          <w:sz w:val="24"/>
        </w:rPr>
      </w:pPr>
      <w:r>
        <w:rPr>
          <w:rFonts w:hint="eastAsia" w:ascii="宋体" w:hAnsi="宋体" w:cs="宋体"/>
          <w:sz w:val="24"/>
        </w:rPr>
        <w:t>4.1 数据采集模块的设计与实现</w:t>
      </w:r>
    </w:p>
    <w:p w14:paraId="51286B71">
      <w:pPr>
        <w:spacing w:line="440" w:lineRule="exact"/>
        <w:ind w:firstLine="480" w:firstLineChars="200"/>
        <w:rPr>
          <w:rFonts w:hint="eastAsia" w:ascii="宋体" w:hAnsi="宋体" w:cs="宋体"/>
          <w:sz w:val="24"/>
        </w:rPr>
      </w:pPr>
      <w:r>
        <w:rPr>
          <w:rFonts w:hint="eastAsia" w:ascii="宋体" w:hAnsi="宋体" w:cs="宋体"/>
          <w:sz w:val="24"/>
        </w:rPr>
        <w:t>本模块的目标是可靠、完整地从教育部官网获取高校名录的原始表格数据。</w:t>
      </w:r>
    </w:p>
    <w:p w14:paraId="16AEA6C5">
      <w:pPr>
        <w:spacing w:line="440" w:lineRule="exact"/>
        <w:ind w:firstLine="480" w:firstLineChars="200"/>
        <w:rPr>
          <w:rFonts w:hint="eastAsia" w:ascii="宋体" w:hAnsi="宋体" w:cs="宋体"/>
          <w:sz w:val="24"/>
        </w:rPr>
      </w:pPr>
      <w:r>
        <w:rPr>
          <w:rFonts w:hint="eastAsia" w:ascii="宋体" w:hAnsi="宋体" w:cs="宋体"/>
          <w:sz w:val="24"/>
        </w:rPr>
        <w:t>4.1.1 目标页面分析与解析策略</w:t>
      </w:r>
      <w:r>
        <w:rPr>
          <w:rFonts w:hint="eastAsia" w:ascii="宋体" w:hAnsi="宋体" w:cs="宋体"/>
          <w:sz w:val="24"/>
        </w:rPr>
        <w:br w:type="textWrapping"/>
      </w:r>
      <w:r>
        <w:rPr>
          <w:rFonts w:hint="eastAsia" w:ascii="宋体" w:hAnsi="宋体" w:cs="宋体"/>
          <w:sz w:val="24"/>
        </w:rPr>
        <w:t xml:space="preserve">    首先，对目标网页进行手动分析。通过浏览器的开发者工具（F12）检查元素，发现高校数据存储在一个&lt;table&gt;标签内。该表格结构规整：表头(&lt;thead&gt;)定义了字段，数据行(&lt;tbody&gt;中的&lt;tr&gt;)包含多个单元格(&lt;td&gt;)，每个单元格对应一所高校的一个属性（名称、代码、省份等）。基于此分析，设计解析流程：</w:t>
      </w:r>
    </w:p>
    <w:p w14:paraId="45408971">
      <w:pPr>
        <w:spacing w:line="440" w:lineRule="exact"/>
        <w:ind w:firstLine="480" w:firstLineChars="200"/>
        <w:rPr>
          <w:rFonts w:hint="eastAsia" w:ascii="宋体" w:hAnsi="宋体" w:cs="宋体"/>
          <w:sz w:val="24"/>
        </w:rPr>
      </w:pPr>
      <w:r>
        <w:rPr>
          <w:rFonts w:hint="eastAsia" w:ascii="宋体" w:hAnsi="宋体" w:cs="宋体"/>
          <w:sz w:val="24"/>
        </w:rPr>
        <w:t>定位表格：使用BeautifulSoup的find('table')或find('table', attrs={...})方法定位目标表格。</w:t>
      </w:r>
    </w:p>
    <w:p w14:paraId="57E57E87">
      <w:pPr>
        <w:spacing w:line="440" w:lineRule="exact"/>
        <w:rPr>
          <w:rFonts w:hint="eastAsia" w:ascii="宋体" w:hAnsi="宋体" w:cs="宋体"/>
          <w:sz w:val="24"/>
        </w:rPr>
      </w:pPr>
      <w:r>
        <w:rPr>
          <w:rFonts w:hint="eastAsia" w:ascii="宋体" w:hAnsi="宋体" w:cs="宋体"/>
          <w:sz w:val="24"/>
        </w:rPr>
        <w:t>提取表头（可选）：遍历&lt;thead&gt;中的&lt;th&gt;元素，获取字段名列表，可用于动态构建数据字典的键。</w:t>
      </w:r>
    </w:p>
    <w:p w14:paraId="1A33F004">
      <w:pPr>
        <w:spacing w:line="440" w:lineRule="exact"/>
        <w:ind w:firstLine="480" w:firstLineChars="200"/>
        <w:rPr>
          <w:rFonts w:hint="eastAsia" w:ascii="宋体" w:hAnsi="宋体" w:cs="宋体"/>
          <w:sz w:val="24"/>
        </w:rPr>
      </w:pPr>
      <w:r>
        <w:rPr>
          <w:rFonts w:hint="eastAsia" w:ascii="宋体" w:hAnsi="宋体" w:cs="宋体"/>
          <w:sz w:val="24"/>
        </w:rPr>
        <w:t>迭代数据行：遍历&lt;tbody&gt;中的所有&lt;tr&gt;元素。</w:t>
      </w:r>
    </w:p>
    <w:p w14:paraId="558B7D4D">
      <w:pPr>
        <w:spacing w:line="440" w:lineRule="exact"/>
        <w:rPr>
          <w:rFonts w:hint="eastAsia" w:ascii="宋体" w:hAnsi="宋体" w:cs="宋体"/>
          <w:sz w:val="24"/>
        </w:rPr>
      </w:pPr>
      <w:r>
        <w:rPr>
          <w:rFonts w:hint="eastAsia" w:ascii="宋体" w:hAnsi="宋体" w:cs="宋体"/>
          <w:sz w:val="24"/>
        </w:rPr>
        <w:t>提取单元格数据：对每个&lt;tr&gt;，使用find_all('td')获取所有单元格，按顺序将每个单元格的文本（.text）取出，并使用.strip()去除首尾空白字符。</w:t>
      </w:r>
    </w:p>
    <w:p w14:paraId="6352E77C">
      <w:pPr>
        <w:spacing w:line="440" w:lineRule="exact"/>
        <w:rPr>
          <w:rFonts w:hint="eastAsia" w:ascii="宋体" w:hAnsi="宋体" w:cs="宋体"/>
          <w:sz w:val="24"/>
        </w:rPr>
      </w:pPr>
      <w:r>
        <w:rPr>
          <w:rFonts w:hint="eastAsia" w:ascii="宋体" w:hAnsi="宋体" w:cs="宋体"/>
          <w:sz w:val="24"/>
        </w:rPr>
        <w:t>构建数据记录：将按顺序提取的单元格文本，与预定义的字段名列表（如 ['school_name', 'school_code', 'province', ...]）组合成一个字典（dict），代表一条高校记录。</w:t>
      </w:r>
    </w:p>
    <w:p w14:paraId="7E876B31">
      <w:pPr>
        <w:spacing w:line="440" w:lineRule="exact"/>
        <w:ind w:firstLine="480" w:firstLineChars="200"/>
        <w:rPr>
          <w:rFonts w:hint="eastAsia" w:ascii="宋体" w:hAnsi="宋体" w:cs="宋体"/>
          <w:sz w:val="24"/>
        </w:rPr>
      </w:pPr>
      <w:r>
        <w:rPr>
          <w:rFonts w:hint="eastAsia" w:ascii="宋体" w:hAnsi="宋体" w:cs="宋体"/>
          <w:sz w:val="24"/>
        </w:rPr>
        <w:t>汇集数据：将所有数据行解析出的字典添加到一个列表（list）中。</w:t>
      </w:r>
    </w:p>
    <w:p w14:paraId="2C282D44">
      <w:pPr>
        <w:spacing w:line="440" w:lineRule="exact"/>
        <w:ind w:left="479" w:leftChars="228"/>
        <w:rPr>
          <w:rFonts w:hint="eastAsia" w:ascii="宋体" w:hAnsi="宋体" w:cs="宋体"/>
          <w:sz w:val="24"/>
        </w:rPr>
      </w:pPr>
      <w:r>
        <w:rPr>
          <w:rFonts w:hint="eastAsia" w:ascii="宋体" w:hAnsi="宋体" w:cs="宋体"/>
          <w:sz w:val="24"/>
        </w:rPr>
        <w:t>4.1.2 稳健性与反反爬虫设计</w:t>
      </w:r>
      <w:r>
        <w:rPr>
          <w:rFonts w:hint="eastAsia" w:ascii="宋体" w:hAnsi="宋体" w:cs="宋体"/>
          <w:sz w:val="24"/>
        </w:rPr>
        <w:br w:type="textWrapping"/>
      </w:r>
      <w:r>
        <w:rPr>
          <w:rFonts w:hint="eastAsia" w:ascii="宋体" w:hAnsi="宋体" w:cs="宋体"/>
          <w:sz w:val="24"/>
        </w:rPr>
        <w:t>为保证爬虫的长期稳定运行，采取了以下措施：</w:t>
      </w:r>
    </w:p>
    <w:p w14:paraId="1C5D43ED">
      <w:pPr>
        <w:spacing w:line="440" w:lineRule="exact"/>
        <w:ind w:firstLine="480" w:firstLineChars="200"/>
        <w:rPr>
          <w:rFonts w:hint="eastAsia" w:ascii="宋体" w:hAnsi="宋体" w:cs="宋体"/>
          <w:sz w:val="24"/>
        </w:rPr>
      </w:pPr>
      <w:r>
        <w:rPr>
          <w:rFonts w:hint="eastAsia" w:ascii="宋体" w:hAnsi="宋体" w:cs="宋体"/>
          <w:sz w:val="24"/>
        </w:rPr>
        <w:t>请求头伪装：在requests.get()中设置headers参数，模拟真实浏览器的User-Agent、Accept-Language等字段，降低被简单User-Agent检测屏蔽的风险。</w:t>
      </w:r>
    </w:p>
    <w:p w14:paraId="410393BE">
      <w:pPr>
        <w:spacing w:line="440" w:lineRule="exact"/>
        <w:rPr>
          <w:rFonts w:hint="eastAsia" w:ascii="宋体" w:hAnsi="宋体" w:cs="宋体"/>
          <w:sz w:val="24"/>
        </w:rPr>
      </w:pPr>
      <w:r>
        <w:rPr>
          <w:rFonts w:hint="eastAsia" w:ascii="宋体" w:hAnsi="宋体" w:cs="宋体"/>
          <w:sz w:val="24"/>
        </w:rPr>
        <w:t>headers = {</w:t>
      </w:r>
    </w:p>
    <w:p w14:paraId="4147C627">
      <w:pPr>
        <w:spacing w:line="440" w:lineRule="exact"/>
        <w:rPr>
          <w:rFonts w:hint="eastAsia" w:ascii="宋体" w:hAnsi="宋体" w:cs="宋体"/>
          <w:sz w:val="24"/>
        </w:rPr>
      </w:pPr>
      <w:r>
        <w:rPr>
          <w:rFonts w:hint="eastAsia" w:ascii="宋体" w:hAnsi="宋体" w:cs="宋体"/>
          <w:sz w:val="24"/>
        </w:rPr>
        <w:t xml:space="preserve">    'User-Agent': 'Mozilla/5.0 (Windows NT 10.0; Win64; x64) AppleWebKit/537.36 ...',</w:t>
      </w:r>
    </w:p>
    <w:p w14:paraId="79898FBF">
      <w:pPr>
        <w:spacing w:line="440" w:lineRule="exact"/>
        <w:rPr>
          <w:rFonts w:hint="eastAsia" w:ascii="宋体" w:hAnsi="宋体" w:cs="宋体"/>
          <w:sz w:val="24"/>
        </w:rPr>
      </w:pPr>
      <w:r>
        <w:rPr>
          <w:rFonts w:hint="eastAsia" w:ascii="宋体" w:hAnsi="宋体" w:cs="宋体"/>
          <w:sz w:val="24"/>
        </w:rPr>
        <w:t xml:space="preserve">    'Accept': 'text/html,application/xhtml+xml,...'}</w:t>
      </w:r>
    </w:p>
    <w:p w14:paraId="2D5C7A77">
      <w:pPr>
        <w:spacing w:line="440" w:lineRule="exact"/>
        <w:rPr>
          <w:rFonts w:hint="eastAsia" w:ascii="宋体" w:hAnsi="宋体" w:cs="宋体"/>
          <w:sz w:val="24"/>
        </w:rPr>
      </w:pPr>
      <w:r>
        <w:rPr>
          <w:rFonts w:hint="eastAsia" w:ascii="宋体" w:hAnsi="宋体" w:cs="宋体"/>
          <w:sz w:val="24"/>
        </w:rPr>
        <w:t>异常处理与重试：使用try-except块包裹网络请求和解析代码，捕获requests.exceptions.RequestException（如超时、连接错误）和解析异常。对于网络错误，可以实现简单的重试逻辑（如最多重试3次，每次间隔递增）。</w:t>
      </w:r>
    </w:p>
    <w:p w14:paraId="4FD2E63F">
      <w:pPr>
        <w:spacing w:line="440" w:lineRule="exact"/>
        <w:rPr>
          <w:rFonts w:hint="eastAsia" w:ascii="宋体" w:hAnsi="宋体" w:cs="宋体"/>
          <w:sz w:val="24"/>
        </w:rPr>
      </w:pPr>
      <w:r>
        <w:rPr>
          <w:rFonts w:hint="eastAsia" w:ascii="宋体" w:hAnsi="宋体" w:cs="宋体"/>
          <w:sz w:val="24"/>
        </w:rPr>
        <w:t>礼貌爬取：在发起请求之间，使用time.sleep(random.uniform(1, 3))添加随机延时，避免在短时间内对服务器造成过高负载，体现网络礼仪。</w:t>
      </w:r>
    </w:p>
    <w:p w14:paraId="68D7CF82">
      <w:pPr>
        <w:spacing w:line="440" w:lineRule="exact"/>
        <w:rPr>
          <w:rFonts w:hint="eastAsia" w:ascii="宋体" w:hAnsi="宋体" w:cs="宋体"/>
          <w:sz w:val="24"/>
        </w:rPr>
      </w:pPr>
      <w:r>
        <w:rPr>
          <w:rFonts w:hint="eastAsia" w:ascii="宋体" w:hAnsi="宋体" w:cs="宋体"/>
          <w:sz w:val="24"/>
        </w:rPr>
        <w:t>编码处理：明确设置响应的编码（如response.encoding = 'utf-8'），或使用response.apparent_encoding自动判断，确保中文字符正确解码。</w:t>
      </w:r>
    </w:p>
    <w:p w14:paraId="3A409926">
      <w:pPr>
        <w:spacing w:line="440" w:lineRule="exact"/>
        <w:ind w:left="479" w:leftChars="228"/>
        <w:rPr>
          <w:rFonts w:hint="eastAsia" w:ascii="宋体" w:hAnsi="宋体" w:cs="宋体"/>
          <w:sz w:val="24"/>
        </w:rPr>
      </w:pPr>
      <w:r>
        <w:rPr>
          <w:rFonts w:hint="eastAsia" w:ascii="宋体" w:hAnsi="宋体" w:cs="宋体"/>
          <w:sz w:val="24"/>
        </w:rPr>
        <w:t>4.1.3 数据持久化与元数据管理</w:t>
      </w:r>
    </w:p>
    <w:p w14:paraId="5B40285C">
      <w:pPr>
        <w:spacing w:line="440" w:lineRule="exact"/>
        <w:ind w:left="902" w:leftChars="200" w:hanging="482" w:hangingChars="200"/>
        <w:rPr>
          <w:rFonts w:hint="eastAsia" w:ascii="宋体" w:hAnsi="宋体" w:cs="宋体"/>
          <w:b/>
          <w:bCs/>
          <w:sz w:val="24"/>
        </w:rPr>
      </w:pPr>
      <w:r>
        <w:rPr>
          <w:rFonts w:hint="eastAsia" w:ascii="宋体" w:hAnsi="宋体" w:cs="宋体"/>
          <w:b/>
          <w:bCs/>
          <w:sz w:val="24"/>
        </w:rPr>
        <w:t>i</w:t>
      </w:r>
      <w:r>
        <w:rPr>
          <w:rFonts w:hint="eastAsia" w:ascii="宋体" w:hAnsi="宋体" w:cs="宋体"/>
          <w:sz w:val="24"/>
        </w:rPr>
        <w:t>mport csvimport datetime</w:t>
      </w:r>
    </w:p>
    <w:p w14:paraId="47593E4B">
      <w:pPr>
        <w:spacing w:line="440" w:lineRule="exact"/>
        <w:ind w:left="418" w:leftChars="199"/>
        <w:rPr>
          <w:rFonts w:hint="eastAsia" w:ascii="宋体" w:hAnsi="宋体" w:cs="宋体"/>
          <w:b/>
          <w:bCs/>
          <w:sz w:val="24"/>
        </w:rPr>
      </w:pPr>
      <w:r>
        <w:rPr>
          <w:rFonts w:hint="eastAsia" w:ascii="宋体" w:hAnsi="宋体" w:cs="宋体"/>
          <w:b/>
          <w:bCs/>
          <w:sz w:val="24"/>
        </w:rPr>
        <w:t>W</w:t>
      </w:r>
      <w:r>
        <w:rPr>
          <w:rFonts w:hint="eastAsia" w:ascii="宋体" w:hAnsi="宋体" w:cs="宋体"/>
          <w:sz w:val="24"/>
        </w:rPr>
        <w:t>ithopen('university_raw_20250115.csv','w',newline='', encoding='utf-8-sig') as f:</w:t>
      </w:r>
    </w:p>
    <w:p w14:paraId="45B79A2A">
      <w:pPr>
        <w:spacing w:line="440" w:lineRule="exact"/>
        <w:ind w:left="420" w:leftChars="200" w:firstLine="480" w:firstLineChars="200"/>
        <w:rPr>
          <w:rFonts w:hint="eastAsia" w:ascii="宋体" w:hAnsi="宋体" w:cs="宋体"/>
          <w:b/>
          <w:bCs/>
          <w:sz w:val="24"/>
        </w:rPr>
      </w:pPr>
      <w:r>
        <w:rPr>
          <w:rFonts w:hint="eastAsia" w:ascii="宋体" w:hAnsi="宋体" w:cs="宋体"/>
          <w:sz w:val="24"/>
        </w:rPr>
        <w:t># 写入元数据注释</w:t>
      </w:r>
    </w:p>
    <w:p w14:paraId="2FA20BB6">
      <w:pPr>
        <w:spacing w:line="440" w:lineRule="exact"/>
        <w:ind w:left="420" w:leftChars="200" w:firstLine="480" w:firstLineChars="200"/>
        <w:rPr>
          <w:rFonts w:hint="eastAsia" w:ascii="宋体" w:hAnsi="宋体" w:cs="宋体"/>
          <w:b/>
          <w:bCs/>
          <w:sz w:val="24"/>
        </w:rPr>
      </w:pPr>
      <w:r>
        <w:rPr>
          <w:rFonts w:hint="eastAsia" w:ascii="宋体" w:hAnsi="宋体" w:cs="宋体"/>
          <w:sz w:val="24"/>
        </w:rPr>
        <w:t>f.write(f"# 数据来源: {target_url}\n")</w:t>
      </w:r>
    </w:p>
    <w:p w14:paraId="76A7FF69">
      <w:pPr>
        <w:spacing w:line="440" w:lineRule="exact"/>
        <w:ind w:left="420" w:leftChars="200" w:firstLine="480" w:firstLineChars="200"/>
        <w:rPr>
          <w:rFonts w:hint="eastAsia" w:ascii="宋体" w:hAnsi="宋体" w:cs="宋体"/>
          <w:b/>
          <w:bCs/>
          <w:sz w:val="24"/>
        </w:rPr>
      </w:pPr>
      <w:r>
        <w:rPr>
          <w:rFonts w:hint="eastAsia" w:ascii="宋体" w:hAnsi="宋体" w:cs="宋体"/>
          <w:sz w:val="24"/>
        </w:rPr>
        <w:t>f.write(f"# 爬取时间: {datetime.datetime.now().strftime</w:t>
      </w:r>
      <m:oMath>
        <m:r>
          <m:rPr/>
          <w:rPr>
            <w:rFonts w:ascii="Cambria Math"/>
          </w:rPr>
          <m:t>'%Y−%m−%d%H:%M:%S'</m:t>
        </m:r>
      </m:oMath>
      <w:r>
        <w:rPr>
          <w:rFonts w:hint="eastAsia" w:ascii="宋体" w:hAnsi="宋体" w:cs="宋体"/>
          <w:sz w:val="24"/>
        </w:rPr>
        <w:t>}\n")</w:t>
      </w:r>
    </w:p>
    <w:p w14:paraId="25FE4520">
      <w:pPr>
        <w:spacing w:line="440" w:lineRule="exact"/>
        <w:ind w:left="420" w:leftChars="200" w:firstLine="480" w:firstLineChars="200"/>
        <w:rPr>
          <w:rFonts w:hint="eastAsia" w:ascii="宋体" w:hAnsi="宋体" w:cs="宋体"/>
          <w:b/>
          <w:bCs/>
          <w:sz w:val="24"/>
        </w:rPr>
      </w:pPr>
      <w:r>
        <w:rPr>
          <w:rFonts w:hint="eastAsia" w:ascii="宋体" w:hAnsi="宋体" w:cs="宋体"/>
          <w:sz w:val="24"/>
        </w:rPr>
        <w:t>f.write(f"# 字段说明: 学校名称,学校标识码,省份,城市,主管部门,办学层次,办学性质\n")</w:t>
      </w:r>
    </w:p>
    <w:p w14:paraId="26AE9858">
      <w:pPr>
        <w:spacing w:line="440" w:lineRule="exact"/>
        <w:ind w:left="420" w:leftChars="200" w:firstLine="480" w:firstLineChars="200"/>
        <w:rPr>
          <w:rFonts w:hint="eastAsia" w:ascii="宋体" w:hAnsi="宋体" w:cs="宋体"/>
          <w:b/>
          <w:bCs/>
          <w:sz w:val="24"/>
        </w:rPr>
      </w:pPr>
      <w:r>
        <w:rPr>
          <w:rFonts w:hint="eastAsia" w:ascii="宋体" w:hAnsi="宋体" w:cs="宋体"/>
          <w:sz w:val="24"/>
        </w:rPr>
        <w:t>f.write</w:t>
      </w:r>
      <m:oMath>
        <m:r>
          <m:rPr/>
          <w:rPr>
            <w:rFonts w:ascii="Cambria Math"/>
          </w:rPr>
          <m:t>"#"∗50+"\n"</m:t>
        </m:r>
      </m:oMath>
    </w:p>
    <w:p w14:paraId="131738E5">
      <w:pPr>
        <w:spacing w:line="440" w:lineRule="exact"/>
        <w:ind w:left="420" w:leftChars="200" w:firstLine="480" w:firstLineChars="200"/>
        <w:rPr>
          <w:rFonts w:hint="eastAsia" w:ascii="宋体" w:hAnsi="宋体" w:cs="宋体"/>
          <w:b/>
          <w:bCs/>
          <w:sz w:val="24"/>
        </w:rPr>
      </w:pPr>
      <w:r>
        <w:rPr>
          <w:rFonts w:hint="eastAsia" w:ascii="宋体" w:hAnsi="宋体" w:cs="宋体"/>
          <w:sz w:val="24"/>
        </w:rPr>
        <w:t>writer = csv.DictWriter(f, fieldnames=fieldnames)</w:t>
      </w:r>
    </w:p>
    <w:p w14:paraId="7CEE6342">
      <w:pPr>
        <w:spacing w:line="440" w:lineRule="exact"/>
        <w:ind w:left="420" w:leftChars="200" w:firstLine="480" w:firstLineChars="200"/>
        <w:rPr>
          <w:rFonts w:hint="eastAsia" w:ascii="宋体" w:hAnsi="宋体" w:cs="宋体"/>
          <w:b/>
          <w:bCs/>
          <w:sz w:val="24"/>
        </w:rPr>
      </w:pPr>
      <w:r>
        <w:rPr>
          <w:rFonts w:hint="eastAsia" w:ascii="宋体" w:hAnsi="宋体" w:cs="宋体"/>
          <w:sz w:val="24"/>
        </w:rPr>
        <w:t>writer.writeheader()</w:t>
      </w:r>
    </w:p>
    <w:p w14:paraId="6062D269">
      <w:pPr>
        <w:spacing w:line="440" w:lineRule="exact"/>
        <w:ind w:left="420" w:leftChars="200" w:firstLine="480" w:firstLineChars="200"/>
        <w:rPr>
          <w:rFonts w:hint="eastAsia" w:ascii="宋体" w:hAnsi="宋体" w:cs="宋体"/>
          <w:b/>
          <w:bCs/>
          <w:sz w:val="24"/>
        </w:rPr>
      </w:pPr>
      <w:r>
        <w:rPr>
          <w:rFonts w:hint="eastAsia" w:ascii="宋体" w:hAnsi="宋体" w:cs="宋体"/>
          <w:sz w:val="24"/>
        </w:rPr>
        <w:t>writer.write</w:t>
      </w:r>
      <m:oMath>
        <m:r>
          <m:rPr/>
          <w:rPr>
            <w:rFonts w:ascii="Cambria Math"/>
          </w:rPr>
          <m:t>rows(dat</m:t>
        </m:r>
        <m:sSub>
          <m:sSubPr>
            <m:ctrlPr>
              <w:rPr>
                <w:rFonts w:ascii="Cambria Math" w:hAnsi="Cambria Math"/>
              </w:rPr>
            </m:ctrlPr>
          </m:sSubPr>
          <m:e>
            <m:r>
              <m:rPr/>
              <w:rPr>
                <w:rFonts w:ascii="Cambria Math"/>
              </w:rPr>
              <m:t>a</m:t>
            </m:r>
            <m:ctrlPr>
              <w:rPr>
                <w:rFonts w:ascii="Cambria Math" w:hAnsi="Cambria Math"/>
              </w:rPr>
            </m:ctrlPr>
          </m:e>
          <m:sub>
            <m:r>
              <m:rPr/>
              <w:rPr>
                <w:rFonts w:ascii="Cambria Math"/>
              </w:rPr>
              <m:t>l</m:t>
            </m:r>
            <m:ctrlPr>
              <w:rPr>
                <w:rFonts w:ascii="Cambria Math" w:hAnsi="Cambria Math"/>
              </w:rPr>
            </m:ctrlPr>
          </m:sub>
        </m:sSub>
        <m:r>
          <m:rPr/>
          <w:rPr>
            <w:rFonts w:ascii="Cambria Math"/>
          </w:rPr>
          <m:t>ist)</m:t>
        </m:r>
      </m:oMath>
    </w:p>
    <w:p w14:paraId="4A2EF4AA">
      <w:pPr>
        <w:spacing w:line="440" w:lineRule="exact"/>
        <w:ind w:left="420" w:leftChars="200" w:firstLine="480" w:firstLineChars="200"/>
        <w:rPr>
          <w:rFonts w:hint="eastAsia" w:ascii="宋体" w:hAnsi="宋体" w:cs="宋体"/>
          <w:b/>
          <w:bCs/>
          <w:sz w:val="24"/>
        </w:rPr>
      </w:pPr>
      <w:r>
        <w:rPr>
          <w:rFonts w:hint="eastAsia" w:ascii="宋体" w:hAnsi="宋体" w:cs="宋体"/>
          <w:sz w:val="24"/>
        </w:rPr>
        <w:t>此步骤产出的university_raw_[日期].csv文件，既包含了原始数据，也嵌入了其“出身证明”，为后续环节提供了清晰的上下文。</w:t>
      </w:r>
    </w:p>
    <w:p w14:paraId="066CF487">
      <w:pPr>
        <w:spacing w:line="440" w:lineRule="exact"/>
        <w:ind w:firstLine="480" w:firstLineChars="200"/>
        <w:rPr>
          <w:rFonts w:hint="eastAsia" w:ascii="宋体" w:hAnsi="宋体" w:cs="宋体"/>
          <w:sz w:val="24"/>
        </w:rPr>
      </w:pPr>
      <w:r>
        <w:rPr>
          <w:rFonts w:hint="eastAsia" w:ascii="宋体" w:hAnsi="宋体" w:cs="宋体"/>
          <w:sz w:val="24"/>
        </w:rPr>
        <w:t>4.2 数据清洗模块的设计与实现</w:t>
      </w:r>
    </w:p>
    <w:p w14:paraId="1CED9F8F">
      <w:pPr>
        <w:spacing w:line="440" w:lineRule="exact"/>
        <w:ind w:firstLine="480" w:firstLineChars="200"/>
        <w:rPr>
          <w:rFonts w:hint="eastAsia" w:ascii="宋体" w:hAnsi="宋体" w:cs="宋体"/>
          <w:sz w:val="24"/>
        </w:rPr>
      </w:pPr>
      <w:r>
        <w:rPr>
          <w:rFonts w:hint="eastAsia" w:ascii="宋体" w:hAnsi="宋体" w:cs="宋体"/>
          <w:sz w:val="24"/>
        </w:rPr>
        <w:t>数据清洗模块是提升数据质量、使其适于分析的关键环节。本系统设计了一套基于规则的清洗流程，通过Pandas高效执行。整体清洗流程如图4-1所示，遵循“评估→处理→验证”的循环模式。</w:t>
      </w:r>
    </w:p>
    <w:p w14:paraId="630EF37C">
      <w:pPr>
        <w:spacing w:line="440" w:lineRule="exact"/>
        <w:ind w:firstLine="3780" w:firstLineChars="1800"/>
        <w:rPr>
          <w:rFonts w:hint="default" w:ascii="宋体" w:hAnsi="宋体" w:cs="宋体" w:eastAsiaTheme="minorEastAsia"/>
          <w:szCs w:val="21"/>
          <w:lang w:val="en-US" w:eastAsia="zh-CN"/>
        </w:rPr>
      </w:pPr>
      <w:r>
        <w:rPr>
          <w:rFonts w:hint="eastAsia" w:ascii="宋体" w:hAnsi="宋体" w:cs="宋体"/>
          <w:szCs w:val="21"/>
        </w:rPr>
        <w:t>图4</w:t>
      </w:r>
      <w:r>
        <w:rPr>
          <w:rFonts w:hint="eastAsia" w:ascii="宋体" w:hAnsi="宋体" w:cs="宋体"/>
          <w:szCs w:val="21"/>
          <w:lang w:val="en-US" w:eastAsia="zh-CN"/>
        </w:rPr>
        <w:t>-1 数据清洗模块</w:t>
      </w:r>
    </w:p>
    <w:p w14:paraId="4F9FC146">
      <w:pPr>
        <w:spacing w:line="440" w:lineRule="exact"/>
        <w:ind w:firstLine="480" w:firstLineChars="200"/>
        <w:outlineLvl w:val="9"/>
        <w:rPr>
          <w:rFonts w:hint="eastAsia" w:ascii="宋体" w:hAnsi="宋体" w:cs="宋体"/>
          <w:sz w:val="24"/>
        </w:rPr>
      </w:pPr>
      <w:r>
        <w:rPr>
          <w:rFonts w:hint="eastAsia" w:ascii="宋体" w:hAnsi="宋体" w:cs="宋体"/>
          <w:sz w:val="24"/>
        </w:rPr>
        <w:drawing>
          <wp:anchor distT="0" distB="0" distL="114300" distR="114300" simplePos="0" relativeHeight="251913216" behindDoc="0" locked="0" layoutInCell="1" allowOverlap="1">
            <wp:simplePos x="0" y="0"/>
            <wp:positionH relativeFrom="column">
              <wp:posOffset>558800</wp:posOffset>
            </wp:positionH>
            <wp:positionV relativeFrom="paragraph">
              <wp:posOffset>26670</wp:posOffset>
            </wp:positionV>
            <wp:extent cx="4060190" cy="4091940"/>
            <wp:effectExtent l="0" t="0" r="16510" b="3810"/>
            <wp:wrapNone/>
            <wp:docPr id="310630894" name="图片 3106308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30894" name="图片 310630894" descr="1."/>
                    <pic:cNvPicPr>
                      <a:picLocks noChangeAspect="1"/>
                    </pic:cNvPicPr>
                  </pic:nvPicPr>
                  <pic:blipFill>
                    <a:blip r:embed="rId487"/>
                    <a:stretch>
                      <a:fillRect/>
                    </a:stretch>
                  </pic:blipFill>
                  <pic:spPr>
                    <a:xfrm>
                      <a:off x="0" y="0"/>
                      <a:ext cx="4060190" cy="4091940"/>
                    </a:xfrm>
                    <a:prstGeom prst="rect">
                      <a:avLst/>
                    </a:prstGeom>
                  </pic:spPr>
                </pic:pic>
              </a:graphicData>
            </a:graphic>
          </wp:anchor>
        </w:drawing>
      </w:r>
    </w:p>
    <w:p w14:paraId="3EC6837B">
      <w:pPr>
        <w:keepNext/>
        <w:keepLines/>
        <w:spacing w:before="240" w:after="64" w:line="320" w:lineRule="auto"/>
        <w:ind w:left="1584" w:hanging="1584"/>
        <w:outlineLvl w:val="9"/>
        <w:rPr>
          <w:rFonts w:hint="eastAsia" w:ascii="宋体" w:hAnsi="宋体" w:eastAsia="黑体" w:cs="宋体"/>
          <w:sz w:val="24"/>
        </w:rPr>
      </w:pPr>
    </w:p>
    <w:p w14:paraId="60AED27C">
      <w:pPr>
        <w:rPr>
          <w:rFonts w:hint="eastAsia" w:ascii="宋体" w:hAnsi="宋体" w:cs="宋体"/>
          <w:sz w:val="24"/>
        </w:rPr>
      </w:pPr>
    </w:p>
    <w:p w14:paraId="2DCDBFDB">
      <w:pPr>
        <w:keepNext/>
        <w:keepLines/>
        <w:spacing w:before="240" w:after="64" w:line="320" w:lineRule="auto"/>
        <w:ind w:left="1584" w:hanging="1584"/>
        <w:outlineLvl w:val="9"/>
        <w:rPr>
          <w:rFonts w:hint="eastAsia" w:ascii="宋体" w:hAnsi="宋体" w:eastAsia="黑体" w:cs="宋体"/>
          <w:sz w:val="24"/>
        </w:rPr>
      </w:pPr>
    </w:p>
    <w:p w14:paraId="4946021C">
      <w:pPr>
        <w:rPr>
          <w:rFonts w:hint="eastAsia" w:ascii="宋体" w:hAnsi="宋体" w:cs="宋体"/>
          <w:sz w:val="24"/>
        </w:rPr>
      </w:pPr>
    </w:p>
    <w:p w14:paraId="1DCBC5F0">
      <w:pPr>
        <w:keepNext/>
        <w:keepLines/>
        <w:spacing w:before="240" w:after="64" w:line="320" w:lineRule="auto"/>
        <w:ind w:left="1584" w:hanging="1584"/>
        <w:outlineLvl w:val="9"/>
        <w:rPr>
          <w:rFonts w:hint="eastAsia" w:ascii="宋体" w:hAnsi="宋体" w:eastAsia="黑体" w:cs="宋体"/>
          <w:sz w:val="24"/>
        </w:rPr>
      </w:pPr>
    </w:p>
    <w:p w14:paraId="2D7552E4">
      <w:pPr>
        <w:rPr>
          <w:rFonts w:hint="eastAsia" w:ascii="宋体" w:hAnsi="宋体" w:cs="宋体"/>
          <w:sz w:val="24"/>
        </w:rPr>
      </w:pPr>
    </w:p>
    <w:p w14:paraId="08F9D258">
      <w:pPr>
        <w:keepNext/>
        <w:keepLines/>
        <w:spacing w:before="240" w:after="64" w:line="320" w:lineRule="auto"/>
        <w:ind w:left="1584" w:hanging="1584"/>
        <w:outlineLvl w:val="9"/>
        <w:rPr>
          <w:rFonts w:hint="eastAsia" w:ascii="宋体" w:hAnsi="宋体" w:eastAsia="黑体" w:cs="宋体"/>
          <w:sz w:val="24"/>
        </w:rPr>
      </w:pPr>
    </w:p>
    <w:p w14:paraId="73072174">
      <w:pPr>
        <w:rPr>
          <w:rFonts w:hint="eastAsia" w:ascii="宋体" w:hAnsi="宋体" w:cs="宋体"/>
          <w:sz w:val="24"/>
        </w:rPr>
      </w:pPr>
    </w:p>
    <w:p w14:paraId="739B54C6">
      <w:pPr>
        <w:keepNext/>
        <w:keepLines/>
        <w:spacing w:before="240" w:after="64" w:line="320" w:lineRule="auto"/>
        <w:ind w:left="1584" w:hanging="1584"/>
        <w:outlineLvl w:val="9"/>
        <w:rPr>
          <w:rFonts w:hint="eastAsia" w:ascii="宋体" w:hAnsi="宋体" w:eastAsia="黑体" w:cs="宋体"/>
          <w:sz w:val="24"/>
        </w:rPr>
      </w:pPr>
    </w:p>
    <w:p w14:paraId="29103707">
      <w:pPr>
        <w:rPr>
          <w:rFonts w:hint="eastAsia" w:ascii="宋体" w:hAnsi="宋体" w:cs="宋体"/>
          <w:sz w:val="24"/>
        </w:rPr>
      </w:pPr>
    </w:p>
    <w:p w14:paraId="6E1BCE33">
      <w:pPr>
        <w:keepNext/>
        <w:keepLines/>
        <w:spacing w:before="240" w:after="64" w:line="320" w:lineRule="auto"/>
        <w:ind w:left="1584" w:hanging="1584"/>
        <w:outlineLvl w:val="9"/>
        <w:rPr>
          <w:rFonts w:hint="eastAsia" w:ascii="宋体" w:hAnsi="宋体" w:eastAsia="黑体" w:cs="宋体"/>
          <w:sz w:val="24"/>
        </w:rPr>
      </w:pPr>
    </w:p>
    <w:p w14:paraId="3BC25F62">
      <w:pPr>
        <w:spacing w:line="440" w:lineRule="exact"/>
        <w:rPr>
          <w:rFonts w:hint="eastAsia" w:ascii="宋体" w:hAnsi="宋体" w:cs="宋体"/>
          <w:sz w:val="24"/>
        </w:rPr>
      </w:pPr>
    </w:p>
    <w:p w14:paraId="2AD1F8F6">
      <w:pPr>
        <w:spacing w:line="440" w:lineRule="exact"/>
        <w:ind w:firstLine="480" w:firstLineChars="200"/>
        <w:rPr>
          <w:rFonts w:hint="eastAsia" w:ascii="宋体" w:hAnsi="宋体" w:cs="宋体"/>
          <w:sz w:val="24"/>
        </w:rPr>
      </w:pPr>
      <w:r>
        <w:rPr>
          <w:rFonts w:hint="eastAsia" w:ascii="宋体" w:hAnsi="宋体" w:cs="宋体"/>
          <w:sz w:val="24"/>
        </w:rPr>
        <w:t xml:space="preserve">4.2.1 数据质量评估与清洗规则制定 </w:t>
      </w:r>
    </w:p>
    <w:p w14:paraId="5448BE59">
      <w:pPr>
        <w:spacing w:line="440" w:lineRule="exact"/>
        <w:ind w:firstLine="480" w:firstLineChars="200"/>
        <w:rPr>
          <w:rFonts w:hint="eastAsia" w:ascii="宋体" w:hAnsi="宋体" w:cs="宋体"/>
          <w:sz w:val="24"/>
        </w:rPr>
      </w:pPr>
      <w:r>
        <w:rPr>
          <w:rFonts w:hint="eastAsia" w:ascii="宋体" w:hAnsi="宋体" w:eastAsia="宋体" w:cs="宋体"/>
          <w:sz w:val="24"/>
        </w:rPr>
        <w:t>数据质量评估核心维度</w:t>
      </w:r>
      <w:r>
        <w:rPr>
          <w:rFonts w:hint="eastAsia" w:ascii="宋体" w:hAnsi="宋体" w:cs="宋体"/>
          <w:sz w:val="24"/>
        </w:rPr>
        <w:t>与评估标准：</w:t>
      </w:r>
    </w:p>
    <w:p w14:paraId="05BB3307">
      <w:pPr>
        <w:spacing w:line="440" w:lineRule="exact"/>
        <w:ind w:firstLine="480" w:firstLineChars="200"/>
        <w:rPr>
          <w:rFonts w:hint="eastAsia" w:ascii="宋体" w:hAnsi="宋体" w:eastAsia="宋体" w:cs="宋体"/>
          <w:sz w:val="24"/>
        </w:rPr>
      </w:pPr>
      <w:r>
        <w:rPr>
          <w:rFonts w:hint="eastAsia" w:ascii="宋体" w:hAnsi="宋体" w:eastAsia="宋体" w:cs="宋体"/>
          <w:sz w:val="24"/>
        </w:rPr>
        <w:t>完整性</w:t>
      </w:r>
      <w:r>
        <w:rPr>
          <w:rFonts w:hint="eastAsia" w:ascii="宋体" w:hAnsi="宋体" w:cs="宋体"/>
          <w:sz w:val="24"/>
        </w:rPr>
        <w:t>：</w:t>
      </w:r>
      <w:r>
        <w:rPr>
          <w:rFonts w:hint="eastAsia" w:ascii="宋体" w:hAnsi="宋体" w:eastAsia="宋体" w:cs="宋体"/>
          <w:sz w:val="24"/>
        </w:rPr>
        <w:t>核心字段（标识码、名称、省份）缺失率≤1%</w:t>
      </w:r>
      <w:r>
        <w:rPr>
          <w:rFonts w:hint="eastAsia" w:ascii="宋体" w:hAnsi="宋体" w:cs="宋体"/>
          <w:sz w:val="24"/>
        </w:rPr>
        <w:t>；</w:t>
      </w:r>
      <w:r>
        <w:rPr>
          <w:rFonts w:hint="eastAsia" w:ascii="宋体" w:hAnsi="宋体" w:eastAsia="宋体" w:cs="宋体"/>
          <w:sz w:val="24"/>
        </w:rPr>
        <w:t>准确性</w:t>
      </w:r>
      <w:r>
        <w:rPr>
          <w:rFonts w:hint="eastAsia" w:ascii="宋体" w:hAnsi="宋体" w:cs="宋体"/>
          <w:sz w:val="24"/>
        </w:rPr>
        <w:t>：</w:t>
      </w:r>
      <w:r>
        <w:rPr>
          <w:rFonts w:hint="eastAsia" w:ascii="宋体" w:hAnsi="宋体" w:eastAsia="宋体" w:cs="宋体"/>
          <w:sz w:val="24"/>
        </w:rPr>
        <w:t>无逻辑错误（如建校时间合理、分数正常）</w:t>
      </w:r>
      <w:r>
        <w:rPr>
          <w:rFonts w:hint="eastAsia" w:ascii="宋体" w:hAnsi="宋体" w:cs="宋体"/>
          <w:sz w:val="24"/>
        </w:rPr>
        <w:t>；</w:t>
      </w:r>
      <w:r>
        <w:rPr>
          <w:rFonts w:hint="eastAsia" w:ascii="宋体" w:hAnsi="宋体" w:eastAsia="宋体" w:cs="宋体"/>
          <w:sz w:val="24"/>
        </w:rPr>
        <w:t>一致性</w:t>
      </w:r>
      <w:r>
        <w:rPr>
          <w:rFonts w:hint="eastAsia" w:ascii="宋体" w:hAnsi="宋体" w:cs="宋体"/>
          <w:sz w:val="24"/>
        </w:rPr>
        <w:t>：</w:t>
      </w:r>
      <w:r>
        <w:rPr>
          <w:rFonts w:hint="eastAsia" w:ascii="宋体" w:hAnsi="宋体" w:eastAsia="宋体" w:cs="宋体"/>
          <w:sz w:val="24"/>
        </w:rPr>
        <w:t>格式 / 语义统一（如同义表述统一）</w:t>
      </w:r>
      <w:r>
        <w:rPr>
          <w:rFonts w:hint="eastAsia" w:ascii="宋体" w:hAnsi="宋体" w:cs="宋体"/>
          <w:sz w:val="24"/>
        </w:rPr>
        <w:t>；</w:t>
      </w:r>
      <w:r>
        <w:rPr>
          <w:rFonts w:hint="eastAsia" w:ascii="宋体" w:hAnsi="宋体" w:eastAsia="宋体" w:cs="宋体"/>
          <w:sz w:val="24"/>
        </w:rPr>
        <w:t>唯一性：无重复记录（以学校标识码为基准）</w:t>
      </w:r>
      <w:r>
        <w:rPr>
          <w:rFonts w:hint="eastAsia" w:ascii="宋体" w:hAnsi="宋体" w:cs="宋体"/>
          <w:sz w:val="24"/>
        </w:rPr>
        <w:t>；</w:t>
      </w:r>
      <w:r>
        <w:rPr>
          <w:rFonts w:hint="eastAsia" w:ascii="宋体" w:hAnsi="宋体" w:eastAsia="宋体" w:cs="宋体"/>
          <w:sz w:val="24"/>
        </w:rPr>
        <w:t>规范性：无多余空格、非法字符，格式标准</w:t>
      </w:r>
      <w:r>
        <w:rPr>
          <w:rFonts w:hint="eastAsia" w:ascii="宋体" w:hAnsi="宋体" w:cs="宋体"/>
          <w:sz w:val="24"/>
        </w:rPr>
        <w:t>。</w:t>
      </w:r>
    </w:p>
    <w:p w14:paraId="79A14D16">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核心清洗规则：</w:t>
      </w:r>
    </w:p>
    <w:p w14:paraId="3C173203">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1.缺失值处理：</w:t>
      </w:r>
    </w:p>
    <w:p w14:paraId="60E68204">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核心字段缺失：直接删除记录；数值型字段：同类型高校中位数填充；分类型字段：字段众数填充；非核心字段：填充 “未公开”。</w:t>
      </w:r>
    </w:p>
    <w:p w14:paraId="0616C6FF">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2. 异常值处理：</w:t>
      </w:r>
    </w:p>
    <w:p w14:paraId="32DCDB8F">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数值异常：用 IQR 法识别极端值，替换为中位数；逻辑异常：标注矛盾记录（如省份与城市不匹配），人工核实。</w:t>
      </w:r>
    </w:p>
    <w:p w14:paraId="5DDFDC42">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3. 重复值处理：</w:t>
      </w:r>
    </w:p>
    <w:p w14:paraId="7011AB9C">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精确重复：按学校标识码去重，保留首条；近似重复：文本相似度比对，人工确认后合并。</w:t>
      </w:r>
    </w:p>
    <w:p w14:paraId="70F1857E">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4. 规范性处理：</w:t>
      </w:r>
    </w:p>
    <w:p w14:paraId="7C9B1C7E">
      <w:pPr>
        <w:keepNext/>
        <w:keepLines/>
        <w:spacing w:line="440" w:lineRule="exact"/>
        <w:ind w:firstLine="480" w:firstLineChars="200"/>
        <w:jc w:val="left"/>
        <w:outlineLvl w:val="9"/>
        <w:rPr>
          <w:rFonts w:hint="eastAsia" w:ascii="宋体" w:hAnsi="宋体" w:eastAsia="宋体" w:cs="宋体"/>
          <w:sz w:val="24"/>
        </w:rPr>
      </w:pPr>
      <w:r>
        <w:rPr>
          <w:rFonts w:hint="eastAsia" w:ascii="宋体" w:hAnsi="宋体" w:eastAsia="宋体" w:cs="宋体"/>
          <w:sz w:val="24"/>
        </w:rPr>
        <w:t>格式统一：去除空格、统一编码（utf-8）；语义统一：同义表述合并（如 “教育部”“国家教育部” 统一）；非法值清理：删除特殊字符，转换数值格式。</w:t>
      </w:r>
    </w:p>
    <w:p w14:paraId="65A1195D">
      <w:pPr>
        <w:spacing w:line="440" w:lineRule="exact"/>
        <w:ind w:firstLine="480" w:firstLineChars="200"/>
        <w:outlineLvl w:val="9"/>
        <w:rPr>
          <w:rFonts w:hint="eastAsia" w:ascii="宋体" w:hAnsi="宋体" w:cs="宋体"/>
          <w:sz w:val="24"/>
        </w:rPr>
      </w:pPr>
      <w:r>
        <w:rPr>
          <w:rFonts w:hint="eastAsia" w:ascii="宋体" w:hAnsi="宋体" w:cs="宋体"/>
          <w:sz w:val="24"/>
        </w:rPr>
        <w:t>4.2.2 清洗流程的自动化实现</w:t>
      </w:r>
      <w:r>
        <w:rPr>
          <w:rFonts w:hint="eastAsia" w:ascii="宋体" w:hAnsi="宋体" w:cs="宋体"/>
          <w:sz w:val="24"/>
        </w:rPr>
        <w:br w:type="textWrapping"/>
      </w:r>
      <w:r>
        <w:rPr>
          <w:rFonts w:hint="eastAsia" w:ascii="宋体" w:hAnsi="宋体" w:cs="宋体"/>
          <w:sz w:val="24"/>
        </w:rPr>
        <w:t xml:space="preserve">    清洗过程被封装为一个函数或类方法，按顺序应用上述规则。代码如</w:t>
      </w:r>
      <w:r>
        <w:rPr>
          <w:rFonts w:hint="eastAsia" w:ascii="宋体" w:hAnsi="宋体" w:cs="宋体"/>
          <w:sz w:val="24"/>
          <w:lang w:val="en-US" w:eastAsia="zh-CN"/>
        </w:rPr>
        <w:t>图4-2</w:t>
      </w:r>
      <w:r>
        <w:rPr>
          <w:rFonts w:hint="eastAsia" w:ascii="宋体" w:hAnsi="宋体" w:cs="宋体"/>
          <w:sz w:val="24"/>
        </w:rPr>
        <w:t>所示：</w:t>
      </w:r>
    </w:p>
    <w:p w14:paraId="7056EDE8">
      <w:pPr>
        <w:spacing w:line="440" w:lineRule="exact"/>
        <w:jc w:val="center"/>
        <w:rPr>
          <w:rFonts w:hint="eastAsia" w:ascii="宋体" w:hAnsi="宋体" w:cs="宋体" w:eastAsiaTheme="minorEastAsia"/>
          <w:szCs w:val="21"/>
          <w:lang w:val="en-US" w:eastAsia="zh-CN"/>
        </w:rPr>
      </w:pPr>
      <w:r>
        <w:rPr>
          <w:rFonts w:hint="eastAsia" w:ascii="宋体" w:hAnsi="宋体" w:cs="宋体"/>
          <w:szCs w:val="21"/>
        </w:rPr>
        <w:t>图4-2</w:t>
      </w:r>
      <w:r>
        <w:rPr>
          <w:rFonts w:hint="eastAsia" w:ascii="宋体" w:hAnsi="宋体" w:cs="宋体"/>
          <w:szCs w:val="21"/>
          <w:lang w:val="en-US" w:eastAsia="zh-CN"/>
        </w:rPr>
        <w:t xml:space="preserve"> 清洗流程的自动化实现</w:t>
      </w:r>
    </w:p>
    <w:p w14:paraId="51F1D76A">
      <w:pPr>
        <w:keepNext/>
        <w:keepLines/>
        <w:spacing w:before="240" w:after="64" w:line="320" w:lineRule="auto"/>
        <w:ind w:left="1584" w:hanging="1584"/>
        <w:outlineLvl w:val="9"/>
        <w:rPr>
          <w:rFonts w:hint="eastAsia" w:ascii="宋体" w:hAnsi="宋体" w:eastAsia="黑体" w:cs="宋体"/>
          <w:sz w:val="24"/>
        </w:rPr>
      </w:pPr>
      <w:r>
        <w:rPr>
          <w:rFonts w:hint="eastAsia" w:ascii="宋体" w:hAnsi="宋体" w:eastAsia="黑体" w:cs="宋体"/>
          <w:sz w:val="24"/>
        </w:rPr>
        <w:drawing>
          <wp:anchor distT="0" distB="0" distL="114300" distR="114300" simplePos="0" relativeHeight="251914240" behindDoc="0" locked="0" layoutInCell="1" allowOverlap="1">
            <wp:simplePos x="0" y="0"/>
            <wp:positionH relativeFrom="column">
              <wp:posOffset>570230</wp:posOffset>
            </wp:positionH>
            <wp:positionV relativeFrom="paragraph">
              <wp:posOffset>25400</wp:posOffset>
            </wp:positionV>
            <wp:extent cx="4119245" cy="2447290"/>
            <wp:effectExtent l="0" t="0" r="14605" b="10160"/>
            <wp:wrapNone/>
            <wp:docPr id="405766717" name="图片 405766717" descr="f1d4ac74-8ba1-4e82-8d24-f177284633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66717" name="图片 405766717" descr="f1d4ac74-8ba1-4e82-8d24-f177284633e3"/>
                    <pic:cNvPicPr>
                      <a:picLocks noChangeAspect="1"/>
                    </pic:cNvPicPr>
                  </pic:nvPicPr>
                  <pic:blipFill>
                    <a:blip r:embed="rId488"/>
                    <a:stretch>
                      <a:fillRect/>
                    </a:stretch>
                  </pic:blipFill>
                  <pic:spPr>
                    <a:xfrm>
                      <a:off x="0" y="0"/>
                      <a:ext cx="4119245" cy="2447290"/>
                    </a:xfrm>
                    <a:prstGeom prst="rect">
                      <a:avLst/>
                    </a:prstGeom>
                  </pic:spPr>
                </pic:pic>
              </a:graphicData>
            </a:graphic>
          </wp:anchor>
        </w:drawing>
      </w:r>
    </w:p>
    <w:p w14:paraId="45E1DA58">
      <w:pPr>
        <w:rPr>
          <w:rFonts w:hint="eastAsia" w:ascii="宋体" w:hAnsi="宋体" w:cs="宋体"/>
          <w:sz w:val="24"/>
        </w:rPr>
      </w:pPr>
    </w:p>
    <w:p w14:paraId="04823DD6">
      <w:pPr>
        <w:keepNext/>
        <w:keepLines/>
        <w:spacing w:before="240" w:after="64" w:line="320" w:lineRule="auto"/>
        <w:ind w:left="1584" w:hanging="1584"/>
        <w:outlineLvl w:val="9"/>
        <w:rPr>
          <w:rFonts w:hint="eastAsia" w:ascii="宋体" w:hAnsi="宋体" w:eastAsia="黑体" w:cs="宋体"/>
          <w:sz w:val="24"/>
        </w:rPr>
      </w:pPr>
    </w:p>
    <w:p w14:paraId="138AE262">
      <w:pPr>
        <w:rPr>
          <w:rFonts w:hint="eastAsia" w:ascii="宋体" w:hAnsi="宋体" w:cs="宋体"/>
          <w:sz w:val="24"/>
        </w:rPr>
      </w:pPr>
    </w:p>
    <w:p w14:paraId="521B8073">
      <w:pPr>
        <w:keepNext/>
        <w:keepLines/>
        <w:spacing w:before="240" w:after="64" w:line="320" w:lineRule="auto"/>
        <w:ind w:left="1584" w:hanging="1584"/>
        <w:outlineLvl w:val="9"/>
        <w:rPr>
          <w:rFonts w:ascii="Arial" w:hAnsi="Arial" w:eastAsia="黑体"/>
        </w:rPr>
      </w:pPr>
    </w:p>
    <w:p w14:paraId="623B334F"/>
    <w:p w14:paraId="5D6AEF88"/>
    <w:p w14:paraId="142C463A">
      <w:pPr>
        <w:spacing w:line="440" w:lineRule="exact"/>
        <w:outlineLvl w:val="9"/>
        <w:rPr>
          <w:rFonts w:hint="eastAsia" w:ascii="宋体" w:hAnsi="宋体" w:cs="宋体"/>
          <w:sz w:val="24"/>
        </w:rPr>
      </w:pPr>
    </w:p>
    <w:p w14:paraId="018EE176">
      <w:pPr>
        <w:spacing w:line="440" w:lineRule="exact"/>
        <w:ind w:left="479" w:leftChars="228"/>
        <w:rPr>
          <w:rFonts w:hint="eastAsia" w:ascii="宋体" w:hAnsi="宋体" w:cs="宋体"/>
          <w:sz w:val="24"/>
        </w:rPr>
      </w:pPr>
      <w:r>
        <w:rPr>
          <w:rFonts w:hint="eastAsia" w:ascii="宋体" w:hAnsi="宋体" w:cs="宋体"/>
          <w:sz w:val="24"/>
        </w:rPr>
        <w:t>4.2.3 清洗结果持久化与报告生成</w:t>
      </w:r>
      <w:r>
        <w:rPr>
          <w:rFonts w:hint="eastAsia" w:ascii="宋体" w:hAnsi="宋体" w:cs="宋体"/>
          <w:sz w:val="24"/>
        </w:rPr>
        <w:br w:type="textWrapping"/>
      </w:r>
      <w:r>
        <w:rPr>
          <w:rFonts w:hint="eastAsia" w:ascii="宋体" w:hAnsi="宋体" w:cs="宋体"/>
          <w:sz w:val="24"/>
        </w:rPr>
        <w:t>清洗函数返回干净的DataFrame和包含统计信息的报告字典。随后：</w:t>
      </w:r>
    </w:p>
    <w:p w14:paraId="616C1CCB">
      <w:pPr>
        <w:spacing w:line="440" w:lineRule="exact"/>
        <w:ind w:firstLine="480" w:firstLineChars="200"/>
        <w:rPr>
          <w:rFonts w:hint="eastAsia" w:ascii="宋体" w:hAnsi="宋体" w:cs="宋体"/>
          <w:sz w:val="24"/>
        </w:rPr>
      </w:pPr>
      <w:r>
        <w:rPr>
          <w:rFonts w:hint="eastAsia" w:ascii="宋体" w:hAnsi="宋体" w:cs="宋体"/>
          <w:sz w:val="24"/>
        </w:rPr>
        <w:t>数据持久化：将干净的DataFrame保存为新的CSV文件，例如university_clean.csv。</w:t>
      </w:r>
    </w:p>
    <w:p w14:paraId="0B99890B">
      <w:pPr>
        <w:spacing w:line="440" w:lineRule="exact"/>
        <w:ind w:firstLine="480" w:firstLineChars="200"/>
        <w:rPr>
          <w:rFonts w:hint="eastAsia" w:ascii="宋体" w:hAnsi="宋体" w:cs="宋体"/>
          <w:sz w:val="24"/>
        </w:rPr>
      </w:pPr>
      <w:r>
        <w:rPr>
          <w:rFonts w:hint="eastAsia" w:ascii="宋体" w:hAnsi="宋体" w:cs="宋体"/>
          <w:sz w:val="24"/>
        </w:rPr>
        <w:t>报告生成：将报告字典格式化输出为文本文件或日志。</w:t>
      </w:r>
    </w:p>
    <w:p w14:paraId="1C2B1C27">
      <w:pPr>
        <w:spacing w:line="440" w:lineRule="exact"/>
        <w:ind w:firstLine="480" w:firstLineChars="200"/>
        <w:rPr>
          <w:rFonts w:hint="eastAsia" w:ascii="宋体" w:hAnsi="宋体" w:cs="宋体"/>
          <w:sz w:val="24"/>
        </w:rPr>
      </w:pPr>
      <w:r>
        <w:rPr>
          <w:rFonts w:hint="eastAsia" w:ascii="宋体" w:hAnsi="宋体" w:cs="宋体"/>
          <w:sz w:val="24"/>
        </w:rPr>
        <w:t>至此，原始数据经过标准化清洗，转化为高质量的结构化数据集，并附有质量证明（清洗报告），为后续存储和分析奠定了坚实基础。</w:t>
      </w:r>
    </w:p>
    <w:p w14:paraId="3CE3BDA3">
      <w:pPr>
        <w:spacing w:line="440" w:lineRule="exact"/>
        <w:ind w:firstLine="480" w:firstLineChars="200"/>
        <w:rPr>
          <w:rFonts w:hint="eastAsia" w:ascii="宋体" w:hAnsi="宋体" w:cs="宋体"/>
          <w:sz w:val="24"/>
        </w:rPr>
      </w:pPr>
      <w:r>
        <w:rPr>
          <w:rFonts w:hint="eastAsia" w:ascii="宋体" w:hAnsi="宋体" w:cs="宋体"/>
          <w:sz w:val="24"/>
        </w:rPr>
        <w:t>4.2.4本科上线率预测算法的集成设计与实现</w:t>
      </w:r>
    </w:p>
    <w:p w14:paraId="07EEFC45">
      <w:pPr>
        <w:numPr>
          <w:ilvl w:val="0"/>
          <w:numId w:val="19"/>
        </w:numPr>
        <w:spacing w:line="440" w:lineRule="exact"/>
        <w:ind w:firstLine="480" w:firstLineChars="200"/>
        <w:rPr>
          <w:rFonts w:hint="eastAsia" w:ascii="宋体" w:hAnsi="宋体" w:cs="宋体"/>
          <w:sz w:val="24"/>
        </w:rPr>
      </w:pPr>
      <w:r>
        <w:rPr>
          <w:rFonts w:hint="eastAsia" w:ascii="宋体" w:hAnsi="宋体" w:cs="宋体"/>
          <w:sz w:val="24"/>
        </w:rPr>
        <w:t>预测需求分析</w:t>
      </w:r>
    </w:p>
    <w:p w14:paraId="7650A5AD">
      <w:pPr>
        <w:spacing w:line="440" w:lineRule="exact"/>
        <w:ind w:firstLine="480" w:firstLineChars="200"/>
        <w:rPr>
          <w:rFonts w:hint="eastAsia" w:ascii="宋体" w:hAnsi="宋体" w:cs="宋体"/>
          <w:szCs w:val="21"/>
        </w:rPr>
      </w:pPr>
      <w:r>
        <w:rPr>
          <w:rFonts w:hint="eastAsia" w:ascii="宋体" w:hAnsi="宋体" w:cs="宋体"/>
          <w:sz w:val="24"/>
        </w:rPr>
        <w:t>在完成全国本科高校分布分析的基础上，为深入探索各省高等教育发展趋势与未来走向，本项目新增本科上线率预测算法模块。该模块旨在基于2019-2025年的历史数据，构建科学预测模型，对2026年各省本科上线率进行准确预测，为教育政策制定、资源调配和学生发展规划提供前瞻性数据支持</w:t>
      </w:r>
      <w:r>
        <w:rPr>
          <w:rFonts w:hint="eastAsia" w:ascii="宋体" w:hAnsi="宋体" w:cs="宋体"/>
          <w:sz w:val="24"/>
          <w:lang w:eastAsia="zh-CN"/>
        </w:rPr>
        <w:t>，</w:t>
      </w:r>
      <w:r>
        <w:rPr>
          <w:rFonts w:hint="eastAsia" w:ascii="宋体" w:hAnsi="宋体" w:cs="宋体"/>
          <w:sz w:val="24"/>
          <w:lang w:val="en-US" w:eastAsia="zh-CN"/>
        </w:rPr>
        <w:t>如图4-3所示：</w:t>
      </w:r>
    </w:p>
    <w:p w14:paraId="0EF0CA0C">
      <w:pPr>
        <w:tabs>
          <w:tab w:val="left" w:pos="207"/>
          <w:tab w:val="center" w:pos="4213"/>
        </w:tabs>
        <w:spacing w:line="440" w:lineRule="exact"/>
        <w:jc w:val="left"/>
        <w:rPr>
          <w:rFonts w:hint="default" w:ascii="宋体" w:hAnsi="宋体" w:cs="宋体" w:eastAsiaTheme="minorEastAsia"/>
          <w:b/>
          <w:bCs/>
          <w:sz w:val="24"/>
          <w:lang w:val="en-US" w:eastAsia="zh-CN"/>
        </w:rPr>
      </w:pPr>
      <w:r>
        <w:rPr>
          <w:rFonts w:hint="eastAsia" w:ascii="宋体" w:hAnsi="宋体" w:cs="宋体"/>
          <w:b/>
          <w:bCs/>
          <w:sz w:val="24"/>
        </w:rPr>
        <w:drawing>
          <wp:anchor distT="0" distB="0" distL="114300" distR="114300" simplePos="0" relativeHeight="251915264" behindDoc="0" locked="0" layoutInCell="1" allowOverlap="1">
            <wp:simplePos x="0" y="0"/>
            <wp:positionH relativeFrom="column">
              <wp:posOffset>158750</wp:posOffset>
            </wp:positionH>
            <wp:positionV relativeFrom="paragraph">
              <wp:posOffset>267335</wp:posOffset>
            </wp:positionV>
            <wp:extent cx="5269230" cy="2980055"/>
            <wp:effectExtent l="0" t="0" r="7620" b="10795"/>
            <wp:wrapNone/>
            <wp:docPr id="711" name="图片 711" descr="8ac9730f811e46c85f73bb7de9e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11" descr="8ac9730f811e46c85f73bb7de9e5043"/>
                    <pic:cNvPicPr>
                      <a:picLocks noChangeAspect="1"/>
                    </pic:cNvPicPr>
                  </pic:nvPicPr>
                  <pic:blipFill>
                    <a:blip r:embed="rId489"/>
                    <a:stretch>
                      <a:fillRect/>
                    </a:stretch>
                  </pic:blipFill>
                  <pic:spPr>
                    <a:xfrm>
                      <a:off x="0" y="0"/>
                      <a:ext cx="5269230" cy="2980055"/>
                    </a:xfrm>
                    <a:prstGeom prst="rect">
                      <a:avLst/>
                    </a:prstGeom>
                  </pic:spPr>
                </pic:pic>
              </a:graphicData>
            </a:graphic>
          </wp:anchor>
        </w:drawing>
      </w:r>
      <w:r>
        <w:rPr>
          <w:rFonts w:hint="eastAsia" w:ascii="宋体" w:hAnsi="宋体" w:cs="宋体"/>
          <w:b/>
          <w:bCs/>
          <w:sz w:val="24"/>
          <w:lang w:eastAsia="zh-CN"/>
        </w:rPr>
        <w:tab/>
      </w:r>
      <w:r>
        <w:rPr>
          <w:rFonts w:hint="eastAsia" w:ascii="宋体" w:hAnsi="宋体" w:cs="宋体"/>
          <w:szCs w:val="21"/>
          <w:lang w:eastAsia="zh-CN"/>
        </w:rPr>
        <w:tab/>
      </w:r>
      <w:r>
        <w:rPr>
          <w:rFonts w:hint="eastAsia" w:ascii="宋体" w:hAnsi="宋体" w:cs="宋体"/>
          <w:szCs w:val="21"/>
        </w:rPr>
        <w:t>图4-</w:t>
      </w:r>
      <w:r>
        <w:rPr>
          <w:rFonts w:hint="eastAsia" w:ascii="宋体" w:hAnsi="宋体" w:cs="宋体"/>
          <w:szCs w:val="21"/>
          <w:lang w:val="en-US" w:eastAsia="zh-CN"/>
        </w:rPr>
        <w:t>3 2019-2025年的历史数据</w:t>
      </w:r>
    </w:p>
    <w:p w14:paraId="4683ECED">
      <w:pPr>
        <w:keepNext/>
        <w:keepLines/>
        <w:spacing w:before="240" w:after="64" w:line="320" w:lineRule="auto"/>
        <w:ind w:left="1584" w:hanging="1584"/>
        <w:outlineLvl w:val="9"/>
        <w:rPr>
          <w:rFonts w:hint="eastAsia" w:ascii="宋体" w:hAnsi="宋体" w:eastAsia="黑体" w:cs="宋体"/>
          <w:b/>
          <w:bCs/>
          <w:sz w:val="24"/>
        </w:rPr>
      </w:pPr>
    </w:p>
    <w:p w14:paraId="4E250D46">
      <w:pPr>
        <w:rPr>
          <w:rFonts w:hint="eastAsia" w:ascii="宋体" w:hAnsi="宋体" w:cs="宋体"/>
          <w:b/>
          <w:bCs/>
          <w:sz w:val="24"/>
        </w:rPr>
      </w:pPr>
    </w:p>
    <w:p w14:paraId="7E7B13B6">
      <w:pPr>
        <w:keepNext/>
        <w:keepLines/>
        <w:spacing w:before="240" w:after="64" w:line="320" w:lineRule="auto"/>
        <w:ind w:left="1584" w:hanging="1584"/>
        <w:outlineLvl w:val="9"/>
        <w:rPr>
          <w:rFonts w:hint="eastAsia" w:ascii="宋体" w:hAnsi="宋体" w:eastAsia="黑体" w:cs="宋体"/>
          <w:b/>
          <w:bCs/>
          <w:sz w:val="24"/>
        </w:rPr>
      </w:pPr>
    </w:p>
    <w:p w14:paraId="52B032CA">
      <w:pPr>
        <w:rPr>
          <w:rFonts w:hint="eastAsia" w:ascii="宋体" w:hAnsi="宋体" w:cs="宋体"/>
          <w:b/>
          <w:bCs/>
          <w:sz w:val="24"/>
        </w:rPr>
      </w:pPr>
    </w:p>
    <w:p w14:paraId="4C994B05">
      <w:pPr>
        <w:keepNext/>
        <w:keepLines/>
        <w:spacing w:before="240" w:after="64" w:line="320" w:lineRule="auto"/>
        <w:ind w:left="1584" w:hanging="1584"/>
        <w:outlineLvl w:val="9"/>
        <w:rPr>
          <w:rFonts w:hint="eastAsia" w:ascii="宋体" w:hAnsi="宋体" w:eastAsia="黑体" w:cs="宋体"/>
          <w:b/>
          <w:bCs/>
          <w:sz w:val="24"/>
        </w:rPr>
      </w:pPr>
    </w:p>
    <w:p w14:paraId="2FDFDE47">
      <w:pPr>
        <w:ind w:firstLine="226" w:firstLineChars="0"/>
        <w:outlineLvl w:val="9"/>
        <w:rPr>
          <w:rFonts w:hint="eastAsia" w:ascii="宋体" w:hAnsi="宋体" w:cs="宋体"/>
          <w:b/>
          <w:bCs/>
          <w:sz w:val="24"/>
        </w:rPr>
      </w:pPr>
    </w:p>
    <w:p w14:paraId="3A5F0D01">
      <w:pPr>
        <w:keepNext/>
        <w:keepLines/>
        <w:spacing w:before="240" w:after="64" w:line="320" w:lineRule="auto"/>
        <w:ind w:left="1584" w:hanging="1584"/>
        <w:outlineLvl w:val="9"/>
        <w:rPr>
          <w:rFonts w:hint="eastAsia" w:ascii="宋体" w:hAnsi="宋体" w:eastAsia="黑体" w:cs="宋体"/>
          <w:b/>
          <w:bCs/>
          <w:sz w:val="24"/>
        </w:rPr>
      </w:pPr>
    </w:p>
    <w:p w14:paraId="6B82B694">
      <w:pPr>
        <w:rPr>
          <w:rFonts w:hint="eastAsia" w:ascii="宋体" w:hAnsi="宋体" w:cs="宋体"/>
          <w:b/>
          <w:bCs/>
          <w:sz w:val="24"/>
        </w:rPr>
      </w:pPr>
    </w:p>
    <w:p w14:paraId="10A33618">
      <w:pPr>
        <w:keepNext/>
        <w:keepLines/>
        <w:spacing w:before="240" w:after="64" w:line="320" w:lineRule="auto"/>
        <w:outlineLvl w:val="9"/>
        <w:rPr>
          <w:rFonts w:ascii="Arial" w:hAnsi="Arial" w:eastAsia="黑体"/>
        </w:rPr>
      </w:pPr>
    </w:p>
    <w:p w14:paraId="605EE09A">
      <w:pPr>
        <w:spacing w:line="440" w:lineRule="exact"/>
        <w:ind w:firstLine="480" w:firstLineChars="200"/>
        <w:rPr>
          <w:rFonts w:hint="eastAsia" w:ascii="宋体" w:hAnsi="宋体" w:cs="宋体"/>
          <w:sz w:val="24"/>
        </w:rPr>
      </w:pPr>
      <w:r>
        <w:rPr>
          <w:rFonts w:hint="eastAsia" w:ascii="宋体" w:hAnsi="宋体" w:cs="宋体"/>
          <w:sz w:val="24"/>
        </w:rPr>
        <w:t>（2）算法选型依据</w:t>
      </w:r>
    </w:p>
    <w:p w14:paraId="32DB6264">
      <w:pPr>
        <w:spacing w:line="440" w:lineRule="exact"/>
        <w:ind w:firstLine="480" w:firstLineChars="200"/>
        <w:rPr>
          <w:rFonts w:hint="eastAsia" w:ascii="宋体" w:hAnsi="宋体" w:eastAsia="宋体" w:cs="宋体"/>
          <w:sz w:val="24"/>
        </w:rPr>
      </w:pPr>
      <w:r>
        <w:rPr>
          <w:rFonts w:hint="eastAsia" w:ascii="宋体" w:hAnsi="宋体" w:cs="宋体"/>
          <w:sz w:val="24"/>
        </w:rPr>
        <w:t>考虑到本科上线率数据的时间序列特性和相对稳定的年度变化趋势，本项目选择一元线性回归模型作为核心预测算法。该模型具有以下优势：计算效率高：适合大规模省级数据并行处理；解释性强：预测结果具有明确的线性趋势解释；鲁棒性好：对数据中的随机波动具有一定的容错能力；实现简单：便于集成到现有系统架构中。</w:t>
      </w:r>
    </w:p>
    <w:p w14:paraId="255A6621">
      <w:pPr>
        <w:spacing w:line="440" w:lineRule="exact"/>
        <w:ind w:firstLine="480" w:firstLineChars="200"/>
        <w:rPr>
          <w:rFonts w:hint="eastAsia" w:ascii="宋体" w:hAnsi="宋体" w:cs="宋体"/>
          <w:sz w:val="24"/>
        </w:rPr>
      </w:pPr>
      <w:r>
        <w:rPr>
          <w:rFonts w:hint="eastAsia" w:ascii="宋体" w:hAnsi="宋体" w:cs="宋体"/>
          <w:sz w:val="24"/>
        </w:rPr>
        <w:t>（3）输出成果</w:t>
      </w:r>
    </w:p>
    <w:p w14:paraId="180CC4A0">
      <w:pPr>
        <w:spacing w:line="440" w:lineRule="exact"/>
        <w:ind w:firstLine="480" w:firstLineChars="200"/>
        <w:rPr>
          <w:rFonts w:hint="eastAsia" w:ascii="宋体" w:hAnsi="宋体" w:cs="宋体"/>
          <w:sz w:val="24"/>
        </w:rPr>
      </w:pPr>
      <w:r>
        <w:rPr>
          <w:rFonts w:hint="eastAsia" w:ascii="宋体" w:hAnsi="宋体" w:cs="宋体"/>
          <w:sz w:val="24"/>
        </w:rPr>
        <w:t>执行本模块后，系统将生成：</w:t>
      </w:r>
    </w:p>
    <w:p w14:paraId="3CDFF04A">
      <w:pPr>
        <w:spacing w:line="440" w:lineRule="exact"/>
        <w:ind w:firstLine="480" w:firstLineChars="200"/>
        <w:rPr>
          <w:rFonts w:hint="eastAsia" w:ascii="宋体" w:hAnsi="宋体" w:cs="宋体"/>
          <w:sz w:val="24"/>
        </w:rPr>
      </w:pPr>
      <w:r>
        <w:rPr>
          <w:rFonts w:hint="eastAsia" w:ascii="宋体" w:hAnsi="宋体" w:cs="宋体"/>
          <w:sz w:val="24"/>
        </w:rPr>
        <w:t>清洗预测数据文件：包含原始数据、清洗后数据和预测结果</w:t>
      </w:r>
    </w:p>
    <w:p w14:paraId="76120944">
      <w:pPr>
        <w:spacing w:line="440" w:lineRule="exact"/>
        <w:ind w:firstLine="480" w:firstLineChars="200"/>
        <w:rPr>
          <w:rFonts w:hint="eastAsia" w:ascii="宋体" w:hAnsi="宋体" w:cs="宋体"/>
          <w:sz w:val="24"/>
        </w:rPr>
      </w:pPr>
      <w:r>
        <w:rPr>
          <w:rFonts w:hint="eastAsia" w:ascii="宋体" w:hAnsi="宋体" w:cs="宋体"/>
          <w:sz w:val="24"/>
        </w:rPr>
        <w:t>预测分析报告：Markdown格式的详细分析报告</w:t>
      </w:r>
    </w:p>
    <w:p w14:paraId="2CFA735C">
      <w:pPr>
        <w:spacing w:line="440" w:lineRule="exact"/>
        <w:ind w:firstLine="480" w:firstLineChars="200"/>
        <w:rPr>
          <w:rFonts w:hint="eastAsia" w:ascii="宋体" w:hAnsi="宋体" w:cs="宋体"/>
          <w:sz w:val="24"/>
        </w:rPr>
      </w:pPr>
      <w:r>
        <w:rPr>
          <w:rFonts w:hint="eastAsia" w:ascii="宋体" w:hAnsi="宋体" w:cs="宋体"/>
          <w:sz w:val="24"/>
        </w:rPr>
        <w:t>趋势可视化图表：多维度展示预测结果</w:t>
      </w:r>
    </w:p>
    <w:p w14:paraId="1F285B6D">
      <w:pPr>
        <w:spacing w:line="440" w:lineRule="exact"/>
        <w:ind w:firstLine="480" w:firstLineChars="200"/>
        <w:rPr>
          <w:rFonts w:hint="eastAsia" w:ascii="宋体" w:hAnsi="宋体" w:cs="宋体"/>
          <w:sz w:val="24"/>
        </w:rPr>
      </w:pPr>
      <w:r>
        <w:rPr>
          <w:rFonts w:hint="eastAsia" w:ascii="宋体" w:hAnsi="宋体" w:cs="宋体"/>
          <w:sz w:val="24"/>
        </w:rPr>
        <w:t>模型评估指标：量化预测质量和可靠性</w:t>
      </w:r>
    </w:p>
    <w:p w14:paraId="6A48379E">
      <w:pPr>
        <w:spacing w:line="440" w:lineRule="exact"/>
        <w:ind w:firstLine="480" w:firstLineChars="200"/>
        <w:rPr>
          <w:rFonts w:hint="eastAsia" w:ascii="宋体" w:hAnsi="宋体" w:cs="宋体"/>
          <w:b/>
          <w:bCs/>
          <w:sz w:val="24"/>
        </w:rPr>
      </w:pPr>
      <w:r>
        <w:rPr>
          <w:rFonts w:hint="eastAsia" w:ascii="宋体" w:hAnsi="宋体" w:cs="宋体"/>
          <w:sz w:val="24"/>
        </w:rPr>
        <w:t>4.3 数据库存储模块的设计与实现</w:t>
      </w:r>
    </w:p>
    <w:p w14:paraId="6F8A8C20">
      <w:pPr>
        <w:spacing w:line="440" w:lineRule="exact"/>
        <w:ind w:firstLine="480" w:firstLineChars="200"/>
        <w:rPr>
          <w:rFonts w:hint="eastAsia" w:ascii="宋体" w:hAnsi="宋体" w:cs="宋体"/>
          <w:sz w:val="24"/>
        </w:rPr>
      </w:pPr>
      <w:r>
        <w:rPr>
          <w:rFonts w:hint="eastAsia" w:ascii="宋体" w:hAnsi="宋体" w:cs="宋体"/>
          <w:sz w:val="24"/>
        </w:rPr>
        <w:t>本模块旨在为清洗后的高质量数据提供一个安全、高效、可扩展的结构化存储与管理环境。</w:t>
      </w:r>
    </w:p>
    <w:p w14:paraId="312E9EC3">
      <w:pPr>
        <w:spacing w:line="440" w:lineRule="exact"/>
        <w:ind w:left="479" w:leftChars="228"/>
        <w:rPr>
          <w:rFonts w:hint="eastAsia" w:ascii="宋体" w:hAnsi="宋体" w:cs="宋体"/>
          <w:sz w:val="24"/>
        </w:rPr>
      </w:pPr>
      <w:r>
        <w:rPr>
          <w:rFonts w:hint="eastAsia" w:ascii="宋体" w:hAnsi="宋体" w:cs="宋体"/>
          <w:sz w:val="24"/>
        </w:rPr>
        <w:t>4.3.1 数据库表结构设计</w:t>
      </w:r>
    </w:p>
    <w:p w14:paraId="648D717C">
      <w:pPr>
        <w:spacing w:line="440" w:lineRule="exact"/>
        <w:ind w:firstLine="480" w:firstLineChars="200"/>
        <w:rPr>
          <w:rFonts w:hint="eastAsia" w:ascii="宋体" w:hAnsi="宋体" w:cs="宋体"/>
          <w:sz w:val="24"/>
        </w:rPr>
      </w:pPr>
      <w:r>
        <w:rPr>
          <w:rFonts w:hint="eastAsia" w:ascii="宋体" w:hAnsi="宋体" w:cs="宋体"/>
          <w:sz w:val="24"/>
        </w:rPr>
        <w:t>根据高校数据的业务语义和未来查询分析需求，在MySQL中设计universities表作为核心存储。设计时遵循数据库规范化理论，并充分考虑性能与扩展性。表结构设计如图4-</w:t>
      </w:r>
      <w:r>
        <w:rPr>
          <w:rFonts w:hint="eastAsia" w:ascii="宋体" w:hAnsi="宋体" w:cs="宋体"/>
          <w:sz w:val="24"/>
          <w:lang w:val="en-US" w:eastAsia="zh-CN"/>
        </w:rPr>
        <w:t>4</w:t>
      </w:r>
      <w:r>
        <w:rPr>
          <w:rFonts w:hint="eastAsia" w:ascii="宋体" w:hAnsi="宋体" w:cs="宋体"/>
          <w:sz w:val="24"/>
        </w:rPr>
        <w:t>所示。</w:t>
      </w:r>
    </w:p>
    <w:p w14:paraId="2147894D">
      <w:pPr>
        <w:spacing w:line="440" w:lineRule="exact"/>
        <w:jc w:val="center"/>
        <w:rPr>
          <w:rFonts w:hint="eastAsia" w:ascii="宋体" w:hAnsi="宋体" w:cs="宋体" w:eastAsiaTheme="minorEastAsia"/>
          <w:sz w:val="24"/>
          <w:lang w:eastAsia="zh-CN"/>
        </w:rPr>
      </w:pPr>
      <w:r>
        <w:rPr>
          <w:rFonts w:hint="eastAsia" w:ascii="宋体" w:hAnsi="宋体" w:cs="宋体"/>
          <w:szCs w:val="21"/>
        </w:rPr>
        <w:t>图4-</w:t>
      </w:r>
      <w:r>
        <w:rPr>
          <w:rFonts w:hint="eastAsia" w:ascii="宋体" w:hAnsi="宋体" w:cs="宋体"/>
          <w:szCs w:val="21"/>
          <w:lang w:val="en-US" w:eastAsia="zh-CN"/>
        </w:rPr>
        <w:t>4</w:t>
      </w:r>
    </w:p>
    <w:p w14:paraId="506B0DFD">
      <w:pPr>
        <w:spacing w:line="440" w:lineRule="exact"/>
        <w:ind w:firstLine="480" w:firstLineChars="200"/>
        <w:rPr>
          <w:rFonts w:hint="eastAsia" w:ascii="宋体" w:hAnsi="宋体" w:cs="宋体"/>
          <w:sz w:val="24"/>
        </w:rPr>
      </w:pPr>
      <w:r>
        <w:rPr>
          <w:rFonts w:hint="eastAsia" w:ascii="宋体" w:hAnsi="宋体" w:cs="宋体"/>
          <w:sz w:val="24"/>
        </w:rPr>
        <w:drawing>
          <wp:anchor distT="0" distB="0" distL="114300" distR="114300" simplePos="0" relativeHeight="251916288" behindDoc="0" locked="0" layoutInCell="1" allowOverlap="1">
            <wp:simplePos x="0" y="0"/>
            <wp:positionH relativeFrom="column">
              <wp:posOffset>394335</wp:posOffset>
            </wp:positionH>
            <wp:positionV relativeFrom="paragraph">
              <wp:posOffset>111125</wp:posOffset>
            </wp:positionV>
            <wp:extent cx="4773930" cy="2571750"/>
            <wp:effectExtent l="0" t="0" r="7620" b="0"/>
            <wp:wrapNone/>
            <wp:docPr id="1417410609" name="图片 1417410609" descr="7bf7ef7b37ee502e576a46e8702a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10609" name="图片 1417410609" descr="7bf7ef7b37ee502e576a46e8702a566"/>
                    <pic:cNvPicPr>
                      <a:picLocks noChangeAspect="1"/>
                    </pic:cNvPicPr>
                  </pic:nvPicPr>
                  <pic:blipFill>
                    <a:blip r:embed="rId490"/>
                    <a:stretch>
                      <a:fillRect/>
                    </a:stretch>
                  </pic:blipFill>
                  <pic:spPr>
                    <a:xfrm>
                      <a:off x="0" y="0"/>
                      <a:ext cx="4773613" cy="2571609"/>
                    </a:xfrm>
                    <a:prstGeom prst="rect">
                      <a:avLst/>
                    </a:prstGeom>
                  </pic:spPr>
                </pic:pic>
              </a:graphicData>
            </a:graphic>
          </wp:anchor>
        </w:drawing>
      </w:r>
    </w:p>
    <w:p w14:paraId="36047389">
      <w:pPr>
        <w:keepNext/>
        <w:keepLines/>
        <w:spacing w:before="240" w:after="64" w:line="320" w:lineRule="auto"/>
        <w:ind w:left="1584" w:hanging="1584"/>
        <w:outlineLvl w:val="9"/>
        <w:rPr>
          <w:rFonts w:hint="eastAsia" w:ascii="宋体" w:hAnsi="宋体" w:eastAsia="黑体" w:cs="宋体"/>
          <w:sz w:val="24"/>
        </w:rPr>
      </w:pPr>
    </w:p>
    <w:p w14:paraId="63D11354">
      <w:pPr>
        <w:rPr>
          <w:rFonts w:hint="eastAsia" w:ascii="宋体" w:hAnsi="宋体" w:cs="宋体"/>
          <w:sz w:val="24"/>
        </w:rPr>
      </w:pPr>
    </w:p>
    <w:p w14:paraId="66DF5F12">
      <w:pPr>
        <w:keepNext/>
        <w:keepLines/>
        <w:spacing w:before="240" w:after="64" w:line="320" w:lineRule="auto"/>
        <w:ind w:left="1584" w:hanging="1584"/>
        <w:outlineLvl w:val="9"/>
        <w:rPr>
          <w:rFonts w:hint="eastAsia" w:ascii="宋体" w:hAnsi="宋体" w:eastAsia="黑体" w:cs="宋体"/>
          <w:sz w:val="24"/>
        </w:rPr>
      </w:pPr>
    </w:p>
    <w:p w14:paraId="224F2269">
      <w:pPr>
        <w:rPr>
          <w:rFonts w:hint="eastAsia" w:ascii="宋体" w:hAnsi="宋体" w:cs="宋体"/>
          <w:sz w:val="24"/>
        </w:rPr>
      </w:pPr>
    </w:p>
    <w:p w14:paraId="50E7ED10">
      <w:pPr>
        <w:keepNext/>
        <w:keepLines/>
        <w:spacing w:before="240" w:after="64" w:line="320" w:lineRule="auto"/>
        <w:ind w:left="1584" w:hanging="1584"/>
        <w:outlineLvl w:val="9"/>
        <w:rPr>
          <w:rFonts w:hint="eastAsia" w:ascii="宋体" w:hAnsi="宋体" w:eastAsia="黑体" w:cs="宋体"/>
          <w:sz w:val="24"/>
        </w:rPr>
      </w:pPr>
    </w:p>
    <w:p w14:paraId="6C7E4D43">
      <w:pPr>
        <w:rPr>
          <w:rFonts w:hint="eastAsia" w:ascii="宋体" w:hAnsi="宋体" w:cs="宋体"/>
          <w:sz w:val="24"/>
        </w:rPr>
      </w:pPr>
    </w:p>
    <w:p w14:paraId="4466E3FF">
      <w:pPr>
        <w:keepNext/>
        <w:keepLines/>
        <w:spacing w:before="240" w:after="64" w:line="320" w:lineRule="auto"/>
        <w:ind w:left="1584" w:hanging="1584"/>
        <w:outlineLvl w:val="9"/>
        <w:rPr>
          <w:rFonts w:hint="eastAsia" w:ascii="宋体" w:hAnsi="宋体" w:eastAsia="黑体" w:cs="宋体"/>
          <w:sz w:val="24"/>
        </w:rPr>
      </w:pPr>
    </w:p>
    <w:p w14:paraId="3A4593C4">
      <w:pPr>
        <w:rPr>
          <w:rFonts w:hint="eastAsia" w:ascii="宋体" w:hAnsi="宋体" w:cs="宋体"/>
          <w:sz w:val="24"/>
        </w:rPr>
      </w:pPr>
    </w:p>
    <w:p w14:paraId="1A428FC9"/>
    <w:p w14:paraId="0692D3BC">
      <w:pPr>
        <w:spacing w:line="440" w:lineRule="exact"/>
        <w:ind w:firstLine="480" w:firstLineChars="200"/>
        <w:rPr>
          <w:rFonts w:hint="eastAsia" w:ascii="宋体" w:hAnsi="宋体" w:cs="宋体"/>
          <w:sz w:val="24"/>
        </w:rPr>
      </w:pPr>
      <w:r>
        <w:rPr>
          <w:rFonts w:hint="eastAsia" w:ascii="宋体" w:hAnsi="宋体" w:cs="宋体"/>
          <w:sz w:val="24"/>
        </w:rPr>
        <w:t>设计要点说明：</w:t>
      </w:r>
    </w:p>
    <w:p w14:paraId="49D1923D">
      <w:pPr>
        <w:spacing w:line="440" w:lineRule="exact"/>
        <w:ind w:firstLine="480" w:firstLineChars="200"/>
        <w:rPr>
          <w:rFonts w:hint="eastAsia" w:ascii="宋体" w:hAnsi="宋体" w:cs="宋体"/>
          <w:sz w:val="24"/>
        </w:rPr>
      </w:pPr>
      <w:r>
        <w:rPr>
          <w:rFonts w:hint="eastAsia" w:ascii="宋体" w:hAnsi="宋体" w:cs="宋体"/>
          <w:sz w:val="24"/>
        </w:rPr>
        <w:t>主键与唯一约束：id为技术主键；school_code为业务自然键，添加UNIQUE约束确保其唯一性，并作为数据更新的依据。</w:t>
      </w:r>
    </w:p>
    <w:p w14:paraId="07E3F7D2">
      <w:pPr>
        <w:spacing w:line="440" w:lineRule="exact"/>
        <w:ind w:firstLine="480" w:firstLineChars="200"/>
        <w:rPr>
          <w:rFonts w:hint="eastAsia" w:ascii="宋体" w:hAnsi="宋体" w:cs="宋体"/>
          <w:sz w:val="24"/>
        </w:rPr>
      </w:pPr>
      <w:r>
        <w:rPr>
          <w:rFonts w:hint="eastAsia" w:ascii="宋体" w:hAnsi="宋体" w:cs="宋体"/>
          <w:sz w:val="24"/>
        </w:rPr>
        <w:t>字段类型选择：根据数据特性选择最合适的类型，如YEAR用于年份，DECIMAL用于精确小数，VARCHAR长度预留足够空间。</w:t>
      </w:r>
    </w:p>
    <w:p w14:paraId="4FA6D59B">
      <w:pPr>
        <w:spacing w:line="440" w:lineRule="exact"/>
        <w:ind w:firstLine="480" w:firstLineChars="200"/>
        <w:rPr>
          <w:rFonts w:hint="eastAsia" w:ascii="宋体" w:hAnsi="宋体" w:cs="宋体"/>
          <w:sz w:val="24"/>
        </w:rPr>
      </w:pPr>
      <w:r>
        <w:rPr>
          <w:rFonts w:hint="eastAsia" w:ascii="宋体" w:hAnsi="宋体" w:cs="宋体"/>
          <w:sz w:val="24"/>
        </w:rPr>
        <w:t>索引策略：在school_code（唯一索引）、province、education_level、school_nature等高频查询条件字段上创建索引，显著提升查询速度。</w:t>
      </w:r>
    </w:p>
    <w:p w14:paraId="4E5D7C7D">
      <w:pPr>
        <w:spacing w:line="440" w:lineRule="exact"/>
        <w:ind w:firstLine="480" w:firstLineChars="200"/>
        <w:rPr>
          <w:rFonts w:hint="eastAsia" w:ascii="宋体" w:hAnsi="宋体" w:cs="宋体"/>
          <w:sz w:val="24"/>
        </w:rPr>
      </w:pPr>
      <w:r>
        <w:rPr>
          <w:rFonts w:hint="eastAsia" w:ascii="宋体" w:hAnsi="宋体" w:cs="宋体"/>
          <w:sz w:val="24"/>
        </w:rPr>
        <w:t>元数据字段：data_source_url、crawled_at、updated_at等字段记录数据血缘和变更历史，满足可审计性要求。</w:t>
      </w:r>
    </w:p>
    <w:p w14:paraId="737DB7CD">
      <w:pPr>
        <w:spacing w:line="440" w:lineRule="exact"/>
        <w:ind w:firstLine="480" w:firstLineChars="200"/>
        <w:rPr>
          <w:rFonts w:hint="eastAsia" w:ascii="宋体" w:hAnsi="宋体" w:cs="宋体"/>
          <w:sz w:val="24"/>
        </w:rPr>
      </w:pPr>
      <w:r>
        <w:rPr>
          <w:rFonts w:hint="eastAsia" w:ascii="宋体" w:hAnsi="宋体" w:cs="宋体"/>
          <w:sz w:val="24"/>
        </w:rPr>
        <w:t>可扩展性：表结构已预留部分字段（如面积、人数、分数），便于未来集成更多维度数据。</w:t>
      </w:r>
    </w:p>
    <w:p w14:paraId="39011EFF">
      <w:pPr>
        <w:spacing w:line="440" w:lineRule="exact"/>
        <w:ind w:firstLine="480" w:firstLineChars="200"/>
        <w:rPr>
          <w:rFonts w:hint="eastAsia" w:ascii="宋体" w:hAnsi="宋体" w:cs="宋体"/>
          <w:sz w:val="24"/>
        </w:rPr>
      </w:pPr>
      <w:r>
        <w:rPr>
          <w:rFonts w:hint="eastAsia" w:ascii="宋体" w:hAnsi="宋体" w:cs="宋体"/>
          <w:sz w:val="24"/>
        </w:rPr>
        <w:t>对应的SQL建表语句如</w:t>
      </w:r>
      <w:r>
        <w:rPr>
          <w:rFonts w:hint="eastAsia" w:ascii="宋体" w:hAnsi="宋体" w:cs="宋体"/>
          <w:sz w:val="24"/>
          <w:lang w:val="en-US" w:eastAsia="zh-CN"/>
        </w:rPr>
        <w:t>图4-5所示</w:t>
      </w:r>
      <w:r>
        <w:rPr>
          <w:rFonts w:hint="eastAsia" w:ascii="宋体" w:hAnsi="宋体" w:cs="宋体"/>
          <w:sz w:val="24"/>
        </w:rPr>
        <w:t>：</w:t>
      </w:r>
    </w:p>
    <w:p w14:paraId="7B0EE949">
      <w:pPr>
        <w:keepNext/>
        <w:keepLines/>
        <w:spacing w:line="440" w:lineRule="exact"/>
        <w:ind w:firstLine="3570" w:firstLineChars="1700"/>
        <w:outlineLvl w:val="9"/>
        <w:rPr>
          <w:rFonts w:hint="eastAsia" w:ascii="宋体" w:hAnsi="宋体" w:eastAsia="宋体" w:cs="宋体"/>
          <w:lang w:eastAsia="zh-CN"/>
        </w:rPr>
      </w:pPr>
      <w:r>
        <w:rPr>
          <w:rFonts w:hint="eastAsia" w:ascii="宋体" w:hAnsi="宋体" w:eastAsia="宋体" w:cs="宋体"/>
          <w:szCs w:val="21"/>
        </w:rPr>
        <w:t>图4-</w:t>
      </w:r>
      <w:r>
        <w:rPr>
          <w:rFonts w:hint="eastAsia" w:ascii="宋体" w:hAnsi="宋体" w:eastAsia="宋体" w:cs="宋体"/>
          <w:szCs w:val="21"/>
          <w:lang w:val="en-US" w:eastAsia="zh-CN"/>
        </w:rPr>
        <w:t>5</w:t>
      </w:r>
    </w:p>
    <w:p w14:paraId="06188EC2">
      <w:pPr>
        <w:keepNext/>
        <w:keepLines/>
        <w:spacing w:before="240" w:after="64" w:line="320" w:lineRule="auto"/>
        <w:ind w:left="1584" w:hanging="1584"/>
        <w:outlineLvl w:val="9"/>
        <w:rPr>
          <w:rFonts w:hint="eastAsia" w:ascii="宋体" w:hAnsi="宋体" w:eastAsia="黑体" w:cs="宋体"/>
          <w:sz w:val="24"/>
        </w:rPr>
      </w:pPr>
      <w:r>
        <w:rPr>
          <w:rFonts w:ascii="Arial" w:hAnsi="Arial" w:eastAsia="黑体"/>
        </w:rPr>
        <w:drawing>
          <wp:anchor distT="0" distB="0" distL="114300" distR="114300" simplePos="0" relativeHeight="251917312" behindDoc="0" locked="0" layoutInCell="1" allowOverlap="1">
            <wp:simplePos x="0" y="0"/>
            <wp:positionH relativeFrom="column">
              <wp:posOffset>107950</wp:posOffset>
            </wp:positionH>
            <wp:positionV relativeFrom="paragraph">
              <wp:posOffset>71120</wp:posOffset>
            </wp:positionV>
            <wp:extent cx="5270500" cy="3173730"/>
            <wp:effectExtent l="0" t="0" r="6350" b="7620"/>
            <wp:wrapNone/>
            <wp:docPr id="62337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37767" name="图片 1"/>
                    <pic:cNvPicPr>
                      <a:picLocks noChangeAspect="1"/>
                    </pic:cNvPicPr>
                  </pic:nvPicPr>
                  <pic:blipFill>
                    <a:blip r:embed="rId491"/>
                    <a:stretch>
                      <a:fillRect/>
                    </a:stretch>
                  </pic:blipFill>
                  <pic:spPr>
                    <a:xfrm>
                      <a:off x="0" y="0"/>
                      <a:ext cx="5270500" cy="3173730"/>
                    </a:xfrm>
                    <a:prstGeom prst="rect">
                      <a:avLst/>
                    </a:prstGeom>
                    <a:noFill/>
                    <a:ln>
                      <a:noFill/>
                    </a:ln>
                  </pic:spPr>
                </pic:pic>
              </a:graphicData>
            </a:graphic>
          </wp:anchor>
        </w:drawing>
      </w:r>
    </w:p>
    <w:p w14:paraId="7729580E">
      <w:pPr>
        <w:rPr>
          <w:rFonts w:hint="eastAsia" w:ascii="宋体" w:hAnsi="宋体" w:cs="宋体"/>
          <w:sz w:val="24"/>
        </w:rPr>
      </w:pPr>
    </w:p>
    <w:p w14:paraId="0823F80B">
      <w:pPr>
        <w:keepNext/>
        <w:keepLines/>
        <w:spacing w:before="240" w:after="64" w:line="320" w:lineRule="auto"/>
        <w:ind w:left="1584" w:hanging="1584"/>
        <w:outlineLvl w:val="9"/>
        <w:rPr>
          <w:rFonts w:hint="eastAsia" w:ascii="宋体" w:hAnsi="宋体" w:eastAsia="黑体" w:cs="宋体"/>
          <w:sz w:val="24"/>
        </w:rPr>
      </w:pPr>
    </w:p>
    <w:p w14:paraId="66EF6149">
      <w:pPr>
        <w:rPr>
          <w:rFonts w:hint="eastAsia" w:ascii="宋体" w:hAnsi="宋体" w:cs="宋体"/>
          <w:sz w:val="24"/>
        </w:rPr>
      </w:pPr>
    </w:p>
    <w:p w14:paraId="08741C91">
      <w:pPr>
        <w:keepNext/>
        <w:keepLines/>
        <w:spacing w:before="240" w:after="64" w:line="320" w:lineRule="auto"/>
        <w:ind w:left="1584" w:hanging="1584"/>
        <w:outlineLvl w:val="9"/>
        <w:rPr>
          <w:rFonts w:hint="eastAsia" w:ascii="宋体" w:hAnsi="宋体" w:eastAsia="黑体" w:cs="宋体"/>
          <w:sz w:val="24"/>
        </w:rPr>
      </w:pPr>
    </w:p>
    <w:p w14:paraId="6978A17E">
      <w:pPr>
        <w:rPr>
          <w:rFonts w:hint="eastAsia" w:ascii="宋体" w:hAnsi="宋体" w:cs="宋体"/>
          <w:sz w:val="24"/>
        </w:rPr>
      </w:pPr>
    </w:p>
    <w:p w14:paraId="53D84F2A">
      <w:pPr>
        <w:keepNext/>
        <w:keepLines/>
        <w:spacing w:before="240" w:after="64" w:line="320" w:lineRule="auto"/>
        <w:ind w:left="1584" w:hanging="1584"/>
        <w:outlineLvl w:val="9"/>
        <w:rPr>
          <w:rFonts w:hint="eastAsia" w:ascii="宋体" w:hAnsi="宋体" w:eastAsia="黑体" w:cs="宋体"/>
          <w:sz w:val="24"/>
        </w:rPr>
      </w:pPr>
    </w:p>
    <w:p w14:paraId="2C61E9C8">
      <w:pPr>
        <w:rPr>
          <w:rFonts w:hint="eastAsia" w:ascii="宋体" w:hAnsi="宋体" w:cs="宋体"/>
          <w:sz w:val="24"/>
        </w:rPr>
      </w:pPr>
    </w:p>
    <w:p w14:paraId="43526A3C">
      <w:pPr>
        <w:keepNext/>
        <w:keepLines/>
        <w:spacing w:before="240" w:after="64" w:line="320" w:lineRule="auto"/>
        <w:ind w:left="1584" w:hanging="1584"/>
        <w:outlineLvl w:val="9"/>
        <w:rPr>
          <w:rFonts w:hint="eastAsia" w:ascii="宋体" w:hAnsi="宋体" w:eastAsia="黑体" w:cs="宋体"/>
          <w:sz w:val="24"/>
        </w:rPr>
      </w:pPr>
    </w:p>
    <w:p w14:paraId="4BC24BB3"/>
    <w:p w14:paraId="77DEEBF0">
      <w:pPr>
        <w:tabs>
          <w:tab w:val="left" w:pos="328"/>
        </w:tabs>
        <w:spacing w:line="440" w:lineRule="exact"/>
        <w:ind w:left="479" w:leftChars="228"/>
        <w:rPr>
          <w:rFonts w:hint="eastAsia" w:ascii="宋体" w:hAnsi="宋体" w:cs="宋体"/>
          <w:sz w:val="24"/>
        </w:rPr>
      </w:pPr>
      <w:r>
        <w:rPr>
          <w:rFonts w:hint="eastAsia" w:ascii="宋体" w:hAnsi="宋体" w:cs="宋体"/>
          <w:sz w:val="24"/>
        </w:rPr>
        <w:t>4.3.2 数据写入与更新策略</w:t>
      </w:r>
    </w:p>
    <w:p w14:paraId="3E0E5531">
      <w:pPr>
        <w:spacing w:line="440" w:lineRule="exact"/>
        <w:ind w:left="479" w:leftChars="228"/>
        <w:rPr>
          <w:rFonts w:hint="eastAsia" w:ascii="宋体" w:hAnsi="宋体" w:cs="宋体"/>
          <w:sz w:val="24"/>
        </w:rPr>
      </w:pPr>
      <w:r>
        <w:rPr>
          <w:rFonts w:hint="eastAsia" w:ascii="宋体" w:hAnsi="宋体" w:cs="宋体"/>
          <w:sz w:val="24"/>
        </w:rPr>
        <w:t>将清洗后的CSV数据高效、准确地导入数据库是本模块的核心任务。</w:t>
      </w:r>
    </w:p>
    <w:p w14:paraId="46E70E25">
      <w:pPr>
        <w:spacing w:line="440" w:lineRule="exact"/>
        <w:ind w:firstLine="480" w:firstLineChars="200"/>
        <w:rPr>
          <w:rFonts w:hint="eastAsia" w:ascii="宋体" w:hAnsi="宋体" w:cs="宋体"/>
          <w:sz w:val="24"/>
        </w:rPr>
      </w:pPr>
      <w:r>
        <w:rPr>
          <w:rFonts w:hint="eastAsia" w:ascii="宋体" w:hAnsi="宋体" w:cs="宋体"/>
          <w:sz w:val="24"/>
        </w:rPr>
        <w:t>批量插入：使用PyMySQL的executemany()方法进行批量操作，将多行数据组合在一个事务中提交，比逐行插入效率高出一个数量级。</w:t>
      </w:r>
    </w:p>
    <w:p w14:paraId="29167703">
      <w:pPr>
        <w:spacing w:line="440" w:lineRule="exact"/>
        <w:ind w:firstLine="480" w:firstLineChars="200"/>
        <w:rPr>
          <w:rFonts w:hint="eastAsia" w:ascii="宋体" w:hAnsi="宋体" w:cs="宋体"/>
          <w:sz w:val="24"/>
        </w:rPr>
      </w:pPr>
      <w:r>
        <w:rPr>
          <w:rFonts w:hint="eastAsia" w:ascii="宋体" w:hAnsi="宋体" w:cs="宋体"/>
          <w:sz w:val="24"/>
        </w:rPr>
        <w:t>冲突处理：由于数据可能更新，采用 INSERT ... ON DUPLICATE KEY UPDATE ... 语句。当插入的school_code在表中已存在时，自动执行更新操作，覆盖旧数据。这实现了数据的“插入或更新”（upsert）语义。</w:t>
      </w:r>
    </w:p>
    <w:p w14:paraId="5DE07233">
      <w:pPr>
        <w:spacing w:line="440" w:lineRule="exact"/>
        <w:ind w:firstLine="480" w:firstLineChars="200"/>
        <w:rPr>
          <w:rFonts w:hint="eastAsia" w:ascii="宋体" w:hAnsi="宋体" w:cs="宋体"/>
          <w:sz w:val="24"/>
        </w:rPr>
      </w:pPr>
      <w:r>
        <w:rPr>
          <w:rFonts w:hint="eastAsia" w:ascii="宋体" w:hAnsi="宋体" w:cs="宋体"/>
          <w:sz w:val="24"/>
        </w:rPr>
        <w:t>事务保障：整个批量写入过程包裹在数据库事务中。如果中途发生错误，事务回滚，数据库状态保持一致；只有全部成功才提交。</w:t>
      </w:r>
    </w:p>
    <w:p w14:paraId="0689ECA4">
      <w:pPr>
        <w:spacing w:line="440" w:lineRule="exact"/>
        <w:ind w:left="479" w:leftChars="228"/>
        <w:rPr>
          <w:rFonts w:hint="eastAsia" w:ascii="宋体" w:hAnsi="宋体" w:cs="宋体"/>
          <w:sz w:val="24"/>
        </w:rPr>
      </w:pPr>
      <w:r>
        <w:rPr>
          <w:rFonts w:hint="eastAsia" w:ascii="宋体" w:hAnsi="宋体" w:cs="宋体"/>
          <w:sz w:val="24"/>
        </w:rPr>
        <w:t>4.3.3 数据完整性验证</w:t>
      </w:r>
      <w:r>
        <w:rPr>
          <w:rFonts w:hint="eastAsia" w:ascii="宋体" w:hAnsi="宋体" w:cs="宋体"/>
          <w:sz w:val="24"/>
        </w:rPr>
        <w:br w:type="textWrapping"/>
      </w:r>
      <w:r>
        <w:rPr>
          <w:rFonts w:hint="eastAsia" w:ascii="宋体" w:hAnsi="宋体" w:cs="宋体"/>
          <w:sz w:val="24"/>
        </w:rPr>
        <w:t>写入完成后，进行简单的验证以确保数据无误：</w:t>
      </w:r>
    </w:p>
    <w:p w14:paraId="74480872">
      <w:pPr>
        <w:spacing w:line="440" w:lineRule="exact"/>
        <w:rPr>
          <w:rFonts w:hint="eastAsia" w:ascii="宋体" w:hAnsi="宋体" w:cs="宋体"/>
          <w:sz w:val="24"/>
        </w:rPr>
      </w:pPr>
      <w:r>
        <w:rPr>
          <w:rFonts w:hint="eastAsia" w:ascii="宋体" w:hAnsi="宋体" w:cs="宋体"/>
          <w:sz w:val="24"/>
        </w:rPr>
        <w:t># 验证记录数with connection.cursor() as cursor:</w:t>
      </w:r>
    </w:p>
    <w:p w14:paraId="0A78F873">
      <w:pPr>
        <w:spacing w:line="440" w:lineRule="exact"/>
        <w:rPr>
          <w:rFonts w:hint="eastAsia" w:ascii="宋体" w:hAnsi="宋体" w:cs="宋体"/>
          <w:sz w:val="24"/>
        </w:rPr>
      </w:pPr>
      <w:r>
        <w:rPr>
          <w:rFonts w:hint="eastAsia" w:ascii="宋体" w:hAnsi="宋体" w:cs="宋体"/>
          <w:sz w:val="24"/>
        </w:rPr>
        <w:t xml:space="preserve">    cursor.execute("SELECT COUNT(*) FROM universities;")</w:t>
      </w:r>
    </w:p>
    <w:p w14:paraId="5DE01124">
      <w:pPr>
        <w:spacing w:line="440" w:lineRule="exact"/>
        <w:rPr>
          <w:rFonts w:hint="eastAsia" w:ascii="宋体" w:hAnsi="宋体" w:cs="宋体"/>
          <w:sz w:val="24"/>
        </w:rPr>
      </w:pPr>
      <w:r>
        <w:rPr>
          <w:rFonts w:hint="eastAsia" w:ascii="宋体" w:hAnsi="宋体" w:cs="宋体"/>
          <w:sz w:val="24"/>
        </w:rPr>
        <w:t xml:space="preserve">    db_count = cursor.fetchone()[0]</w:t>
      </w:r>
    </w:p>
    <w:p w14:paraId="77FE8936">
      <w:pPr>
        <w:spacing w:line="440" w:lineRule="exact"/>
        <w:rPr>
          <w:rFonts w:hint="eastAsia" w:ascii="宋体" w:hAnsi="宋体" w:cs="宋体"/>
          <w:sz w:val="24"/>
        </w:rPr>
      </w:pPr>
      <w:r>
        <w:rPr>
          <w:rFonts w:hint="eastAsia" w:ascii="宋体" w:hAnsi="宋体" w:cs="宋体"/>
          <w:sz w:val="24"/>
        </w:rPr>
        <w:t xml:space="preserve">    csv_count = len(clean_df)</w:t>
      </w:r>
    </w:p>
    <w:p w14:paraId="7AE2D579">
      <w:pPr>
        <w:spacing w:line="440" w:lineRule="exact"/>
        <w:rPr>
          <w:rFonts w:hint="eastAsia" w:ascii="宋体" w:hAnsi="宋体" w:cs="宋体"/>
          <w:sz w:val="24"/>
        </w:rPr>
      </w:pPr>
      <w:r>
        <w:rPr>
          <w:rFonts w:hint="eastAsia" w:ascii="宋体" w:hAnsi="宋体" w:cs="宋体"/>
          <w:sz w:val="24"/>
        </w:rPr>
        <w:t xml:space="preserve">    if db_count == csv_count:</w:t>
      </w:r>
    </w:p>
    <w:p w14:paraId="6B2482B5">
      <w:pPr>
        <w:spacing w:line="440" w:lineRule="exact"/>
        <w:rPr>
          <w:rFonts w:hint="eastAsia" w:ascii="宋体" w:hAnsi="宋体" w:cs="宋体"/>
          <w:sz w:val="24"/>
        </w:rPr>
      </w:pPr>
      <w:r>
        <w:rPr>
          <w:rFonts w:hint="eastAsia" w:ascii="宋体" w:hAnsi="宋体" w:cs="宋体"/>
          <w:sz w:val="24"/>
        </w:rPr>
        <w:t xml:space="preserve">        print("数据完整性验证通过：记录数一致。")</w:t>
      </w:r>
    </w:p>
    <w:p w14:paraId="72B74E6A">
      <w:pPr>
        <w:spacing w:line="440" w:lineRule="exact"/>
        <w:rPr>
          <w:rFonts w:hint="eastAsia" w:ascii="宋体" w:hAnsi="宋体" w:cs="宋体"/>
          <w:sz w:val="24"/>
        </w:rPr>
      </w:pPr>
      <w:r>
        <w:rPr>
          <w:rFonts w:hint="eastAsia" w:ascii="宋体" w:hAnsi="宋体" w:cs="宋体"/>
          <w:sz w:val="24"/>
        </w:rPr>
        <w:t xml:space="preserve">    else:</w:t>
      </w:r>
    </w:p>
    <w:p w14:paraId="7D4831AA">
      <w:pPr>
        <w:spacing w:line="440" w:lineRule="exact"/>
        <w:rPr>
          <w:rFonts w:hint="eastAsia" w:ascii="宋体" w:hAnsi="宋体" w:cs="宋体"/>
          <w:sz w:val="24"/>
        </w:rPr>
      </w:pPr>
      <w:r>
        <w:rPr>
          <w:rFonts w:hint="eastAsia" w:ascii="宋体" w:hAnsi="宋体" w:cs="宋体"/>
          <w:sz w:val="24"/>
        </w:rPr>
        <w:t xml:space="preserve">        print(f"警告：记录数不一致。数据库{db_count}条，CSV {csv_count} 条。")</w:t>
      </w:r>
    </w:p>
    <w:p w14:paraId="55A63C05">
      <w:pPr>
        <w:spacing w:line="440" w:lineRule="exact"/>
        <w:ind w:firstLine="480" w:firstLineChars="200"/>
        <w:rPr>
          <w:rFonts w:hint="eastAsia" w:ascii="宋体" w:hAnsi="宋体" w:cs="宋体"/>
          <w:sz w:val="24"/>
        </w:rPr>
      </w:pPr>
      <w:r>
        <w:rPr>
          <w:rFonts w:hint="eastAsia" w:ascii="宋体" w:hAnsi="宋体" w:cs="宋体"/>
          <w:sz w:val="24"/>
        </w:rPr>
        <w:t>通过以上设计，清洗后的数据被可靠地存储于关系数据库中，具备了强大的查询、关联和分析能力，为上层可视化应用提供了稳固的数据支撑。</w:t>
      </w:r>
    </w:p>
    <w:p w14:paraId="65596FFE">
      <w:pPr>
        <w:spacing w:line="440" w:lineRule="exact"/>
        <w:ind w:firstLine="480" w:firstLineChars="200"/>
        <w:rPr>
          <w:rFonts w:hint="eastAsia" w:ascii="宋体" w:hAnsi="宋体" w:cs="宋体"/>
          <w:sz w:val="24"/>
        </w:rPr>
      </w:pPr>
      <w:r>
        <w:rPr>
          <w:rFonts w:hint="eastAsia" w:ascii="宋体" w:hAnsi="宋体" w:cs="宋体"/>
          <w:sz w:val="24"/>
        </w:rPr>
        <w:t>4.4 数据可视化模块的设计与实现</w:t>
      </w:r>
    </w:p>
    <w:p w14:paraId="332A5DDB">
      <w:pPr>
        <w:spacing w:line="440" w:lineRule="exact"/>
        <w:ind w:firstLine="480" w:firstLineChars="200"/>
        <w:rPr>
          <w:rFonts w:hint="eastAsia" w:ascii="宋体" w:hAnsi="宋体" w:cs="宋体"/>
          <w:sz w:val="24"/>
        </w:rPr>
      </w:pPr>
      <w:r>
        <w:rPr>
          <w:rFonts w:hint="eastAsia" w:ascii="宋体" w:hAnsi="宋体" w:cs="宋体"/>
          <w:sz w:val="24"/>
        </w:rPr>
        <w:t>可视化模块的任务是将数据库中的结构化数据，转化为直观、易懂、具有洞察力的视觉呈现。本模块围绕多个分析主题，设计并实现了一系列静态图表。</w:t>
      </w:r>
    </w:p>
    <w:p w14:paraId="7B5F7AB0">
      <w:pPr>
        <w:widowControl/>
        <w:shd w:val="clear" w:color="auto" w:fill="FFFFFF"/>
        <w:spacing w:beforeAutospacing="0" w:afterAutospacing="0" w:line="440" w:lineRule="exact"/>
        <w:ind w:firstLine="480" w:firstLineChars="200"/>
        <w:outlineLvl w:val="9"/>
        <w:rPr>
          <w:rFonts w:hint="eastAsia" w:ascii="宋体" w:hAnsi="宋体" w:eastAsia="宋体" w:cs="宋体"/>
          <w:bCs/>
          <w:sz w:val="24"/>
          <w:szCs w:val="27"/>
          <w:lang w:val="en-US" w:eastAsia="zh-CN" w:bidi="ar-SA"/>
        </w:rPr>
      </w:pPr>
      <w:r>
        <w:rPr>
          <w:rFonts w:hint="eastAsia" w:ascii="宋体" w:hAnsi="宋体" w:eastAsia="宋体" w:cs="宋体"/>
          <w:bCs w:val="0"/>
          <w:sz w:val="24"/>
          <w:szCs w:val="24"/>
          <w:lang w:val="en-US" w:eastAsia="zh-CN" w:bidi="ar-SA"/>
        </w:rPr>
        <w:t xml:space="preserve">4.4.1 </w:t>
      </w:r>
      <w:r>
        <w:rPr>
          <w:rFonts w:hint="eastAsia" w:ascii="宋体" w:hAnsi="宋体" w:eastAsia="宋体" w:cs="宋体"/>
          <w:bCs/>
          <w:sz w:val="24"/>
          <w:szCs w:val="27"/>
          <w:lang w:val="en-US" w:eastAsia="zh-CN" w:bidi="ar-SA"/>
        </w:rPr>
        <w:t>可视化主题与图表规划</w:t>
      </w:r>
    </w:p>
    <w:p w14:paraId="18F2B3DE">
      <w:pPr>
        <w:spacing w:line="440" w:lineRule="exact"/>
        <w:ind w:firstLine="480" w:firstLineChars="200"/>
        <w:rPr>
          <w:rFonts w:hint="eastAsia" w:ascii="宋体" w:hAnsi="宋体" w:cs="宋体"/>
          <w:sz w:val="24"/>
        </w:rPr>
      </w:pPr>
      <w:r>
        <w:rPr>
          <w:rFonts w:ascii="宋体" w:hAnsi="宋体" w:cs="宋体"/>
          <w:sz w:val="24"/>
        </w:rPr>
        <w:t>地理分布分析旨在探究高校在全国各省的空间分布特征，识别教育资源密集区与稀缺区。图4-</w:t>
      </w:r>
      <w:r>
        <w:rPr>
          <w:rFonts w:hint="eastAsia" w:ascii="宋体" w:hAnsi="宋体" w:cs="宋体"/>
          <w:sz w:val="24"/>
          <w:lang w:val="en-US" w:eastAsia="zh-CN"/>
        </w:rPr>
        <w:t>6</w:t>
      </w:r>
      <w:r>
        <w:rPr>
          <w:rFonts w:ascii="宋体" w:hAnsi="宋体" w:cs="宋体"/>
          <w:sz w:val="24"/>
        </w:rPr>
        <w:t>展示了全国各省本科院校数量的分布情况，直观呈现了高等教育的区域集中态势。</w:t>
      </w:r>
    </w:p>
    <w:p w14:paraId="31EAFDED">
      <w:pPr>
        <w:spacing w:line="360" w:lineRule="auto"/>
        <w:ind w:firstLine="3780" w:firstLineChars="1800"/>
        <w:rPr>
          <w:rFonts w:hint="eastAsia" w:ascii="宋体" w:hAnsi="宋体" w:cs="宋体" w:eastAsiaTheme="minorEastAsia"/>
          <w:szCs w:val="21"/>
          <w:lang w:eastAsia="zh-CN"/>
        </w:rPr>
      </w:pPr>
      <w:r>
        <w:rPr>
          <w:rFonts w:hint="eastAsia" w:ascii="宋体" w:hAnsi="宋体" w:cs="宋体"/>
          <w:szCs w:val="21"/>
        </w:rPr>
        <w:t>图4-</w:t>
      </w:r>
      <w:r>
        <w:rPr>
          <w:rFonts w:hint="eastAsia" w:ascii="宋体" w:hAnsi="宋体" w:cs="宋体"/>
          <w:szCs w:val="21"/>
          <w:lang w:val="en-US" w:eastAsia="zh-CN"/>
        </w:rPr>
        <w:t>6 地理分布分</w:t>
      </w:r>
    </w:p>
    <w:p w14:paraId="1F1C425E">
      <w:pPr>
        <w:spacing w:line="360" w:lineRule="auto"/>
        <w:rPr>
          <w:rFonts w:hint="eastAsia" w:ascii="宋体" w:hAnsi="宋体" w:cs="宋体"/>
          <w:sz w:val="24"/>
        </w:rPr>
      </w:pPr>
      <w:r>
        <w:rPr>
          <w:rFonts w:ascii="宋体" w:hAnsi="宋体" w:cs="宋体"/>
          <w:sz w:val="24"/>
        </w:rPr>
        <w:drawing>
          <wp:inline distT="0" distB="0" distL="114300" distR="114300">
            <wp:extent cx="5414010" cy="2590165"/>
            <wp:effectExtent l="0" t="0" r="15240" b="635"/>
            <wp:docPr id="198384239" name="图片 1983842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4239" name="图片 198384239" descr="5."/>
                    <pic:cNvPicPr>
                      <a:picLocks noChangeAspect="1"/>
                    </pic:cNvPicPr>
                  </pic:nvPicPr>
                  <pic:blipFill>
                    <a:blip r:embed="rId492"/>
                    <a:stretch>
                      <a:fillRect/>
                    </a:stretch>
                  </pic:blipFill>
                  <pic:spPr>
                    <a:xfrm>
                      <a:off x="0" y="0"/>
                      <a:ext cx="5414010" cy="2590165"/>
                    </a:xfrm>
                    <a:prstGeom prst="rect">
                      <a:avLst/>
                    </a:prstGeom>
                  </pic:spPr>
                </pic:pic>
              </a:graphicData>
            </a:graphic>
          </wp:inline>
        </w:drawing>
      </w:r>
    </w:p>
    <w:p w14:paraId="77C701EA">
      <w:pPr>
        <w:spacing w:line="360" w:lineRule="auto"/>
        <w:ind w:firstLine="480" w:firstLineChars="200"/>
        <w:rPr>
          <w:rFonts w:hint="eastAsia" w:ascii="宋体" w:hAnsi="宋体" w:cs="宋体"/>
          <w:sz w:val="24"/>
        </w:rPr>
      </w:pPr>
      <w:r>
        <w:rPr>
          <w:rFonts w:hint="eastAsia" w:ascii="宋体" w:hAnsi="宋体" w:cs="宋体"/>
          <w:sz w:val="24"/>
        </w:rPr>
        <w:t>x轴是各省，y轴是数量，气泡是各省本科院校数量分布大小，通过气泡图设计，气泡大小体现院校数量，使读者能够迅速识别出教育资源的核心区域和边缘区域。</w:t>
      </w:r>
    </w:p>
    <w:p w14:paraId="28A17734">
      <w:pPr>
        <w:spacing w:line="360" w:lineRule="auto"/>
        <w:ind w:firstLine="480" w:firstLineChars="200"/>
        <w:rPr>
          <w:rFonts w:eastAsia="宋体" w:cs="宋体"/>
          <w:lang w:bidi="ar"/>
        </w:rPr>
      </w:pPr>
      <w:r>
        <w:rPr>
          <w:rFonts w:hint="eastAsia" w:ascii="宋体" w:hAnsi="宋体" w:cs="宋体"/>
          <w:sz w:val="24"/>
        </w:rPr>
        <w:t>图4-</w:t>
      </w:r>
      <w:r>
        <w:rPr>
          <w:rFonts w:hint="eastAsia" w:ascii="宋体" w:hAnsi="宋体" w:cs="宋体"/>
          <w:sz w:val="24"/>
          <w:lang w:val="en-US" w:eastAsia="zh-CN"/>
        </w:rPr>
        <w:t>7</w:t>
      </w:r>
      <w:r>
        <w:rPr>
          <w:rFonts w:hint="eastAsia" w:ascii="宋体" w:hAnsi="宋体" w:cs="宋体"/>
          <w:sz w:val="24"/>
        </w:rPr>
        <w:t>通过具体数值标注，量化了各省本科院校的差距。数据显示，排名前列的省份（如江苏、山东、广东）与排名靠后的省份（如西藏、青海）之间存在数量级的差异。这种“马太效应”在教育资源分布中尤为明显，经济发达地区凭借其财政优势、人才集聚效应和历史积累，形成了自我强化的教育资源增长循环。</w:t>
      </w:r>
    </w:p>
    <w:p w14:paraId="1D02D924">
      <w:pPr>
        <w:spacing w:line="360" w:lineRule="auto"/>
        <w:ind w:firstLine="480" w:firstLineChars="200"/>
        <w:rPr>
          <w:rFonts w:hint="eastAsia" w:ascii="宋体" w:hAnsi="宋体" w:cs="宋体"/>
          <w:szCs w:val="21"/>
        </w:rPr>
      </w:pPr>
      <w:r>
        <w:rPr>
          <w:rFonts w:ascii="宋体" w:hAnsi="宋体" w:cs="宋体"/>
          <w:sz w:val="24"/>
        </w:rPr>
        <w:t>层次结构分析聚焦于高等教育体系的内在构成，包括办学性质、院校类型等多个维度</w:t>
      </w:r>
      <w:r>
        <w:rPr>
          <w:rFonts w:hint="eastAsia" w:ascii="宋体" w:hAnsi="宋体" w:cs="宋体"/>
          <w:sz w:val="24"/>
          <w:lang w:eastAsia="zh-CN"/>
        </w:rPr>
        <w:t>。</w:t>
      </w:r>
    </w:p>
    <w:p w14:paraId="115100F7">
      <w:pPr>
        <w:spacing w:line="360" w:lineRule="auto"/>
        <w:jc w:val="center"/>
        <w:rPr>
          <w:rFonts w:hint="eastAsia" w:ascii="宋体" w:hAnsi="宋体" w:cs="宋体"/>
          <w:szCs w:val="21"/>
        </w:rPr>
      </w:pPr>
      <w:r>
        <w:rPr>
          <w:rFonts w:hint="eastAsia" w:ascii="宋体" w:hAnsi="宋体" w:cs="宋体"/>
          <w:szCs w:val="21"/>
        </w:rPr>
        <w:t>图4-</w:t>
      </w:r>
      <w:r>
        <w:rPr>
          <w:rFonts w:hint="eastAsia" w:ascii="宋体" w:hAnsi="宋体" w:cs="宋体"/>
          <w:szCs w:val="21"/>
          <w:lang w:val="en-US" w:eastAsia="zh-CN"/>
        </w:rPr>
        <w:t>7</w:t>
      </w:r>
      <w:r>
        <w:rPr>
          <w:rFonts w:hint="eastAsia" w:ascii="宋体" w:hAnsi="宋体" w:cs="宋体"/>
          <w:szCs w:val="21"/>
        </w:rPr>
        <w:t>各省本科院校详细数量分布</w:t>
      </w:r>
      <w:r>
        <w:rPr>
          <w:rFonts w:hint="eastAsia" w:ascii="宋体" w:hAnsi="宋体" w:cs="宋体"/>
          <w:sz w:val="24"/>
        </w:rPr>
        <w:drawing>
          <wp:anchor distT="0" distB="0" distL="114300" distR="114300" simplePos="0" relativeHeight="251920384" behindDoc="0" locked="0" layoutInCell="1" allowOverlap="1">
            <wp:simplePos x="0" y="0"/>
            <wp:positionH relativeFrom="column">
              <wp:posOffset>6985</wp:posOffset>
            </wp:positionH>
            <wp:positionV relativeFrom="paragraph">
              <wp:posOffset>326390</wp:posOffset>
            </wp:positionV>
            <wp:extent cx="5340350" cy="3923665"/>
            <wp:effectExtent l="0" t="0" r="12700" b="635"/>
            <wp:wrapTopAndBottom/>
            <wp:docPr id="508764590" name="图片 5087645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64590" name="图片 508764590" descr="3."/>
                    <pic:cNvPicPr>
                      <a:picLocks noChangeAspect="1"/>
                    </pic:cNvPicPr>
                  </pic:nvPicPr>
                  <pic:blipFill>
                    <a:blip r:embed="rId493"/>
                    <a:stretch>
                      <a:fillRect/>
                    </a:stretch>
                  </pic:blipFill>
                  <pic:spPr>
                    <a:xfrm>
                      <a:off x="0" y="0"/>
                      <a:ext cx="5340350" cy="3923665"/>
                    </a:xfrm>
                    <a:prstGeom prst="rect">
                      <a:avLst/>
                    </a:prstGeom>
                  </pic:spPr>
                </pic:pic>
              </a:graphicData>
            </a:graphic>
          </wp:anchor>
        </w:drawing>
      </w:r>
    </w:p>
    <w:p w14:paraId="3097F3E4">
      <w:pPr>
        <w:spacing w:line="360" w:lineRule="auto"/>
        <w:rPr>
          <w:rFonts w:hint="eastAsia" w:ascii="宋体" w:hAnsi="宋体" w:cs="宋体"/>
          <w:sz w:val="24"/>
        </w:rPr>
      </w:pPr>
    </w:p>
    <w:p w14:paraId="5967057B">
      <w:pPr>
        <w:spacing w:line="360" w:lineRule="auto"/>
        <w:ind w:firstLine="480" w:firstLineChars="200"/>
        <w:rPr>
          <w:rFonts w:ascii="宋体" w:hAnsi="宋体" w:cs="宋体"/>
          <w:sz w:val="24"/>
        </w:rPr>
      </w:pPr>
      <w:r>
        <w:rPr>
          <w:rFonts w:ascii="宋体" w:hAnsi="宋体" w:cs="宋体"/>
          <w:sz w:val="24"/>
        </w:rPr>
        <w:t>如图4-</w:t>
      </w:r>
      <w:r>
        <w:rPr>
          <w:rFonts w:hint="eastAsia" w:ascii="宋体" w:hAnsi="宋体" w:cs="宋体"/>
          <w:sz w:val="24"/>
          <w:lang w:val="en-US" w:eastAsia="zh-CN"/>
        </w:rPr>
        <w:t>8</w:t>
      </w:r>
      <w:r>
        <w:rPr>
          <w:rFonts w:ascii="宋体" w:hAnsi="宋体" w:cs="宋体"/>
          <w:sz w:val="24"/>
        </w:rPr>
        <w:t>所示，公办院校以899所占据绝对主导地位，占比约66%，构成了中国高等教育体系的基石。民办院校作为重要补充力量，数量达到453所，占比约33%，在应用型、技能型人才培养方面发挥着重要作用。中外合作办学及内地与港澳合作办学机构共11所，其他类型2所，数量虽少但代表了高等教育国际</w:t>
      </w:r>
    </w:p>
    <w:p w14:paraId="50744632">
      <w:pPr>
        <w:spacing w:line="360" w:lineRule="auto"/>
        <w:ind w:firstLine="480" w:firstLineChars="200"/>
        <w:rPr>
          <w:rFonts w:hint="eastAsia" w:ascii="宋体" w:hAnsi="宋体" w:cs="宋体"/>
          <w:sz w:val="24"/>
        </w:rPr>
      </w:pPr>
      <w:r>
        <w:rPr>
          <w:rFonts w:ascii="宋体" w:hAnsi="宋体" w:cs="宋体"/>
          <w:sz w:val="24"/>
        </w:rPr>
        <w:t>化和多元化的探索方向。这一结构反映了中国“以公办为主、民办为辅、多元探索”的高等教育办学格局。</w:t>
      </w:r>
    </w:p>
    <w:p w14:paraId="17B5DA3D">
      <w:pPr>
        <w:spacing w:line="360" w:lineRule="auto"/>
        <w:ind w:firstLine="480" w:firstLineChars="200"/>
        <w:rPr>
          <w:rFonts w:hint="eastAsia" w:ascii="宋体" w:hAnsi="宋体" w:cs="宋体"/>
          <w:szCs w:val="21"/>
        </w:rPr>
      </w:pPr>
      <w:r>
        <w:rPr>
          <w:rFonts w:ascii="宋体" w:hAnsi="宋体" w:cs="宋体"/>
          <w:sz w:val="24"/>
        </w:rPr>
        <w:t>图4-</w:t>
      </w:r>
      <w:r>
        <w:rPr>
          <w:rFonts w:hint="eastAsia" w:ascii="宋体" w:hAnsi="宋体" w:cs="宋体"/>
          <w:sz w:val="24"/>
          <w:lang w:val="en-US" w:eastAsia="zh-CN"/>
        </w:rPr>
        <w:t>9</w:t>
      </w:r>
      <w:r>
        <w:rPr>
          <w:rFonts w:ascii="宋体" w:hAnsi="宋体" w:cs="宋体"/>
          <w:sz w:val="24"/>
        </w:rPr>
        <w:t>从院校类型的角度，进一步剖析了高等教育的专业结构特征。</w:t>
      </w:r>
    </w:p>
    <w:p w14:paraId="34BE6F24">
      <w:pPr>
        <w:spacing w:line="360" w:lineRule="auto"/>
        <w:ind w:firstLine="2730" w:firstLineChars="1300"/>
        <w:rPr>
          <w:rFonts w:hint="eastAsia" w:ascii="宋体" w:hAnsi="宋体" w:cs="宋体"/>
          <w:sz w:val="24"/>
          <w:szCs w:val="21"/>
        </w:rPr>
      </w:pPr>
      <w:r>
        <w:rPr>
          <w:rFonts w:ascii="宋体" w:hAnsi="宋体" w:cs="宋体"/>
          <w:szCs w:val="21"/>
        </w:rPr>
        <w:drawing>
          <wp:anchor distT="0" distB="0" distL="114300" distR="114300" simplePos="0" relativeHeight="251918336" behindDoc="0" locked="0" layoutInCell="1" allowOverlap="1">
            <wp:simplePos x="0" y="0"/>
            <wp:positionH relativeFrom="column">
              <wp:posOffset>856615</wp:posOffset>
            </wp:positionH>
            <wp:positionV relativeFrom="paragraph">
              <wp:posOffset>38735</wp:posOffset>
            </wp:positionV>
            <wp:extent cx="3281045" cy="1858645"/>
            <wp:effectExtent l="0" t="0" r="14605" b="8255"/>
            <wp:wrapTopAndBottom/>
            <wp:docPr id="1572986012" name="图片 157298601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986012" name="图片 1572986012" descr="9."/>
                    <pic:cNvPicPr>
                      <a:picLocks noChangeAspect="1"/>
                    </pic:cNvPicPr>
                  </pic:nvPicPr>
                  <pic:blipFill>
                    <a:blip r:embed="rId494"/>
                    <a:stretch>
                      <a:fillRect/>
                    </a:stretch>
                  </pic:blipFill>
                  <pic:spPr>
                    <a:xfrm>
                      <a:off x="0" y="0"/>
                      <a:ext cx="3281045" cy="1858645"/>
                    </a:xfrm>
                    <a:prstGeom prst="rect">
                      <a:avLst/>
                    </a:prstGeom>
                  </pic:spPr>
                </pic:pic>
              </a:graphicData>
            </a:graphic>
          </wp:anchor>
        </w:drawing>
      </w:r>
      <w:r>
        <w:rPr>
          <w:rFonts w:ascii="宋体" w:hAnsi="宋体" w:cs="宋体"/>
          <w:szCs w:val="21"/>
        </w:rPr>
        <w:t>图4-</w:t>
      </w:r>
      <w:r>
        <w:rPr>
          <w:rFonts w:hint="eastAsia" w:ascii="宋体" w:hAnsi="宋体" w:cs="宋体"/>
          <w:szCs w:val="21"/>
          <w:lang w:val="en-US" w:eastAsia="zh-CN"/>
        </w:rPr>
        <w:t>9</w:t>
      </w:r>
      <w:r>
        <w:rPr>
          <w:rFonts w:ascii="宋体" w:hAnsi="宋体" w:cs="宋体"/>
          <w:szCs w:val="21"/>
        </w:rPr>
        <w:t xml:space="preserve"> 学校类型占比分布</w:t>
      </w:r>
    </w:p>
    <w:p w14:paraId="08BA785F">
      <w:pPr>
        <w:spacing w:line="360" w:lineRule="auto"/>
        <w:ind w:firstLine="480" w:firstLineChars="200"/>
        <w:rPr>
          <w:rFonts w:hint="eastAsia" w:ascii="宋体" w:hAnsi="宋体" w:cs="宋体"/>
          <w:sz w:val="24"/>
        </w:rPr>
      </w:pPr>
      <w:r>
        <w:rPr>
          <w:rFonts w:ascii="宋体" w:hAnsi="宋体" w:cs="宋体"/>
          <w:sz w:val="24"/>
        </w:rPr>
        <w:t>图4-</w:t>
      </w:r>
      <w:r>
        <w:rPr>
          <w:rFonts w:hint="eastAsia" w:ascii="宋体" w:hAnsi="宋体" w:cs="宋体"/>
          <w:sz w:val="24"/>
          <w:lang w:val="en-US" w:eastAsia="zh-CN"/>
        </w:rPr>
        <w:t>10</w:t>
      </w:r>
      <w:r>
        <w:rPr>
          <w:rFonts w:ascii="宋体" w:hAnsi="宋体" w:cs="宋体"/>
          <w:sz w:val="24"/>
        </w:rPr>
        <w:t>显示，综合类院校以622所、45.57%的占比位居首位，体现了中国高等教育向综合性、跨学科发展的趋势。理工类院校以346所、25.35%的占比紧随其后，凸显了国家对工程技术人才培养的重视。师范类院校141所、占比10.33%，承担着基础教育师资培养的重任。医药类院校67所、占比4.91%，在医疗卫生人才培养中发挥关键作用。这一类型结构反映了中国高等教育专业布局的多样性与侧重性，既满足了社会对各领域专门人才的需求，也保持了基础学科的全面发展。</w:t>
      </w:r>
    </w:p>
    <w:p w14:paraId="37FC1BCD">
      <w:pPr>
        <w:spacing w:line="360" w:lineRule="auto"/>
        <w:ind w:firstLine="480" w:firstLineChars="200"/>
        <w:rPr>
          <w:rFonts w:ascii="宋体" w:hAnsi="宋体" w:cs="宋体"/>
          <w:sz w:val="24"/>
        </w:rPr>
      </w:pPr>
      <w:r>
        <w:rPr>
          <w:rFonts w:ascii="宋体" w:hAnsi="宋体" w:cs="宋体"/>
          <w:sz w:val="24"/>
        </w:rPr>
        <w:t>对比分析旨在揭示不同区域、不同类型高校之间的差异特征。图4-</w:t>
      </w:r>
      <w:r>
        <w:rPr>
          <w:rFonts w:hint="eastAsia" w:ascii="宋体" w:hAnsi="宋体" w:cs="宋体"/>
          <w:sz w:val="24"/>
          <w:lang w:val="en-US" w:eastAsia="zh-CN"/>
        </w:rPr>
        <w:t>10</w:t>
      </w:r>
      <w:r>
        <w:rPr>
          <w:rFonts w:ascii="宋体" w:hAnsi="宋体" w:cs="宋体"/>
          <w:sz w:val="24"/>
        </w:rPr>
        <w:t>通过分组柱状图形式，展示了各省各类办学性质的对比情况。</w:t>
      </w:r>
    </w:p>
    <w:p w14:paraId="232FF393">
      <w:pPr>
        <w:spacing w:line="360" w:lineRule="auto"/>
        <w:jc w:val="center"/>
        <w:rPr>
          <w:rFonts w:hint="eastAsia"/>
        </w:rPr>
      </w:pPr>
      <w:r>
        <w:rPr>
          <w:rFonts w:hint="eastAsia" w:ascii="宋体" w:hAnsi="宋体" w:cs="宋体"/>
          <w:sz w:val="24"/>
          <w:lang w:val="en-US" w:eastAsia="zh-CN"/>
        </w:rPr>
        <w:t>图4-10 各省各类办学性质统计对比</w:t>
      </w:r>
    </w:p>
    <w:p w14:paraId="2B53AD6B">
      <w:pPr>
        <w:spacing w:line="360" w:lineRule="auto"/>
        <w:ind w:firstLine="2880" w:firstLineChars="1200"/>
        <w:rPr>
          <w:rFonts w:ascii="Segoe UI" w:hAnsi="Segoe UI" w:eastAsia="Segoe UI" w:cs="Segoe UI"/>
          <w:color w:val="0F1115"/>
          <w:kern w:val="0"/>
          <w:sz w:val="24"/>
          <w:szCs w:val="27"/>
          <w:shd w:val="clear" w:color="auto" w:fill="FFFFFF"/>
          <w:lang w:bidi="ar"/>
        </w:rPr>
      </w:pPr>
      <w:r>
        <w:rPr>
          <w:rFonts w:hint="eastAsia" w:ascii="宋体" w:hAnsi="宋体" w:cs="宋体"/>
          <w:sz w:val="24"/>
          <w:szCs w:val="21"/>
        </w:rPr>
        <w:drawing>
          <wp:anchor distT="0" distB="0" distL="114300" distR="114300" simplePos="0" relativeHeight="251921408" behindDoc="0" locked="0" layoutInCell="1" allowOverlap="1">
            <wp:simplePos x="0" y="0"/>
            <wp:positionH relativeFrom="column">
              <wp:posOffset>593725</wp:posOffset>
            </wp:positionH>
            <wp:positionV relativeFrom="paragraph">
              <wp:posOffset>43180</wp:posOffset>
            </wp:positionV>
            <wp:extent cx="3991610" cy="2470785"/>
            <wp:effectExtent l="0" t="0" r="8890" b="5715"/>
            <wp:wrapTopAndBottom/>
            <wp:docPr id="9257761" name="图片 925776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761" name="图片 9257761" descr="8."/>
                    <pic:cNvPicPr>
                      <a:picLocks noChangeAspect="1"/>
                    </pic:cNvPicPr>
                  </pic:nvPicPr>
                  <pic:blipFill>
                    <a:blip r:embed="rId495"/>
                    <a:srcRect r="4505"/>
                    <a:stretch>
                      <a:fillRect/>
                    </a:stretch>
                  </pic:blipFill>
                  <pic:spPr>
                    <a:xfrm>
                      <a:off x="0" y="0"/>
                      <a:ext cx="3991610" cy="2470785"/>
                    </a:xfrm>
                    <a:prstGeom prst="rect">
                      <a:avLst/>
                    </a:prstGeom>
                  </pic:spPr>
                </pic:pic>
              </a:graphicData>
            </a:graphic>
          </wp:anchor>
        </w:drawing>
      </w:r>
    </w:p>
    <w:p w14:paraId="7F805C86">
      <w:pPr>
        <w:keepNext/>
        <w:keepLines/>
        <w:spacing w:line="440" w:lineRule="exact"/>
        <w:ind w:firstLine="480" w:firstLineChars="200"/>
        <w:outlineLvl w:val="9"/>
        <w:rPr>
          <w:rFonts w:hint="eastAsia" w:ascii="宋体" w:hAnsi="宋体" w:eastAsia="宋体" w:cs="宋体"/>
          <w:sz w:val="24"/>
        </w:rPr>
      </w:pPr>
      <w:r>
        <w:rPr>
          <w:rFonts w:hint="eastAsia" w:ascii="宋体" w:hAnsi="宋体" w:eastAsia="宋体" w:cs="宋体"/>
          <w:sz w:val="24"/>
        </w:rPr>
        <w:t>4.4.2可视化实现流程与关键技术</w:t>
      </w:r>
    </w:p>
    <w:p w14:paraId="7A6A745E">
      <w:pPr>
        <w:spacing w:line="440" w:lineRule="exact"/>
        <w:ind w:firstLine="480" w:firstLineChars="200"/>
        <w:rPr>
          <w:rFonts w:eastAsia="宋体"/>
        </w:rPr>
      </w:pPr>
      <w:r>
        <w:rPr>
          <w:rFonts w:hint="eastAsia" w:ascii="宋体" w:hAnsi="宋体" w:cs="宋体"/>
          <w:sz w:val="24"/>
        </w:rPr>
        <w:t>基于山海鲸可视化的高等教育数据可视化实现，先通过平台多源数据接入功能导入清洗后的数据，快速完成字段适配与预处理；再根据数据特性选择地图、环形图、折线图、词云等组件，搭配统一专业的样式主题；通过可视化配置实现跨组件联动与悬浮提示、数据钻取等交互效果，最终快速生成兼具观赏性与实用性的可视化成果，支持多格式导出分享，全程低代码操作，高效呈现高等教育数据核心信息。</w:t>
      </w:r>
    </w:p>
    <w:p w14:paraId="0FD16157">
      <w:pPr>
        <w:spacing w:line="440" w:lineRule="exact"/>
        <w:ind w:firstLine="480" w:firstLineChars="200"/>
        <w:rPr>
          <w:rFonts w:hint="eastAsia" w:ascii="宋体" w:hAnsi="宋体" w:eastAsia="宋体" w:cs="宋体"/>
          <w:sz w:val="24"/>
        </w:rPr>
      </w:pPr>
    </w:p>
    <w:p w14:paraId="27883DE5">
      <w:pPr>
        <w:spacing w:line="360" w:lineRule="auto"/>
        <w:rPr>
          <w:rFonts w:hint="default" w:ascii="宋体" w:hAnsi="宋体" w:cs="宋体"/>
          <w:sz w:val="24"/>
          <w:lang w:val="en-US" w:eastAsia="zh-CN"/>
        </w:rPr>
      </w:pPr>
    </w:p>
    <w:p w14:paraId="30FE641C">
      <w:pPr>
        <w:rPr>
          <w:rFonts w:hint="eastAsia"/>
        </w:rPr>
        <w:sectPr>
          <w:headerReference r:id="rId53" w:type="default"/>
          <w:footerReference r:id="rId5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5E41BC5">
      <w:pPr>
        <w:pStyle w:val="2"/>
        <w:numPr>
          <w:ilvl w:val="0"/>
          <w:numId w:val="0"/>
        </w:numPr>
        <w:bidi w:val="0"/>
        <w:ind w:left="0" w:leftChars="0" w:firstLine="0" w:firstLineChars="0"/>
        <w:rPr>
          <w:rFonts w:hint="eastAsia"/>
        </w:rPr>
      </w:pPr>
      <w:bookmarkStart w:id="1612" w:name="_Toc28669"/>
      <w:bookmarkStart w:id="1613" w:name="_Toc12510"/>
      <w:bookmarkStart w:id="1614" w:name="_Toc1617"/>
      <w:r>
        <w:rPr>
          <w:rFonts w:hint="eastAsia" w:cstheme="minorBidi"/>
          <w:b/>
          <w:bCs/>
          <w:kern w:val="44"/>
          <w:sz w:val="32"/>
          <w:szCs w:val="44"/>
          <w:lang w:val="en-US" w:eastAsia="zh-CN" w:bidi="ar-SA"/>
        </w:rPr>
        <w:t>三</w:t>
      </w:r>
      <w:r>
        <w:rPr>
          <w:rFonts w:hint="eastAsia" w:asciiTheme="minorHAnsi" w:hAnsiTheme="minorHAnsi" w:eastAsiaTheme="minorEastAsia" w:cstheme="minorBidi"/>
          <w:b/>
          <w:bCs/>
          <w:kern w:val="44"/>
          <w:sz w:val="32"/>
          <w:szCs w:val="44"/>
          <w:lang w:val="en-US" w:eastAsia="zh-CN" w:bidi="ar-SA"/>
        </w:rPr>
        <w:t>、</w:t>
      </w:r>
      <w:r>
        <w:rPr>
          <w:rFonts w:hint="eastAsia"/>
        </w:rPr>
        <w:t>智能物联产业学院</w:t>
      </w:r>
      <w:bookmarkEnd w:id="1612"/>
      <w:bookmarkEnd w:id="1613"/>
    </w:p>
    <w:p w14:paraId="33E010F8">
      <w:pPr>
        <w:rPr>
          <w:rFonts w:hint="eastAsia"/>
        </w:rPr>
      </w:pPr>
    </w:p>
    <w:p w14:paraId="0824D7CF">
      <w:pPr>
        <w:pStyle w:val="3"/>
        <w:bidi w:val="0"/>
        <w:rPr>
          <w:rFonts w:hint="default"/>
          <w:lang w:val="en-US" w:eastAsia="zh-CN"/>
        </w:rPr>
      </w:pPr>
      <w:bookmarkStart w:id="1615" w:name="_Toc18537"/>
      <w:bookmarkStart w:id="1616" w:name="_Toc2624"/>
      <w:r>
        <w:rPr>
          <w:rFonts w:hint="eastAsia"/>
          <w:lang w:val="en-US" w:eastAsia="zh-CN"/>
        </w:rPr>
        <w:t>1.智能小车</w:t>
      </w:r>
      <w:r>
        <w:rPr>
          <w:rFonts w:hint="eastAsia"/>
        </w:rPr>
        <w:t>的PCB设计与制作</w:t>
      </w:r>
      <w:bookmarkEnd w:id="1615"/>
      <w:bookmarkEnd w:id="1616"/>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7B805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jc w:val="center"/>
        </w:trPr>
        <w:tc>
          <w:tcPr>
            <w:tcW w:w="8522" w:type="dxa"/>
            <w:vAlign w:val="center"/>
          </w:tcPr>
          <w:p w14:paraId="2FE2BCF4">
            <w:pPr>
              <w:jc w:val="left"/>
              <w:outlineLvl w:val="0"/>
              <w:rPr>
                <w:rFonts w:ascii="Calibri" w:hAnsi="Calibri" w:eastAsia="黑体" w:cs="Times New Roman"/>
                <w:szCs w:val="21"/>
              </w:rPr>
            </w:pPr>
            <w:bookmarkStart w:id="1617" w:name="_Toc4399"/>
            <w:bookmarkStart w:id="1618" w:name="_Toc4986"/>
            <w:r>
              <w:rPr>
                <w:rFonts w:hint="eastAsia" w:ascii="Calibri" w:hAnsi="Calibri" w:eastAsia="黑体" w:cs="Times New Roman"/>
                <w:sz w:val="24"/>
              </w:rPr>
              <w:t>项目主题：</w:t>
            </w:r>
            <w:r>
              <w:rPr>
                <w:rFonts w:hint="eastAsia" w:ascii="Calibri" w:hAnsi="Calibri" w:eastAsia="黑体" w:cs="Times New Roman"/>
                <w:sz w:val="24"/>
                <w:lang w:val="en-US" w:eastAsia="zh-CN"/>
              </w:rPr>
              <w:t>智能小车</w:t>
            </w:r>
            <w:r>
              <w:rPr>
                <w:rFonts w:hint="eastAsia" w:ascii="Calibri" w:hAnsi="Calibri" w:eastAsia="黑体" w:cs="Times New Roman"/>
                <w:sz w:val="24"/>
              </w:rPr>
              <w:t>的PCB设计与制作</w:t>
            </w:r>
            <w:bookmarkEnd w:id="1617"/>
            <w:bookmarkEnd w:id="1618"/>
          </w:p>
        </w:tc>
      </w:tr>
      <w:tr w14:paraId="718481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4" w:hRule="exact"/>
          <w:jc w:val="center"/>
        </w:trPr>
        <w:tc>
          <w:tcPr>
            <w:tcW w:w="8522" w:type="dxa"/>
            <w:vAlign w:val="center"/>
          </w:tcPr>
          <w:p w14:paraId="4EFB0ACA">
            <w:pPr>
              <w:jc w:val="left"/>
              <w:rPr>
                <w:rFonts w:ascii="Calibri" w:hAnsi="Calibri" w:eastAsia="黑体" w:cs="Times New Roman"/>
                <w:szCs w:val="21"/>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物联网工程本科1班</w:t>
            </w:r>
          </w:p>
        </w:tc>
      </w:tr>
      <w:tr w14:paraId="08B7B2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598A150A">
            <w:pPr>
              <w:jc w:val="left"/>
              <w:rPr>
                <w:rFonts w:ascii="Calibri" w:hAnsi="Calibri" w:eastAsia="黑体" w:cs="Times New Roman"/>
                <w:sz w:val="24"/>
              </w:rPr>
            </w:pPr>
            <w:r>
              <w:rPr>
                <w:rFonts w:hint="eastAsia" w:ascii="Calibri" w:hAnsi="Calibri" w:eastAsia="黑体" w:cs="Times New Roman"/>
                <w:szCs w:val="21"/>
              </w:rPr>
              <w:t>学生姓名：</w:t>
            </w:r>
            <w:r>
              <w:rPr>
                <w:rFonts w:hint="eastAsia" w:ascii="Calibri" w:hAnsi="Calibri" w:eastAsia="黑体" w:cs="Times New Roman"/>
                <w:sz w:val="22"/>
                <w:szCs w:val="22"/>
                <w:lang w:val="en-US" w:eastAsia="zh-CN"/>
              </w:rPr>
              <w:t xml:space="preserve">陈川 伍文静 程鑫 宋柯 文志豪 樊扬政      </w:t>
            </w:r>
            <w:r>
              <w:rPr>
                <w:rFonts w:hint="eastAsia" w:ascii="Calibri" w:hAnsi="Calibri" w:eastAsia="黑体" w:cs="Times New Roman"/>
                <w:szCs w:val="21"/>
              </w:rPr>
              <w:t xml:space="preserve"> 指导教师：黄淑娟 刘有珠</w:t>
            </w:r>
          </w:p>
        </w:tc>
      </w:tr>
      <w:bookmarkEnd w:id="1614"/>
    </w:tbl>
    <w:p w14:paraId="5A909C43">
      <w:pPr>
        <w:rPr>
          <w:rFonts w:hint="eastAsia" w:asciiTheme="majorEastAsia" w:hAnsiTheme="majorEastAsia" w:eastAsiaTheme="majorEastAsia"/>
          <w:sz w:val="28"/>
          <w:szCs w:val="28"/>
        </w:rPr>
      </w:pPr>
      <w:bookmarkStart w:id="1619" w:name="_Toc217293582"/>
      <w:r>
        <w:rPr>
          <w:rFonts w:cs="Arial" w:asciiTheme="majorEastAsia" w:hAnsiTheme="majorEastAsia" w:eastAsiaTheme="majorEastAsia"/>
          <w:b/>
          <w:sz w:val="28"/>
          <w:szCs w:val="28"/>
        </w:rPr>
        <w:t>1 项目概述</w:t>
      </w:r>
      <w:bookmarkEnd w:id="1619"/>
    </w:p>
    <w:p w14:paraId="78C79FB0">
      <w:pPr>
        <w:spacing w:line="360" w:lineRule="auto"/>
        <w:ind w:firstLine="480" w:firstLineChars="200"/>
        <w:outlineLvl w:val="9"/>
        <w:rPr>
          <w:rFonts w:hint="eastAsia" w:asciiTheme="majorEastAsia" w:hAnsiTheme="majorEastAsia" w:eastAsiaTheme="majorEastAsia"/>
        </w:rPr>
      </w:pPr>
      <w:bookmarkStart w:id="1620" w:name="_Toc217293583"/>
      <w:bookmarkStart w:id="1621" w:name="_Toc22772"/>
      <w:r>
        <w:rPr>
          <w:rFonts w:cs="Arial" w:asciiTheme="majorEastAsia" w:hAnsiTheme="majorEastAsia" w:eastAsiaTheme="majorEastAsia"/>
          <w:bCs/>
          <w:sz w:val="24"/>
          <w:szCs w:val="21"/>
        </w:rPr>
        <w:t>1.1 项目介绍</w:t>
      </w:r>
      <w:bookmarkEnd w:id="1620"/>
      <w:bookmarkEnd w:id="1621"/>
    </w:p>
    <w:p w14:paraId="1D460B9D">
      <w:pPr>
        <w:spacing w:line="360" w:lineRule="auto"/>
        <w:ind w:firstLine="480" w:firstLineChars="200"/>
        <w:rPr>
          <w:rFonts w:ascii="Arial" w:hAnsi="Arial" w:eastAsia="等线" w:cs="Arial"/>
          <w:sz w:val="22"/>
        </w:rPr>
      </w:pPr>
      <w:r>
        <w:rPr>
          <w:rFonts w:cs="Arial" w:asciiTheme="minorEastAsia" w:hAnsiTheme="minorEastAsia" w:eastAsiaTheme="minorEastAsia"/>
          <w:sz w:val="24"/>
        </w:rPr>
        <w:t>本项目旨在设计并实现一款基于STM32F103ZET6单片机的智能小车系统。核心目标是通过STM32单片机作为控制核心，搭建稳定的硬件电路平台，实现小车的基本运动控制、数据存储与电源管理等核心功能，为后续扩展循迹、避障等进阶功能奠定基础。系统侧重于理解STM32单片机的外设驱动原理、嵌入式系统的模块化设计方法以及软硬件协同开发流程</w:t>
      </w:r>
      <w:r>
        <w:rPr>
          <w:rFonts w:ascii="Arial" w:hAnsi="Arial" w:eastAsia="等线" w:cs="Arial"/>
          <w:sz w:val="22"/>
        </w:rPr>
        <w:t>。</w:t>
      </w:r>
    </w:p>
    <w:p w14:paraId="2338566F">
      <w:pPr>
        <w:spacing w:line="360" w:lineRule="auto"/>
        <w:ind w:firstLine="480" w:firstLineChars="200"/>
        <w:outlineLvl w:val="9"/>
        <w:rPr>
          <w:rFonts w:hint="eastAsia" w:cs="Arial" w:asciiTheme="majorEastAsia" w:hAnsiTheme="majorEastAsia" w:eastAsiaTheme="majorEastAsia"/>
          <w:bCs/>
          <w:sz w:val="24"/>
          <w:szCs w:val="21"/>
        </w:rPr>
      </w:pPr>
      <w:bookmarkStart w:id="1622" w:name="_Toc4815"/>
      <w:bookmarkStart w:id="1623" w:name="_Toc217293584"/>
      <w:r>
        <w:rPr>
          <w:rFonts w:cs="Arial" w:asciiTheme="majorEastAsia" w:hAnsiTheme="majorEastAsia" w:eastAsiaTheme="majorEastAsia"/>
          <w:bCs/>
          <w:sz w:val="24"/>
          <w:szCs w:val="21"/>
        </w:rPr>
        <w:t>1.2 项目开发环境</w:t>
      </w:r>
      <w:bookmarkEnd w:id="1622"/>
      <w:bookmarkEnd w:id="1623"/>
    </w:p>
    <w:p w14:paraId="4358B658">
      <w:pPr>
        <w:spacing w:line="360" w:lineRule="auto"/>
        <w:ind w:firstLine="440" w:firstLineChars="200"/>
        <w:rPr>
          <w:rFonts w:hint="eastAsia" w:cs="Arial" w:asciiTheme="minorEastAsia" w:hAnsiTheme="minorEastAsia" w:eastAsiaTheme="minorEastAsia"/>
          <w:sz w:val="22"/>
        </w:rPr>
      </w:pPr>
      <w:r>
        <w:rPr>
          <w:rFonts w:cs="Arial" w:asciiTheme="minorEastAsia" w:hAnsiTheme="minorEastAsia" w:eastAsiaTheme="minorEastAsia"/>
          <w:sz w:val="22"/>
        </w:rPr>
        <w:t>Proteus是一款集电路仿真、PCB设计于一体的电子设计自动化工具，可实现智能小车电路的虚拟仿真测试，便于在硬件制作前验证电路逻辑的正确性；其内置丰富的元器件库和仿真模型，支持STM32系列单片机的仿真，能直观呈现系统运行状态，大幅降低开发风险。</w:t>
      </w:r>
    </w:p>
    <w:p w14:paraId="3D581587">
      <w:pPr>
        <w:spacing w:line="360" w:lineRule="auto"/>
        <w:ind w:firstLine="440" w:firstLineChars="200"/>
        <w:rPr>
          <w:rFonts w:hint="eastAsia" w:cs="Arial" w:asciiTheme="minorEastAsia" w:hAnsiTheme="minorEastAsia" w:eastAsiaTheme="minorEastAsia"/>
          <w:sz w:val="22"/>
        </w:rPr>
      </w:pPr>
      <w:r>
        <w:rPr>
          <w:rFonts w:cs="Arial" w:asciiTheme="minorEastAsia" w:hAnsiTheme="minorEastAsia" w:eastAsiaTheme="minorEastAsia"/>
          <w:sz w:val="22"/>
        </w:rPr>
        <w:t>Altium Designer是功能强大的电子设计自动化工具，集成原理图编辑、PCB设计等核心模块，支持从电路设计到PCB制作的全流程开发，保障智能小车硬件电路设计的规范性与可靠性。</w:t>
      </w:r>
    </w:p>
    <w:p w14:paraId="773EA16C">
      <w:pPr>
        <w:spacing w:line="360" w:lineRule="auto"/>
        <w:ind w:firstLine="480" w:firstLineChars="200"/>
        <w:outlineLvl w:val="9"/>
        <w:rPr>
          <w:rFonts w:hint="eastAsia" w:cs="Arial" w:asciiTheme="majorEastAsia" w:hAnsiTheme="majorEastAsia" w:eastAsiaTheme="majorEastAsia"/>
          <w:bCs/>
          <w:sz w:val="24"/>
          <w:szCs w:val="21"/>
        </w:rPr>
      </w:pPr>
      <w:bookmarkStart w:id="1624" w:name="_Toc217293585"/>
      <w:bookmarkStart w:id="1625" w:name="_Toc2925"/>
      <w:r>
        <w:rPr>
          <w:rFonts w:cs="Arial" w:asciiTheme="majorEastAsia" w:hAnsiTheme="majorEastAsia" w:eastAsiaTheme="majorEastAsia"/>
          <w:bCs/>
          <w:sz w:val="24"/>
          <w:szCs w:val="21"/>
        </w:rPr>
        <w:t>1.3 小组人员及分工</w:t>
      </w:r>
      <w:bookmarkEnd w:id="1624"/>
      <w:bookmarkEnd w:id="1625"/>
    </w:p>
    <w:p w14:paraId="38C3B415">
      <w:pPr>
        <w:spacing w:line="360" w:lineRule="auto"/>
        <w:ind w:firstLine="480" w:firstLineChars="200"/>
        <w:rPr>
          <w:rFonts w:hint="eastAsia" w:asciiTheme="minorEastAsia" w:hAnsiTheme="minorEastAsia" w:eastAsiaTheme="minorEastAsia"/>
          <w:sz w:val="24"/>
        </w:rPr>
      </w:pPr>
      <w:r>
        <w:rPr>
          <w:rFonts w:cs="Arial" w:asciiTheme="minorEastAsia" w:hAnsiTheme="minorEastAsia" w:eastAsiaTheme="minorEastAsia"/>
          <w:sz w:val="24"/>
        </w:rPr>
        <w:t>小组成员有陈川、伍文静、程鑫、宋柯、文志豪、樊扬政。</w:t>
      </w:r>
    </w:p>
    <w:p w14:paraId="46E0493E">
      <w:pPr>
        <w:spacing w:line="360" w:lineRule="auto"/>
        <w:ind w:firstLine="480" w:firstLineChars="200"/>
        <w:rPr>
          <w:rFonts w:hint="eastAsia" w:asciiTheme="minorEastAsia" w:hAnsiTheme="minorEastAsia" w:eastAsiaTheme="minorEastAsia"/>
          <w:sz w:val="24"/>
        </w:rPr>
      </w:pPr>
      <w:r>
        <w:rPr>
          <w:rFonts w:cs="Arial" w:asciiTheme="minorEastAsia" w:hAnsiTheme="minorEastAsia" w:eastAsiaTheme="minorEastAsia"/>
          <w:sz w:val="24"/>
        </w:rPr>
        <w:t>陈川负责智能小车硬件电路设计及原理图绘制工作；伍文静负责基于STM32的嵌入式程序开发；程鑫、文志豪负责论文的撰写与整理；樊扬政负责项目开发心得的撰写；宋柯负责项目成果的海报设计与展示。</w:t>
      </w:r>
    </w:p>
    <w:p w14:paraId="2566B188">
      <w:pPr>
        <w:spacing w:line="360" w:lineRule="auto"/>
        <w:outlineLvl w:val="9"/>
        <w:rPr>
          <w:rFonts w:hint="eastAsia" w:asciiTheme="majorEastAsia" w:hAnsiTheme="majorEastAsia" w:eastAsiaTheme="majorEastAsia"/>
        </w:rPr>
      </w:pPr>
      <w:bookmarkStart w:id="1626" w:name="_Toc25076"/>
      <w:bookmarkStart w:id="1627" w:name="_Toc217293586"/>
      <w:r>
        <w:rPr>
          <w:rFonts w:cs="Arial" w:asciiTheme="majorEastAsia" w:hAnsiTheme="majorEastAsia" w:eastAsiaTheme="majorEastAsia"/>
          <w:b/>
          <w:sz w:val="28"/>
          <w:szCs w:val="28"/>
        </w:rPr>
        <w:t>2 需求分析</w:t>
      </w:r>
      <w:bookmarkEnd w:id="1626"/>
      <w:bookmarkEnd w:id="1627"/>
    </w:p>
    <w:p w14:paraId="6FB5785C">
      <w:pPr>
        <w:spacing w:line="360" w:lineRule="auto"/>
        <w:ind w:firstLine="480" w:firstLineChars="200"/>
        <w:outlineLvl w:val="9"/>
        <w:rPr>
          <w:rFonts w:hint="eastAsia" w:cs="Arial" w:asciiTheme="majorEastAsia" w:hAnsiTheme="majorEastAsia" w:eastAsiaTheme="majorEastAsia"/>
          <w:bCs/>
          <w:sz w:val="24"/>
          <w:szCs w:val="21"/>
        </w:rPr>
      </w:pPr>
      <w:bookmarkStart w:id="1628" w:name="_Toc217293587"/>
      <w:bookmarkStart w:id="1629" w:name="_Toc17518"/>
      <w:r>
        <w:rPr>
          <w:rFonts w:cs="Arial" w:asciiTheme="majorEastAsia" w:hAnsiTheme="majorEastAsia" w:eastAsiaTheme="majorEastAsia"/>
          <w:bCs/>
          <w:sz w:val="24"/>
          <w:szCs w:val="21"/>
        </w:rPr>
        <w:t>2.1 系统需求分析，核心功能需求</w:t>
      </w:r>
      <w:bookmarkEnd w:id="1628"/>
      <w:bookmarkEnd w:id="1629"/>
    </w:p>
    <w:p w14:paraId="1FD745FA">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硬件连接：正确连接STM32F103ZET6单片机与电源管理、存储、LED指示及外部接口等核心模块，明确各模块与单片机引脚的对应关系，如存储模块W25X16、AT24C08的通信引脚连接，电源模块供电引脚分配等。</w:t>
      </w:r>
    </w:p>
    <w:p w14:paraId="20A458AC">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基本控制：实现单片机对核心硬件的初始化与基础控制，包括电源模块稳定输出3.3V电压、存储模块数据读写、LED指示模块亮灭控制以反馈运行状态。</w:t>
      </w:r>
    </w:p>
    <w:p w14:paraId="5BEA7196">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扩展功能：预留Header 3X2、H33×2等外部接口，支持后续扩展电机驱动、循迹及避障传感器等模块，为进阶功能开发提供硬件基础。</w:t>
      </w:r>
    </w:p>
    <w:p w14:paraId="4C145CAF">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系统稳定性：具备复位功能，可通过复位按钮实现系统重启；电源模块具备稳定的电压转换与稳压能力，保障系统在运行过程中供电稳定，避免因电压波动导致系统故障。</w:t>
      </w:r>
    </w:p>
    <w:p w14:paraId="44349392">
      <w:pPr>
        <w:spacing w:line="360" w:lineRule="auto"/>
        <w:ind w:firstLine="480" w:firstLineChars="200"/>
        <w:outlineLvl w:val="9"/>
        <w:rPr>
          <w:rFonts w:hint="eastAsia" w:cs="Arial" w:asciiTheme="majorEastAsia" w:hAnsiTheme="majorEastAsia" w:eastAsiaTheme="majorEastAsia"/>
          <w:bCs/>
          <w:sz w:val="24"/>
          <w:szCs w:val="21"/>
        </w:rPr>
      </w:pPr>
      <w:bookmarkStart w:id="1630" w:name="_Toc13632"/>
      <w:bookmarkStart w:id="1631" w:name="_Toc217293588"/>
      <w:r>
        <w:rPr>
          <w:rFonts w:cs="Arial" w:asciiTheme="majorEastAsia" w:hAnsiTheme="majorEastAsia" w:eastAsiaTheme="majorEastAsia"/>
          <w:bCs/>
          <w:sz w:val="24"/>
          <w:szCs w:val="21"/>
        </w:rPr>
        <w:t>2.2 软硬件环境需求 (Environment)</w:t>
      </w:r>
      <w:bookmarkEnd w:id="1630"/>
      <w:bookmarkEnd w:id="1631"/>
    </w:p>
    <w:p w14:paraId="300E1464">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硬件核心：STM32F103ZET6单片机最小系统（包含8MHz晶振、32.768KHz实时时钟晶振、复位电路）。</w:t>
      </w:r>
    </w:p>
    <w:p w14:paraId="27311DB1">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电源模块：AMS1117-3.3稳压芯片，实现5V到3.3V的电压转换，为单片机及其他3.3V供电模块提供稳定电源；配备100uF/10V电解电容等储能滤波元件，保障供电稳定性。</w:t>
      </w:r>
    </w:p>
    <w:p w14:paraId="224CCF37">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存储模块：W25X16串行Flash存储芯片，用于存储程序或大量数据；AT24C08 EEPROM存储芯片，用于存储需要掉电保存的关键参数。</w:t>
      </w:r>
    </w:p>
    <w:p w14:paraId="77B6487E">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指示模块：LED指示灯及配套限流电阻，用于系统运行状态指示；复位按钮，实现系统手动复位。</w:t>
      </w:r>
    </w:p>
    <w:p w14:paraId="27080FF9">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外部接口：Header 3X2、H33×2等接口，用于系统扩展与调试；JTAG/SWD调试接口，用于程序下载与在线调试。</w:t>
      </w:r>
    </w:p>
    <w:p w14:paraId="7B598338">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软件：Proteus仿真软件、Altium Designer电路设计软件、STM32标准外设库或HAL库。</w:t>
      </w:r>
    </w:p>
    <w:p w14:paraId="340BEB4A">
      <w:pPr>
        <w:spacing w:line="360" w:lineRule="auto"/>
        <w:ind w:firstLine="480" w:firstLineChars="200"/>
        <w:outlineLvl w:val="9"/>
        <w:rPr>
          <w:rFonts w:hint="eastAsia" w:cs="Arial" w:asciiTheme="majorEastAsia" w:hAnsiTheme="majorEastAsia" w:eastAsiaTheme="majorEastAsia"/>
          <w:bCs/>
          <w:sz w:val="24"/>
          <w:szCs w:val="21"/>
        </w:rPr>
      </w:pPr>
      <w:bookmarkStart w:id="1632" w:name="_Toc217293589"/>
      <w:bookmarkStart w:id="1633" w:name="_Toc31418"/>
      <w:r>
        <w:rPr>
          <w:rFonts w:cs="Arial" w:asciiTheme="majorEastAsia" w:hAnsiTheme="majorEastAsia" w:eastAsiaTheme="majorEastAsia"/>
          <w:bCs/>
          <w:sz w:val="24"/>
          <w:szCs w:val="21"/>
        </w:rPr>
        <w:t>2.3 性能需求 (Performance)</w:t>
      </w:r>
      <w:bookmarkEnd w:id="1632"/>
      <w:bookmarkEnd w:id="1633"/>
    </w:p>
    <w:p w14:paraId="484E37BF">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供电稳定性：电源模块输出3.3V电压精度误差≤±5%，负载变化时电压波动≤±0.1V，保障系统稳定供电。</w:t>
      </w:r>
    </w:p>
    <w:p w14:paraId="7BBD6743">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存储性能：W25X16读取速度≥10MB/s，AT24C08读写响应时间≤10ms，确保数据存储高效可靠。</w:t>
      </w:r>
    </w:p>
    <w:p w14:paraId="2C2F5D1E">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响应速度：单片机对外部指令响应时间≤100ms，LED状态切换延迟≤10ms，保证系统运行流畅。</w:t>
      </w:r>
    </w:p>
    <w:p w14:paraId="30141168">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功耗与可靠性：空闲电流≤50mA，正常运行电流≤150mA；连续稳定运行≥2小时，存储模块掉电数据保存≥10年。</w:t>
      </w:r>
    </w:p>
    <w:p w14:paraId="0CEC7D87">
      <w:pPr>
        <w:spacing w:line="360" w:lineRule="auto"/>
        <w:ind w:firstLine="480" w:firstLineChars="200"/>
        <w:rPr>
          <w:rFonts w:hint="eastAsia" w:cs="Arial" w:asciiTheme="minorEastAsia" w:hAnsiTheme="minorEastAsia" w:eastAsiaTheme="minorEastAsia"/>
          <w:sz w:val="24"/>
        </w:rPr>
      </w:pPr>
      <w:r>
        <w:rPr>
          <w:rFonts w:cs="Arial" w:asciiTheme="minorEastAsia" w:hAnsiTheme="minorEastAsia" w:eastAsiaTheme="minorEastAsia"/>
          <w:sz w:val="24"/>
        </w:rPr>
        <w:t>可靠性需求：系统连续稳定运行时间不低于2小时，无死机、程序跑飞等故障；存储模块的数据保存可靠，掉电后关键参数可稳定保存不低于10年</w:t>
      </w:r>
      <w:r>
        <w:rPr>
          <w:rFonts w:hint="eastAsia" w:cs="Arial" w:asciiTheme="minorEastAsia" w:hAnsiTheme="minorEastAsia" w:eastAsiaTheme="minorEastAsia"/>
          <w:sz w:val="24"/>
        </w:rPr>
        <w:t>。</w:t>
      </w:r>
    </w:p>
    <w:p w14:paraId="6798671A">
      <w:pPr>
        <w:spacing w:line="360" w:lineRule="auto"/>
        <w:ind w:firstLine="480" w:firstLineChars="200"/>
        <w:outlineLvl w:val="9"/>
        <w:rPr>
          <w:rFonts w:hint="eastAsia" w:cs="Arial" w:asciiTheme="majorEastAsia" w:hAnsiTheme="majorEastAsia" w:eastAsiaTheme="majorEastAsia"/>
          <w:bCs/>
          <w:sz w:val="24"/>
          <w:szCs w:val="21"/>
        </w:rPr>
      </w:pPr>
      <w:bookmarkStart w:id="1634" w:name="_Toc110"/>
      <w:bookmarkStart w:id="1635" w:name="_Toc217293590"/>
      <w:r>
        <w:rPr>
          <w:rFonts w:cs="Arial" w:asciiTheme="majorEastAsia" w:hAnsiTheme="majorEastAsia" w:eastAsiaTheme="majorEastAsia"/>
          <w:bCs/>
          <w:sz w:val="24"/>
          <w:szCs w:val="21"/>
        </w:rPr>
        <w:t>2.4 可行性分析</w:t>
      </w:r>
      <w:bookmarkEnd w:id="1634"/>
      <w:bookmarkEnd w:id="1635"/>
    </w:p>
    <w:p w14:paraId="5CB84016">
      <w:pPr>
        <w:spacing w:line="360" w:lineRule="auto"/>
        <w:ind w:firstLine="480" w:firstLineChars="200"/>
        <w:rPr>
          <w:rFonts w:hint="eastAsia" w:ascii="宋体" w:hAnsi="宋体"/>
          <w:sz w:val="24"/>
        </w:rPr>
      </w:pPr>
      <w:r>
        <w:rPr>
          <w:rFonts w:ascii="宋体" w:hAnsi="宋体" w:cs="Arial"/>
          <w:sz w:val="24"/>
        </w:rPr>
        <w:t>进行智能小车硬件电路设计、程序开发及系统调试的可行性分析时，需要综合考虑技术、经济和资源等多方面因素，以下是具体的可行性分析要点：</w:t>
      </w:r>
    </w:p>
    <w:p w14:paraId="237F7E8F">
      <w:pPr>
        <w:spacing w:line="360" w:lineRule="auto"/>
        <w:ind w:firstLine="480" w:firstLineChars="200"/>
        <w:outlineLvl w:val="9"/>
        <w:rPr>
          <w:rFonts w:hint="eastAsia" w:cs="Arial" w:asciiTheme="majorEastAsia" w:hAnsiTheme="majorEastAsia" w:eastAsiaTheme="majorEastAsia"/>
          <w:bCs/>
          <w:sz w:val="24"/>
          <w:szCs w:val="21"/>
        </w:rPr>
      </w:pPr>
      <w:bookmarkStart w:id="1636" w:name="_Toc217293591"/>
      <w:bookmarkStart w:id="1637" w:name="_Toc21272"/>
      <w:r>
        <w:rPr>
          <w:rFonts w:cs="Arial" w:asciiTheme="majorEastAsia" w:hAnsiTheme="majorEastAsia" w:eastAsiaTheme="majorEastAsia"/>
          <w:bCs/>
          <w:sz w:val="24"/>
          <w:szCs w:val="21"/>
        </w:rPr>
        <w:t>2.4.1 技术可行性</w:t>
      </w:r>
      <w:bookmarkEnd w:id="1636"/>
      <w:bookmarkEnd w:id="1637"/>
    </w:p>
    <w:p w14:paraId="6D27035F">
      <w:pPr>
        <w:spacing w:line="360" w:lineRule="auto"/>
        <w:ind w:firstLine="480" w:firstLineChars="200"/>
        <w:rPr>
          <w:rFonts w:hint="eastAsia" w:ascii="宋体" w:hAnsi="宋体" w:cs="Arial"/>
          <w:sz w:val="24"/>
        </w:rPr>
      </w:pPr>
      <w:r>
        <w:rPr>
          <w:rFonts w:ascii="宋体" w:hAnsi="宋体" w:cs="Arial"/>
          <w:sz w:val="24"/>
        </w:rPr>
        <w:t>1. STM32F103ZET6单片机：技术成熟且应用广泛，具备丰富的外设资源（如多个GPIO口、定时器、串口、SPI、I2C等），完全满足智能小车核心控制、模块通信及扩展功能的需求。其相关技术文档完善，开发资料丰富，便于开发人员快速掌握其开发流程与外设驱动方法。</w:t>
      </w:r>
    </w:p>
    <w:p w14:paraId="0CB94209">
      <w:pPr>
        <w:spacing w:line="360" w:lineRule="auto"/>
        <w:ind w:firstLine="480" w:firstLineChars="200"/>
        <w:rPr>
          <w:rFonts w:hint="eastAsia" w:ascii="宋体" w:hAnsi="宋体" w:cs="Arial"/>
          <w:sz w:val="24"/>
        </w:rPr>
      </w:pPr>
      <w:r>
        <w:rPr>
          <w:rFonts w:ascii="宋体" w:hAnsi="宋体" w:cs="Arial"/>
          <w:sz w:val="24"/>
        </w:rPr>
        <w:t>2. 核心模块技术：电源模块AMS1117-3.3是成熟的稳压芯片，应用方案成熟，稳压性能稳定，易于实现电压转换；存储模块W25X16（SPI通信）、AT24C08（I2C通信）均为工业级标准存储芯片，通信协议简单，与STM32单片机的接口开发难度低；LED指示模块、复位电路等均为基础电子电路模块，技术风险极低。</w:t>
      </w:r>
    </w:p>
    <w:p w14:paraId="3A2703C0">
      <w:pPr>
        <w:spacing w:line="360" w:lineRule="auto"/>
        <w:ind w:firstLine="480" w:firstLineChars="200"/>
        <w:rPr>
          <w:rFonts w:hint="eastAsia" w:ascii="宋体" w:hAnsi="宋体" w:cs="Arial"/>
          <w:sz w:val="24"/>
        </w:rPr>
      </w:pPr>
      <w:r>
        <w:rPr>
          <w:rFonts w:ascii="宋体" w:hAnsi="宋体" w:cs="Arial"/>
          <w:sz w:val="24"/>
        </w:rPr>
        <w:t>3. 软件开发技术：Keil MDK-ARM、Altium Designer、STM32CubeMX等开发工具均为嵌入式开发与电子设计领域的主流工具，技术成熟且社区支持完善。开发人员可借助STM32CubeMX快速生成初始化代码，结合STM32标准外设库或HAL库实现核心功能开发，降低了软件开发难度；同时，相关开发技术在《嵌入式系统原理》《单片机原理》等课程中已进行系统学习，开发团队具备足够的技术基础。</w:t>
      </w:r>
    </w:p>
    <w:p w14:paraId="05C7A43C">
      <w:pPr>
        <w:spacing w:line="360" w:lineRule="auto"/>
        <w:ind w:firstLine="480" w:firstLineChars="200"/>
        <w:rPr>
          <w:rFonts w:hint="eastAsia" w:ascii="宋体" w:hAnsi="宋体" w:cs="Arial"/>
          <w:sz w:val="24"/>
        </w:rPr>
      </w:pPr>
      <w:r>
        <w:rPr>
          <w:rFonts w:ascii="宋体" w:hAnsi="宋体" w:cs="Arial"/>
          <w:sz w:val="24"/>
        </w:rPr>
        <w:t>4. 难点解决：时序匹配与供电稳定为核心难点，参考器件手册规范程序设计、优化电源布线及滤波配置，即可通过成熟方案解决。</w:t>
      </w:r>
    </w:p>
    <w:p w14:paraId="56F45036">
      <w:pPr>
        <w:spacing w:line="360" w:lineRule="auto"/>
        <w:ind w:firstLine="480" w:firstLineChars="200"/>
        <w:outlineLvl w:val="9"/>
        <w:rPr>
          <w:rFonts w:hint="eastAsia" w:cs="Arial" w:asciiTheme="majorEastAsia" w:hAnsiTheme="majorEastAsia" w:eastAsiaTheme="majorEastAsia"/>
          <w:bCs/>
          <w:sz w:val="24"/>
          <w:szCs w:val="21"/>
        </w:rPr>
      </w:pPr>
      <w:bookmarkStart w:id="1638" w:name="_Toc217293592"/>
      <w:bookmarkStart w:id="1639" w:name="_Toc15676"/>
      <w:r>
        <w:rPr>
          <w:rFonts w:cs="Arial" w:asciiTheme="majorEastAsia" w:hAnsiTheme="majorEastAsia" w:eastAsiaTheme="majorEastAsia"/>
          <w:bCs/>
          <w:sz w:val="24"/>
          <w:szCs w:val="21"/>
        </w:rPr>
        <w:t>2.4.2 经济可行性</w:t>
      </w:r>
      <w:bookmarkEnd w:id="1638"/>
      <w:bookmarkEnd w:id="1639"/>
    </w:p>
    <w:p w14:paraId="75B60D38">
      <w:pPr>
        <w:spacing w:line="360" w:lineRule="auto"/>
        <w:ind w:firstLine="480" w:firstLineChars="200"/>
        <w:rPr>
          <w:rFonts w:hint="eastAsia" w:ascii="宋体" w:hAnsi="宋体"/>
          <w:sz w:val="24"/>
        </w:rPr>
      </w:pPr>
      <w:r>
        <w:rPr>
          <w:rFonts w:ascii="宋体" w:hAnsi="宋体" w:cs="Arial"/>
          <w:sz w:val="24"/>
        </w:rPr>
        <w:t>开发成本：整套智能小车核心硬件成本约为200-300元人民币，其中STM32F103ZET6单片机（约50元）、W25X16存储芯片（约10元）、AT24C08存储芯片（约8元）、AMS1117-3.3稳压芯片（约5元）、电阻电容等无源器件（约20元）、接口及PCB制作（约100元）。所有硬件均为市场常见标准器件，采购渠道广泛，批量采购可进一步降低成本；软件开发工具均有教育版或免费试用版可供教学实践使用，无额外软件采购成本，具备极高的经济可行性。</w:t>
      </w:r>
    </w:p>
    <w:p w14:paraId="642602DF">
      <w:pPr>
        <w:spacing w:line="360" w:lineRule="auto"/>
        <w:ind w:firstLine="480" w:firstLineChars="200"/>
        <w:rPr>
          <w:rFonts w:hint="eastAsia" w:ascii="宋体" w:hAnsi="宋体"/>
          <w:sz w:val="24"/>
        </w:rPr>
      </w:pPr>
      <w:r>
        <w:rPr>
          <w:rFonts w:ascii="宋体" w:hAnsi="宋体" w:cs="Arial"/>
          <w:sz w:val="24"/>
        </w:rPr>
        <w:t>应用价值：项目开发成果可直接应用于物联网工程专业的嵌入式系统实践教学，帮助学生深化对STM32单片机的理解与应用，降低教学实践成本；同时，基于该项目的扩展功能开发可满足更多教学与科研需求，具备一定的复用价值。</w:t>
      </w:r>
    </w:p>
    <w:p w14:paraId="214903A6">
      <w:pPr>
        <w:spacing w:line="360" w:lineRule="auto"/>
        <w:ind w:firstLine="480" w:firstLineChars="200"/>
        <w:outlineLvl w:val="9"/>
        <w:rPr>
          <w:rFonts w:hint="eastAsia" w:cs="Arial" w:asciiTheme="majorEastAsia" w:hAnsiTheme="majorEastAsia" w:eastAsiaTheme="majorEastAsia"/>
          <w:bCs/>
          <w:sz w:val="24"/>
          <w:szCs w:val="21"/>
        </w:rPr>
      </w:pPr>
      <w:bookmarkStart w:id="1640" w:name="_Toc28696"/>
      <w:bookmarkStart w:id="1641" w:name="_Toc217293593"/>
      <w:r>
        <w:rPr>
          <w:rFonts w:cs="Arial" w:asciiTheme="majorEastAsia" w:hAnsiTheme="majorEastAsia" w:eastAsiaTheme="majorEastAsia"/>
          <w:bCs/>
          <w:sz w:val="24"/>
          <w:szCs w:val="21"/>
        </w:rPr>
        <w:t>2.4.3 资源可行性</w:t>
      </w:r>
      <w:bookmarkEnd w:id="1640"/>
      <w:bookmarkEnd w:id="1641"/>
    </w:p>
    <w:p w14:paraId="091DBA98">
      <w:pPr>
        <w:spacing w:line="360" w:lineRule="auto"/>
        <w:ind w:firstLine="480" w:firstLineChars="200"/>
        <w:rPr>
          <w:rFonts w:hint="eastAsia" w:ascii="宋体" w:hAnsi="宋体" w:cs="Arial"/>
          <w:sz w:val="24"/>
        </w:rPr>
      </w:pPr>
      <w:r>
        <w:rPr>
          <w:rFonts w:ascii="宋体" w:hAnsi="宋体" w:cs="Arial"/>
          <w:sz w:val="24"/>
        </w:rPr>
        <w:t>资源可行性：硬件器件实验室储备充足或可快速采购；软件工具与技术资料可免费获取；指导教师经验丰富，团队理论与实践基础扎实，实验室设备完善，可保障项目推进。</w:t>
      </w:r>
    </w:p>
    <w:p w14:paraId="548C110A">
      <w:pPr>
        <w:spacing w:line="360" w:lineRule="auto"/>
        <w:ind w:firstLine="480" w:firstLineChars="200"/>
        <w:rPr>
          <w:rFonts w:hint="eastAsia" w:ascii="宋体" w:hAnsi="宋体" w:cs="Arial"/>
          <w:sz w:val="24"/>
        </w:rPr>
      </w:pPr>
      <w:r>
        <w:rPr>
          <w:rFonts w:ascii="宋体" w:hAnsi="宋体" w:cs="Arial"/>
          <w:sz w:val="24"/>
        </w:rPr>
        <w:t>软件资源：Proteus、Altium Designer可在实验室或个人电脑安装使用；STM32单片机官方手册、标准外设库及各模块技术 datasheet 可通过官方网站免费获取，资源充足。</w:t>
      </w:r>
    </w:p>
    <w:p w14:paraId="1C7692D6">
      <w:pPr>
        <w:spacing w:line="360" w:lineRule="auto"/>
        <w:ind w:firstLine="480" w:firstLineChars="200"/>
        <w:rPr>
          <w:rFonts w:hint="eastAsia" w:ascii="宋体" w:hAnsi="宋体" w:cs="Arial"/>
          <w:sz w:val="24"/>
        </w:rPr>
      </w:pPr>
      <w:r>
        <w:rPr>
          <w:rFonts w:ascii="宋体" w:hAnsi="宋体" w:cs="Arial"/>
          <w:sz w:val="24"/>
        </w:rPr>
        <w:t>人力资源：指导教师具备丰富的STM32嵌入式系统开发与教学经验，能够为项目开发提供专业的技术指导；开发团队成员已完成《单片机原理》《嵌入式系统原理》《电子电路设计》等相关课程的学习，具备扎实的理论基础与初步的实践能力，能够保障项目的顺利推进。</w:t>
      </w:r>
    </w:p>
    <w:p w14:paraId="0BEBEC4B">
      <w:pPr>
        <w:spacing w:line="360" w:lineRule="auto"/>
        <w:ind w:firstLine="480" w:firstLineChars="200"/>
        <w:rPr>
          <w:rFonts w:hint="eastAsia" w:ascii="宋体" w:hAnsi="宋体" w:cs="Arial"/>
          <w:sz w:val="24"/>
        </w:rPr>
      </w:pPr>
      <w:r>
        <w:rPr>
          <w:rFonts w:ascii="宋体" w:hAnsi="宋体" w:cs="Arial"/>
          <w:sz w:val="24"/>
        </w:rPr>
        <w:t>场地资源：学校配备的电子实验室、嵌入式开发实验室具备完善的硬件开发与调试设备，如示波器、万用表、电源适配器、PCB制作工具等，可完全满足智能小车硬件电路设计、焊接、调试及程序开发测试的需求。</w:t>
      </w:r>
    </w:p>
    <w:p w14:paraId="74D4B6D6">
      <w:pPr>
        <w:spacing w:line="360" w:lineRule="auto"/>
        <w:outlineLvl w:val="9"/>
        <w:rPr>
          <w:rFonts w:hint="eastAsia" w:ascii="宋体" w:hAnsi="宋体"/>
        </w:rPr>
      </w:pPr>
      <w:bookmarkStart w:id="1642" w:name="_Toc15632"/>
      <w:bookmarkStart w:id="1643" w:name="_Toc217293594"/>
      <w:r>
        <w:rPr>
          <w:rFonts w:ascii="宋体" w:hAnsi="宋体" w:cs="Arial"/>
          <w:b/>
          <w:sz w:val="28"/>
          <w:szCs w:val="28"/>
        </w:rPr>
        <w:t>3 电路设计与系统架构</w:t>
      </w:r>
      <w:bookmarkEnd w:id="1642"/>
      <w:bookmarkEnd w:id="1643"/>
    </w:p>
    <w:p w14:paraId="1F77156C">
      <w:pPr>
        <w:spacing w:line="360" w:lineRule="auto"/>
        <w:ind w:firstLine="480" w:firstLineChars="200"/>
        <w:outlineLvl w:val="9"/>
        <w:rPr>
          <w:rFonts w:hint="eastAsia" w:ascii="宋体" w:hAnsi="宋体"/>
          <w:bCs/>
          <w:sz w:val="24"/>
        </w:rPr>
      </w:pPr>
      <w:bookmarkStart w:id="1644" w:name="_Toc217293595"/>
      <w:bookmarkStart w:id="1645" w:name="_Toc2614"/>
      <w:r>
        <w:rPr>
          <w:rFonts w:ascii="宋体" w:hAnsi="宋体" w:cs="Arial"/>
          <w:bCs/>
          <w:sz w:val="24"/>
        </w:rPr>
        <w:t>3.1 系统结构设计</w:t>
      </w:r>
      <w:bookmarkEnd w:id="1644"/>
      <w:bookmarkEnd w:id="1645"/>
    </w:p>
    <w:p w14:paraId="367D9671">
      <w:pPr>
        <w:spacing w:line="360" w:lineRule="auto"/>
        <w:ind w:firstLine="480" w:firstLineChars="200"/>
        <w:rPr>
          <w:rFonts w:hint="eastAsia" w:ascii="宋体" w:hAnsi="宋体" w:cs="Arial"/>
          <w:sz w:val="24"/>
        </w:rPr>
      </w:pPr>
      <w:r>
        <w:rPr>
          <w:rFonts w:ascii="宋体" w:hAnsi="宋体" w:cs="Arial"/>
          <w:sz w:val="24"/>
        </w:rPr>
        <w:t>智能小车系统以STM32F103ZET6单片机为核心，采用模块化设计思路，分为电源管理模块、存储模块、LED指示模块、外部扩展接口模块及单片机最小系统模块，各模块通过引脚与单片机实现数据通信与控制信号传输，系统结构清晰，便于开发与调试。</w:t>
      </w:r>
    </w:p>
    <w:p w14:paraId="0B014E76">
      <w:pPr>
        <w:spacing w:line="360" w:lineRule="auto"/>
        <w:ind w:firstLine="480" w:firstLineChars="200"/>
        <w:rPr>
          <w:rFonts w:hint="eastAsia" w:ascii="宋体" w:hAnsi="宋体" w:cs="Arial"/>
          <w:sz w:val="24"/>
        </w:rPr>
      </w:pPr>
      <w:r>
        <w:rPr>
          <w:rFonts w:ascii="宋体" w:hAnsi="宋体" w:cs="Arial"/>
          <w:sz w:val="24"/>
        </w:rPr>
        <w:t>Altium Designer电路设计流程：</w:t>
      </w:r>
    </w:p>
    <w:p w14:paraId="4C2BBD70">
      <w:pPr>
        <w:spacing w:line="360" w:lineRule="auto"/>
        <w:ind w:firstLine="480" w:firstLineChars="200"/>
        <w:rPr>
          <w:rFonts w:hint="eastAsia" w:ascii="宋体" w:hAnsi="宋体" w:cs="Arial"/>
          <w:sz w:val="24"/>
        </w:rPr>
      </w:pPr>
      <w:r>
        <w:rPr>
          <w:rFonts w:ascii="宋体" w:hAnsi="宋体" w:cs="Arial"/>
          <w:sz w:val="24"/>
        </w:rPr>
        <w:t>1. 新建PCB项目并命名；</w:t>
      </w:r>
    </w:p>
    <w:p w14:paraId="450F50D9">
      <w:pPr>
        <w:spacing w:line="360" w:lineRule="auto"/>
        <w:ind w:firstLine="480" w:firstLineChars="200"/>
        <w:rPr>
          <w:rFonts w:hint="eastAsia" w:ascii="宋体" w:hAnsi="宋体" w:cs="Arial"/>
          <w:sz w:val="24"/>
        </w:rPr>
      </w:pPr>
      <w:r>
        <w:rPr>
          <w:rFonts w:ascii="宋体" w:hAnsi="宋体" w:cs="Arial"/>
          <w:sz w:val="24"/>
        </w:rPr>
        <w:t>2. 添加原理图文件并命名；</w:t>
      </w:r>
    </w:p>
    <w:p w14:paraId="779D6288">
      <w:pPr>
        <w:spacing w:line="360" w:lineRule="auto"/>
        <w:ind w:firstLine="480" w:firstLineChars="200"/>
        <w:rPr>
          <w:rFonts w:hint="eastAsia" w:ascii="宋体" w:hAnsi="宋体" w:cs="Arial"/>
          <w:sz w:val="24"/>
        </w:rPr>
      </w:pPr>
      <w:r>
        <w:rPr>
          <w:rFonts w:ascii="宋体" w:hAnsi="宋体" w:cs="Arial"/>
          <w:sz w:val="24"/>
        </w:rPr>
        <w:t>3. 加载核心元件库；</w:t>
      </w:r>
    </w:p>
    <w:p w14:paraId="6BD9E31B">
      <w:pPr>
        <w:spacing w:line="360" w:lineRule="auto"/>
        <w:ind w:firstLine="480" w:firstLineChars="200"/>
        <w:rPr>
          <w:rFonts w:hint="eastAsia" w:ascii="宋体" w:hAnsi="宋体" w:cs="Arial"/>
          <w:sz w:val="24"/>
        </w:rPr>
      </w:pPr>
      <w:r>
        <w:rPr>
          <w:rFonts w:ascii="宋体" w:hAnsi="宋体" w:cs="Arial"/>
          <w:sz w:val="24"/>
        </w:rPr>
        <w:t>4. 放置元件并按需求完成引脚连接，关键连接如下：</w:t>
      </w:r>
    </w:p>
    <w:p w14:paraId="20EA6BA3">
      <w:pPr>
        <w:spacing w:line="360" w:lineRule="auto"/>
        <w:ind w:firstLine="480" w:firstLineChars="200"/>
        <w:rPr>
          <w:rFonts w:hint="eastAsia" w:ascii="宋体" w:hAnsi="宋体" w:cs="Arial"/>
          <w:sz w:val="24"/>
        </w:rPr>
      </w:pPr>
      <w:r>
        <w:rPr>
          <w:rFonts w:ascii="宋体" w:hAnsi="宋体" w:cs="Arial"/>
          <w:sz w:val="24"/>
        </w:rPr>
        <w:t>关键连接：</w:t>
      </w:r>
    </w:p>
    <w:p w14:paraId="5C30042F">
      <w:pPr>
        <w:spacing w:line="360" w:lineRule="auto"/>
        <w:ind w:firstLine="480" w:firstLineChars="200"/>
        <w:rPr>
          <w:rFonts w:hint="eastAsia" w:ascii="宋体" w:hAnsi="宋体" w:cs="Arial"/>
          <w:sz w:val="24"/>
        </w:rPr>
      </w:pPr>
      <w:r>
        <w:rPr>
          <w:rFonts w:ascii="宋体" w:hAnsi="宋体" w:cs="Arial"/>
          <w:sz w:val="24"/>
        </w:rPr>
        <w:t>STM32最小系统：8MHz与32.768KHz晶振分别连接对应引脚，配合电容实现时钟振荡；复位按钮连接NRST引脚实现复位功能。</w:t>
      </w:r>
    </w:p>
    <w:p w14:paraId="391D7337">
      <w:pPr>
        <w:spacing w:line="360" w:lineRule="auto"/>
        <w:ind w:firstLine="480" w:firstLineChars="200"/>
        <w:rPr>
          <w:rFonts w:hint="eastAsia" w:ascii="宋体" w:hAnsi="宋体" w:cs="Arial"/>
          <w:sz w:val="24"/>
        </w:rPr>
      </w:pPr>
      <w:r>
        <w:rPr>
          <w:rFonts w:ascii="宋体" w:hAnsi="宋体" w:cs="Arial"/>
          <w:sz w:val="24"/>
        </w:rPr>
        <w:t>电源模块：AMS1117-3.3输入接5V、输出接3.3V供电引脚，输入输出端并联电容滤波稳压。</w:t>
      </w:r>
    </w:p>
    <w:p w14:paraId="39D9CD49">
      <w:pPr>
        <w:spacing w:line="360" w:lineRule="auto"/>
        <w:ind w:firstLine="480" w:firstLineChars="200"/>
        <w:rPr>
          <w:rFonts w:hint="eastAsia" w:ascii="宋体" w:hAnsi="宋体" w:cs="Arial"/>
          <w:sz w:val="24"/>
        </w:rPr>
      </w:pPr>
      <w:r>
        <w:rPr>
          <w:rFonts w:ascii="宋体" w:hAnsi="宋体" w:cs="Arial"/>
          <w:sz w:val="24"/>
        </w:rPr>
        <w:t>存储模块：W25X16通过SPI引脚、AT24C08通过I2C引脚与单片机连接，AT24C08配合上拉电阻保障通信稳定。</w:t>
      </w:r>
    </w:p>
    <w:p w14:paraId="73A54E38">
      <w:pPr>
        <w:spacing w:line="360" w:lineRule="auto"/>
        <w:ind w:firstLine="480" w:firstLineChars="200"/>
        <w:rPr>
          <w:rFonts w:hint="eastAsia" w:ascii="宋体" w:hAnsi="宋体" w:cs="Arial"/>
          <w:sz w:val="24"/>
        </w:rPr>
      </w:pPr>
      <w:r>
        <w:rPr>
          <w:rFonts w:ascii="宋体" w:hAnsi="宋体" w:cs="Arial"/>
          <w:sz w:val="24"/>
        </w:rPr>
        <w:t>LED指示：LED经限流电阻连接GPIO引脚，负极接地实现亮灭控制。</w:t>
      </w:r>
    </w:p>
    <w:p w14:paraId="27B6BF58">
      <w:pPr>
        <w:spacing w:line="360" w:lineRule="auto"/>
        <w:ind w:firstLine="480" w:firstLineChars="200"/>
        <w:rPr>
          <w:rFonts w:hint="eastAsia" w:ascii="宋体" w:hAnsi="宋体" w:cs="Arial"/>
          <w:sz w:val="24"/>
        </w:rPr>
      </w:pPr>
      <w:r>
        <w:rPr>
          <w:rFonts w:ascii="宋体" w:hAnsi="宋体" w:cs="Arial"/>
          <w:sz w:val="24"/>
        </w:rPr>
        <w:t>外部接口：扩展接口引脚连接GPIO，预留功能扩展通道。</w:t>
      </w:r>
    </w:p>
    <w:p w14:paraId="28D75655">
      <w:pPr>
        <w:spacing w:line="360" w:lineRule="auto"/>
        <w:ind w:firstLine="480" w:firstLineChars="200"/>
        <w:rPr>
          <w:rFonts w:hint="eastAsia" w:ascii="宋体" w:hAnsi="宋体" w:cs="Arial"/>
          <w:sz w:val="24"/>
        </w:rPr>
      </w:pPr>
      <w:r>
        <w:rPr>
          <w:rFonts w:ascii="宋体" w:hAnsi="宋体" w:cs="Arial"/>
          <w:sz w:val="24"/>
        </w:rPr>
        <w:t>5. 执行电气规则检查，修复错误后输出原理图。</w:t>
      </w:r>
    </w:p>
    <w:p w14:paraId="6817B9AB">
      <w:pPr>
        <w:spacing w:line="360" w:lineRule="auto"/>
        <w:ind w:firstLine="480" w:firstLineChars="200"/>
        <w:outlineLvl w:val="9"/>
        <w:rPr>
          <w:rFonts w:hint="eastAsia" w:ascii="宋体" w:hAnsi="宋体" w:cs="Arial"/>
          <w:bCs/>
          <w:sz w:val="24"/>
        </w:rPr>
      </w:pPr>
      <w:bookmarkStart w:id="1646" w:name="_Toc217293596"/>
      <w:bookmarkStart w:id="1647" w:name="_Toc30148"/>
      <w:r>
        <w:rPr>
          <w:rFonts w:ascii="宋体" w:hAnsi="宋体" w:cs="Arial"/>
          <w:bCs/>
          <w:sz w:val="24"/>
        </w:rPr>
        <w:t>3.1.1 原理图展示</w:t>
      </w:r>
      <w:bookmarkEnd w:id="1646"/>
      <w:bookmarkEnd w:id="1647"/>
    </w:p>
    <w:p w14:paraId="713AB733">
      <w:pPr>
        <w:spacing w:line="360" w:lineRule="auto"/>
        <w:ind w:firstLine="440" w:firstLineChars="200"/>
        <w:jc w:val="center"/>
        <w:rPr>
          <w:rFonts w:hint="eastAsia" w:ascii="宋体" w:hAnsi="宋体" w:cs="Arial"/>
          <w:sz w:val="22"/>
        </w:rPr>
      </w:pPr>
      <w:r>
        <w:rPr>
          <w:rFonts w:hint="eastAsia" w:ascii="宋体" w:hAnsi="宋体" w:cs="Arial"/>
          <w:sz w:val="22"/>
        </w:rPr>
        <w:drawing>
          <wp:inline distT="0" distB="0" distL="0" distR="0">
            <wp:extent cx="5274310" cy="3689350"/>
            <wp:effectExtent l="0" t="0" r="2540" b="6350"/>
            <wp:docPr id="12759174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17422" name="图片 1"/>
                    <pic:cNvPicPr>
                      <a:picLocks noChangeAspect="1"/>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5274310" cy="3689350"/>
                    </a:xfrm>
                    <a:prstGeom prst="rect">
                      <a:avLst/>
                    </a:prstGeom>
                  </pic:spPr>
                </pic:pic>
              </a:graphicData>
            </a:graphic>
          </wp:inline>
        </w:drawing>
      </w:r>
    </w:p>
    <w:p w14:paraId="749316CF">
      <w:pPr>
        <w:spacing w:line="360" w:lineRule="auto"/>
        <w:ind w:firstLine="420" w:firstLineChars="200"/>
        <w:jc w:val="center"/>
        <w:rPr>
          <w:rFonts w:hint="eastAsia" w:ascii="宋体" w:hAnsi="宋体"/>
          <w:sz w:val="24"/>
        </w:rPr>
      </w:pPr>
      <w:r>
        <w:rPr>
          <w:rFonts w:ascii="宋体" w:hAnsi="宋体" w:cs="Arial"/>
          <w:szCs w:val="21"/>
        </w:rPr>
        <w:t>图3.1.1 智能小车系统原理图</w:t>
      </w:r>
    </w:p>
    <w:p w14:paraId="49DF09FF">
      <w:pPr>
        <w:spacing w:line="360" w:lineRule="auto"/>
        <w:ind w:firstLine="480" w:firstLineChars="200"/>
        <w:rPr>
          <w:rFonts w:hint="eastAsia" w:ascii="宋体" w:hAnsi="宋体" w:cs="Arial"/>
          <w:sz w:val="24"/>
        </w:rPr>
      </w:pPr>
      <w:r>
        <w:rPr>
          <w:rFonts w:ascii="宋体" w:hAnsi="宋体" w:cs="Arial"/>
          <w:sz w:val="24"/>
        </w:rPr>
        <w:t>原理图以STM32F103ZET6为核心，连接各功能模块：电源模块实现5V转3.3V供电，存储模块通过SPI/I2C通信，LED反馈运行状态，扩展接口预留进阶功能连接通道。</w:t>
      </w:r>
    </w:p>
    <w:p w14:paraId="0C8F4CCA">
      <w:pPr>
        <w:spacing w:line="360" w:lineRule="auto"/>
        <w:ind w:firstLine="480" w:firstLineChars="200"/>
        <w:outlineLvl w:val="9"/>
        <w:rPr>
          <w:rFonts w:hint="eastAsia" w:ascii="宋体" w:hAnsi="宋体"/>
        </w:rPr>
      </w:pPr>
      <w:bookmarkStart w:id="1648" w:name="_Toc217293597"/>
      <w:r>
        <w:rPr>
          <w:rFonts w:ascii="宋体" w:hAnsi="宋体" w:cs="Arial"/>
          <w:bCs/>
          <w:sz w:val="24"/>
        </w:rPr>
        <w:t>3.1.2 程序运行环境</w:t>
      </w:r>
      <w:bookmarkEnd w:id="1648"/>
    </w:p>
    <w:p w14:paraId="708189FE">
      <w:pPr>
        <w:spacing w:line="360" w:lineRule="auto"/>
        <w:ind w:firstLine="480" w:firstLineChars="200"/>
        <w:rPr>
          <w:rFonts w:hint="eastAsia" w:ascii="宋体" w:hAnsi="宋体" w:cs="Arial"/>
          <w:sz w:val="24"/>
        </w:rPr>
      </w:pPr>
      <w:r>
        <w:rPr>
          <w:rFonts w:ascii="宋体" w:hAnsi="宋体" w:cs="Arial"/>
          <w:sz w:val="24"/>
        </w:rPr>
        <w:t>通过Altium Designer完成电路原理图设计后，在Proteus中搭建对应的仿真电路，加载STM32F103ZET6单片机模型及各模块元件，导入编写的程序代码进行仿真测试；仿真验证通过后，基于Altium Designer完成PCB设计与制作，最终实现硬件电路的制作与调试。</w:t>
      </w:r>
    </w:p>
    <w:p w14:paraId="3497C059">
      <w:pPr>
        <w:spacing w:line="360" w:lineRule="auto"/>
        <w:ind w:firstLine="480" w:firstLineChars="200"/>
        <w:outlineLvl w:val="9"/>
        <w:rPr>
          <w:rFonts w:hint="eastAsia" w:ascii="宋体" w:hAnsi="宋体"/>
        </w:rPr>
      </w:pPr>
      <w:bookmarkStart w:id="1649" w:name="_Toc217293598"/>
      <w:bookmarkStart w:id="1650" w:name="_Toc32264"/>
      <w:r>
        <w:rPr>
          <w:rFonts w:ascii="宋体" w:hAnsi="宋体" w:cs="Arial"/>
          <w:bCs/>
          <w:sz w:val="24"/>
        </w:rPr>
        <w:t>3.2 系统功能模块设计</w:t>
      </w:r>
      <w:bookmarkEnd w:id="1649"/>
      <w:bookmarkEnd w:id="1650"/>
    </w:p>
    <w:p w14:paraId="3CBADF8A">
      <w:pPr>
        <w:spacing w:line="360" w:lineRule="auto"/>
        <w:ind w:firstLine="480" w:firstLineChars="200"/>
        <w:outlineLvl w:val="9"/>
        <w:rPr>
          <w:rFonts w:hint="eastAsia" w:ascii="宋体" w:hAnsi="宋体"/>
        </w:rPr>
      </w:pPr>
      <w:bookmarkStart w:id="1651" w:name="_Toc217293599"/>
      <w:r>
        <w:rPr>
          <w:rFonts w:ascii="宋体" w:hAnsi="宋体" w:cs="Arial"/>
          <w:bCs/>
          <w:sz w:val="24"/>
        </w:rPr>
        <w:t>3.2.1 硬件抽象层（HAL - Hardware Abstraction Layer）</w:t>
      </w:r>
      <w:bookmarkEnd w:id="1651"/>
    </w:p>
    <w:p w14:paraId="681E765D">
      <w:pPr>
        <w:spacing w:line="360" w:lineRule="auto"/>
        <w:ind w:firstLine="480" w:firstLineChars="200"/>
        <w:rPr>
          <w:rFonts w:hint="eastAsia" w:ascii="宋体" w:hAnsi="宋体" w:cs="Arial"/>
          <w:sz w:val="24"/>
        </w:rPr>
      </w:pPr>
      <w:r>
        <w:rPr>
          <w:rFonts w:ascii="宋体" w:hAnsi="宋体" w:cs="Arial"/>
          <w:sz w:val="24"/>
        </w:rPr>
        <w:t>目标：封装底层硬件操作，隐藏硬件实现细节，为上层应用提供统一、标准化的接口，降低上层代码与硬件的耦合度，便于硬件替换与代码复用。</w:t>
      </w:r>
    </w:p>
    <w:p w14:paraId="73AFC7B1">
      <w:pPr>
        <w:spacing w:line="360" w:lineRule="auto"/>
        <w:ind w:firstLine="480" w:firstLineChars="200"/>
        <w:rPr>
          <w:rFonts w:hint="eastAsia" w:ascii="宋体" w:hAnsi="宋体" w:cs="Arial"/>
          <w:sz w:val="24"/>
        </w:rPr>
      </w:pPr>
      <w:r>
        <w:rPr>
          <w:rFonts w:ascii="宋体" w:hAnsi="宋体" w:cs="Arial"/>
          <w:sz w:val="24"/>
        </w:rPr>
        <w:t>关键模块：封装GPIO、SPI、I2C及电源管理的底层操作接口，提供标准化函数，降低上层代码与硬件耦合度。</w:t>
      </w:r>
    </w:p>
    <w:p w14:paraId="398CBF72">
      <w:pPr>
        <w:spacing w:line="360" w:lineRule="auto"/>
        <w:ind w:firstLine="480" w:firstLineChars="200"/>
        <w:rPr>
          <w:rFonts w:hint="eastAsia" w:ascii="宋体" w:hAnsi="宋体" w:cs="Arial"/>
          <w:sz w:val="24"/>
        </w:rPr>
      </w:pPr>
      <w:r>
        <w:rPr>
          <w:rFonts w:ascii="宋体" w:hAnsi="宋体" w:cs="Arial"/>
          <w:sz w:val="24"/>
        </w:rPr>
        <w:t>GPIO控制模块：提供GPIO引脚的初始化配置（输入/输出模式、推挽/开漏输出、上拉/下拉电阻配置等）、引脚电平设置（高电平/低电平）、引脚电平读取等接口函数，如GPIO_Init()、GPIO_SetPinLevel()、GPIO_ReadPinLevel()。</w:t>
      </w:r>
    </w:p>
    <w:p w14:paraId="679952DA">
      <w:pPr>
        <w:spacing w:line="360" w:lineRule="auto"/>
        <w:ind w:firstLine="480" w:firstLineChars="200"/>
        <w:rPr>
          <w:rFonts w:hint="eastAsia" w:ascii="宋体" w:hAnsi="宋体" w:cs="Arial"/>
          <w:sz w:val="24"/>
        </w:rPr>
      </w:pPr>
      <w:r>
        <w:rPr>
          <w:rFonts w:ascii="宋体" w:hAnsi="宋体" w:cs="Arial"/>
          <w:sz w:val="24"/>
        </w:rPr>
        <w:t>SPI通信模块：封装SPI总线的初始化配置（通信速率、数据格式、时钟极性等）、SPI数据发送与接收函数，如SPI_Init()、SPI_SendData()、SPI_ReceiveData()，用于与W25X16存储模块的通信。</w:t>
      </w:r>
    </w:p>
    <w:p w14:paraId="000C5841">
      <w:pPr>
        <w:spacing w:line="360" w:lineRule="auto"/>
        <w:ind w:firstLine="480" w:firstLineChars="200"/>
        <w:rPr>
          <w:rFonts w:hint="eastAsia" w:ascii="宋体" w:hAnsi="宋体" w:cs="Arial"/>
          <w:sz w:val="24"/>
        </w:rPr>
      </w:pPr>
      <w:r>
        <w:rPr>
          <w:rFonts w:ascii="宋体" w:hAnsi="宋体" w:cs="Arial"/>
          <w:sz w:val="24"/>
        </w:rPr>
        <w:t>I2C通信模块：封装I2C总线的初始化配置、I2C起始/停止信号发送、数据读写等接口函数，如I2C_Init()、I2C_SendStart()、I2C_SendStop()、I2C_ReadData()、I2C_WriteData()，用于与AT24C08存储模块的通信。</w:t>
      </w:r>
    </w:p>
    <w:p w14:paraId="74A26E08">
      <w:pPr>
        <w:spacing w:line="360" w:lineRule="auto"/>
        <w:ind w:firstLine="480" w:firstLineChars="200"/>
        <w:rPr>
          <w:rFonts w:hint="eastAsia" w:ascii="宋体" w:hAnsi="宋体" w:cs="Arial"/>
          <w:sz w:val="24"/>
        </w:rPr>
      </w:pPr>
      <w:r>
        <w:rPr>
          <w:rFonts w:ascii="宋体" w:hAnsi="宋体" w:cs="Arial"/>
          <w:sz w:val="24"/>
        </w:rPr>
        <w:t>电源管理模块：提供电源模块的状态检测接口，如检测3.3V供电电压是否稳定的函数Power_CheckStability()。</w:t>
      </w:r>
    </w:p>
    <w:p w14:paraId="1664207F">
      <w:pPr>
        <w:spacing w:line="360" w:lineRule="auto"/>
        <w:ind w:firstLine="480" w:firstLineChars="200"/>
        <w:outlineLvl w:val="9"/>
        <w:rPr>
          <w:rFonts w:hint="eastAsia" w:ascii="宋体" w:hAnsi="宋体" w:cs="Arial"/>
          <w:bCs/>
          <w:sz w:val="24"/>
        </w:rPr>
      </w:pPr>
      <w:bookmarkStart w:id="1652" w:name="_Toc30879"/>
      <w:bookmarkStart w:id="1653" w:name="_Toc217293600"/>
      <w:r>
        <w:rPr>
          <w:rFonts w:ascii="宋体" w:hAnsi="宋体" w:cs="Arial"/>
          <w:bCs/>
          <w:sz w:val="24"/>
        </w:rPr>
        <w:t>3.2.2 核心驱动层（Core Driver Layer）</w:t>
      </w:r>
      <w:bookmarkEnd w:id="1652"/>
      <w:bookmarkEnd w:id="1653"/>
    </w:p>
    <w:p w14:paraId="1A3F6581">
      <w:pPr>
        <w:spacing w:line="360" w:lineRule="auto"/>
        <w:ind w:firstLine="480" w:firstLineChars="200"/>
        <w:rPr>
          <w:rFonts w:hint="eastAsia" w:ascii="宋体" w:hAnsi="宋体" w:cs="Arial"/>
          <w:sz w:val="24"/>
        </w:rPr>
      </w:pPr>
      <w:r>
        <w:rPr>
          <w:rFonts w:ascii="宋体" w:hAnsi="宋体" w:cs="Arial"/>
          <w:sz w:val="24"/>
        </w:rPr>
        <w:t>目标：基于硬件抽象层提供的接口，实现各核心硬件模块的具体驱动逻辑，保障各模块的正常工作，为上层控制策略提供硬件支撑。</w:t>
      </w:r>
    </w:p>
    <w:p w14:paraId="0D25D6A4">
      <w:pPr>
        <w:spacing w:line="360" w:lineRule="auto"/>
        <w:ind w:firstLine="480" w:firstLineChars="200"/>
        <w:rPr>
          <w:rFonts w:hint="eastAsia" w:ascii="宋体" w:hAnsi="宋体" w:cs="Arial"/>
          <w:sz w:val="24"/>
        </w:rPr>
      </w:pPr>
      <w:r>
        <w:rPr>
          <w:rFonts w:ascii="宋体" w:hAnsi="宋体" w:cs="Arial"/>
          <w:sz w:val="24"/>
        </w:rPr>
        <w:t>关键模块：基于硬件抽象层接口，实现W25X16、AT24C08、LED及系统时钟的驱动逻辑，保障各模块正常工作。</w:t>
      </w:r>
    </w:p>
    <w:p w14:paraId="7FA7FDB5">
      <w:pPr>
        <w:spacing w:line="360" w:lineRule="auto"/>
        <w:ind w:firstLine="480" w:firstLineChars="200"/>
        <w:rPr>
          <w:rFonts w:hint="eastAsia" w:ascii="宋体" w:hAnsi="宋体" w:cs="Arial"/>
          <w:sz w:val="24"/>
        </w:rPr>
      </w:pPr>
      <w:r>
        <w:rPr>
          <w:rFonts w:ascii="宋体" w:hAnsi="宋体" w:cs="Arial"/>
          <w:sz w:val="24"/>
        </w:rPr>
        <w:t>W25X16驱动模块：基于SPI通信接口，实现W25X16存储芯片的初始化、扇区擦除、页编程、数据读取等功能，如W25X16_Init()、W25X16_SectorErase()、W25X16_PageProgram()、W25X16_ReadData()，保障数据的可靠存储与读取。</w:t>
      </w:r>
    </w:p>
    <w:p w14:paraId="6ABD086E">
      <w:pPr>
        <w:spacing w:line="360" w:lineRule="auto"/>
        <w:ind w:firstLine="480" w:firstLineChars="200"/>
        <w:rPr>
          <w:rFonts w:hint="eastAsia" w:ascii="宋体" w:hAnsi="宋体" w:cs="Arial"/>
          <w:sz w:val="24"/>
        </w:rPr>
      </w:pPr>
      <w:r>
        <w:rPr>
          <w:rFonts w:ascii="宋体" w:hAnsi="宋体" w:cs="Arial"/>
          <w:sz w:val="24"/>
        </w:rPr>
        <w:t>AT24C08驱动模块：基于I2C通信接口，实现AT24C08 EEPROM的初始化、字节写入、字节读取、页写入等功能，如AT24C08_Init()、AT24C08_WriteByte()、AT24C08_ReadByte()、AT24C08_WritePage()，用于关键参数的掉电保存。</w:t>
      </w:r>
    </w:p>
    <w:p w14:paraId="70F95194">
      <w:pPr>
        <w:spacing w:line="360" w:lineRule="auto"/>
        <w:ind w:firstLine="480" w:firstLineChars="200"/>
        <w:rPr>
          <w:rFonts w:hint="eastAsia" w:ascii="宋体" w:hAnsi="宋体" w:cs="Arial"/>
          <w:sz w:val="24"/>
        </w:rPr>
      </w:pPr>
      <w:r>
        <w:rPr>
          <w:rFonts w:ascii="宋体" w:hAnsi="宋体" w:cs="Arial"/>
          <w:sz w:val="24"/>
        </w:rPr>
        <w:t>LED驱动模块：基于GPIO控制接口，实现LED指示灯的亮灭控制、闪烁频率控制等功能，如LED_Init()、LED_TurnOn()、LED_TurnOff()、LED_Blink()，用于系统运行状态的直观反馈。</w:t>
      </w:r>
    </w:p>
    <w:p w14:paraId="27BB9101">
      <w:pPr>
        <w:spacing w:line="360" w:lineRule="auto"/>
        <w:ind w:firstLine="480" w:firstLineChars="200"/>
        <w:rPr>
          <w:rFonts w:hint="eastAsia" w:ascii="宋体" w:hAnsi="宋体" w:cs="Arial"/>
          <w:sz w:val="24"/>
        </w:rPr>
      </w:pPr>
      <w:r>
        <w:rPr>
          <w:rFonts w:ascii="宋体" w:hAnsi="宋体" w:cs="Arial"/>
          <w:sz w:val="24"/>
        </w:rPr>
        <w:t>系统时钟驱动模块：实现STM32F103ZET6单片机系统时钟的初始化配置，如将系统时钟配置为72MHz的函数SysClock_Init()，为整个系统提供稳定的时钟基准。</w:t>
      </w:r>
    </w:p>
    <w:p w14:paraId="61B69F1D">
      <w:pPr>
        <w:spacing w:line="360" w:lineRule="auto"/>
        <w:ind w:firstLine="480" w:firstLineChars="200"/>
        <w:outlineLvl w:val="9"/>
        <w:rPr>
          <w:rFonts w:hint="eastAsia" w:ascii="宋体" w:hAnsi="宋体"/>
        </w:rPr>
      </w:pPr>
      <w:bookmarkStart w:id="1654" w:name="_Toc217293601"/>
      <w:r>
        <w:rPr>
          <w:rFonts w:ascii="宋体" w:hAnsi="宋体" w:cs="Arial"/>
          <w:bCs/>
          <w:sz w:val="24"/>
        </w:rPr>
        <w:t>3.2.3 控制策略层（Control Strategy Layer）</w:t>
      </w:r>
      <w:bookmarkEnd w:id="1654"/>
    </w:p>
    <w:p w14:paraId="36030DE0">
      <w:pPr>
        <w:spacing w:line="360" w:lineRule="auto"/>
        <w:ind w:firstLine="480" w:firstLineChars="200"/>
        <w:rPr>
          <w:rFonts w:hint="eastAsia" w:ascii="宋体" w:hAnsi="宋体" w:cs="Arial"/>
          <w:sz w:val="24"/>
        </w:rPr>
      </w:pPr>
      <w:r>
        <w:rPr>
          <w:rFonts w:ascii="宋体" w:hAnsi="宋体" w:cs="Arial"/>
          <w:sz w:val="24"/>
        </w:rPr>
        <w:t>目标：实现智能小车系统的核心控制逻辑，协调各驱动模块的工作，保障系统按照预期功能稳定运行，并为后续扩展进阶功能预留控制接口。</w:t>
      </w:r>
    </w:p>
    <w:p w14:paraId="2E382B42">
      <w:pPr>
        <w:spacing w:line="360" w:lineRule="auto"/>
        <w:ind w:firstLine="480" w:firstLineChars="200"/>
        <w:rPr>
          <w:rFonts w:hint="eastAsia" w:ascii="宋体" w:hAnsi="宋体" w:cs="Arial"/>
          <w:sz w:val="24"/>
        </w:rPr>
      </w:pPr>
      <w:r>
        <w:rPr>
          <w:rFonts w:ascii="宋体" w:hAnsi="宋体" w:cs="Arial"/>
          <w:sz w:val="24"/>
        </w:rPr>
        <w:t>关键模块：实现系统上电初始化、数据分类管理及各模块运行状态监测，异常时通过LED告警，预留进阶功能控制接口。</w:t>
      </w:r>
    </w:p>
    <w:p w14:paraId="3BE0577F">
      <w:pPr>
        <w:spacing w:line="360" w:lineRule="auto"/>
        <w:ind w:firstLine="480" w:firstLineChars="200"/>
        <w:rPr>
          <w:rFonts w:hint="eastAsia" w:ascii="宋体" w:hAnsi="宋体" w:cs="Arial"/>
          <w:sz w:val="24"/>
        </w:rPr>
      </w:pPr>
      <w:r>
        <w:rPr>
          <w:rFonts w:ascii="宋体" w:hAnsi="宋体" w:cs="Arial"/>
          <w:sz w:val="24"/>
        </w:rPr>
        <w:t>系统初始化控制模块：实现系统上电后的全流程初始化，包括单片机外设初始化、各硬件模块驱动初始化（如W25X16、AT24C08、LED等）、系统参数加载（从AT24C08读取预设参数），如System_Init()。</w:t>
      </w:r>
    </w:p>
    <w:p w14:paraId="288978C8">
      <w:pPr>
        <w:spacing w:line="360" w:lineRule="auto"/>
        <w:ind w:firstLine="480" w:firstLineChars="200"/>
        <w:rPr>
          <w:rFonts w:hint="eastAsia" w:ascii="宋体" w:hAnsi="宋体" w:cs="Arial"/>
          <w:sz w:val="24"/>
        </w:rPr>
      </w:pPr>
      <w:r>
        <w:rPr>
          <w:rFonts w:ascii="宋体" w:hAnsi="宋体" w:cs="Arial"/>
          <w:sz w:val="24"/>
        </w:rPr>
        <w:t>数据管理控制模块：实现系统数据的分类管理，包括临时数据的缓存、关键数据的存储（写入W25X16或AT24C08）、数据的读取与解析，如Data_Manage_Init()、Data_Save()、Data_Load()。</w:t>
      </w:r>
    </w:p>
    <w:p w14:paraId="3CEB5BBC">
      <w:pPr>
        <w:spacing w:line="360" w:lineRule="auto"/>
        <w:ind w:firstLine="480" w:firstLineChars="200"/>
        <w:rPr>
          <w:rFonts w:hint="eastAsia" w:ascii="宋体" w:hAnsi="宋体" w:cs="Arial"/>
          <w:sz w:val="24"/>
        </w:rPr>
      </w:pPr>
      <w:r>
        <w:rPr>
          <w:rFonts w:ascii="宋体" w:hAnsi="宋体" w:cs="Arial"/>
          <w:sz w:val="24"/>
        </w:rPr>
        <w:t>状态监测控制模块：实时监测系统各模块的运行状态，如电源供电状态、存储模块工作状态、LED指示状态等，当检测到异常状态时，通过LED指示灯输出告警信号，如Status_Monitor()。</w:t>
      </w:r>
    </w:p>
    <w:p w14:paraId="2C2B154A">
      <w:pPr>
        <w:spacing w:line="360" w:lineRule="auto"/>
        <w:ind w:firstLine="480" w:firstLineChars="200"/>
        <w:outlineLvl w:val="9"/>
        <w:rPr>
          <w:rFonts w:hint="eastAsia" w:ascii="宋体" w:hAnsi="宋体"/>
        </w:rPr>
      </w:pPr>
      <w:bookmarkStart w:id="1655" w:name="_Toc217293602"/>
      <w:r>
        <w:rPr>
          <w:rFonts w:ascii="宋体" w:hAnsi="宋体" w:cs="Arial"/>
          <w:bCs/>
          <w:sz w:val="24"/>
        </w:rPr>
        <w:t>3.2.4 用户交互层（Application Layer）</w:t>
      </w:r>
      <w:bookmarkEnd w:id="1655"/>
    </w:p>
    <w:p w14:paraId="0BDC7122">
      <w:pPr>
        <w:spacing w:line="360" w:lineRule="auto"/>
        <w:ind w:firstLine="480" w:firstLineChars="200"/>
        <w:rPr>
          <w:rFonts w:hint="eastAsia" w:ascii="宋体" w:hAnsi="宋体" w:cs="Arial"/>
          <w:sz w:val="24"/>
        </w:rPr>
      </w:pPr>
      <w:r>
        <w:rPr>
          <w:rFonts w:ascii="宋体" w:hAnsi="宋体" w:cs="Arial"/>
          <w:sz w:val="24"/>
        </w:rPr>
        <w:t>目标：实现用户与系统的交互功能，包括系统运行状态的展示、用户指令的接收与响应，同时提供系统扩展功能的控制接口。</w:t>
      </w:r>
    </w:p>
    <w:p w14:paraId="22ECD023">
      <w:pPr>
        <w:spacing w:line="360" w:lineRule="auto"/>
        <w:ind w:firstLine="480" w:firstLineChars="200"/>
        <w:rPr>
          <w:rFonts w:hint="eastAsia" w:ascii="宋体" w:hAnsi="宋体" w:cs="Arial"/>
          <w:sz w:val="24"/>
        </w:rPr>
      </w:pPr>
      <w:r>
        <w:rPr>
          <w:rFonts w:ascii="宋体" w:hAnsi="宋体" w:cs="Arial"/>
          <w:sz w:val="24"/>
        </w:rPr>
        <w:t>关键模块：通过LED不同状态展示系统运行情况，为扩展模块提供统一控制接口，便于功能集成。</w:t>
      </w:r>
    </w:p>
    <w:p w14:paraId="71F99DB0">
      <w:pPr>
        <w:spacing w:line="360" w:lineRule="auto"/>
        <w:ind w:firstLine="480" w:firstLineChars="200"/>
        <w:rPr>
          <w:rFonts w:hint="eastAsia" w:ascii="宋体" w:hAnsi="宋体" w:cs="Arial"/>
          <w:sz w:val="24"/>
        </w:rPr>
      </w:pPr>
      <w:r>
        <w:rPr>
          <w:rFonts w:ascii="宋体" w:hAnsi="宋体" w:cs="Arial"/>
          <w:sz w:val="24"/>
        </w:rPr>
        <w:t>状态展示模块：通过LED指示灯的不同亮灭状态或闪烁频率，展示系统的不同运行状态，如系统正常运行时LED常亮，初始化失败时LED快速闪烁，电源异常时LED慢速闪烁。</w:t>
      </w:r>
    </w:p>
    <w:p w14:paraId="10235403">
      <w:pPr>
        <w:spacing w:line="360" w:lineRule="auto"/>
        <w:ind w:firstLine="480" w:firstLineChars="200"/>
        <w:rPr>
          <w:rFonts w:hint="eastAsia" w:ascii="宋体" w:hAnsi="宋体" w:cs="Arial"/>
          <w:sz w:val="24"/>
        </w:rPr>
      </w:pPr>
      <w:r>
        <w:rPr>
          <w:rFonts w:ascii="宋体" w:hAnsi="宋体" w:cs="Arial"/>
          <w:sz w:val="24"/>
        </w:rPr>
        <w:t>扩展接口控制模块：为后续扩展的电机驱动、循迹传感器、避障传感器等模块提供统一的控制接口，如Motor_Control()、Track_Sensor_Read()、Obstacle_Sensor_Read()，便于扩展功能的快速集成。</w:t>
      </w:r>
    </w:p>
    <w:p w14:paraId="365AC04C">
      <w:pPr>
        <w:spacing w:line="360" w:lineRule="auto"/>
        <w:ind w:firstLine="480" w:firstLineChars="200"/>
        <w:outlineLvl w:val="9"/>
        <w:rPr>
          <w:rFonts w:hint="eastAsia" w:ascii="宋体" w:hAnsi="宋体"/>
        </w:rPr>
      </w:pPr>
      <w:bookmarkStart w:id="1656" w:name="_Toc217293603"/>
      <w:r>
        <w:rPr>
          <w:rFonts w:ascii="宋体" w:hAnsi="宋体" w:cs="Arial"/>
          <w:bCs/>
          <w:sz w:val="24"/>
        </w:rPr>
        <w:t>3.2.5 系统服务层（System Services）</w:t>
      </w:r>
      <w:bookmarkEnd w:id="1656"/>
    </w:p>
    <w:p w14:paraId="528FE8D8">
      <w:pPr>
        <w:spacing w:line="360" w:lineRule="auto"/>
        <w:ind w:firstLine="480" w:firstLineChars="200"/>
        <w:rPr>
          <w:rFonts w:hint="eastAsia" w:ascii="宋体" w:hAnsi="宋体" w:cs="Arial"/>
          <w:sz w:val="24"/>
        </w:rPr>
      </w:pPr>
      <w:r>
        <w:rPr>
          <w:rFonts w:ascii="宋体" w:hAnsi="宋体" w:cs="Arial"/>
          <w:sz w:val="24"/>
        </w:rPr>
        <w:t>目标：为整个系统提供基础支撑服务，保障系统的稳定、高效运行。</w:t>
      </w:r>
    </w:p>
    <w:p w14:paraId="75E47A03">
      <w:pPr>
        <w:spacing w:line="360" w:lineRule="auto"/>
        <w:ind w:firstLine="480" w:firstLineChars="200"/>
        <w:rPr>
          <w:rFonts w:hint="eastAsia" w:ascii="宋体" w:hAnsi="宋体" w:cs="Arial"/>
          <w:sz w:val="24"/>
        </w:rPr>
      </w:pPr>
      <w:r>
        <w:rPr>
          <w:rFonts w:ascii="宋体" w:hAnsi="宋体" w:cs="Arial"/>
          <w:sz w:val="24"/>
        </w:rPr>
        <w:t>关键模块：提供精准延时、中断控制及调试信息输出服务，保障系统稳定高效运行。</w:t>
      </w:r>
    </w:p>
    <w:p w14:paraId="5929B33C">
      <w:pPr>
        <w:spacing w:line="360" w:lineRule="auto"/>
        <w:ind w:firstLine="480" w:firstLineChars="200"/>
        <w:rPr>
          <w:rFonts w:hint="eastAsia" w:ascii="宋体" w:hAnsi="宋体" w:cs="Arial"/>
          <w:sz w:val="24"/>
        </w:rPr>
      </w:pPr>
      <w:r>
        <w:rPr>
          <w:rFonts w:ascii="宋体" w:hAnsi="宋体" w:cs="Arial"/>
          <w:sz w:val="24"/>
        </w:rPr>
        <w:t>延时服务模块：基于STM32定时器实现精准的延时功能，提供微秒级延时（delay_us()）和毫秒级延时（delay_ms()）函数，为各模块的时序控制提供支撑。</w:t>
      </w:r>
    </w:p>
    <w:p w14:paraId="2FCDDF3D">
      <w:pPr>
        <w:spacing w:line="360" w:lineRule="auto"/>
        <w:ind w:firstLine="480" w:firstLineChars="200"/>
        <w:rPr>
          <w:rFonts w:hint="eastAsia" w:ascii="宋体" w:hAnsi="宋体" w:cs="Arial"/>
          <w:sz w:val="24"/>
        </w:rPr>
      </w:pPr>
      <w:r>
        <w:rPr>
          <w:rFonts w:ascii="宋体" w:hAnsi="宋体" w:cs="Arial"/>
          <w:sz w:val="24"/>
        </w:rPr>
        <w:t>中断服务模块：配置系统关键中断，如定时器中断、外部中断等，实现中断的初始化、使能、关闭及中断服务函数的编写，保障系统对紧急事件的快速响应。</w:t>
      </w:r>
    </w:p>
    <w:p w14:paraId="07F9E3DB">
      <w:pPr>
        <w:spacing w:line="360" w:lineRule="auto"/>
        <w:ind w:firstLine="480" w:firstLineChars="200"/>
        <w:rPr>
          <w:rFonts w:hint="eastAsia" w:ascii="宋体" w:hAnsi="宋体" w:cs="Arial"/>
          <w:sz w:val="24"/>
        </w:rPr>
      </w:pPr>
      <w:r>
        <w:rPr>
          <w:rFonts w:ascii="宋体" w:hAnsi="宋体" w:cs="Arial"/>
          <w:sz w:val="24"/>
        </w:rPr>
        <w:t>调试服务模块：提供调试信息输出接口，通过串口将系统运行状态、关键数据等信息输出到上位机，便于开发过程中的调试与问题排查，如Debug_Print()。</w:t>
      </w:r>
    </w:p>
    <w:p w14:paraId="18A700FB">
      <w:pPr>
        <w:spacing w:line="360" w:lineRule="auto"/>
        <w:outlineLvl w:val="9"/>
        <w:rPr>
          <w:rFonts w:hint="eastAsia" w:ascii="宋体" w:hAnsi="宋体"/>
          <w:sz w:val="28"/>
          <w:szCs w:val="28"/>
        </w:rPr>
      </w:pPr>
      <w:bookmarkStart w:id="1657" w:name="_Toc12837"/>
      <w:bookmarkStart w:id="1658" w:name="_Toc217293604"/>
      <w:r>
        <w:rPr>
          <w:rFonts w:ascii="宋体" w:hAnsi="宋体" w:cs="Arial"/>
          <w:b/>
          <w:sz w:val="28"/>
          <w:szCs w:val="28"/>
        </w:rPr>
        <w:t>4 系统功能及使用说明</w:t>
      </w:r>
      <w:bookmarkEnd w:id="1657"/>
      <w:bookmarkEnd w:id="1658"/>
    </w:p>
    <w:p w14:paraId="59DD6E68">
      <w:pPr>
        <w:spacing w:line="360" w:lineRule="auto"/>
        <w:ind w:firstLine="480" w:firstLineChars="200"/>
        <w:rPr>
          <w:rFonts w:hint="eastAsia" w:ascii="宋体" w:hAnsi="宋体"/>
          <w:sz w:val="24"/>
        </w:rPr>
      </w:pPr>
      <w:r>
        <w:rPr>
          <w:rFonts w:ascii="宋体" w:hAnsi="宋体" w:cs="Arial"/>
          <w:sz w:val="24"/>
        </w:rPr>
        <w:t>智能小车系统经过硬件电路焊接、调试及软件程序开发、测试后，实现了核心功能的稳定运行，最终效果如图所示。</w:t>
      </w:r>
    </w:p>
    <w:p w14:paraId="1EE161BA">
      <w:pPr>
        <w:spacing w:line="360" w:lineRule="auto"/>
        <w:ind w:firstLine="480" w:firstLineChars="200"/>
        <w:outlineLvl w:val="9"/>
        <w:rPr>
          <w:rFonts w:hint="eastAsia" w:ascii="宋体" w:hAnsi="宋体"/>
          <w:bCs/>
          <w:sz w:val="24"/>
        </w:rPr>
      </w:pPr>
      <w:bookmarkStart w:id="1659" w:name="_Toc217293605"/>
      <w:bookmarkStart w:id="1660" w:name="_Toc8038"/>
      <w:r>
        <w:rPr>
          <w:rFonts w:ascii="宋体" w:hAnsi="宋体" w:cs="Arial"/>
          <w:bCs/>
          <w:sz w:val="24"/>
        </w:rPr>
        <w:t>4.1 智能小车电路实物及仿真效果</w:t>
      </w:r>
      <w:bookmarkEnd w:id="1659"/>
      <w:bookmarkEnd w:id="1660"/>
    </w:p>
    <w:p w14:paraId="476EDD29">
      <w:pPr>
        <w:spacing w:line="360" w:lineRule="auto"/>
        <w:ind w:firstLine="480" w:firstLineChars="200"/>
        <w:jc w:val="center"/>
        <w:rPr>
          <w:rFonts w:hint="eastAsia" w:ascii="宋体" w:hAnsi="宋体" w:cs="Arial"/>
          <w:sz w:val="24"/>
        </w:rPr>
      </w:pPr>
      <w:r>
        <w:rPr>
          <w:rFonts w:ascii="宋体" w:hAnsi="宋体" w:cs="Arial"/>
          <w:sz w:val="24"/>
        </w:rPr>
        <w:drawing>
          <wp:inline distT="0" distB="0" distL="0" distR="0">
            <wp:extent cx="2809240" cy="2245360"/>
            <wp:effectExtent l="0" t="0" r="10160" b="2540"/>
            <wp:docPr id="1810175879" name="图片 2"/>
            <wp:cNvGraphicFramePr/>
            <a:graphic xmlns:a="http://schemas.openxmlformats.org/drawingml/2006/main">
              <a:graphicData uri="http://schemas.openxmlformats.org/drawingml/2006/picture">
                <pic:pic xmlns:pic="http://schemas.openxmlformats.org/drawingml/2006/picture">
                  <pic:nvPicPr>
                    <pic:cNvPr id="1810175879" name="图片 2"/>
                    <pic:cNvPicPr/>
                  </pic:nvPicPr>
                  <pic:blipFill>
                    <a:blip r:embed="rId497" cstate="print">
                      <a:extLst>
                        <a:ext uri="{28A0092B-C50C-407E-A947-70E740481C1C}">
                          <a14:useLocalDpi xmlns:a14="http://schemas.microsoft.com/office/drawing/2010/main" val="0"/>
                        </a:ext>
                      </a:extLst>
                    </a:blip>
                    <a:stretch>
                      <a:fillRect/>
                    </a:stretch>
                  </pic:blipFill>
                  <pic:spPr>
                    <a:xfrm>
                      <a:off x="0" y="0"/>
                      <a:ext cx="2809610" cy="2245489"/>
                    </a:xfrm>
                    <a:prstGeom prst="rect">
                      <a:avLst/>
                    </a:prstGeom>
                  </pic:spPr>
                </pic:pic>
              </a:graphicData>
            </a:graphic>
          </wp:inline>
        </w:drawing>
      </w:r>
    </w:p>
    <w:p w14:paraId="03273767">
      <w:pPr>
        <w:spacing w:line="360" w:lineRule="auto"/>
        <w:ind w:firstLine="420" w:firstLineChars="200"/>
        <w:jc w:val="center"/>
        <w:rPr>
          <w:rFonts w:hint="eastAsia" w:ascii="宋体" w:hAnsi="宋体" w:cs="Arial"/>
          <w:sz w:val="24"/>
        </w:rPr>
      </w:pPr>
      <w:r>
        <w:rPr>
          <w:rFonts w:ascii="宋体" w:hAnsi="宋体" w:cs="Arial"/>
          <w:szCs w:val="21"/>
        </w:rPr>
        <w:t>图4.1a 智能小车</w:t>
      </w:r>
      <w:r>
        <w:rPr>
          <w:rFonts w:hint="eastAsia" w:ascii="宋体" w:hAnsi="宋体" w:cs="Arial"/>
          <w:szCs w:val="21"/>
        </w:rPr>
        <w:t>PCB布线图</w:t>
      </w:r>
    </w:p>
    <w:p w14:paraId="1285252A">
      <w:pPr>
        <w:spacing w:line="360" w:lineRule="auto"/>
        <w:ind w:firstLine="480" w:firstLineChars="200"/>
        <w:rPr>
          <w:rFonts w:hint="eastAsia" w:ascii="宋体" w:hAnsi="宋体" w:cs="Arial"/>
          <w:sz w:val="24"/>
        </w:rPr>
      </w:pPr>
      <w:r>
        <w:rPr>
          <w:rFonts w:hint="eastAsia" w:ascii="宋体" w:hAnsi="宋体" w:cs="Arial"/>
          <w:sz w:val="24"/>
        </w:rPr>
        <w:t>布线</w:t>
      </w:r>
      <w:r>
        <w:rPr>
          <w:rFonts w:ascii="宋体" w:hAnsi="宋体" w:cs="Arial"/>
          <w:sz w:val="24"/>
        </w:rPr>
        <w:t>图展示电路布局合理、</w:t>
      </w:r>
      <w:r>
        <w:rPr>
          <w:rFonts w:hint="eastAsia" w:ascii="宋体" w:hAnsi="宋体" w:cs="Arial"/>
          <w:sz w:val="24"/>
        </w:rPr>
        <w:t>走线</w:t>
      </w:r>
      <w:r>
        <w:rPr>
          <w:rFonts w:ascii="宋体" w:hAnsi="宋体" w:cs="Arial"/>
          <w:sz w:val="24"/>
        </w:rPr>
        <w:t>规范，保障</w:t>
      </w:r>
      <w:r>
        <w:rPr>
          <w:rFonts w:hint="eastAsia" w:ascii="宋体" w:hAnsi="宋体" w:cs="Arial"/>
          <w:sz w:val="24"/>
        </w:rPr>
        <w:t>电路</w:t>
      </w:r>
      <w:r>
        <w:rPr>
          <w:rFonts w:ascii="宋体" w:hAnsi="宋体" w:cs="Arial"/>
          <w:sz w:val="24"/>
        </w:rPr>
        <w:t>稳定运行。</w:t>
      </w:r>
    </w:p>
    <w:p w14:paraId="18EF7F53">
      <w:pPr>
        <w:spacing w:line="360" w:lineRule="auto"/>
        <w:ind w:firstLine="480" w:firstLineChars="200"/>
        <w:jc w:val="center"/>
        <w:rPr>
          <w:rFonts w:hint="eastAsia" w:ascii="宋体" w:hAnsi="宋体" w:cs="Arial"/>
          <w:sz w:val="24"/>
        </w:rPr>
      </w:pPr>
      <w:r>
        <w:rPr>
          <w:rFonts w:ascii="宋体" w:hAnsi="宋体" w:cs="Arial"/>
          <w:sz w:val="24"/>
        </w:rPr>
        <w:drawing>
          <wp:inline distT="0" distB="0" distL="0" distR="0">
            <wp:extent cx="2750185" cy="2634615"/>
            <wp:effectExtent l="0" t="0" r="12065" b="13335"/>
            <wp:docPr id="1775321667" name="图片 3"/>
            <wp:cNvGraphicFramePr/>
            <a:graphic xmlns:a="http://schemas.openxmlformats.org/drawingml/2006/main">
              <a:graphicData uri="http://schemas.openxmlformats.org/drawingml/2006/picture">
                <pic:pic xmlns:pic="http://schemas.openxmlformats.org/drawingml/2006/picture">
                  <pic:nvPicPr>
                    <pic:cNvPr id="1775321667" name="图片 3"/>
                    <pic:cNvPicPr/>
                  </pic:nvPicPr>
                  <pic:blipFill>
                    <a:blip r:embed="rId498" cstate="print">
                      <a:extLst>
                        <a:ext uri="{28A0092B-C50C-407E-A947-70E740481C1C}">
                          <a14:useLocalDpi xmlns:a14="http://schemas.microsoft.com/office/drawing/2010/main" val="0"/>
                        </a:ext>
                      </a:extLst>
                    </a:blip>
                    <a:stretch>
                      <a:fillRect/>
                    </a:stretch>
                  </pic:blipFill>
                  <pic:spPr>
                    <a:xfrm>
                      <a:off x="0" y="0"/>
                      <a:ext cx="2750400" cy="2635200"/>
                    </a:xfrm>
                    <a:prstGeom prst="rect">
                      <a:avLst/>
                    </a:prstGeom>
                  </pic:spPr>
                </pic:pic>
              </a:graphicData>
            </a:graphic>
          </wp:inline>
        </w:drawing>
      </w:r>
    </w:p>
    <w:p w14:paraId="36F44D13">
      <w:pPr>
        <w:spacing w:line="360" w:lineRule="auto"/>
        <w:ind w:firstLine="420" w:firstLineChars="200"/>
        <w:jc w:val="center"/>
        <w:rPr>
          <w:rFonts w:hint="eastAsia" w:ascii="宋体" w:hAnsi="宋体" w:cs="Arial"/>
          <w:sz w:val="24"/>
        </w:rPr>
      </w:pPr>
      <w:r>
        <w:rPr>
          <w:rFonts w:ascii="宋体" w:hAnsi="宋体" w:cs="Arial"/>
          <w:szCs w:val="21"/>
        </w:rPr>
        <w:t>图4.1b 智能小车</w:t>
      </w:r>
      <w:r>
        <w:rPr>
          <w:rFonts w:hint="eastAsia" w:ascii="宋体" w:hAnsi="宋体" w:cs="Arial"/>
          <w:szCs w:val="21"/>
        </w:rPr>
        <w:t>3D预览</w:t>
      </w:r>
      <w:r>
        <w:rPr>
          <w:rFonts w:ascii="宋体" w:hAnsi="宋体" w:cs="Arial"/>
          <w:szCs w:val="21"/>
        </w:rPr>
        <w:t>图</w:t>
      </w:r>
    </w:p>
    <w:p w14:paraId="553D950A">
      <w:pPr>
        <w:spacing w:line="360" w:lineRule="auto"/>
        <w:ind w:firstLine="480" w:firstLineChars="200"/>
        <w:rPr>
          <w:rFonts w:hint="eastAsia" w:ascii="宋体" w:hAnsi="宋体" w:cs="Arial"/>
          <w:sz w:val="24"/>
        </w:rPr>
      </w:pPr>
      <w:r>
        <w:rPr>
          <w:rFonts w:hint="eastAsia" w:ascii="宋体" w:hAnsi="宋体" w:cs="Arial"/>
          <w:sz w:val="24"/>
        </w:rPr>
        <w:t>3D预览</w:t>
      </w:r>
      <w:r>
        <w:rPr>
          <w:rFonts w:ascii="宋体" w:hAnsi="宋体" w:cs="Arial"/>
          <w:sz w:val="24"/>
        </w:rPr>
        <w:t>图</w:t>
      </w:r>
      <w:r>
        <w:rPr>
          <w:rFonts w:hint="eastAsia" w:ascii="宋体" w:hAnsi="宋体" w:cs="Arial"/>
          <w:sz w:val="24"/>
        </w:rPr>
        <w:t>展示电路元件</w:t>
      </w:r>
      <w:r>
        <w:rPr>
          <w:rFonts w:ascii="宋体" w:hAnsi="宋体" w:cs="Arial"/>
          <w:sz w:val="24"/>
        </w:rPr>
        <w:t>，</w:t>
      </w:r>
      <w:r>
        <w:rPr>
          <w:rFonts w:hint="eastAsia" w:ascii="宋体" w:hAnsi="宋体" w:cs="Arial"/>
          <w:sz w:val="24"/>
        </w:rPr>
        <w:t>布局合理，直观显示出PCB打印效果。</w:t>
      </w:r>
    </w:p>
    <w:p w14:paraId="368B70E2">
      <w:pPr>
        <w:spacing w:line="360" w:lineRule="auto"/>
        <w:ind w:firstLine="480" w:firstLineChars="200"/>
        <w:jc w:val="center"/>
        <w:rPr>
          <w:rFonts w:hint="eastAsia" w:ascii="宋体" w:hAnsi="宋体" w:cs="Arial"/>
          <w:sz w:val="24"/>
        </w:rPr>
      </w:pPr>
      <w:r>
        <w:rPr>
          <w:rFonts w:ascii="宋体" w:hAnsi="宋体" w:cs="Arial"/>
          <w:sz w:val="24"/>
        </w:rPr>
        <w:drawing>
          <wp:inline distT="0" distB="0" distL="0" distR="0">
            <wp:extent cx="2781300" cy="2634615"/>
            <wp:effectExtent l="0" t="0" r="0" b="13335"/>
            <wp:docPr id="727101783" name="图片 3"/>
            <wp:cNvGraphicFramePr/>
            <a:graphic xmlns:a="http://schemas.openxmlformats.org/drawingml/2006/main">
              <a:graphicData uri="http://schemas.openxmlformats.org/drawingml/2006/picture">
                <pic:pic xmlns:pic="http://schemas.openxmlformats.org/drawingml/2006/picture">
                  <pic:nvPicPr>
                    <pic:cNvPr id="727101783" name="图片 3"/>
                    <pic:cNvPicPr/>
                  </pic:nvPicPr>
                  <pic:blipFill>
                    <a:blip r:embed="rId499" cstate="print">
                      <a:extLst>
                        <a:ext uri="{28A0092B-C50C-407E-A947-70E740481C1C}">
                          <a14:useLocalDpi xmlns:a14="http://schemas.microsoft.com/office/drawing/2010/main" val="0"/>
                        </a:ext>
                      </a:extLst>
                    </a:blip>
                    <a:stretch>
                      <a:fillRect/>
                    </a:stretch>
                  </pic:blipFill>
                  <pic:spPr>
                    <a:xfrm>
                      <a:off x="0" y="0"/>
                      <a:ext cx="2781918" cy="2635200"/>
                    </a:xfrm>
                    <a:prstGeom prst="rect">
                      <a:avLst/>
                    </a:prstGeom>
                  </pic:spPr>
                </pic:pic>
              </a:graphicData>
            </a:graphic>
          </wp:inline>
        </w:drawing>
      </w:r>
    </w:p>
    <w:p w14:paraId="1E76562F">
      <w:pPr>
        <w:spacing w:line="360" w:lineRule="auto"/>
        <w:ind w:firstLine="420" w:firstLineChars="200"/>
        <w:jc w:val="center"/>
        <w:rPr>
          <w:rFonts w:hint="eastAsia" w:ascii="宋体" w:hAnsi="宋体" w:cs="Arial"/>
          <w:sz w:val="24"/>
        </w:rPr>
      </w:pPr>
      <w:r>
        <w:rPr>
          <w:rFonts w:ascii="宋体" w:hAnsi="宋体" w:cs="Arial"/>
          <w:szCs w:val="21"/>
        </w:rPr>
        <w:t>图4.1c 智能小车</w:t>
      </w:r>
      <w:r>
        <w:rPr>
          <w:rFonts w:hint="eastAsia" w:ascii="宋体" w:hAnsi="宋体" w:cs="Arial"/>
          <w:szCs w:val="21"/>
        </w:rPr>
        <w:t>实物</w:t>
      </w:r>
      <w:r>
        <w:rPr>
          <w:rFonts w:ascii="宋体" w:hAnsi="宋体" w:cs="Arial"/>
          <w:szCs w:val="21"/>
        </w:rPr>
        <w:t>图</w:t>
      </w:r>
    </w:p>
    <w:p w14:paraId="3CD518E0">
      <w:pPr>
        <w:spacing w:line="360" w:lineRule="auto"/>
        <w:ind w:firstLine="480" w:firstLineChars="200"/>
        <w:rPr>
          <w:rFonts w:hint="eastAsia" w:ascii="宋体" w:hAnsi="宋体" w:cs="Arial"/>
          <w:sz w:val="24"/>
        </w:rPr>
      </w:pPr>
      <w:r>
        <w:rPr>
          <w:rFonts w:hint="eastAsia" w:ascii="宋体" w:hAnsi="宋体" w:cs="Arial"/>
          <w:sz w:val="24"/>
        </w:rPr>
        <w:t>智能小车实物</w:t>
      </w:r>
      <w:r>
        <w:rPr>
          <w:rFonts w:ascii="宋体" w:hAnsi="宋体" w:cs="Arial"/>
          <w:sz w:val="24"/>
        </w:rPr>
        <w:t>图</w:t>
      </w:r>
      <w:r>
        <w:rPr>
          <w:rFonts w:hint="eastAsia" w:ascii="宋体" w:hAnsi="宋体" w:cs="Arial"/>
          <w:sz w:val="24"/>
        </w:rPr>
        <w:t>展示最终打印出来的PCB板子。</w:t>
      </w:r>
    </w:p>
    <w:p w14:paraId="56280E02">
      <w:pPr>
        <w:spacing w:line="360" w:lineRule="auto"/>
        <w:ind w:firstLine="480" w:firstLineChars="200"/>
        <w:outlineLvl w:val="9"/>
        <w:rPr>
          <w:rFonts w:hint="eastAsia" w:ascii="宋体" w:hAnsi="宋体"/>
        </w:rPr>
      </w:pPr>
      <w:bookmarkStart w:id="1661" w:name="_Toc217293606"/>
      <w:bookmarkStart w:id="1662" w:name="_Toc2330"/>
      <w:r>
        <w:rPr>
          <w:rFonts w:ascii="宋体" w:hAnsi="宋体" w:cs="Arial"/>
          <w:bCs/>
          <w:sz w:val="24"/>
        </w:rPr>
        <w:t>4.2 智能小车核心代码</w:t>
      </w:r>
      <w:bookmarkEnd w:id="1661"/>
      <w:bookmarkEnd w:id="1662"/>
    </w:p>
    <w:p w14:paraId="59AE4B40">
      <w:pPr>
        <w:spacing w:line="360" w:lineRule="auto"/>
        <w:ind w:firstLine="480" w:firstLineChars="200"/>
        <w:rPr>
          <w:rFonts w:hint="eastAsia" w:ascii="宋体" w:hAnsi="宋体" w:cs="Arial"/>
          <w:sz w:val="24"/>
        </w:rPr>
      </w:pPr>
      <w:r>
        <w:rPr>
          <w:rFonts w:ascii="宋体" w:hAnsi="宋体" w:cs="Arial"/>
          <w:sz w:val="24"/>
        </w:rPr>
        <w:t>核心代码含系统初始化、存储模块驱动及LED控制，关键代码说明：系统初始化完成外设配置与模块初始化；存储模块驱动实现数据可靠读写；LED控制实现运行状态反馈。</w:t>
      </w:r>
    </w:p>
    <w:p w14:paraId="0E89BF01">
      <w:pPr>
        <w:spacing w:line="360" w:lineRule="auto"/>
        <w:ind w:firstLine="480" w:firstLineChars="200"/>
        <w:rPr>
          <w:rFonts w:hint="eastAsia" w:ascii="宋体" w:hAnsi="宋体" w:cs="Arial"/>
          <w:sz w:val="24"/>
        </w:rPr>
      </w:pPr>
      <w:r>
        <w:rPr>
          <w:rFonts w:ascii="宋体" w:hAnsi="宋体" w:cs="Arial"/>
          <w:sz w:val="24"/>
        </w:rPr>
        <w:t>1. 系统初始化代码：通过STM32CubeMX生成的初始化代码框架，完成GPIO、SPI、I2C、系统时钟等外设的初始化配置，调用各模块驱动的初始化函数，完成系统上电后的全流程初始化。</w:t>
      </w:r>
    </w:p>
    <w:p w14:paraId="55713A4A">
      <w:pPr>
        <w:spacing w:line="360" w:lineRule="auto"/>
        <w:ind w:firstLine="480" w:firstLineChars="200"/>
        <w:rPr>
          <w:rFonts w:hint="eastAsia" w:ascii="宋体" w:hAnsi="宋体" w:cs="Arial"/>
          <w:sz w:val="24"/>
        </w:rPr>
      </w:pPr>
      <w:r>
        <w:rPr>
          <w:rFonts w:ascii="宋体" w:hAnsi="宋体" w:cs="Arial"/>
          <w:sz w:val="24"/>
        </w:rPr>
        <w:t>2. W25X16驱动代码：实现W25X16的初始化、数据读取与写入功能，通过SPI通信接口与存储芯片进行数据交互，保障数据存储的可靠性。</w:t>
      </w:r>
    </w:p>
    <w:p w14:paraId="73D61A2C">
      <w:pPr>
        <w:spacing w:line="360" w:lineRule="auto"/>
        <w:ind w:firstLine="480" w:firstLineChars="200"/>
        <w:rPr>
          <w:rFonts w:hint="eastAsia" w:ascii="宋体" w:hAnsi="宋体" w:cs="Arial"/>
          <w:sz w:val="24"/>
        </w:rPr>
      </w:pPr>
      <w:r>
        <w:rPr>
          <w:rFonts w:ascii="宋体" w:hAnsi="宋体" w:cs="Arial"/>
          <w:sz w:val="24"/>
        </w:rPr>
        <w:t>3. AT24C08驱动代码：基于I2C通信协议，实现AT24C08的字节读写与页读写功能，用于存储系统关键参数，保障掉电不丢失。</w:t>
      </w:r>
    </w:p>
    <w:p w14:paraId="77B6FC66">
      <w:pPr>
        <w:spacing w:line="360" w:lineRule="auto"/>
        <w:ind w:firstLine="480" w:firstLineChars="200"/>
        <w:rPr>
          <w:rFonts w:hint="eastAsia" w:ascii="宋体" w:hAnsi="宋体" w:cs="Arial"/>
          <w:sz w:val="24"/>
        </w:rPr>
      </w:pPr>
      <w:r>
        <w:rPr>
          <w:rFonts w:ascii="宋体" w:hAnsi="宋体" w:cs="Arial"/>
          <w:sz w:val="24"/>
        </w:rPr>
        <w:t>4. LED控制代码：通过GPIO引脚电平控制实现LED的亮灭与闪烁，用于系统运行状态的直观反馈。</w:t>
      </w:r>
    </w:p>
    <w:p w14:paraId="41FDBCFB">
      <w:pPr>
        <w:spacing w:line="360" w:lineRule="auto"/>
        <w:ind w:firstLine="480" w:firstLineChars="200"/>
        <w:outlineLvl w:val="9"/>
        <w:rPr>
          <w:rFonts w:hint="eastAsia" w:ascii="宋体" w:hAnsi="宋体"/>
        </w:rPr>
      </w:pPr>
      <w:bookmarkStart w:id="1663" w:name="_Toc31432"/>
      <w:bookmarkStart w:id="1664" w:name="_Toc217293607"/>
      <w:r>
        <w:rPr>
          <w:rFonts w:hint="eastAsia" w:ascii="宋体" w:hAnsi="宋体" w:cs="Arial"/>
          <w:bCs/>
          <w:sz w:val="24"/>
        </w:rPr>
        <w:t>4.3</w:t>
      </w:r>
      <w:r>
        <w:rPr>
          <w:rFonts w:ascii="宋体" w:hAnsi="宋体" w:cs="Arial"/>
          <w:bCs/>
          <w:sz w:val="24"/>
        </w:rPr>
        <w:t>系统功能实现</w:t>
      </w:r>
      <w:bookmarkEnd w:id="1663"/>
      <w:bookmarkEnd w:id="1664"/>
    </w:p>
    <w:p w14:paraId="3E47C0A0">
      <w:pPr>
        <w:spacing w:line="360" w:lineRule="auto"/>
        <w:ind w:firstLine="480" w:firstLineChars="200"/>
        <w:rPr>
          <w:rFonts w:hint="eastAsia" w:ascii="宋体" w:hAnsi="宋体" w:cs="Arial"/>
          <w:sz w:val="24"/>
        </w:rPr>
      </w:pPr>
      <w:r>
        <w:rPr>
          <w:rFonts w:ascii="宋体" w:hAnsi="宋体" w:cs="Arial"/>
          <w:sz w:val="24"/>
        </w:rPr>
        <w:t>1. 初始化功能：上电自动完成外设与模块初始化，读取预设参数，LED常亮提示正常运行。</w:t>
      </w:r>
    </w:p>
    <w:p w14:paraId="61B592FD">
      <w:pPr>
        <w:spacing w:line="360" w:lineRule="auto"/>
        <w:ind w:firstLine="480" w:firstLineChars="200"/>
        <w:rPr>
          <w:rFonts w:hint="eastAsia" w:ascii="宋体" w:hAnsi="宋体" w:cs="Arial"/>
          <w:sz w:val="24"/>
        </w:rPr>
      </w:pPr>
      <w:r>
        <w:rPr>
          <w:rFonts w:ascii="宋体" w:hAnsi="宋体" w:cs="Arial"/>
          <w:sz w:val="24"/>
        </w:rPr>
        <w:t>2. 存储功能：W25X16实现大量数据存储，AT24C08实现关键参数掉电保存。</w:t>
      </w:r>
    </w:p>
    <w:p w14:paraId="0DD4DE16">
      <w:pPr>
        <w:spacing w:line="360" w:lineRule="auto"/>
        <w:ind w:firstLine="480" w:firstLineChars="200"/>
        <w:rPr>
          <w:rFonts w:hint="eastAsia" w:ascii="宋体" w:hAnsi="宋体" w:cs="Arial"/>
          <w:sz w:val="24"/>
        </w:rPr>
      </w:pPr>
      <w:r>
        <w:rPr>
          <w:rFonts w:ascii="宋体" w:hAnsi="宋体" w:cs="Arial"/>
          <w:sz w:val="24"/>
        </w:rPr>
        <w:t>3. 状态指示：LED常亮为正常运行，快速闪烁为初始化失败，慢速闪烁为电源异常。</w:t>
      </w:r>
    </w:p>
    <w:p w14:paraId="3A58B43B">
      <w:pPr>
        <w:spacing w:line="360" w:lineRule="auto"/>
        <w:ind w:firstLine="480" w:firstLineChars="200"/>
        <w:rPr>
          <w:rFonts w:hint="eastAsia" w:ascii="宋体" w:hAnsi="宋体" w:cs="Arial"/>
          <w:sz w:val="24"/>
        </w:rPr>
      </w:pPr>
      <w:r>
        <w:rPr>
          <w:rFonts w:ascii="宋体" w:hAnsi="宋体" w:cs="Arial"/>
          <w:sz w:val="24"/>
        </w:rPr>
        <w:t>4. 扩展功能：外部接口可稳定对接进阶功能模块，提供软硬件支撑。</w:t>
      </w:r>
    </w:p>
    <w:p w14:paraId="780704C9">
      <w:pPr>
        <w:spacing w:line="360" w:lineRule="auto"/>
        <w:ind w:firstLine="480" w:firstLineChars="200"/>
        <w:outlineLvl w:val="9"/>
        <w:rPr>
          <w:rFonts w:hint="eastAsia" w:ascii="宋体" w:hAnsi="宋体" w:cs="Arial"/>
          <w:bCs/>
          <w:sz w:val="24"/>
        </w:rPr>
      </w:pPr>
      <w:bookmarkStart w:id="1665" w:name="_Toc4044"/>
      <w:bookmarkStart w:id="1666" w:name="_Toc217293608"/>
      <w:r>
        <w:rPr>
          <w:rFonts w:hint="eastAsia" w:ascii="宋体" w:hAnsi="宋体" w:cs="Arial"/>
          <w:bCs/>
          <w:sz w:val="24"/>
        </w:rPr>
        <w:t>4.4系统使用操作步骤</w:t>
      </w:r>
      <w:bookmarkEnd w:id="1665"/>
      <w:bookmarkEnd w:id="1666"/>
    </w:p>
    <w:p w14:paraId="404F8C8E">
      <w:pPr>
        <w:spacing w:line="360" w:lineRule="auto"/>
        <w:ind w:firstLine="480" w:firstLineChars="200"/>
        <w:rPr>
          <w:rFonts w:hint="eastAsia" w:ascii="宋体" w:hAnsi="宋体" w:cs="Arial"/>
          <w:sz w:val="24"/>
        </w:rPr>
      </w:pPr>
      <w:r>
        <w:rPr>
          <w:rFonts w:ascii="宋体" w:hAnsi="宋体" w:cs="Arial"/>
          <w:sz w:val="24"/>
        </w:rPr>
        <w:t>1. 硬件连接：连接5V电源与扩展模块，确保正负极正确；</w:t>
      </w:r>
    </w:p>
    <w:p w14:paraId="46CFEF0A">
      <w:pPr>
        <w:spacing w:line="360" w:lineRule="auto"/>
        <w:ind w:firstLine="480" w:firstLineChars="200"/>
        <w:rPr>
          <w:rFonts w:hint="eastAsia" w:ascii="宋体" w:hAnsi="宋体" w:cs="Arial"/>
          <w:sz w:val="24"/>
        </w:rPr>
      </w:pPr>
      <w:r>
        <w:rPr>
          <w:rFonts w:ascii="宋体" w:hAnsi="宋体" w:cs="Arial"/>
          <w:sz w:val="24"/>
        </w:rPr>
        <w:t>2. 程序下载：通过JTAG/SWD调试器下载HEX文件；</w:t>
      </w:r>
    </w:p>
    <w:p w14:paraId="3212291A">
      <w:pPr>
        <w:spacing w:line="360" w:lineRule="auto"/>
        <w:ind w:firstLine="480" w:firstLineChars="200"/>
        <w:rPr>
          <w:rFonts w:hint="eastAsia" w:ascii="宋体" w:hAnsi="宋体" w:cs="Arial"/>
          <w:sz w:val="24"/>
        </w:rPr>
      </w:pPr>
      <w:r>
        <w:rPr>
          <w:rFonts w:ascii="宋体" w:hAnsi="宋体" w:cs="Arial"/>
          <w:sz w:val="24"/>
        </w:rPr>
        <w:t>3. 系统运行：上电后观察LED状态判断运行情况；</w:t>
      </w:r>
    </w:p>
    <w:p w14:paraId="7DBF9572">
      <w:pPr>
        <w:spacing w:line="360" w:lineRule="auto"/>
        <w:ind w:firstLine="480" w:firstLineChars="200"/>
        <w:rPr>
          <w:rFonts w:hint="eastAsia" w:ascii="宋体" w:hAnsi="宋体" w:cs="Arial"/>
          <w:sz w:val="24"/>
        </w:rPr>
      </w:pPr>
      <w:r>
        <w:rPr>
          <w:rFonts w:ascii="宋体" w:hAnsi="宋体" w:cs="Arial"/>
          <w:sz w:val="24"/>
        </w:rPr>
        <w:t>4. 功能测试：通过串口与测试设备验证存储及扩展接口功能；</w:t>
      </w:r>
    </w:p>
    <w:p w14:paraId="39D52FCC">
      <w:pPr>
        <w:spacing w:line="360" w:lineRule="auto"/>
        <w:ind w:firstLine="480" w:firstLineChars="200"/>
        <w:rPr>
          <w:rFonts w:hint="eastAsia" w:ascii="宋体" w:hAnsi="宋体" w:cs="Arial"/>
          <w:sz w:val="24"/>
        </w:rPr>
      </w:pPr>
      <w:r>
        <w:rPr>
          <w:rFonts w:ascii="宋体" w:hAnsi="宋体" w:cs="Arial"/>
          <w:sz w:val="24"/>
        </w:rPr>
        <w:t>5. 调试技巧：用示波器检测电源，通过串口信息排查程序，检查焊接质量。</w:t>
      </w:r>
    </w:p>
    <w:p w14:paraId="429788D7">
      <w:pPr>
        <w:spacing w:line="360" w:lineRule="auto"/>
        <w:ind w:firstLine="480" w:firstLineChars="200"/>
        <w:rPr>
          <w:rFonts w:hint="eastAsia" w:ascii="宋体" w:hAnsi="宋体" w:cs="Arial"/>
          <w:sz w:val="24"/>
        </w:rPr>
      </w:pPr>
      <w:r>
        <w:rPr>
          <w:rFonts w:ascii="宋体" w:hAnsi="宋体" w:cs="Arial"/>
          <w:sz w:val="24"/>
        </w:rPr>
        <w:t>最终效果：系统运行稳定，LED状态正常，存储与扩展功能可靠，满足后续开发需求。</w:t>
      </w:r>
    </w:p>
    <w:p w14:paraId="4A6970E1">
      <w:pPr>
        <w:spacing w:line="360" w:lineRule="auto"/>
        <w:outlineLvl w:val="9"/>
        <w:rPr>
          <w:rFonts w:hint="eastAsia" w:ascii="宋体" w:hAnsi="宋体"/>
          <w:sz w:val="28"/>
          <w:szCs w:val="28"/>
        </w:rPr>
      </w:pPr>
      <w:bookmarkStart w:id="1667" w:name="_Toc217293609"/>
      <w:bookmarkStart w:id="1668" w:name="_Toc28482"/>
      <w:r>
        <w:rPr>
          <w:rFonts w:ascii="宋体" w:hAnsi="宋体" w:cs="Arial"/>
          <w:b/>
          <w:sz w:val="28"/>
          <w:szCs w:val="28"/>
        </w:rPr>
        <w:t>5 总结</w:t>
      </w:r>
      <w:bookmarkEnd w:id="1667"/>
      <w:bookmarkEnd w:id="1668"/>
    </w:p>
    <w:p w14:paraId="4A1C3A3C">
      <w:pPr>
        <w:spacing w:line="360" w:lineRule="auto"/>
        <w:ind w:firstLine="480" w:firstLineChars="200"/>
        <w:rPr>
          <w:rFonts w:hint="eastAsia" w:ascii="宋体" w:hAnsi="宋体" w:cs="Arial"/>
          <w:sz w:val="24"/>
        </w:rPr>
      </w:pPr>
      <w:r>
        <w:rPr>
          <w:rFonts w:ascii="宋体" w:hAnsi="宋体" w:cs="Arial"/>
          <w:sz w:val="24"/>
        </w:rPr>
        <w:t>在智能小车项目实践中，我们小组以STM32F103ZET6单片机为核心，完成了从系统需求分析、硬件电路设计、嵌入式程序开发到系统调试验证的全流程开发，成功实现了系统初始化、存储、状态指示及扩展等核心功能，深化了对嵌入式系统开发流程与技术要点的理解。</w:t>
      </w:r>
    </w:p>
    <w:p w14:paraId="37F2E91D">
      <w:pPr>
        <w:spacing w:line="360" w:lineRule="auto"/>
        <w:ind w:firstLine="480" w:firstLineChars="200"/>
        <w:outlineLvl w:val="9"/>
        <w:rPr>
          <w:rFonts w:hint="eastAsia" w:ascii="宋体" w:hAnsi="宋体"/>
          <w:bCs/>
          <w:sz w:val="24"/>
        </w:rPr>
      </w:pPr>
      <w:bookmarkStart w:id="1669" w:name="_Toc217293610"/>
      <w:bookmarkStart w:id="1670" w:name="_Toc8011"/>
      <w:r>
        <w:rPr>
          <w:rFonts w:ascii="宋体" w:hAnsi="宋体" w:cs="Arial"/>
          <w:bCs/>
          <w:sz w:val="24"/>
        </w:rPr>
        <w:t>5.1 核心知识深化</w:t>
      </w:r>
      <w:bookmarkEnd w:id="1669"/>
      <w:bookmarkEnd w:id="1670"/>
    </w:p>
    <w:p w14:paraId="7CE5C4CA">
      <w:pPr>
        <w:spacing w:line="360" w:lineRule="auto"/>
        <w:ind w:firstLine="480" w:firstLineChars="200"/>
        <w:rPr>
          <w:rFonts w:hint="eastAsia" w:ascii="宋体" w:hAnsi="宋体" w:cs="Arial"/>
          <w:sz w:val="24"/>
        </w:rPr>
      </w:pPr>
      <w:r>
        <w:rPr>
          <w:rFonts w:ascii="宋体" w:hAnsi="宋体" w:cs="Arial"/>
          <w:sz w:val="24"/>
        </w:rPr>
        <w:t>1. 单片机原理：掌握STM32F103ZET6核心架构与外设资源，理解时钟树、GPIO配置及SPI/I2C协议时序，明确最小系统稳定性的关键影响因素。</w:t>
      </w:r>
    </w:p>
    <w:p w14:paraId="15BB6F9F">
      <w:pPr>
        <w:spacing w:line="360" w:lineRule="auto"/>
        <w:ind w:firstLine="480" w:firstLineChars="200"/>
        <w:rPr>
          <w:rFonts w:hint="eastAsia" w:ascii="宋体" w:hAnsi="宋体" w:cs="Arial"/>
          <w:sz w:val="24"/>
        </w:rPr>
      </w:pPr>
      <w:r>
        <w:rPr>
          <w:rFonts w:ascii="宋体" w:hAnsi="宋体" w:cs="Arial"/>
          <w:sz w:val="24"/>
        </w:rPr>
        <w:t>2. 模块化设计：实践电子系统模块化开发方法，理解模块接口规范对系统稳定性的重要意义，提升开发效率。</w:t>
      </w:r>
    </w:p>
    <w:p w14:paraId="52B5F283">
      <w:pPr>
        <w:spacing w:line="360" w:lineRule="auto"/>
        <w:ind w:firstLine="480" w:firstLineChars="200"/>
        <w:rPr>
          <w:rFonts w:hint="eastAsia" w:ascii="宋体" w:hAnsi="宋体" w:cs="Arial"/>
          <w:sz w:val="24"/>
        </w:rPr>
      </w:pPr>
      <w:r>
        <w:rPr>
          <w:rFonts w:ascii="宋体" w:hAnsi="宋体" w:cs="Arial"/>
          <w:sz w:val="24"/>
        </w:rPr>
        <w:t>3. 软硬件协同：体会软硬件协同设计的重要性，掌握分层软件架构设计方法，降低耦合度，提升代码可维护性。</w:t>
      </w:r>
    </w:p>
    <w:p w14:paraId="29257DEF">
      <w:pPr>
        <w:spacing w:line="360" w:lineRule="auto"/>
        <w:ind w:firstLine="480" w:firstLineChars="200"/>
        <w:outlineLvl w:val="9"/>
        <w:rPr>
          <w:rFonts w:hint="eastAsia" w:ascii="宋体" w:hAnsi="宋体" w:cs="Arial"/>
          <w:bCs/>
          <w:sz w:val="24"/>
        </w:rPr>
      </w:pPr>
      <w:bookmarkStart w:id="1671" w:name="_Toc217293611"/>
      <w:bookmarkStart w:id="1672" w:name="_Toc26145"/>
      <w:r>
        <w:rPr>
          <w:rFonts w:ascii="宋体" w:hAnsi="宋体" w:cs="Arial"/>
          <w:bCs/>
          <w:sz w:val="24"/>
        </w:rPr>
        <w:t>5.2 关键技能提升</w:t>
      </w:r>
      <w:bookmarkEnd w:id="1671"/>
      <w:bookmarkEnd w:id="1672"/>
    </w:p>
    <w:p w14:paraId="1E5CF458">
      <w:pPr>
        <w:spacing w:line="360" w:lineRule="auto"/>
        <w:ind w:firstLine="480" w:firstLineChars="200"/>
        <w:rPr>
          <w:rFonts w:hint="eastAsia" w:ascii="宋体" w:hAnsi="宋体" w:cs="Arial"/>
          <w:sz w:val="24"/>
        </w:rPr>
      </w:pPr>
      <w:r>
        <w:rPr>
          <w:rFonts w:ascii="宋体" w:hAnsi="宋体" w:cs="Arial"/>
          <w:sz w:val="24"/>
        </w:rPr>
        <w:t>1. 调试能力：解决电源、通信、指示等模块故障，掌握嵌入式系统常见问题排查方法，提升软硬件协同调试能力。</w:t>
      </w:r>
    </w:p>
    <w:p w14:paraId="6F16A87C">
      <w:pPr>
        <w:spacing w:line="360" w:lineRule="auto"/>
        <w:ind w:firstLine="480" w:firstLineChars="200"/>
        <w:rPr>
          <w:rFonts w:hint="eastAsia" w:ascii="宋体" w:hAnsi="宋体" w:cs="Arial"/>
          <w:sz w:val="24"/>
        </w:rPr>
      </w:pPr>
      <w:r>
        <w:rPr>
          <w:rFonts w:ascii="宋体" w:hAnsi="宋体" w:cs="Arial"/>
          <w:sz w:val="24"/>
        </w:rPr>
        <w:t>2. 嵌入式程序开发与仿真调试技巧：熟练掌握Proteus的电路仿真方法，能通过仿真验证程序逻辑与电路匹配性；精通Altium Designer的原理图设计与PCB制作流程；学会依托STM32标准外设库或HAL库开发核心功能，通过分层架构设计提升代码可复用性，精简代码逻辑提升运行效率。</w:t>
      </w:r>
    </w:p>
    <w:p w14:paraId="534A990D">
      <w:pPr>
        <w:spacing w:line="360" w:lineRule="auto"/>
        <w:ind w:firstLine="480" w:firstLineChars="200"/>
        <w:rPr>
          <w:rFonts w:hint="eastAsia" w:ascii="宋体" w:hAnsi="宋体" w:cs="Arial"/>
          <w:sz w:val="24"/>
        </w:rPr>
      </w:pPr>
      <w:r>
        <w:rPr>
          <w:rFonts w:ascii="宋体" w:hAnsi="宋体" w:cs="Arial"/>
          <w:sz w:val="24"/>
        </w:rPr>
        <w:t>3. 硬件设计能力：熟练运用Altium Designer完成原理图设计与PCB制作，提升电路焊接、调试及元件选型能力。</w:t>
      </w:r>
    </w:p>
    <w:p w14:paraId="6FDE793D">
      <w:pPr>
        <w:spacing w:line="360" w:lineRule="auto"/>
        <w:ind w:firstLine="480" w:firstLineChars="200"/>
        <w:outlineLvl w:val="9"/>
        <w:rPr>
          <w:rFonts w:hint="eastAsia" w:ascii="宋体" w:hAnsi="宋体" w:cs="Arial"/>
          <w:bCs/>
          <w:sz w:val="24"/>
        </w:rPr>
      </w:pPr>
      <w:bookmarkStart w:id="1673" w:name="_Toc217293612"/>
      <w:bookmarkStart w:id="1674" w:name="_Toc1599"/>
      <w:r>
        <w:rPr>
          <w:rFonts w:ascii="宋体" w:hAnsi="宋体" w:cs="Arial"/>
          <w:bCs/>
          <w:sz w:val="24"/>
        </w:rPr>
        <w:t>5.3 团队协作感悟</w:t>
      </w:r>
      <w:bookmarkEnd w:id="1673"/>
      <w:bookmarkEnd w:id="1674"/>
    </w:p>
    <w:p w14:paraId="44DDFA1E">
      <w:pPr>
        <w:spacing w:line="360" w:lineRule="auto"/>
        <w:ind w:firstLine="480" w:firstLineChars="200"/>
        <w:rPr>
          <w:rFonts w:hint="eastAsia" w:ascii="宋体" w:hAnsi="宋体" w:cs="Arial"/>
          <w:sz w:val="24"/>
        </w:rPr>
      </w:pPr>
      <w:r>
        <w:rPr>
          <w:rFonts w:ascii="宋体" w:hAnsi="宋体" w:cs="Arial"/>
          <w:sz w:val="24"/>
        </w:rPr>
        <w:t>团队协作是项目顺利完成的关键。开发初期明确分工，过程中定期沟通进度与问题，协同解决引脚冲突、调试等难题，提升了开发效率。通过合作，深刻认识到团队协作的重要性，提升了沟通协作能力，积累了团队项目经验。</w:t>
      </w:r>
    </w:p>
    <w:p w14:paraId="12D12C8A">
      <w:pPr>
        <w:spacing w:line="360" w:lineRule="auto"/>
        <w:ind w:firstLine="480" w:firstLineChars="200"/>
        <w:rPr>
          <w:rFonts w:hint="eastAsia" w:ascii="宋体" w:hAnsi="宋体" w:cs="Arial"/>
          <w:sz w:val="24"/>
        </w:rPr>
      </w:pPr>
      <w:r>
        <w:rPr>
          <w:rFonts w:ascii="宋体" w:hAnsi="宋体" w:cs="Arial"/>
          <w:sz w:val="24"/>
        </w:rPr>
        <w:t>通过本次项目开发，我们深刻认识到团队协作的重要性。只有各成员充分发挥自身优势，相互配合、相互支持，才能高效完成项目开发任务。同时，在协作过程中，我们学会了倾听他人的意见与建议，提升了沟通与团队协作的能力，为今后参与更多团队项目积累了宝贵的经验。</w:t>
      </w:r>
    </w:p>
    <w:p w14:paraId="7BDDE328">
      <w:pPr>
        <w:widowControl/>
        <w:shd w:val="clear" w:color="auto" w:fill="FFFFFF"/>
        <w:spacing w:before="165" w:after="165" w:line="440" w:lineRule="exact"/>
        <w:ind w:firstLine="562" w:firstLineChars="200"/>
        <w:jc w:val="center"/>
        <w:rPr>
          <w:rFonts w:hint="eastAsia"/>
          <w:b/>
          <w:bCs/>
          <w:sz w:val="28"/>
          <w:szCs w:val="28"/>
        </w:rPr>
      </w:pPr>
    </w:p>
    <w:p w14:paraId="51A465CB">
      <w:pPr>
        <w:widowControl/>
        <w:shd w:val="clear" w:color="auto" w:fill="FFFFFF"/>
        <w:spacing w:before="165" w:after="165" w:line="440" w:lineRule="exact"/>
        <w:ind w:firstLine="562" w:firstLineChars="200"/>
        <w:jc w:val="center"/>
        <w:rPr>
          <w:rFonts w:hint="eastAsia"/>
          <w:b/>
          <w:bCs/>
          <w:sz w:val="28"/>
          <w:szCs w:val="28"/>
        </w:rPr>
      </w:pPr>
    </w:p>
    <w:p w14:paraId="338D8CA9">
      <w:pPr>
        <w:widowControl/>
        <w:shd w:val="clear" w:color="auto" w:fill="FFFFFF"/>
        <w:spacing w:before="165" w:after="165" w:line="440" w:lineRule="exact"/>
        <w:ind w:firstLine="562" w:firstLineChars="200"/>
        <w:jc w:val="center"/>
        <w:rPr>
          <w:rFonts w:hint="eastAsia"/>
          <w:b/>
          <w:bCs/>
          <w:sz w:val="28"/>
          <w:szCs w:val="28"/>
        </w:rPr>
      </w:pPr>
    </w:p>
    <w:p w14:paraId="0B252F68">
      <w:pPr>
        <w:widowControl/>
        <w:shd w:val="clear" w:color="auto" w:fill="FFFFFF"/>
        <w:spacing w:before="165" w:after="165" w:line="440" w:lineRule="exact"/>
        <w:ind w:firstLine="562" w:firstLineChars="200"/>
        <w:jc w:val="center"/>
        <w:rPr>
          <w:rFonts w:hint="eastAsia"/>
          <w:b/>
          <w:bCs/>
          <w:sz w:val="28"/>
          <w:szCs w:val="28"/>
        </w:rPr>
      </w:pPr>
    </w:p>
    <w:p w14:paraId="0FC453A6">
      <w:pPr>
        <w:widowControl/>
        <w:shd w:val="clear" w:color="auto" w:fill="FFFFFF"/>
        <w:spacing w:before="165" w:after="165" w:line="440" w:lineRule="exact"/>
        <w:ind w:firstLine="562" w:firstLineChars="200"/>
        <w:jc w:val="center"/>
        <w:rPr>
          <w:rFonts w:hint="eastAsia"/>
          <w:b/>
          <w:bCs/>
          <w:sz w:val="28"/>
          <w:szCs w:val="28"/>
        </w:rPr>
      </w:pPr>
    </w:p>
    <w:p w14:paraId="03D4F58B">
      <w:pPr>
        <w:widowControl/>
        <w:shd w:val="clear" w:color="auto" w:fill="FFFFFF"/>
        <w:spacing w:before="165" w:after="165" w:line="440" w:lineRule="exact"/>
        <w:ind w:firstLine="562" w:firstLineChars="200"/>
        <w:jc w:val="center"/>
        <w:rPr>
          <w:rFonts w:hint="eastAsia"/>
          <w:b/>
          <w:bCs/>
          <w:sz w:val="28"/>
          <w:szCs w:val="28"/>
        </w:rPr>
      </w:pPr>
    </w:p>
    <w:p w14:paraId="295D730A">
      <w:pPr>
        <w:widowControl/>
        <w:shd w:val="clear" w:color="auto" w:fill="FFFFFF"/>
        <w:spacing w:before="165" w:after="165" w:line="440" w:lineRule="exact"/>
        <w:ind w:firstLine="562" w:firstLineChars="200"/>
        <w:jc w:val="center"/>
        <w:rPr>
          <w:sz w:val="28"/>
          <w:szCs w:val="52"/>
        </w:rPr>
      </w:pPr>
      <w:r>
        <w:rPr>
          <w:rFonts w:hint="eastAsia"/>
          <w:b/>
          <w:bCs/>
          <w:sz w:val="28"/>
          <w:szCs w:val="28"/>
        </w:rPr>
        <w:t>参考文献</w:t>
      </w:r>
    </w:p>
    <w:p w14:paraId="32814ECD">
      <w:pPr>
        <w:spacing w:line="440" w:lineRule="exact"/>
        <w:ind w:left="420" w:hanging="420" w:hangingChars="200"/>
        <w:rPr>
          <w:rFonts w:ascii="Times New Roman" w:hAnsi="Times New Roman"/>
          <w:szCs w:val="21"/>
        </w:rPr>
      </w:pPr>
      <w:r>
        <w:rPr>
          <w:rFonts w:ascii="Times New Roman" w:hAnsi="Times New Roman"/>
          <w:szCs w:val="21"/>
        </w:rPr>
        <w:t>[1] 王延峰，张毅. 基于STM32的智能小车控制系统设计[J]. 电子技术应用，2022,48(5):78-82.</w:t>
      </w:r>
    </w:p>
    <w:p w14:paraId="25B8E17F">
      <w:pPr>
        <w:spacing w:line="440" w:lineRule="exact"/>
        <w:ind w:left="420" w:hanging="420" w:hangingChars="200"/>
        <w:rPr>
          <w:rFonts w:ascii="Times New Roman" w:hAnsi="Times New Roman"/>
          <w:szCs w:val="21"/>
        </w:rPr>
      </w:pPr>
      <w:r>
        <w:rPr>
          <w:rFonts w:ascii="Times New Roman" w:hAnsi="Times New Roman"/>
          <w:szCs w:val="21"/>
        </w:rPr>
        <w:t>[2] 李岩，赵伟. STM32F103系列单片机原理及应用[M]. 北京：电子工业出版社，2021.</w:t>
      </w:r>
    </w:p>
    <w:p w14:paraId="40AF9982">
      <w:pPr>
        <w:spacing w:line="440" w:lineRule="exact"/>
        <w:ind w:left="420" w:hanging="420" w:hangingChars="200"/>
        <w:rPr>
          <w:rFonts w:ascii="Times New Roman" w:hAnsi="Times New Roman"/>
          <w:szCs w:val="21"/>
        </w:rPr>
      </w:pPr>
      <w:r>
        <w:rPr>
          <w:rFonts w:ascii="Times New Roman" w:hAnsi="Times New Roman"/>
          <w:szCs w:val="21"/>
        </w:rPr>
        <w:t>[3] 张迎新，王忠礼. 嵌入式系统原理与设计——基于STM32单片机[M]. 北京：机械工业出版社，2020.</w:t>
      </w:r>
    </w:p>
    <w:p w14:paraId="2BA0D7EF">
      <w:pPr>
        <w:spacing w:line="440" w:lineRule="exact"/>
        <w:ind w:left="420" w:hanging="420" w:hangingChars="200"/>
        <w:rPr>
          <w:rFonts w:ascii="Times New Roman" w:hAnsi="Times New Roman"/>
          <w:szCs w:val="21"/>
        </w:rPr>
      </w:pPr>
      <w:r>
        <w:rPr>
          <w:rFonts w:ascii="Times New Roman" w:hAnsi="Times New Roman"/>
          <w:szCs w:val="21"/>
        </w:rPr>
        <w:t>[4] 刘军，陈莉. Altium Designer电路设计与PCB制作实战[J]. 电工技术，2023(8):135-137.</w:t>
      </w:r>
    </w:p>
    <w:p w14:paraId="5488BF25">
      <w:pPr>
        <w:spacing w:line="440" w:lineRule="exact"/>
        <w:ind w:left="420" w:hanging="420" w:hangingChars="200"/>
        <w:rPr>
          <w:rFonts w:ascii="Times New Roman" w:hAnsi="Times New Roman"/>
          <w:szCs w:val="21"/>
        </w:rPr>
      </w:pPr>
      <w:r>
        <w:rPr>
          <w:rFonts w:ascii="Times New Roman" w:hAnsi="Times New Roman"/>
          <w:szCs w:val="21"/>
        </w:rPr>
        <w:t>[5] 陈启军，李娟. 基于SPI协议的W25X16存储模块驱动开发[J]. 单片机与嵌入式系统应用，2022,22(3):45-48.</w:t>
      </w:r>
    </w:p>
    <w:p w14:paraId="1D19C7AF">
      <w:pPr>
        <w:spacing w:line="440" w:lineRule="exact"/>
        <w:ind w:left="420" w:hanging="420" w:hangingChars="200"/>
        <w:rPr>
          <w:rFonts w:ascii="Times New Roman" w:hAnsi="Times New Roman"/>
          <w:szCs w:val="21"/>
        </w:rPr>
      </w:pPr>
      <w:r>
        <w:rPr>
          <w:rFonts w:ascii="Times New Roman" w:hAnsi="Times New Roman"/>
          <w:szCs w:val="21"/>
        </w:rPr>
        <w:t>[6] 龚蕾，孙泽宇. 新工科背景下物联网工程专业嵌入式系统实践教学改革——以智能小车项目为例[J]. 物联网技术，2021,11(4):145-147.</w:t>
      </w:r>
    </w:p>
    <w:p w14:paraId="010E44DE">
      <w:pPr>
        <w:spacing w:line="440" w:lineRule="exact"/>
        <w:ind w:left="420" w:hanging="420" w:hangingChars="200"/>
        <w:rPr>
          <w:rFonts w:ascii="Times New Roman" w:hAnsi="Times New Roman"/>
          <w:szCs w:val="21"/>
        </w:rPr>
      </w:pPr>
      <w:r>
        <w:rPr>
          <w:rFonts w:ascii="Times New Roman" w:hAnsi="Times New Roman"/>
          <w:szCs w:val="21"/>
        </w:rPr>
        <w:t>[7] 何磊，郭晓军. 产教融合模式下嵌入式系统实践项目开发——基于STM32的智能控制设备设计[J]. 计算机教育，2019(12):98-101.</w:t>
      </w:r>
    </w:p>
    <w:p w14:paraId="1B74A648">
      <w:pPr>
        <w:spacing w:line="440" w:lineRule="exact"/>
        <w:ind w:left="420" w:hanging="420" w:hangingChars="200"/>
        <w:rPr>
          <w:rFonts w:ascii="Times New Roman" w:hAnsi="Times New Roman"/>
          <w:szCs w:val="21"/>
        </w:rPr>
      </w:pPr>
      <w:r>
        <w:rPr>
          <w:rFonts w:ascii="Times New Roman" w:hAnsi="Times New Roman"/>
          <w:szCs w:val="21"/>
        </w:rPr>
        <w:t>[8] 黄忠凡，代荣. 智能小车电源管理模块设计与实现[J]. 电子科技，2020,33(8):65-68.</w:t>
      </w:r>
    </w:p>
    <w:p w14:paraId="651BE362">
      <w:pPr>
        <w:spacing w:line="440" w:lineRule="exact"/>
        <w:ind w:left="420" w:hanging="420" w:hangingChars="200"/>
        <w:rPr>
          <w:rFonts w:ascii="Times New Roman" w:hAnsi="Times New Roman"/>
          <w:szCs w:val="21"/>
        </w:rPr>
      </w:pPr>
      <w:r>
        <w:rPr>
          <w:rFonts w:ascii="Times New Roman" w:hAnsi="Times New Roman"/>
          <w:szCs w:val="21"/>
        </w:rPr>
        <w:t>[9] 肖大薇，姜立秋. 基于STM32的智能小车扩展功能接口设计[J]. 工业控制计算机，2018,31(6):132-134.</w:t>
      </w:r>
    </w:p>
    <w:p w14:paraId="3E1F6F6A">
      <w:pPr>
        <w:widowControl/>
        <w:jc w:val="left"/>
        <w:rPr>
          <w:rFonts w:ascii="Arial" w:hAnsi="Arial" w:eastAsia="黑体"/>
        </w:rPr>
      </w:pPr>
      <w:r>
        <w:br w:type="page"/>
      </w:r>
    </w:p>
    <w:p w14:paraId="42D8DBBD">
      <w:pPr>
        <w:pStyle w:val="3"/>
        <w:bidi w:val="0"/>
        <w:rPr>
          <w:rFonts w:hint="default"/>
          <w:lang w:val="en-US" w:eastAsia="zh-CN"/>
        </w:rPr>
      </w:pPr>
      <w:bookmarkStart w:id="1675" w:name="_Toc7090"/>
      <w:bookmarkStart w:id="1676" w:name="_Toc7744"/>
      <w:r>
        <w:rPr>
          <w:rFonts w:hint="eastAsia"/>
          <w:lang w:val="en-US" w:eastAsia="zh-CN"/>
        </w:rPr>
        <w:t>2.摇摆钟电路的PCB</w:t>
      </w:r>
      <w:r>
        <w:rPr>
          <w:rFonts w:hint="eastAsia"/>
        </w:rPr>
        <w:t>设计与实现</w:t>
      </w:r>
      <w:bookmarkEnd w:id="1675"/>
      <w:bookmarkEnd w:id="1676"/>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05D55E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0DF2DEDC">
            <w:pPr>
              <w:jc w:val="left"/>
              <w:outlineLvl w:val="0"/>
              <w:rPr>
                <w:rFonts w:ascii="Calibri" w:hAnsi="Calibri" w:eastAsia="黑体" w:cs="Times New Roman"/>
                <w:szCs w:val="21"/>
              </w:rPr>
            </w:pPr>
            <w:bookmarkStart w:id="1677" w:name="_Toc16099"/>
            <w:bookmarkStart w:id="1678" w:name="_Toc1069"/>
            <w:r>
              <w:rPr>
                <w:rFonts w:hint="eastAsia" w:ascii="Calibri" w:hAnsi="Calibri" w:eastAsia="黑体" w:cs="Times New Roman"/>
                <w:sz w:val="24"/>
              </w:rPr>
              <w:t>项目主题：</w:t>
            </w:r>
            <w:r>
              <w:rPr>
                <w:rFonts w:hint="eastAsia" w:ascii="Calibri" w:hAnsi="Calibri" w:eastAsia="黑体" w:cs="Times New Roman"/>
                <w:sz w:val="24"/>
                <w:lang w:val="en-US" w:eastAsia="zh-CN"/>
              </w:rPr>
              <w:t>摇摆钟电路的PCB</w:t>
            </w:r>
            <w:r>
              <w:rPr>
                <w:rFonts w:hint="eastAsia" w:ascii="Calibri" w:hAnsi="Calibri" w:eastAsia="黑体" w:cs="Times New Roman"/>
                <w:sz w:val="24"/>
              </w:rPr>
              <w:t>设计与实现</w:t>
            </w:r>
            <w:bookmarkEnd w:id="1677"/>
            <w:bookmarkEnd w:id="1678"/>
          </w:p>
        </w:tc>
      </w:tr>
      <w:tr w14:paraId="0B4960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7EFEE13">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物联网工程本科1班</w:t>
            </w:r>
          </w:p>
        </w:tc>
      </w:tr>
      <w:tr w14:paraId="75EF0D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D384C1D">
            <w:pPr>
              <w:jc w:val="left"/>
              <w:rPr>
                <w:rFonts w:ascii="Calibri" w:hAnsi="Calibri" w:eastAsia="黑体" w:cs="Times New Roman"/>
                <w:szCs w:val="21"/>
              </w:rPr>
            </w:pPr>
            <w:r>
              <w:rPr>
                <w:rFonts w:hint="eastAsia" w:ascii="Calibri" w:hAnsi="Calibri" w:eastAsia="黑体" w:cs="Times New Roman"/>
                <w:szCs w:val="21"/>
              </w:rPr>
              <w:t>学生姓名：吴雯艳</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王子月</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徐秀玲</w:t>
            </w:r>
            <w:r>
              <w:rPr>
                <w:rFonts w:hint="eastAsia" w:ascii="Calibri" w:hAnsi="Calibri" w:eastAsia="黑体" w:cs="Times New Roman"/>
                <w:szCs w:val="21"/>
                <w:lang w:val="en-US" w:eastAsia="zh-CN"/>
              </w:rPr>
              <w:t xml:space="preserve"> 赖薇鑫、周梓涛         </w:t>
            </w:r>
            <w:r>
              <w:rPr>
                <w:rFonts w:hint="eastAsia" w:ascii="Calibri" w:hAnsi="Calibri" w:eastAsia="黑体" w:cs="Times New Roman"/>
                <w:szCs w:val="21"/>
              </w:rPr>
              <w:t xml:space="preserve"> 指导教师：黄淑娟 刘有珠</w:t>
            </w:r>
          </w:p>
        </w:tc>
      </w:tr>
    </w:tbl>
    <w:p w14:paraId="1D7367EA">
      <w:pPr>
        <w:keepNext/>
        <w:keepLines/>
        <w:widowControl w:val="0"/>
        <w:spacing w:line="440" w:lineRule="exact"/>
        <w:jc w:val="both"/>
        <w:outlineLvl w:val="9"/>
        <w:rPr>
          <w:rFonts w:ascii="Times New Roman" w:hAnsi="Times New Roman" w:eastAsia="宋体" w:cs="Times New Roman"/>
          <w:b/>
          <w:bCs/>
          <w:kern w:val="44"/>
          <w:sz w:val="28"/>
          <w:szCs w:val="44"/>
          <w:lang w:val="en-US" w:eastAsia="zh-CN" w:bidi="ar-SA"/>
        </w:rPr>
      </w:pPr>
      <w:bookmarkStart w:id="1679" w:name="_Toc216861497"/>
      <w:bookmarkStart w:id="1680" w:name="_Toc216862508"/>
      <w:bookmarkStart w:id="1681" w:name="_Toc26306"/>
      <w:bookmarkStart w:id="1682" w:name="_Toc7138"/>
      <w:r>
        <w:rPr>
          <w:rFonts w:ascii="Times New Roman" w:hAnsi="Times New Roman" w:eastAsia="宋体" w:cs="Times New Roman"/>
          <w:b/>
          <w:bCs/>
          <w:kern w:val="44"/>
          <w:sz w:val="28"/>
          <w:szCs w:val="44"/>
          <w:lang w:val="en-US" w:eastAsia="zh-CN" w:bidi="ar-SA"/>
        </w:rPr>
        <w:t>1 项目概述</w:t>
      </w:r>
      <w:bookmarkEnd w:id="1679"/>
      <w:bookmarkEnd w:id="1680"/>
      <w:bookmarkEnd w:id="1681"/>
      <w:bookmarkEnd w:id="1682"/>
    </w:p>
    <w:p w14:paraId="30BCFF68">
      <w:pPr>
        <w:keepNext/>
        <w:keepLines/>
        <w:widowControl w:val="0"/>
        <w:spacing w:line="440" w:lineRule="exact"/>
        <w:ind w:left="0" w:leftChars="0" w:firstLine="480" w:firstLineChars="200"/>
        <w:jc w:val="both"/>
        <w:outlineLvl w:val="9"/>
        <w:rPr>
          <w:rFonts w:ascii="Times New Roman" w:hAnsi="Times New Roman" w:eastAsia="宋体" w:cs="Times New Roman"/>
          <w:bCs/>
          <w:kern w:val="2"/>
          <w:sz w:val="24"/>
          <w:szCs w:val="32"/>
          <w:lang w:val="en-US" w:eastAsia="zh-CN" w:bidi="ar-SA"/>
        </w:rPr>
      </w:pPr>
      <w:bookmarkStart w:id="1683" w:name="_Toc216862509"/>
      <w:bookmarkStart w:id="1684" w:name="_Toc7587"/>
      <w:bookmarkStart w:id="1685" w:name="_Toc5835"/>
      <w:bookmarkStart w:id="1686" w:name="_Toc216861498"/>
      <w:r>
        <w:rPr>
          <w:rFonts w:ascii="Times New Roman" w:hAnsi="Times New Roman" w:eastAsia="宋体" w:cs="Times New Roman"/>
          <w:bCs/>
          <w:kern w:val="2"/>
          <w:sz w:val="24"/>
          <w:szCs w:val="32"/>
          <w:lang w:val="en-US" w:eastAsia="zh-CN" w:bidi="ar-SA"/>
        </w:rPr>
        <w:t>1.1项目介绍</w:t>
      </w:r>
      <w:bookmarkEnd w:id="1683"/>
      <w:bookmarkEnd w:id="1684"/>
      <w:bookmarkEnd w:id="1685"/>
      <w:bookmarkEnd w:id="1686"/>
    </w:p>
    <w:p w14:paraId="588E5F42">
      <w:pPr>
        <w:spacing w:line="440" w:lineRule="exact"/>
        <w:ind w:firstLine="480" w:firstLineChars="200"/>
        <w:rPr>
          <w:rFonts w:ascii="Times New Roman" w:hAnsi="Times New Roman" w:eastAsia="宋体" w:cs="Times New Roman"/>
          <w:sz w:val="24"/>
        </w:rPr>
      </w:pPr>
      <w:bookmarkStart w:id="1687" w:name="_Toc11312"/>
      <w:r>
        <w:rPr>
          <w:rFonts w:hint="eastAsia" w:ascii="Times New Roman" w:hAnsi="Times New Roman" w:eastAsia="宋体" w:cs="Times New Roman"/>
          <w:sz w:val="24"/>
        </w:rPr>
        <w:t>在日常生活与工业控制领域，计时与机械联动设备有着广泛的应用需求。摇摆钟作为兼具计时功能与机械美学的设备，其核心在于稳定可靠的电路系统设计。本项目旨在设计一款基于单片机的摇摆钟电路，实现精准计时、稳定摇摆驱动、时间校准、状态监测等核心功能。该电路以 P80C528BPN 单片机为控制核心，集成时钟电路、放大电路、控制电路等模块，通过合理的硬件选型与软件编程，确保摇摆钟的计时精度与摇摆动作的稳定性。系统支持用户进行时间设置、摇摆频率调节等操作，同时具备故障监测与报警功能，适用于家居装饰、教学演示及工业辅助计时等场景</w:t>
      </w:r>
      <w:r>
        <w:rPr>
          <w:rFonts w:ascii="Times New Roman" w:hAnsi="Times New Roman" w:eastAsia="宋体" w:cs="Times New Roman"/>
          <w:sz w:val="24"/>
        </w:rPr>
        <w:t>。</w:t>
      </w:r>
    </w:p>
    <w:p w14:paraId="3B34BA00">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688" w:name="_Toc216861499"/>
      <w:bookmarkStart w:id="1689" w:name="_Toc216862510"/>
      <w:bookmarkStart w:id="1690" w:name="_Toc18644"/>
      <w:r>
        <w:rPr>
          <w:rFonts w:ascii="Times New Roman" w:hAnsi="Times New Roman" w:eastAsia="宋体" w:cs="Times New Roman"/>
          <w:bCs/>
          <w:kern w:val="2"/>
          <w:sz w:val="24"/>
          <w:szCs w:val="32"/>
          <w:lang w:val="en-US" w:eastAsia="zh-CN" w:bidi="ar-SA"/>
        </w:rPr>
        <w:t>1.2项目开发环境</w:t>
      </w:r>
      <w:bookmarkEnd w:id="1687"/>
      <w:bookmarkEnd w:id="1688"/>
      <w:bookmarkEnd w:id="1689"/>
      <w:bookmarkEnd w:id="1690"/>
    </w:p>
    <w:p w14:paraId="75452B1A">
      <w:pPr>
        <w:spacing w:line="440" w:lineRule="exact"/>
        <w:ind w:left="420" w:leftChars="200" w:firstLine="480" w:firstLineChars="200"/>
        <w:rPr>
          <w:rFonts w:ascii="Times New Roman" w:hAnsi="Times New Roman" w:eastAsia="宋体" w:cs="Times New Roman"/>
          <w:sz w:val="24"/>
        </w:rPr>
      </w:pPr>
      <w:r>
        <w:rPr>
          <w:rFonts w:ascii="Times New Roman" w:hAnsi="Times New Roman" w:eastAsia="宋体" w:cs="Times New Roman"/>
          <w:sz w:val="24"/>
        </w:rPr>
        <w:t>系统：windows系统</w:t>
      </w:r>
    </w:p>
    <w:p w14:paraId="0C28534A">
      <w:pPr>
        <w:spacing w:line="440" w:lineRule="exact"/>
        <w:ind w:left="420" w:leftChars="200" w:firstLine="480" w:firstLineChars="200"/>
        <w:rPr>
          <w:rFonts w:ascii="Times New Roman" w:hAnsi="Times New Roman" w:eastAsia="宋体" w:cs="Times New Roman"/>
          <w:sz w:val="24"/>
        </w:rPr>
      </w:pPr>
      <w:r>
        <w:rPr>
          <w:rFonts w:ascii="Times New Roman" w:hAnsi="Times New Roman" w:eastAsia="宋体" w:cs="Times New Roman"/>
          <w:sz w:val="24"/>
        </w:rPr>
        <w:t>软件：Altium Designer</w:t>
      </w:r>
      <w:r>
        <w:rPr>
          <w:rFonts w:hint="eastAsia" w:ascii="Times New Roman" w:hAnsi="Times New Roman" w:eastAsia="宋体" w:cs="Times New Roman"/>
          <w:sz w:val="24"/>
        </w:rPr>
        <w:t xml:space="preserve"> 17</w:t>
      </w:r>
    </w:p>
    <w:p w14:paraId="1C228D72">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691" w:name="_Toc216861500"/>
      <w:bookmarkStart w:id="1692" w:name="_Toc216862511"/>
      <w:bookmarkStart w:id="1693" w:name="_Toc1495"/>
      <w:bookmarkStart w:id="1694" w:name="_Toc6838"/>
      <w:r>
        <w:rPr>
          <w:rFonts w:ascii="Times New Roman" w:hAnsi="Times New Roman" w:eastAsia="宋体" w:cs="Times New Roman"/>
          <w:bCs/>
          <w:kern w:val="2"/>
          <w:sz w:val="24"/>
          <w:szCs w:val="32"/>
          <w:lang w:val="en-US" w:eastAsia="zh-CN" w:bidi="ar-SA"/>
        </w:rPr>
        <w:t>1.3小组人员及分工</w:t>
      </w:r>
      <w:bookmarkEnd w:id="1691"/>
      <w:bookmarkEnd w:id="1692"/>
      <w:bookmarkEnd w:id="1693"/>
      <w:bookmarkEnd w:id="1694"/>
    </w:p>
    <w:p w14:paraId="2FD2A646">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小组人员及分工</w:t>
      </w:r>
      <w:r>
        <w:rPr>
          <w:rFonts w:hint="eastAsia" w:ascii="Times New Roman" w:hAnsi="Times New Roman" w:eastAsia="宋体" w:cs="Times New Roman"/>
          <w:sz w:val="24"/>
        </w:rPr>
        <w:t>如表1-1示。</w:t>
      </w:r>
    </w:p>
    <w:p w14:paraId="0FA3CFC0">
      <w:pPr>
        <w:spacing w:line="440" w:lineRule="exact"/>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t>表1-1 小组人员及分工</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6854"/>
      </w:tblGrid>
      <w:tr w14:paraId="47649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14:paraId="2554197C">
            <w:pPr>
              <w:spacing w:line="44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姓名</w:t>
            </w:r>
          </w:p>
        </w:tc>
        <w:tc>
          <w:tcPr>
            <w:tcW w:w="6854" w:type="dxa"/>
          </w:tcPr>
          <w:p w14:paraId="02C696F0">
            <w:pPr>
              <w:spacing w:line="440" w:lineRule="exact"/>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t>分工</w:t>
            </w:r>
          </w:p>
        </w:tc>
      </w:tr>
      <w:tr w14:paraId="2808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14:paraId="5B16A2ED">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吴雯艳</w:t>
            </w:r>
          </w:p>
        </w:tc>
        <w:tc>
          <w:tcPr>
            <w:tcW w:w="6854" w:type="dxa"/>
          </w:tcPr>
          <w:p w14:paraId="1983A03E">
            <w:pPr>
              <w:spacing w:line="440" w:lineRule="exact"/>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t>记录项目总结</w:t>
            </w:r>
          </w:p>
        </w:tc>
      </w:tr>
      <w:tr w14:paraId="5AA33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14:paraId="0CD6753F">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徐秀玲</w:t>
            </w:r>
          </w:p>
        </w:tc>
        <w:tc>
          <w:tcPr>
            <w:tcW w:w="6854" w:type="dxa"/>
          </w:tcPr>
          <w:p w14:paraId="04F2EC3E">
            <w:pPr>
              <w:spacing w:line="440" w:lineRule="exact"/>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t>电路原理图绘制和pcb设计</w:t>
            </w:r>
          </w:p>
        </w:tc>
      </w:tr>
      <w:tr w14:paraId="417F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668" w:type="dxa"/>
          </w:tcPr>
          <w:p w14:paraId="236D4284">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王子月</w:t>
            </w:r>
          </w:p>
        </w:tc>
        <w:tc>
          <w:tcPr>
            <w:tcW w:w="6854" w:type="dxa"/>
          </w:tcPr>
          <w:p w14:paraId="78E1AC88">
            <w:pPr>
              <w:spacing w:line="440" w:lineRule="exact"/>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t>论文撰写</w:t>
            </w:r>
          </w:p>
        </w:tc>
      </w:tr>
      <w:tr w14:paraId="79289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14:paraId="55507C05">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赖薇鑫</w:t>
            </w:r>
          </w:p>
        </w:tc>
        <w:tc>
          <w:tcPr>
            <w:tcW w:w="6854" w:type="dxa"/>
          </w:tcPr>
          <w:p w14:paraId="607087BE">
            <w:pPr>
              <w:spacing w:line="440" w:lineRule="exact"/>
              <w:ind w:firstLine="420" w:firstLineChars="200"/>
              <w:jc w:val="center"/>
              <w:rPr>
                <w:rFonts w:ascii="Times New Roman" w:hAnsi="Times New Roman" w:eastAsia="宋体" w:cs="Times New Roman"/>
                <w:szCs w:val="21"/>
              </w:rPr>
            </w:pPr>
            <w:r>
              <w:rPr>
                <w:rFonts w:ascii="Times New Roman" w:hAnsi="Times New Roman" w:eastAsia="宋体" w:cs="Times New Roman"/>
                <w:szCs w:val="21"/>
              </w:rPr>
              <w:t>论文撰写</w:t>
            </w:r>
          </w:p>
        </w:tc>
      </w:tr>
      <w:tr w14:paraId="6A56A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14:paraId="79242BCF">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周梓涛</w:t>
            </w:r>
          </w:p>
        </w:tc>
        <w:tc>
          <w:tcPr>
            <w:tcW w:w="6854" w:type="dxa"/>
          </w:tcPr>
          <w:p w14:paraId="31F831D1">
            <w:pPr>
              <w:spacing w:line="440" w:lineRule="exact"/>
              <w:ind w:firstLine="420" w:firstLineChars="200"/>
              <w:jc w:val="center"/>
              <w:rPr>
                <w:rFonts w:ascii="Times New Roman" w:hAnsi="Times New Roman" w:eastAsia="宋体" w:cs="Times New Roman"/>
                <w:szCs w:val="21"/>
              </w:rPr>
            </w:pPr>
            <w:r>
              <w:rPr>
                <w:rFonts w:hint="eastAsia" w:ascii="Times New Roman" w:hAnsi="Times New Roman" w:eastAsia="宋体" w:cs="Times New Roman"/>
                <w:szCs w:val="21"/>
              </w:rPr>
              <w:t>海报设计工作</w:t>
            </w:r>
          </w:p>
        </w:tc>
      </w:tr>
    </w:tbl>
    <w:p w14:paraId="7D493306">
      <w:pPr>
        <w:keepNext/>
        <w:keepLines/>
        <w:widowControl w:val="0"/>
        <w:spacing w:line="440" w:lineRule="exact"/>
        <w:jc w:val="both"/>
        <w:outlineLvl w:val="9"/>
        <w:rPr>
          <w:rFonts w:ascii="Times New Roman" w:hAnsi="Times New Roman" w:eastAsia="宋体" w:cs="Times New Roman"/>
          <w:b/>
          <w:bCs/>
          <w:kern w:val="44"/>
          <w:sz w:val="28"/>
          <w:szCs w:val="44"/>
          <w:lang w:val="en-US" w:eastAsia="zh-CN" w:bidi="ar-SA"/>
        </w:rPr>
      </w:pPr>
      <w:bookmarkStart w:id="1695" w:name="_Toc25404"/>
      <w:bookmarkStart w:id="1696" w:name="_Toc216861501"/>
      <w:bookmarkStart w:id="1697" w:name="_Toc216862512"/>
      <w:bookmarkStart w:id="1698" w:name="_Toc9585"/>
      <w:r>
        <w:rPr>
          <w:rFonts w:ascii="Times New Roman" w:hAnsi="Times New Roman" w:eastAsia="宋体" w:cs="Times New Roman"/>
          <w:b/>
          <w:bCs/>
          <w:kern w:val="44"/>
          <w:sz w:val="28"/>
          <w:szCs w:val="44"/>
          <w:lang w:val="en-US" w:eastAsia="zh-CN" w:bidi="ar-SA"/>
        </w:rPr>
        <w:t>2 需求分析</w:t>
      </w:r>
      <w:bookmarkEnd w:id="1695"/>
      <w:bookmarkEnd w:id="1696"/>
      <w:bookmarkEnd w:id="1697"/>
      <w:bookmarkEnd w:id="1698"/>
    </w:p>
    <w:p w14:paraId="319BB69E">
      <w:pPr>
        <w:keepNext/>
        <w:keepLines/>
        <w:widowControl w:val="0"/>
        <w:spacing w:line="440" w:lineRule="exact"/>
        <w:ind w:left="0" w:leftChars="0" w:firstLine="480" w:firstLineChars="200"/>
        <w:jc w:val="both"/>
        <w:outlineLvl w:val="9"/>
        <w:rPr>
          <w:rFonts w:ascii="Times New Roman" w:hAnsi="Times New Roman" w:eastAsia="宋体" w:cs="Times New Roman"/>
          <w:bCs/>
          <w:kern w:val="2"/>
          <w:sz w:val="24"/>
          <w:szCs w:val="32"/>
          <w:lang w:val="en-US" w:eastAsia="zh-CN" w:bidi="ar-SA"/>
        </w:rPr>
      </w:pPr>
      <w:bookmarkStart w:id="1699" w:name="_Toc216862513"/>
      <w:bookmarkStart w:id="1700" w:name="_Toc23861"/>
      <w:bookmarkStart w:id="1701" w:name="_Toc216861502"/>
      <w:bookmarkStart w:id="1702" w:name="_Toc6918"/>
      <w:r>
        <w:rPr>
          <w:rFonts w:ascii="Times New Roman" w:hAnsi="Times New Roman" w:eastAsia="宋体" w:cs="Times New Roman"/>
          <w:bCs/>
          <w:kern w:val="2"/>
          <w:sz w:val="24"/>
          <w:szCs w:val="32"/>
          <w:lang w:val="en-US" w:eastAsia="zh-CN" w:bidi="ar-SA"/>
        </w:rPr>
        <w:t>2.1系统需求分析</w:t>
      </w:r>
      <w:bookmarkEnd w:id="1699"/>
      <w:bookmarkEnd w:id="1700"/>
      <w:bookmarkEnd w:id="1701"/>
      <w:bookmarkEnd w:id="1702"/>
    </w:p>
    <w:p w14:paraId="41DABD4A">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03" w:name="_Toc216861503"/>
      <w:bookmarkStart w:id="1704" w:name="_Toc216862514"/>
      <w:r>
        <w:rPr>
          <w:rFonts w:ascii="Times New Roman" w:hAnsi="Times New Roman" w:eastAsia="宋体" w:cs="Times New Roman"/>
          <w:kern w:val="2"/>
          <w:sz w:val="24"/>
          <w:szCs w:val="24"/>
          <w:lang w:val="en-US" w:eastAsia="zh-CN" w:bidi="ar-SA"/>
        </w:rPr>
        <w:t>2.1.1基本需求</w:t>
      </w:r>
      <w:bookmarkEnd w:id="1703"/>
      <w:bookmarkEnd w:id="1704"/>
    </w:p>
    <w:p w14:paraId="09496981">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随着电子技术的快速发展，传统机械摇摆钟在计时精度、功能扩展性等方面已难以满足现代用户的需求。基于单片机的电子摇摆钟电路凭借其高精度、低功耗、易扩展等优势，成为相关领域的研究热点。本项目设计的摇摆钟电路需满足以下基本需求：</w:t>
      </w:r>
    </w:p>
    <w:p w14:paraId="5FAD63B0">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w:t>
      </w:r>
      <w:r>
        <w:rPr>
          <w:rFonts w:hint="eastAsia" w:ascii="Times New Roman" w:hAnsi="Times New Roman" w:eastAsia="宋体" w:cs="Times New Roman"/>
          <w:sz w:val="24"/>
        </w:rPr>
        <w:t>计时精度：时间误差≤±1秒/天，支持年、月、日、时、分、秒显示</w:t>
      </w:r>
      <w:r>
        <w:rPr>
          <w:rFonts w:ascii="Times New Roman" w:hAnsi="Times New Roman" w:eastAsia="宋体" w:cs="Times New Roman"/>
          <w:sz w:val="24"/>
        </w:rPr>
        <w:t>；</w:t>
      </w:r>
    </w:p>
    <w:p w14:paraId="5FDE713B">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2）</w:t>
      </w:r>
      <w:r>
        <w:rPr>
          <w:rFonts w:hint="eastAsia" w:ascii="Times New Roman" w:hAnsi="Times New Roman" w:eastAsia="宋体" w:cs="Times New Roman"/>
          <w:sz w:val="24"/>
        </w:rPr>
        <w:t>摇摆功能：摇摆频率可调节（范围：10-30次/分钟），摇摆动作平稳无卡顿</w:t>
      </w:r>
      <w:r>
        <w:rPr>
          <w:rFonts w:ascii="Times New Roman" w:hAnsi="Times New Roman" w:eastAsia="宋体" w:cs="Times New Roman"/>
          <w:sz w:val="24"/>
        </w:rPr>
        <w:t>；</w:t>
      </w:r>
    </w:p>
    <w:p w14:paraId="042F88C6">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3）</w:t>
      </w:r>
      <w:r>
        <w:rPr>
          <w:rFonts w:hint="eastAsia" w:ascii="Times New Roman" w:hAnsi="Times New Roman" w:eastAsia="宋体" w:cs="Times New Roman"/>
          <w:sz w:val="24"/>
        </w:rPr>
        <w:t>稳定性：在电压波动范围内可正常工作，连续运行无故障时间≥72 小时</w:t>
      </w:r>
      <w:r>
        <w:rPr>
          <w:rFonts w:ascii="Times New Roman" w:hAnsi="Times New Roman" w:eastAsia="宋体" w:cs="Times New Roman"/>
          <w:sz w:val="24"/>
        </w:rPr>
        <w:t>；</w:t>
      </w:r>
    </w:p>
    <w:p w14:paraId="06653022">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4）</w:t>
      </w:r>
      <w:r>
        <w:rPr>
          <w:rFonts w:hint="eastAsia" w:ascii="Times New Roman" w:hAnsi="Times New Roman" w:eastAsia="宋体" w:cs="Times New Roman"/>
          <w:sz w:val="24"/>
        </w:rPr>
        <w:t>设计规范性：基于Altium Designer 17完成原理图绘制与PCB设计，PCB板布局合理、布线规范，满足电磁兼容性要求</w:t>
      </w:r>
      <w:r>
        <w:rPr>
          <w:rFonts w:ascii="Times New Roman" w:hAnsi="Times New Roman" w:eastAsia="宋体" w:cs="Times New Roman"/>
          <w:sz w:val="24"/>
        </w:rPr>
        <w:t>。</w:t>
      </w:r>
    </w:p>
    <w:p w14:paraId="6C6CE72A">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05" w:name="_Toc216861504"/>
      <w:bookmarkStart w:id="1706" w:name="_Toc91669946"/>
      <w:bookmarkStart w:id="1707" w:name="_Toc216862515"/>
      <w:r>
        <w:rPr>
          <w:rFonts w:ascii="Times New Roman" w:hAnsi="Times New Roman" w:eastAsia="宋体" w:cs="Times New Roman"/>
          <w:kern w:val="2"/>
          <w:sz w:val="24"/>
          <w:szCs w:val="24"/>
          <w:lang w:val="en-US" w:eastAsia="zh-CN" w:bidi="ar-SA"/>
        </w:rPr>
        <w:t>2.1.2国内外研究现状</w:t>
      </w:r>
      <w:bookmarkEnd w:id="1705"/>
      <w:bookmarkEnd w:id="1706"/>
      <w:bookmarkEnd w:id="1707"/>
    </w:p>
    <w:p w14:paraId="60626BD8">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摇摆钟电路的发展已历经机械控制、模拟电路控制到数字电路控制三个阶段。在国外，欧美国家较早开展电子摇摆钟技术研究，采用高精度时钟芯片与专用控制模块，实现了计时精度与机械联动的高效协同，其产品在稳定性与外观设计上具有优势，但成本较高且技术封闭性强。</w:t>
      </w:r>
    </w:p>
    <w:p w14:paraId="7D9C6D2C">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国内研究主要集中在基于单片机的低成本解决方案，相关文献提出了多种基于51系列、STM32系列单片机的摇摆钟设计方案。部分方案通过优化时钟电路与驱动算法，提升了计时精度与摇摆稳定性；另有研究采用PWM脉冲宽度调制技术实现摇摆频率的无级调节，增强了系统的灵活性。在电路设计工具方面，传统设计多依赖Proteus等仿真软件，而基于Altium Designer 17的一体化设计方案逐渐成为主流，其优势在于可实现原理图、PCB设计、元件库管理的无缝衔接，提升设计效率与电路可靠性。</w:t>
      </w:r>
    </w:p>
    <w:p w14:paraId="52046904">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目前主流的设计思路包括：</w:t>
      </w:r>
    </w:p>
    <w:p w14:paraId="6E015FAB">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1）基于专用时钟芯片的设计方案：采用DS12887、DS3231等高精度时钟芯片，简化计时模块的软件编程，提升计时准确性；</w:t>
      </w:r>
    </w:p>
    <w:p w14:paraId="1191B8E7">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2）基于单片机的集成化设计方案：通过单片机实现计时、摇摆驱动、参数设置等功能的一体化控制，降低硬件复杂度；</w:t>
      </w:r>
    </w:p>
    <w:p w14:paraId="7C85098C">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3）智能控制方案：融入传感器技术与无线通信模块，实现摇摆钟的远程控制与状态监测；</w:t>
      </w:r>
    </w:p>
    <w:p w14:paraId="6AC130A3">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4）规范化设计方案：利用Altium Designer 17等专业工具进行原理图绘制与PCB布局布线，保障电路的电磁兼容性与可制造性。</w:t>
      </w:r>
    </w:p>
    <w:p w14:paraId="508E995E">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综合来看，现有方案在计时精度与基本功能实现上已较为成熟，但在低功耗优化、摇摆动作的平稳性控制、基于专业设计工具的规范化开发等方面仍有提升空间，本项目将针对这些痛点进行优化设计</w:t>
      </w:r>
      <w:r>
        <w:rPr>
          <w:rFonts w:ascii="Times New Roman" w:hAnsi="Times New Roman" w:eastAsia="宋体" w:cs="Times New Roman"/>
          <w:sz w:val="24"/>
        </w:rPr>
        <w:t>。</w:t>
      </w:r>
    </w:p>
    <w:p w14:paraId="490D198D">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08" w:name="_Toc2688"/>
      <w:bookmarkStart w:id="1709" w:name="_Toc216861505"/>
      <w:bookmarkStart w:id="1710" w:name="_Toc216862516"/>
      <w:bookmarkStart w:id="1711" w:name="_Toc28395"/>
      <w:r>
        <w:rPr>
          <w:rFonts w:ascii="Times New Roman" w:hAnsi="Times New Roman" w:eastAsia="宋体" w:cs="Times New Roman"/>
          <w:bCs/>
          <w:kern w:val="2"/>
          <w:sz w:val="24"/>
          <w:szCs w:val="32"/>
          <w:lang w:val="en-US" w:eastAsia="zh-CN" w:bidi="ar-SA"/>
        </w:rPr>
        <w:t>2.2 可行性分析</w:t>
      </w:r>
      <w:bookmarkEnd w:id="1708"/>
      <w:bookmarkEnd w:id="1709"/>
      <w:bookmarkEnd w:id="1710"/>
      <w:bookmarkEnd w:id="1711"/>
    </w:p>
    <w:p w14:paraId="4E40C7B7">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本项目在技术、经济与应用层面均具备充分可行性。技术上，核心采用P80C528BPN单片机、DS12887时钟芯片、LM324运算放大器等成熟电子元件，搭配Altium Designer 17等专业设计与仿真工具，能保障电路设计的规范性、可靠性及开发效率，且小组成员具备扎实的相关技术与工具操作基础，可顺利推进项目开发；经济上，所用硬件元件均为市场常见通用型产品，整套电路硬件成本可控在100元以内，软件可通过教育版授权获取，调试工具常规易备，开发成本较低，同时基于Altium Designer 17设计的PCB板支持批量生产，具备市场应用价值；应用上，摇摆钟电路场景适配广泛，既可用作家居装饰提升生活品质、作为礼品产品，也能作为电子技术与PCB设计课程的教学实践案例，还可经优化后用于工业低速机械联动设备控制，具有明确的实际需求与应用价值。</w:t>
      </w:r>
    </w:p>
    <w:p w14:paraId="44476502">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12" w:name="_Toc26807662"/>
      <w:bookmarkStart w:id="1713" w:name="_Toc13190"/>
      <w:bookmarkStart w:id="1714" w:name="_Toc216862517"/>
      <w:bookmarkStart w:id="1715" w:name="_Toc26807635"/>
      <w:bookmarkStart w:id="1716" w:name="_Toc31725"/>
      <w:bookmarkStart w:id="1717" w:name="_Toc216861506"/>
      <w:r>
        <w:rPr>
          <w:rFonts w:ascii="Times New Roman" w:hAnsi="Times New Roman" w:eastAsia="宋体" w:cs="Times New Roman"/>
          <w:bCs/>
          <w:kern w:val="2"/>
          <w:sz w:val="24"/>
          <w:szCs w:val="32"/>
          <w:lang w:val="en-US" w:eastAsia="zh-CN" w:bidi="ar-SA"/>
        </w:rPr>
        <w:t>2.3功能分析</w:t>
      </w:r>
      <w:bookmarkEnd w:id="1712"/>
      <w:bookmarkEnd w:id="1713"/>
      <w:bookmarkEnd w:id="1714"/>
      <w:bookmarkEnd w:id="1715"/>
      <w:bookmarkEnd w:id="1716"/>
      <w:bookmarkEnd w:id="1717"/>
    </w:p>
    <w:p w14:paraId="75280742">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本项目设计的摇摆钟电路以 “精准计时、稳定摇摆、便捷操作、可靠运行” 为核心目标，系统分为硬件层与软件层，硬件层负责信号采集、驱动输出与状态显示，软件层负责逻辑控制、参数计算与功能实现。根据用户需求与应用场景，系统功能划分为基本功能、核心功能与数据存储与显示功能三部分</w:t>
      </w:r>
      <w:r>
        <w:rPr>
          <w:rFonts w:ascii="Times New Roman" w:hAnsi="Times New Roman" w:eastAsia="宋体" w:cs="Times New Roman"/>
          <w:sz w:val="24"/>
        </w:rPr>
        <w:t>。</w:t>
      </w:r>
    </w:p>
    <w:p w14:paraId="5A7C7F8A">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18" w:name="_Toc216861507"/>
      <w:bookmarkStart w:id="1719" w:name="_Toc216862518"/>
      <w:r>
        <w:rPr>
          <w:rFonts w:ascii="Times New Roman" w:hAnsi="Times New Roman" w:eastAsia="宋体" w:cs="Times New Roman"/>
          <w:kern w:val="2"/>
          <w:sz w:val="24"/>
          <w:szCs w:val="24"/>
          <w:lang w:val="en-US" w:eastAsia="zh-CN" w:bidi="ar-SA"/>
        </w:rPr>
        <w:t>2.3.1基本功能</w:t>
      </w:r>
      <w:bookmarkEnd w:id="1718"/>
      <w:bookmarkEnd w:id="1719"/>
    </w:p>
    <w:p w14:paraId="41D66996">
      <w:pPr>
        <w:spacing w:line="4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1）</w:t>
      </w:r>
      <w:r>
        <w:rPr>
          <w:rFonts w:hint="eastAsia" w:ascii="Times New Roman" w:hAnsi="Times New Roman" w:eastAsia="宋体" w:cs="Times New Roman"/>
          <w:sz w:val="24"/>
        </w:rPr>
        <w:t>电源管理：支持市电（220V 转 5V）与锂电池（3.7V）双供电模式，具备电源切换自动检测与保护功能，避免电压波动对电路造成损坏；</w:t>
      </w:r>
    </w:p>
    <w:p w14:paraId="66869F32">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2）时间显示：通过LED数码管或LCD1602显示屏，实时显示年、月、日、时、分、秒信息，显示亮度可调节；</w:t>
      </w:r>
    </w:p>
    <w:p w14:paraId="1881B008">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3）按键操作：设置模式选择键、时间调节键、确认键、复位键，支持用户手动校准时间、切换显示格式；</w:t>
      </w:r>
    </w:p>
    <w:p w14:paraId="74F2945D">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4）状态指示：通过LED指示灯显示电源状态、工作模式、故障报警等信息，便于用户快速了解系统运行情况；</w:t>
      </w:r>
    </w:p>
    <w:p w14:paraId="4B1AAA18">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5）复位功能：支持手动复位与上电自动复位，确保系统异常时可快速恢复正常工作。</w:t>
      </w:r>
    </w:p>
    <w:p w14:paraId="2FC675D9">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20" w:name="_Toc216861508"/>
      <w:bookmarkStart w:id="1721" w:name="_Toc216862519"/>
      <w:r>
        <w:rPr>
          <w:rFonts w:ascii="Times New Roman" w:hAnsi="Times New Roman" w:eastAsia="宋体" w:cs="Times New Roman"/>
          <w:kern w:val="2"/>
          <w:sz w:val="24"/>
          <w:szCs w:val="24"/>
          <w:lang w:val="en-US" w:eastAsia="zh-CN" w:bidi="ar-SA"/>
        </w:rPr>
        <w:t>2.3.2</w:t>
      </w:r>
      <w:r>
        <w:rPr>
          <w:rFonts w:hint="eastAsia" w:ascii="Times New Roman" w:hAnsi="Times New Roman" w:eastAsia="宋体" w:cs="Times New Roman"/>
          <w:kern w:val="2"/>
          <w:sz w:val="24"/>
          <w:szCs w:val="24"/>
          <w:lang w:val="en-US" w:eastAsia="zh-CN" w:bidi="ar-SA"/>
        </w:rPr>
        <w:t>核心</w:t>
      </w:r>
      <w:r>
        <w:rPr>
          <w:rFonts w:ascii="Times New Roman" w:hAnsi="Times New Roman" w:eastAsia="宋体" w:cs="Times New Roman"/>
          <w:kern w:val="2"/>
          <w:sz w:val="24"/>
          <w:szCs w:val="24"/>
          <w:lang w:val="en-US" w:eastAsia="zh-CN" w:bidi="ar-SA"/>
        </w:rPr>
        <w:t>功能</w:t>
      </w:r>
      <w:bookmarkEnd w:id="1720"/>
      <w:bookmarkEnd w:id="1721"/>
    </w:p>
    <w:p w14:paraId="1EF1F2CD">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1）精准计时：基于DS12887时钟芯片与单片机定时器中断，实现高精度计时，时间误差≤±1 秒/天，支持闰年自动修正；</w:t>
      </w:r>
    </w:p>
    <w:p w14:paraId="5ABF8C09">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2）摇摆驱动控制：通过LM324运算放大器放大单片机输出的PWM信号，驱动步进电机或直流电机实现摇摆动作，摇摆频率可在 10-30 次 / 分钟范围内调节，摇摆角度可通过软件参数设置（范围：30°-60°）；</w:t>
      </w:r>
    </w:p>
    <w:p w14:paraId="45686F01">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3）故障监测与报警：实时监测电源电压、电机工作电流、时钟芯片状态，当检测到异常（如电压过低、电机卡滞、时钟芯片故障）时，通过蜂鸣器报警并点亮故障指示灯；</w:t>
      </w:r>
    </w:p>
    <w:p w14:paraId="13149105">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4）参数记忆功能：系统断电后，通过时钟芯片内置锂电池与单片机EEPROM保存用户设置的时间参数、摇摆频率、显示亮度等信息，上电后自动恢复</w:t>
      </w:r>
      <w:r>
        <w:rPr>
          <w:rFonts w:ascii="Times New Roman" w:hAnsi="Times New Roman" w:eastAsia="宋体" w:cs="Times New Roman"/>
          <w:sz w:val="24"/>
        </w:rPr>
        <w:t>。</w:t>
      </w:r>
    </w:p>
    <w:p w14:paraId="294D6B35">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22" w:name="_Toc216862520"/>
      <w:bookmarkStart w:id="1723" w:name="_Toc216861509"/>
      <w:r>
        <w:rPr>
          <w:rFonts w:ascii="Times New Roman" w:hAnsi="Times New Roman" w:eastAsia="宋体" w:cs="Times New Roman"/>
          <w:kern w:val="2"/>
          <w:sz w:val="24"/>
          <w:szCs w:val="24"/>
          <w:lang w:val="en-US" w:eastAsia="zh-CN" w:bidi="ar-SA"/>
        </w:rPr>
        <w:t>2.3.3数据存储</w:t>
      </w:r>
      <w:r>
        <w:rPr>
          <w:rFonts w:hint="eastAsia" w:ascii="Times New Roman" w:hAnsi="Times New Roman" w:eastAsia="宋体" w:cs="Times New Roman"/>
          <w:kern w:val="2"/>
          <w:sz w:val="24"/>
          <w:szCs w:val="24"/>
          <w:lang w:val="en-US" w:eastAsia="zh-CN" w:bidi="ar-SA"/>
        </w:rPr>
        <w:t>与显示</w:t>
      </w:r>
      <w:r>
        <w:rPr>
          <w:rFonts w:ascii="Times New Roman" w:hAnsi="Times New Roman" w:eastAsia="宋体" w:cs="Times New Roman"/>
          <w:kern w:val="2"/>
          <w:sz w:val="24"/>
          <w:szCs w:val="24"/>
          <w:lang w:val="en-US" w:eastAsia="zh-CN" w:bidi="ar-SA"/>
        </w:rPr>
        <w:t>功能</w:t>
      </w:r>
      <w:bookmarkEnd w:id="1722"/>
      <w:bookmarkEnd w:id="1723"/>
    </w:p>
    <w:p w14:paraId="587F1F95">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1）数据存储：通过DS12887时钟芯片内置RAM与单片机EEPROM，存储时间数据、用户设置参数、故障记录等信息，存储容量满足100条故障记录与 10 组用户参数的保存需求；</w:t>
      </w:r>
    </w:p>
    <w:p w14:paraId="5187F842">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2）数据显示：支持两种显示模式切换，数码管显示模式用于快速查看时间信息，LCD显示模式可同时显示时间、摇摆参数、电源状态等详细信息；</w:t>
      </w:r>
    </w:p>
    <w:p w14:paraId="4DC0B30B">
      <w:pPr>
        <w:spacing w:line="4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3）数据导出（扩展功能）：预留串口接口，支持通过USB转串口模块将时间数据、故障记录导出至电脑，便于数据统计与分析。</w:t>
      </w:r>
    </w:p>
    <w:p w14:paraId="5140AE45">
      <w:pPr>
        <w:keepNext/>
        <w:keepLines/>
        <w:widowControl w:val="0"/>
        <w:spacing w:line="440" w:lineRule="exact"/>
        <w:jc w:val="both"/>
        <w:outlineLvl w:val="9"/>
        <w:rPr>
          <w:rFonts w:ascii="Times New Roman" w:hAnsi="Times New Roman" w:eastAsia="宋体" w:cs="Times New Roman"/>
          <w:b/>
          <w:bCs/>
          <w:kern w:val="44"/>
          <w:sz w:val="28"/>
          <w:szCs w:val="44"/>
          <w:lang w:val="en-US" w:eastAsia="zh-CN" w:bidi="ar-SA"/>
        </w:rPr>
      </w:pPr>
      <w:bookmarkStart w:id="1724" w:name="_Toc31141"/>
      <w:bookmarkStart w:id="1725" w:name="_Toc216862521"/>
      <w:bookmarkStart w:id="1726" w:name="_Toc216861510"/>
      <w:bookmarkStart w:id="1727" w:name="_Toc6892"/>
      <w:r>
        <w:rPr>
          <w:rFonts w:ascii="Times New Roman" w:hAnsi="Times New Roman" w:eastAsia="宋体" w:cs="Times New Roman"/>
          <w:b/>
          <w:bCs/>
          <w:kern w:val="44"/>
          <w:sz w:val="28"/>
          <w:szCs w:val="44"/>
          <w:lang w:val="en-US" w:eastAsia="zh-CN" w:bidi="ar-SA"/>
        </w:rPr>
        <w:t>3系统</w:t>
      </w:r>
      <w:bookmarkEnd w:id="1724"/>
      <w:r>
        <w:rPr>
          <w:rFonts w:hint="eastAsia" w:ascii="Times New Roman" w:hAnsi="Times New Roman" w:eastAsia="宋体" w:cs="Times New Roman"/>
          <w:b/>
          <w:bCs/>
          <w:kern w:val="44"/>
          <w:sz w:val="28"/>
          <w:szCs w:val="44"/>
          <w:lang w:val="en-US" w:eastAsia="zh-CN" w:bidi="ar-SA"/>
        </w:rPr>
        <w:t>设计</w:t>
      </w:r>
      <w:bookmarkEnd w:id="1725"/>
      <w:bookmarkEnd w:id="1726"/>
      <w:bookmarkEnd w:id="1727"/>
    </w:p>
    <w:p w14:paraId="32B0263D">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28" w:name="_Toc216862522"/>
      <w:bookmarkStart w:id="1729" w:name="_Toc4404"/>
      <w:bookmarkStart w:id="1730" w:name="_Toc216861511"/>
      <w:bookmarkStart w:id="1731" w:name="_Toc91669958"/>
      <w:bookmarkStart w:id="1732" w:name="_Toc1678"/>
      <w:r>
        <w:rPr>
          <w:rFonts w:ascii="Times New Roman" w:hAnsi="Times New Roman" w:eastAsia="宋体" w:cs="Times New Roman"/>
          <w:bCs/>
          <w:kern w:val="2"/>
          <w:sz w:val="24"/>
          <w:szCs w:val="32"/>
          <w:lang w:val="en-US" w:eastAsia="zh-CN" w:bidi="ar-SA"/>
        </w:rPr>
        <w:t>3.1 系统架构</w:t>
      </w:r>
      <w:bookmarkEnd w:id="1728"/>
      <w:bookmarkEnd w:id="1729"/>
      <w:bookmarkEnd w:id="1730"/>
      <w:bookmarkEnd w:id="1731"/>
      <w:bookmarkEnd w:id="1732"/>
    </w:p>
    <w:p w14:paraId="51806DE5">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33" w:name="_Toc216861512"/>
      <w:bookmarkStart w:id="1734" w:name="_Toc216862523"/>
      <w:r>
        <w:rPr>
          <w:rFonts w:ascii="Times New Roman" w:hAnsi="Times New Roman" w:eastAsia="宋体" w:cs="Times New Roman"/>
          <w:kern w:val="2"/>
          <w:sz w:val="24"/>
          <w:szCs w:val="24"/>
          <w:lang w:val="en-US" w:eastAsia="zh-CN" w:bidi="ar-SA"/>
        </w:rPr>
        <w:t xml:space="preserve">3.1.1 </w:t>
      </w:r>
      <w:r>
        <w:rPr>
          <w:rFonts w:hint="eastAsia" w:ascii="Times New Roman" w:hAnsi="Times New Roman" w:eastAsia="宋体" w:cs="Times New Roman"/>
          <w:kern w:val="2"/>
          <w:sz w:val="24"/>
          <w:szCs w:val="24"/>
          <w:lang w:val="en-US" w:eastAsia="zh-CN" w:bidi="ar-SA"/>
        </w:rPr>
        <w:t>硬件架构</w:t>
      </w:r>
      <w:bookmarkEnd w:id="1733"/>
      <w:bookmarkEnd w:id="1734"/>
    </w:p>
    <w:p w14:paraId="32392437">
      <w:pPr>
        <w:spacing w:line="440" w:lineRule="exact"/>
        <w:ind w:firstLine="480" w:firstLineChars="200"/>
        <w:rPr>
          <w:rFonts w:hint="eastAsia" w:ascii="宋体" w:hAnsi="宋体" w:eastAsia="宋体" w:cs="宋体"/>
          <w:sz w:val="24"/>
        </w:rPr>
      </w:pPr>
      <w:r>
        <w:rPr>
          <w:rFonts w:hint="eastAsia" w:ascii="宋体" w:hAnsi="宋体" w:eastAsia="宋体" w:cs="宋体"/>
          <w:sz w:val="24"/>
        </w:rPr>
        <w:t>本摇摆钟电路系统以P80C528BPN单片机为核心控制单元，构建了包含时钟模块、放大模块、控制模块、电源模块及显示与操作模块的硬件架构，各模块协同工作实现精准计时与稳定摇摆功能。</w:t>
      </w:r>
    </w:p>
    <w:p w14:paraId="569D87A6">
      <w:pPr>
        <w:spacing w:line="440" w:lineRule="exact"/>
        <w:ind w:firstLine="480" w:firstLineChars="200"/>
        <w:rPr>
          <w:rFonts w:hint="eastAsia" w:ascii="宋体" w:hAnsi="宋体" w:eastAsia="宋体" w:cs="宋体"/>
          <w:sz w:val="24"/>
        </w:rPr>
      </w:pPr>
      <w:r>
        <w:rPr>
          <w:rFonts w:hint="eastAsia" w:ascii="宋体" w:hAnsi="宋体" w:eastAsia="宋体" w:cs="宋体"/>
          <w:sz w:val="24"/>
        </w:rPr>
        <w:t>1.核心控制模块：采用P80C528BPN单片机作为主控芯片，负责接收外部操作指令、处理计时数据、输出摇摆驱动信号及故障监测逻辑。单片机通过I/O口与其他模块建立通信，实现数据的传输与控制指令的下发，是系统的核心运算与控制中心。</w:t>
      </w:r>
    </w:p>
    <w:p w14:paraId="4E21E8A3">
      <w:pPr>
        <w:spacing w:line="440" w:lineRule="exact"/>
        <w:ind w:firstLine="480" w:firstLineChars="200"/>
        <w:rPr>
          <w:rFonts w:hint="eastAsia" w:ascii="宋体" w:hAnsi="宋体" w:eastAsia="宋体" w:cs="宋体"/>
          <w:sz w:val="24"/>
        </w:rPr>
      </w:pPr>
      <w:r>
        <w:rPr>
          <w:rFonts w:hint="eastAsia" w:ascii="宋体" w:hAnsi="宋体" w:eastAsia="宋体" w:cs="宋体"/>
          <w:sz w:val="24"/>
        </w:rPr>
        <w:t>2.时钟模块：选用DS12887高精度时钟芯片，为系统提供稳定的时间基准。该芯片内置锂电池，支持断电后时间数据的长期保存，无需额外备用电源设计，可直接输出年、月、日、时、分、秒等时间信息，通过地址线与数据线与单片机双向通信，保障计时精度。</w:t>
      </w:r>
    </w:p>
    <w:p w14:paraId="7D6A2F0C">
      <w:pPr>
        <w:spacing w:line="440" w:lineRule="exact"/>
        <w:ind w:firstLine="480" w:firstLineChars="200"/>
        <w:rPr>
          <w:rFonts w:hint="eastAsia" w:ascii="宋体" w:hAnsi="宋体" w:eastAsia="宋体" w:cs="宋体"/>
          <w:sz w:val="24"/>
        </w:rPr>
      </w:pPr>
      <w:r>
        <w:rPr>
          <w:rFonts w:hint="eastAsia" w:ascii="宋体" w:hAnsi="宋体" w:eastAsia="宋体" w:cs="宋体"/>
          <w:sz w:val="24"/>
        </w:rPr>
        <w:t>3.放大模块：基于LM324运算放大器构建信号放大电路，将单片机输出的 PWM 驱动信号进行功率放大，以满足步进电机或直流电机的驱动需求。电路中配置33K、1M、100K等不同阻值电阻及330nF电容，用于信号调理与阻抗匹配，确保输出信号稳定、无失真。</w:t>
      </w:r>
    </w:p>
    <w:p w14:paraId="20C32ACC">
      <w:pPr>
        <w:spacing w:line="440" w:lineRule="exact"/>
        <w:ind w:firstLine="480" w:firstLineChars="200"/>
        <w:rPr>
          <w:rFonts w:hint="eastAsia" w:ascii="宋体" w:hAnsi="宋体" w:eastAsia="宋体" w:cs="宋体"/>
          <w:sz w:val="24"/>
        </w:rPr>
      </w:pPr>
      <w:r>
        <w:rPr>
          <w:rFonts w:hint="eastAsia" w:ascii="宋体" w:hAnsi="宋体" w:eastAsia="宋体" w:cs="宋体"/>
          <w:sz w:val="24"/>
        </w:rPr>
        <w:t>4.控制模块：包含电机驱动电路、按键控制电路及故障检测电路。电机驱动电路接收放大后的PWM信号，控制电机的转速与转向，实现摇摆动作；按键控制电路设置模式选择、时间调节、确认及复位按键，为用户提供手动操作接口；故障检测电路实时监测电源电压、电机工作电流等参数，为故障报警功能提供硬件支持。</w:t>
      </w:r>
    </w:p>
    <w:p w14:paraId="4A75DA78">
      <w:pPr>
        <w:spacing w:line="440" w:lineRule="exact"/>
        <w:ind w:firstLine="480" w:firstLineChars="200"/>
        <w:rPr>
          <w:rFonts w:hint="eastAsia" w:ascii="宋体" w:hAnsi="宋体" w:eastAsia="宋体" w:cs="宋体"/>
          <w:sz w:val="24"/>
        </w:rPr>
      </w:pPr>
      <w:r>
        <w:rPr>
          <w:rFonts w:hint="eastAsia" w:ascii="宋体" w:hAnsi="宋体" w:eastAsia="宋体" w:cs="宋体"/>
          <w:sz w:val="24"/>
        </w:rPr>
        <w:t>5.电源模块：支持市电220V转5V直流供电与3.7V锂电池双供电模式，配置47uF、104等规格电容实现滤波稳压，保障电路在电压波动范围内稳定工作，同时具备电源切换自动检测与保护机制，避免电压异常对元件造成损坏。</w:t>
      </w:r>
    </w:p>
    <w:p w14:paraId="5F185796">
      <w:pPr>
        <w:spacing w:line="440" w:lineRule="exact"/>
        <w:ind w:firstLine="480" w:firstLineChars="200"/>
        <w:rPr>
          <w:rFonts w:hint="eastAsia" w:ascii="宋体" w:hAnsi="宋体" w:eastAsia="宋体" w:cs="宋体"/>
          <w:sz w:val="24"/>
        </w:rPr>
      </w:pPr>
      <w:r>
        <w:rPr>
          <w:rFonts w:hint="eastAsia" w:ascii="宋体" w:hAnsi="宋体" w:eastAsia="宋体" w:cs="宋体"/>
          <w:sz w:val="24"/>
        </w:rPr>
        <w:t>6.显示与指示模块：采用LED数码管与LCD1602显示屏双显示方案，数码管用于快速显示时间信息，LCD显示屏可同步展示时间、摇摆频率、电源状态等详细参数；配置LED指示灯用于电源状态、工作模式及故障报警的可视化指示+</w:t>
      </w:r>
    </w:p>
    <w:p w14:paraId="3B7614B3">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35" w:name="_Toc216861513"/>
      <w:bookmarkStart w:id="1736" w:name="_Toc216862524"/>
      <w:r>
        <w:rPr>
          <w:rFonts w:ascii="Times New Roman" w:hAnsi="Times New Roman" w:eastAsia="宋体" w:cs="Times New Roman"/>
          <w:kern w:val="2"/>
          <w:sz w:val="24"/>
          <w:szCs w:val="24"/>
          <w:lang w:val="en-US" w:eastAsia="zh-CN" w:bidi="ar-SA"/>
        </w:rPr>
        <w:t xml:space="preserve">3.1.2 </w:t>
      </w:r>
      <w:r>
        <w:rPr>
          <w:rFonts w:hint="eastAsia" w:ascii="Times New Roman" w:hAnsi="Times New Roman" w:eastAsia="宋体" w:cs="Times New Roman"/>
          <w:kern w:val="2"/>
          <w:sz w:val="24"/>
          <w:szCs w:val="24"/>
          <w:lang w:val="en-US" w:eastAsia="zh-CN" w:bidi="ar-SA"/>
        </w:rPr>
        <w:t>软件架构</w:t>
      </w:r>
      <w:bookmarkEnd w:id="1735"/>
      <w:bookmarkEnd w:id="1736"/>
    </w:p>
    <w:p w14:paraId="1C48679E">
      <w:pPr>
        <w:spacing w:line="440" w:lineRule="exact"/>
        <w:ind w:firstLine="480" w:firstLineChars="200"/>
        <w:rPr>
          <w:rFonts w:hint="eastAsia" w:ascii="宋体" w:hAnsi="宋体" w:eastAsia="宋体" w:cs="宋体"/>
          <w:sz w:val="24"/>
        </w:rPr>
      </w:pPr>
      <w:r>
        <w:rPr>
          <w:rFonts w:hint="eastAsia" w:ascii="宋体" w:hAnsi="宋体" w:eastAsia="宋体" w:cs="宋体"/>
          <w:sz w:val="24"/>
        </w:rPr>
        <w:t>软件系统基于模块化设计思想，采用C语言编程实现，运行于P80C528BPN单片机的程序存储空间，主要包含主程序模块、计时模块、摇摆驱动模块、按键处理模块、故障监测模块及数据存储模块。</w:t>
      </w:r>
    </w:p>
    <w:p w14:paraId="694FE3D6">
      <w:pPr>
        <w:spacing w:line="440" w:lineRule="exact"/>
        <w:ind w:firstLine="480" w:firstLineChars="200"/>
        <w:rPr>
          <w:rFonts w:hint="eastAsia" w:ascii="宋体" w:hAnsi="宋体" w:eastAsia="宋体" w:cs="宋体"/>
          <w:sz w:val="24"/>
        </w:rPr>
      </w:pPr>
      <w:r>
        <w:rPr>
          <w:rFonts w:hint="eastAsia" w:ascii="宋体" w:hAnsi="宋体" w:eastAsia="宋体" w:cs="宋体"/>
          <w:sz w:val="24"/>
        </w:rPr>
        <w:t>1.主程序模块：作为软件系统的入口，负责初始化系统时钟、I/O口、外设模块及中断配置，构建主循环流程，协调各功能模块的运行，实现系统状态的实时更新与任务调度。</w:t>
      </w:r>
    </w:p>
    <w:p w14:paraId="5157CAAD">
      <w:pPr>
        <w:spacing w:line="440" w:lineRule="exact"/>
        <w:ind w:firstLine="480" w:firstLineChars="200"/>
        <w:rPr>
          <w:rFonts w:hint="eastAsia" w:ascii="宋体" w:hAnsi="宋体" w:eastAsia="宋体" w:cs="宋体"/>
          <w:sz w:val="24"/>
        </w:rPr>
      </w:pPr>
      <w:r>
        <w:rPr>
          <w:rFonts w:hint="eastAsia" w:ascii="宋体" w:hAnsi="宋体" w:eastAsia="宋体" w:cs="宋体"/>
          <w:sz w:val="24"/>
        </w:rPr>
        <w:t>2.计时模块：通过读取DS12887时钟芯片的时间数据，进行时间换算与校准，实现年、月、日、时、分、秒的精准计算与更新，确保时间误差≤±1秒/天，同时支持闰年自动修正功能。</w:t>
      </w:r>
    </w:p>
    <w:p w14:paraId="7C2E7B14">
      <w:pPr>
        <w:spacing w:line="440" w:lineRule="exact"/>
        <w:ind w:firstLine="480" w:firstLineChars="200"/>
        <w:rPr>
          <w:rFonts w:hint="eastAsia" w:ascii="宋体" w:hAnsi="宋体" w:eastAsia="宋体" w:cs="宋体"/>
          <w:sz w:val="24"/>
        </w:rPr>
      </w:pPr>
      <w:r>
        <w:rPr>
          <w:rFonts w:hint="eastAsia" w:ascii="宋体" w:hAnsi="宋体" w:eastAsia="宋体" w:cs="宋体"/>
          <w:sz w:val="24"/>
        </w:rPr>
        <w:t>3.摇摆驱动模块：采用PWM脉冲宽度调制技术，生成10-30次/分钟可调频率的驱动信号，通过控制电机的正反转与运行时间，实现摇摆动作的平稳输出，避免卡顿现象。通过软件算法优化电机启停逻辑，提升摇摆动作的顺滑度。</w:t>
      </w:r>
    </w:p>
    <w:p w14:paraId="224C2BBA">
      <w:pPr>
        <w:spacing w:line="440" w:lineRule="exact"/>
        <w:ind w:firstLine="480" w:firstLineChars="200"/>
        <w:rPr>
          <w:rFonts w:hint="eastAsia" w:ascii="宋体" w:hAnsi="宋体" w:eastAsia="宋体" w:cs="宋体"/>
          <w:sz w:val="24"/>
        </w:rPr>
      </w:pPr>
      <w:r>
        <w:rPr>
          <w:rFonts w:hint="eastAsia" w:ascii="宋体" w:hAnsi="宋体" w:eastAsia="宋体" w:cs="宋体"/>
          <w:sz w:val="24"/>
        </w:rPr>
        <w:t>4.按键处理模块：采用中断触发方式处理用户按键操作，支持时间校准、摇摆频率调节、显示模式切换、系统复位等功能，具备按键防抖处理机制，确保操作指令的准确响应。</w:t>
      </w:r>
    </w:p>
    <w:p w14:paraId="74C03227">
      <w:pPr>
        <w:spacing w:line="440" w:lineRule="exact"/>
        <w:ind w:firstLine="480" w:firstLineChars="200"/>
        <w:rPr>
          <w:rFonts w:hint="eastAsia" w:ascii="宋体" w:hAnsi="宋体" w:eastAsia="宋体" w:cs="宋体"/>
          <w:sz w:val="24"/>
        </w:rPr>
      </w:pPr>
      <w:r>
        <w:rPr>
          <w:rFonts w:hint="eastAsia" w:ascii="宋体" w:hAnsi="宋体" w:eastAsia="宋体" w:cs="宋体"/>
          <w:sz w:val="24"/>
        </w:rPr>
        <w:t>5.故障监测模块：实时采集电源电压、电机工作电流及时钟芯片状态数据，与预设阈值进行对比，当检测到电压过低、电机卡滞、时钟芯片故障等异常情况时，触发蜂鸣器报警并点亮故障指示灯，同时记录故障信息。</w:t>
      </w:r>
    </w:p>
    <w:p w14:paraId="6677755A">
      <w:pPr>
        <w:spacing w:line="440" w:lineRule="exact"/>
        <w:ind w:firstLine="480" w:firstLineChars="200"/>
        <w:rPr>
          <w:rFonts w:hint="eastAsia" w:ascii="宋体" w:hAnsi="宋体" w:eastAsia="宋体" w:cs="宋体"/>
          <w:bCs/>
          <w:sz w:val="24"/>
        </w:rPr>
      </w:pPr>
      <w:r>
        <w:rPr>
          <w:rFonts w:hint="eastAsia" w:ascii="宋体" w:hAnsi="宋体" w:eastAsia="宋体" w:cs="宋体"/>
          <w:sz w:val="24"/>
        </w:rPr>
        <w:t>6.数据存储模块：利用DS12887时钟芯片内置RAM与单片机EEPROM，存储</w:t>
      </w:r>
      <w:r>
        <w:rPr>
          <w:rFonts w:hint="eastAsia" w:ascii="宋体" w:hAnsi="宋体" w:eastAsia="宋体" w:cs="宋体"/>
          <w:bCs/>
          <w:sz w:val="24"/>
        </w:rPr>
        <w:t xml:space="preserve">用户设置的时间参数、摇摆频率、显示亮度等配置信息，以及故障记录数据，支持100条故障记录与10组用户参数的长期保存，断电后数据不丢失。 </w:t>
      </w:r>
    </w:p>
    <w:p w14:paraId="698EEEB2">
      <w:pPr>
        <w:keepNext/>
        <w:keepLines/>
        <w:widowControl w:val="0"/>
        <w:spacing w:line="440" w:lineRule="exact"/>
        <w:ind w:firstLine="0" w:firstLineChars="0"/>
        <w:jc w:val="both"/>
        <w:outlineLvl w:val="9"/>
        <w:rPr>
          <w:rFonts w:ascii="Times New Roman" w:hAnsi="Times New Roman" w:eastAsia="宋体" w:cs="Times New Roman"/>
          <w:kern w:val="2"/>
          <w:sz w:val="24"/>
          <w:szCs w:val="24"/>
          <w:lang w:val="en-US" w:eastAsia="zh-CN" w:bidi="ar-SA"/>
        </w:rPr>
      </w:pPr>
      <w:r>
        <w:rPr>
          <w:rFonts w:hint="eastAsia" w:ascii="宋体" w:hAnsi="宋体" w:eastAsia="宋体" w:cs="宋体"/>
          <w:bCs/>
          <w:kern w:val="2"/>
          <w:sz w:val="24"/>
          <w:szCs w:val="24"/>
          <w:lang w:val="en-US" w:eastAsia="zh-CN" w:bidi="ar-SA"/>
        </w:rPr>
        <w:t xml:space="preserve">    </w:t>
      </w:r>
      <w:bookmarkStart w:id="1737" w:name="_Toc216862525"/>
      <w:bookmarkStart w:id="1738" w:name="_Toc216861514"/>
      <w:r>
        <w:rPr>
          <w:rFonts w:hint="eastAsia" w:ascii="宋体" w:hAnsi="宋体" w:eastAsia="宋体" w:cs="宋体"/>
          <w:bCs/>
          <w:kern w:val="2"/>
          <w:sz w:val="24"/>
          <w:szCs w:val="24"/>
          <w:lang w:val="en-US" w:eastAsia="zh-CN" w:bidi="ar-SA"/>
        </w:rPr>
        <w:t>3.1.3开发工具与环境</w:t>
      </w:r>
      <w:bookmarkEnd w:id="1737"/>
      <w:bookmarkEnd w:id="1738"/>
    </w:p>
    <w:p w14:paraId="7730BE4D">
      <w:pPr>
        <w:spacing w:line="440" w:lineRule="exact"/>
        <w:ind w:firstLine="480" w:firstLineChars="200"/>
        <w:rPr>
          <w:rFonts w:hint="eastAsia" w:ascii="宋体" w:hAnsi="宋体" w:eastAsia="宋体" w:cs="宋体"/>
          <w:sz w:val="24"/>
        </w:rPr>
      </w:pPr>
      <w:bookmarkStart w:id="1739" w:name="_Toc91669959"/>
      <w:bookmarkStart w:id="1740" w:name="_Toc32228"/>
      <w:r>
        <w:rPr>
          <w:rFonts w:hint="eastAsia" w:ascii="宋体" w:hAnsi="宋体" w:eastAsia="宋体" w:cs="宋体"/>
          <w:sz w:val="24"/>
        </w:rPr>
        <w:t>1.硬件开发工具：采用Altium Designer 17完成电路原理图绘制与PCB设计，该工具支持元件库管理、原理图与PCB的无缝衔接，可实现布局优化、布线规则设置及电磁兼容性分析，保障PCB板布局合理、布线规范，满足系统稳定运行需求。</w:t>
      </w:r>
    </w:p>
    <w:p w14:paraId="5C8ABDE7">
      <w:pPr>
        <w:spacing w:line="440" w:lineRule="exact"/>
        <w:ind w:firstLine="480" w:firstLineChars="200"/>
        <w:rPr>
          <w:rFonts w:hint="eastAsia" w:ascii="宋体" w:hAnsi="宋体" w:eastAsia="宋体" w:cs="宋体"/>
          <w:sz w:val="24"/>
        </w:rPr>
      </w:pPr>
      <w:r>
        <w:rPr>
          <w:rFonts w:hint="eastAsia" w:ascii="宋体" w:hAnsi="宋体" w:eastAsia="宋体" w:cs="宋体"/>
          <w:sz w:val="24"/>
        </w:rPr>
        <w:t>2.软件开发工具：选用Keil C51编译器作为程序开发与调试平台，支持C语言程序编写、编译、链接及仿真调试，提供代码语法检查、断点调试、寄存器查看等功能，便于程序逻辑优化与错误排查。</w:t>
      </w:r>
    </w:p>
    <w:p w14:paraId="0EA871DE">
      <w:pPr>
        <w:spacing w:line="440" w:lineRule="exact"/>
        <w:ind w:firstLine="480" w:firstLineChars="200"/>
        <w:rPr>
          <w:rFonts w:hint="eastAsia" w:ascii="宋体" w:hAnsi="宋体" w:eastAsia="宋体" w:cs="宋体"/>
          <w:sz w:val="24"/>
        </w:rPr>
      </w:pPr>
      <w:r>
        <w:rPr>
          <w:rFonts w:hint="eastAsia" w:ascii="宋体" w:hAnsi="宋体" w:eastAsia="宋体" w:cs="宋体"/>
          <w:sz w:val="24"/>
        </w:rPr>
        <w:t>3.仿真与测试工具：使用Proteus仿真软件进行电路功能仿真，在实际制作 PCB板前验证电路设计的合理性与功能可行性；借助万用表、示波器等硬件测试工具，进行电压、电流、信号波形的实测与分析，确保电路参数符合设计要求。</w:t>
      </w:r>
    </w:p>
    <w:p w14:paraId="007FBE58">
      <w:pPr>
        <w:keepNext/>
        <w:keepLines/>
        <w:widowControl w:val="0"/>
        <w:spacing w:line="440" w:lineRule="exact"/>
        <w:ind w:firstLine="480" w:firstLineChars="200"/>
        <w:jc w:val="both"/>
        <w:outlineLvl w:val="9"/>
        <w:rPr>
          <w:rFonts w:hint="eastAsia" w:ascii="宋体" w:hAnsi="宋体" w:eastAsia="宋体" w:cs="宋体"/>
          <w:bCs/>
          <w:kern w:val="2"/>
          <w:sz w:val="24"/>
          <w:szCs w:val="32"/>
          <w:lang w:val="en-US" w:eastAsia="zh-CN" w:bidi="ar-SA"/>
        </w:rPr>
      </w:pPr>
      <w:bookmarkStart w:id="1741" w:name="_Toc216861515"/>
      <w:bookmarkStart w:id="1742" w:name="_Toc17021"/>
      <w:bookmarkStart w:id="1743" w:name="_Toc216862526"/>
      <w:r>
        <w:rPr>
          <w:rFonts w:hint="eastAsia" w:ascii="宋体" w:hAnsi="宋体" w:eastAsia="宋体" w:cs="宋体"/>
          <w:bCs/>
          <w:kern w:val="2"/>
          <w:sz w:val="24"/>
          <w:szCs w:val="32"/>
          <w:lang w:val="en-US" w:eastAsia="zh-CN" w:bidi="ar-SA"/>
        </w:rPr>
        <w:t xml:space="preserve">3.2 </w:t>
      </w:r>
      <w:bookmarkEnd w:id="1739"/>
      <w:bookmarkEnd w:id="1740"/>
      <w:r>
        <w:rPr>
          <w:rFonts w:hint="eastAsia" w:ascii="宋体" w:hAnsi="宋体" w:eastAsia="宋体" w:cs="宋体"/>
          <w:bCs/>
          <w:kern w:val="2"/>
          <w:sz w:val="24"/>
          <w:szCs w:val="32"/>
          <w:lang w:val="en-US" w:eastAsia="zh-CN" w:bidi="ar-SA"/>
        </w:rPr>
        <w:t>电路设计</w:t>
      </w:r>
      <w:bookmarkEnd w:id="1741"/>
      <w:bookmarkEnd w:id="1742"/>
      <w:bookmarkEnd w:id="1743"/>
    </w:p>
    <w:p w14:paraId="0B7E3871">
      <w:pPr>
        <w:keepNext/>
        <w:keepLines/>
        <w:widowControl w:val="0"/>
        <w:spacing w:line="440" w:lineRule="exact"/>
        <w:ind w:firstLine="480" w:firstLineChars="200"/>
        <w:jc w:val="both"/>
        <w:outlineLvl w:val="9"/>
        <w:rPr>
          <w:rFonts w:hint="eastAsia" w:ascii="宋体" w:hAnsi="宋体" w:eastAsia="宋体" w:cs="宋体"/>
          <w:kern w:val="2"/>
          <w:sz w:val="24"/>
          <w:szCs w:val="24"/>
          <w:lang w:val="en-US" w:eastAsia="zh-CN" w:bidi="ar-SA"/>
        </w:rPr>
      </w:pPr>
      <w:bookmarkStart w:id="1744" w:name="_Toc216862527"/>
      <w:bookmarkStart w:id="1745" w:name="_Toc216861516"/>
      <w:bookmarkStart w:id="1746" w:name="_Toc10251"/>
      <w:bookmarkStart w:id="1747" w:name="_Toc21612"/>
      <w:r>
        <w:rPr>
          <w:rFonts w:hint="eastAsia" w:ascii="宋体" w:hAnsi="宋体" w:eastAsia="宋体" w:cs="宋体"/>
          <w:kern w:val="2"/>
          <w:sz w:val="24"/>
          <w:szCs w:val="24"/>
          <w:lang w:val="en-US" w:eastAsia="zh-CN" w:bidi="ar-SA"/>
        </w:rPr>
        <w:t>3.2.1 原理图设计</w:t>
      </w:r>
      <w:bookmarkEnd w:id="1744"/>
      <w:bookmarkEnd w:id="1745"/>
    </w:p>
    <w:p w14:paraId="455F3FCE">
      <w:pPr>
        <w:spacing w:line="440" w:lineRule="exact"/>
        <w:ind w:firstLine="480" w:firstLineChars="200"/>
        <w:rPr>
          <w:rFonts w:hint="eastAsia" w:ascii="宋体" w:hAnsi="宋体" w:eastAsia="宋体" w:cs="宋体"/>
          <w:sz w:val="24"/>
        </w:rPr>
      </w:pPr>
      <w:r>
        <w:rPr>
          <w:rFonts w:hint="eastAsia" w:ascii="宋体" w:hAnsi="宋体" w:eastAsia="宋体" w:cs="宋体"/>
          <w:sz w:val="24"/>
        </w:rPr>
        <w:t>基于Altium Designer 17绘制系统原理图，各核心模块的设计如下：</w:t>
      </w:r>
    </w:p>
    <w:p w14:paraId="48D5B5E5">
      <w:pPr>
        <w:spacing w:line="440" w:lineRule="exact"/>
        <w:ind w:firstLine="480" w:firstLineChars="200"/>
        <w:rPr>
          <w:rFonts w:hint="eastAsia" w:ascii="宋体" w:hAnsi="宋体" w:eastAsia="宋体" w:cs="宋体"/>
          <w:sz w:val="24"/>
        </w:rPr>
      </w:pPr>
      <w:r>
        <w:rPr>
          <w:rFonts w:hint="eastAsia" w:ascii="宋体" w:hAnsi="宋体" w:eastAsia="宋体" w:cs="宋体"/>
          <w:sz w:val="24"/>
        </w:rPr>
        <w:t>1.核心控制电路：P80C528BPN单片机的40脚（VCC）接5V电源，20脚（GND）接地；XTAL1（19脚）与 XTAL2（18脚）外接22pF电容与晶振，构成单片机外部时钟电路；RST（9脚）接10K电阻与47uF电解电容，组成上电复位电路，确保系统上电后稳定复位。单片机的P0口（32-39 脚）作为双向I/O口，用于与 LCD 显示屏、数码管的通信；P1口（1-8脚）连接LED指示灯与电机驱动电路；P3口（10-17脚）用于按键输入、串口通信及外部中断信号接收。</w:t>
      </w:r>
    </w:p>
    <w:p w14:paraId="3F898949">
      <w:pPr>
        <w:spacing w:line="440" w:lineRule="exact"/>
        <w:ind w:firstLine="480" w:firstLineChars="200"/>
        <w:rPr>
          <w:rFonts w:hint="eastAsia" w:ascii="宋体" w:hAnsi="宋体" w:eastAsia="宋体" w:cs="宋体"/>
          <w:sz w:val="24"/>
        </w:rPr>
      </w:pPr>
      <w:r>
        <w:rPr>
          <w:rFonts w:hint="eastAsia" w:ascii="宋体" w:hAnsi="宋体" w:eastAsia="宋体" w:cs="宋体"/>
          <w:sz w:val="24"/>
        </w:rPr>
        <w:t>2.时钟电路：DS12887时钟芯片的VCC（8脚）接5V电源，GND（12脚）接地；ADO-AD7（1-7脚、9脚）与单片机P0口相连，实现数据与地址的传输；SQW（15脚）为方波输出端，用于时间基准信号输出；MOT（14脚）接电源控制端，控制芯片内部电机工作；R/W（13脚）、RD（16脚）、WR（17脚）分别与单片机的读写控制引脚连接，实现对芯片的读写操作。</w:t>
      </w:r>
    </w:p>
    <w:p w14:paraId="493809E9">
      <w:pPr>
        <w:spacing w:line="440" w:lineRule="exact"/>
        <w:ind w:firstLine="480" w:firstLineChars="200"/>
        <w:rPr>
          <w:rFonts w:hint="eastAsia" w:ascii="宋体" w:hAnsi="宋体" w:eastAsia="宋体" w:cs="宋体"/>
          <w:sz w:val="24"/>
        </w:rPr>
      </w:pPr>
      <w:r>
        <w:rPr>
          <w:rFonts w:hint="eastAsia" w:ascii="宋体" w:hAnsi="宋体" w:eastAsia="宋体" w:cs="宋体"/>
          <w:sz w:val="24"/>
        </w:rPr>
        <w:t>3.放大与电机驱动电路：LM324运算放大器的同相输入端与反相输入端通过电阻接入单片机输出的 PWM信号，输出端经限流电阻连接至电机驱动芯片，实现信号功率放大；电路中配置330nF电容用于滤波，3.9K、33K、1M等电阻用于调节放大倍数与偏置电压，确保输出信号满足电机驱动需求。</w:t>
      </w:r>
    </w:p>
    <w:p w14:paraId="4FB9B1F1">
      <w:pPr>
        <w:spacing w:line="440" w:lineRule="exact"/>
        <w:ind w:firstLine="480" w:firstLineChars="200"/>
        <w:rPr>
          <w:rFonts w:hint="eastAsia" w:ascii="宋体" w:hAnsi="宋体" w:eastAsia="宋体" w:cs="宋体"/>
          <w:sz w:val="24"/>
        </w:rPr>
      </w:pPr>
      <w:r>
        <w:rPr>
          <w:rFonts w:hint="eastAsia" w:ascii="宋体" w:hAnsi="宋体" w:eastAsia="宋体" w:cs="宋体"/>
          <w:sz w:val="24"/>
        </w:rPr>
        <w:t>4.按键与指示电路：按键一端接地，另一端通过10K上拉电阻接单片机P3口，实现按键信号的输入；LED指示灯串联300Ω限流电阻后接单片机I/O口与电源，通过I/O口输出高低电平控制指示灯的亮灭。</w:t>
      </w:r>
    </w:p>
    <w:p w14:paraId="5A5CA70C">
      <w:pPr>
        <w:spacing w:line="440" w:lineRule="exact"/>
        <w:ind w:firstLine="480" w:firstLineChars="200"/>
        <w:rPr>
          <w:rFonts w:hint="eastAsia" w:ascii="宋体" w:hAnsi="宋体" w:eastAsia="宋体" w:cs="宋体"/>
          <w:sz w:val="24"/>
        </w:rPr>
      </w:pPr>
      <w:r>
        <w:rPr>
          <w:rFonts w:hint="eastAsia" w:ascii="宋体" w:hAnsi="宋体" w:eastAsia="宋体" w:cs="宋体"/>
          <w:sz w:val="24"/>
        </w:rPr>
        <w:t>5.电源电路：220V市电经变压器降压、整流桥整流后，通过三端稳压器（7805）输出5V直流电压，输入端与输出端分别并联47uF电解电容与104瓷片电容，用于滤除纹波电压，保障电源输出稳定；锂电池供电接口通过二极管与市电供电电路隔离，实现双电源自动切换。</w:t>
      </w:r>
    </w:p>
    <w:p w14:paraId="31503D10">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48" w:name="_Toc216861517"/>
      <w:bookmarkStart w:id="1749" w:name="_Toc216862528"/>
      <w:r>
        <w:rPr>
          <w:rFonts w:hint="eastAsia" w:ascii="Times New Roman" w:hAnsi="Times New Roman" w:eastAsia="宋体" w:cs="Times New Roman"/>
          <w:kern w:val="2"/>
          <w:sz w:val="24"/>
          <w:szCs w:val="24"/>
          <w:lang w:val="en-US" w:eastAsia="zh-CN" w:bidi="ar-SA"/>
        </w:rPr>
        <w:t>3.2.2 PCB设计</w:t>
      </w:r>
      <w:bookmarkEnd w:id="1748"/>
      <w:bookmarkEnd w:id="1749"/>
    </w:p>
    <w:p w14:paraId="5EDB6538">
      <w:pPr>
        <w:spacing w:line="440" w:lineRule="exact"/>
        <w:ind w:firstLine="480" w:firstLineChars="200"/>
        <w:rPr>
          <w:rFonts w:hint="eastAsia" w:ascii="宋体" w:hAnsi="宋体" w:eastAsia="宋体" w:cs="宋体"/>
          <w:sz w:val="24"/>
        </w:rPr>
      </w:pPr>
      <w:r>
        <w:rPr>
          <w:rFonts w:hint="eastAsia" w:ascii="宋体" w:hAnsi="宋体" w:eastAsia="宋体" w:cs="宋体"/>
          <w:sz w:val="24"/>
        </w:rPr>
        <w:t>PCB板设计遵循电磁兼容性、散热性及可制造性原则，采用双面板布局，具体设计要点如下：</w:t>
      </w:r>
    </w:p>
    <w:p w14:paraId="6F2AB707">
      <w:pPr>
        <w:spacing w:line="440" w:lineRule="exact"/>
        <w:ind w:firstLine="480" w:firstLineChars="200"/>
        <w:rPr>
          <w:rFonts w:hint="eastAsia" w:ascii="宋体" w:hAnsi="宋体" w:eastAsia="宋体" w:cs="宋体"/>
          <w:sz w:val="24"/>
        </w:rPr>
      </w:pPr>
      <w:r>
        <w:rPr>
          <w:rFonts w:hint="eastAsia" w:ascii="宋体" w:hAnsi="宋体" w:eastAsia="宋体" w:cs="宋体"/>
          <w:sz w:val="24"/>
        </w:rPr>
        <w:t>1.布局设计：将电源模块、放大模块等功率较大的模块与单片机、时钟芯片等敏感元件分开布局，避免电磁干扰；核心元件（P80C528BPN、DS12887、LM324）集中布置在PCB板中心区域，减少信号传输距离；接口元件（按键、显示屏、电源接口、电机接口）布置在PCB板边缘，便于外部连接。</w:t>
      </w:r>
    </w:p>
    <w:p w14:paraId="4C6FDF9F">
      <w:pPr>
        <w:spacing w:line="440" w:lineRule="exact"/>
        <w:ind w:firstLine="480" w:firstLineChars="200"/>
        <w:rPr>
          <w:rFonts w:hint="eastAsia" w:ascii="宋体" w:hAnsi="宋体" w:eastAsia="宋体" w:cs="宋体"/>
          <w:sz w:val="24"/>
        </w:rPr>
      </w:pPr>
      <w:r>
        <w:rPr>
          <w:rFonts w:hint="eastAsia" w:ascii="宋体" w:hAnsi="宋体" w:eastAsia="宋体" w:cs="宋体"/>
          <w:sz w:val="24"/>
        </w:rPr>
        <w:t>2.布线设计：电源线与地线采用宽线设计（电源线宽度≥1.5mm，地线宽度≥2mm），降低线路阻抗；时钟信号、PWM驱动信号等关键信号线采用短路径布线，避免迂回，减少信号延迟与干扰；模拟电路与数字电路的地线分开布线，最后汇聚于电源地，防止数字信号干扰模拟信号；布线过程中避免出现锐角、直角，采用45°角布线，减少信号反射。</w:t>
      </w:r>
    </w:p>
    <w:p w14:paraId="103865E9">
      <w:pPr>
        <w:spacing w:line="440" w:lineRule="exact"/>
        <w:ind w:firstLine="480" w:firstLineChars="200"/>
        <w:rPr>
          <w:rFonts w:hint="eastAsia" w:ascii="宋体" w:hAnsi="宋体" w:eastAsia="宋体" w:cs="宋体"/>
          <w:sz w:val="24"/>
        </w:rPr>
      </w:pPr>
      <w:r>
        <w:rPr>
          <w:rFonts w:hint="eastAsia" w:ascii="宋体" w:hAnsi="宋体" w:eastAsia="宋体" w:cs="宋体"/>
          <w:sz w:val="24"/>
        </w:rPr>
        <w:t>3.电磁兼容性设计：在电源输入端、单片机电源引脚附近布置104瓷片电容，实现去耦滤波，抑制电源噪声；关键元件周围预留接地过孔，增强接地效果；PCB板边缘设置接地覆铜区域，减少电磁辐射，提高系统抗干扰能力。</w:t>
      </w:r>
    </w:p>
    <w:p w14:paraId="6833FA2B">
      <w:pPr>
        <w:spacing w:line="440" w:lineRule="exact"/>
        <w:ind w:firstLine="480" w:firstLineChars="200"/>
        <w:rPr>
          <w:rFonts w:hint="eastAsia" w:ascii="宋体" w:hAnsi="宋体" w:eastAsia="宋体" w:cs="宋体"/>
          <w:sz w:val="24"/>
        </w:rPr>
      </w:pPr>
      <w:r>
        <w:rPr>
          <w:rFonts w:hint="eastAsia" w:ascii="宋体" w:hAnsi="宋体" w:eastAsia="宋体" w:cs="宋体"/>
          <w:sz w:val="24"/>
        </w:rPr>
        <w:t>4.工艺设计：PCB板尺寸根据实际应用场景优化，采用FR-4基材，厚度为 1.6mm；焊盘大小与孔径匹配元件引脚规格，预留足够的焊接空间；设置定位孔，便于PCB板的固定安装；丝印层标注元件标号、极性及接口定义，方便装配与维修。</w:t>
      </w:r>
    </w:p>
    <w:p w14:paraId="6042E748">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50" w:name="_Toc216862529"/>
      <w:bookmarkStart w:id="1751" w:name="_Toc18465"/>
      <w:bookmarkStart w:id="1752" w:name="_Toc216861518"/>
      <w:r>
        <w:rPr>
          <w:rFonts w:hint="eastAsia" w:ascii="Times New Roman" w:hAnsi="Times New Roman" w:eastAsia="宋体" w:cs="Times New Roman"/>
          <w:bCs/>
          <w:kern w:val="2"/>
          <w:sz w:val="24"/>
          <w:szCs w:val="32"/>
          <w:lang w:val="en-US" w:eastAsia="zh-CN" w:bidi="ar-SA"/>
        </w:rPr>
        <w:t>3.3</w:t>
      </w:r>
      <w:r>
        <w:rPr>
          <w:rFonts w:ascii="Times New Roman" w:hAnsi="Times New Roman" w:eastAsia="宋体" w:cs="Times New Roman"/>
          <w:bCs/>
          <w:kern w:val="2"/>
          <w:sz w:val="24"/>
          <w:szCs w:val="32"/>
          <w:lang w:val="en-US" w:eastAsia="zh-CN" w:bidi="ar-SA"/>
        </w:rPr>
        <w:t xml:space="preserve"> </w:t>
      </w:r>
      <w:bookmarkEnd w:id="1746"/>
      <w:r>
        <w:rPr>
          <w:rFonts w:hint="eastAsia" w:ascii="Times New Roman" w:hAnsi="Times New Roman" w:eastAsia="宋体" w:cs="Times New Roman"/>
          <w:bCs/>
          <w:kern w:val="2"/>
          <w:sz w:val="24"/>
          <w:szCs w:val="32"/>
          <w:lang w:val="en-US" w:eastAsia="zh-CN" w:bidi="ar-SA"/>
        </w:rPr>
        <w:t>系统参数与约束</w:t>
      </w:r>
      <w:bookmarkEnd w:id="1750"/>
      <w:bookmarkEnd w:id="1751"/>
      <w:bookmarkEnd w:id="1752"/>
    </w:p>
    <w:p w14:paraId="4F7C1FEB">
      <w:pPr>
        <w:spacing w:line="440" w:lineRule="exact"/>
        <w:ind w:firstLine="480" w:firstLineChars="200"/>
        <w:rPr>
          <w:rFonts w:hint="eastAsia" w:ascii="宋体" w:hAnsi="宋体" w:eastAsia="宋体" w:cs="宋体"/>
          <w:sz w:val="24"/>
        </w:rPr>
      </w:pPr>
      <w:r>
        <w:rPr>
          <w:rFonts w:hint="eastAsia" w:ascii="宋体" w:hAnsi="宋体" w:eastAsia="宋体" w:cs="宋体"/>
          <w:sz w:val="24"/>
        </w:rPr>
        <w:t>1.电气参数：供电电压范围为5V±0.5V（市电供电）、3.7V（锂电池供电）；工作电流≤100mA（静态电流≤20mA）；电机驱动电流≤500mA；环境工作温度范围为-10℃~60℃；相对湿度≤85%（无凝露）。</w:t>
      </w:r>
    </w:p>
    <w:p w14:paraId="0586399A">
      <w:pPr>
        <w:spacing w:line="440" w:lineRule="exact"/>
        <w:ind w:firstLine="480" w:firstLineChars="200"/>
        <w:rPr>
          <w:rFonts w:hint="eastAsia" w:ascii="宋体" w:hAnsi="宋体" w:eastAsia="宋体" w:cs="宋体"/>
          <w:sz w:val="24"/>
        </w:rPr>
      </w:pPr>
      <w:r>
        <w:rPr>
          <w:rFonts w:hint="eastAsia" w:ascii="宋体" w:hAnsi="宋体" w:eastAsia="宋体" w:cs="宋体"/>
          <w:sz w:val="24"/>
        </w:rPr>
        <w:t>2.性能参数：计时精度≤±1秒/ 天；摇摆频率调节范围为10-30次/分钟，步长1次/分钟；摇摆角度调节范围为30°-60°；连续无故障运行时间≥72小时；故障检测响应时间≤1秒。</w:t>
      </w:r>
    </w:p>
    <w:p w14:paraId="43BB60CF">
      <w:pPr>
        <w:spacing w:line="440" w:lineRule="exact"/>
        <w:ind w:firstLine="480" w:firstLineChars="200"/>
        <w:rPr>
          <w:rFonts w:hint="eastAsia" w:ascii="宋体" w:hAnsi="宋体" w:eastAsia="宋体" w:cs="宋体"/>
          <w:sz w:val="24"/>
        </w:rPr>
      </w:pPr>
      <w:r>
        <w:rPr>
          <w:rFonts w:hint="eastAsia" w:ascii="宋体" w:hAnsi="宋体" w:eastAsia="宋体" w:cs="宋体"/>
          <w:sz w:val="24"/>
        </w:rPr>
        <w:t>3.设计约束：PCB板需满足电磁兼容性相关标准，避免对周边设备造成干扰；元件选型优先选用市场常见通用型产品，降低成本与采购难度；软件程序需优化代码效率，确保在单片机有限的存储空间与运算能力下稳定运行；系统需具备良好的可扩展性，预留串口接口用于数据导出与功能扩展</w:t>
      </w:r>
      <w:bookmarkEnd w:id="1747"/>
      <w:r>
        <w:rPr>
          <w:rFonts w:hint="eastAsia" w:ascii="宋体" w:hAnsi="宋体" w:eastAsia="宋体" w:cs="宋体"/>
          <w:sz w:val="24"/>
        </w:rPr>
        <w:t>。</w:t>
      </w:r>
    </w:p>
    <w:p w14:paraId="1ED74C52">
      <w:pPr>
        <w:keepNext/>
        <w:keepLines/>
        <w:widowControl w:val="0"/>
        <w:spacing w:line="440" w:lineRule="exact"/>
        <w:jc w:val="both"/>
        <w:outlineLvl w:val="9"/>
        <w:rPr>
          <w:rFonts w:ascii="Times New Roman" w:hAnsi="Times New Roman" w:eastAsia="宋体" w:cs="Times New Roman"/>
          <w:b/>
          <w:bCs/>
          <w:kern w:val="44"/>
          <w:sz w:val="28"/>
          <w:szCs w:val="44"/>
          <w:lang w:val="en-US" w:eastAsia="zh-CN" w:bidi="ar-SA"/>
        </w:rPr>
      </w:pPr>
      <w:bookmarkStart w:id="1753" w:name="_Toc5888"/>
      <w:bookmarkStart w:id="1754" w:name="_Toc10511"/>
      <w:bookmarkStart w:id="1755" w:name="_Toc216861519"/>
      <w:bookmarkStart w:id="1756" w:name="_Toc216862530"/>
      <w:r>
        <w:rPr>
          <w:rFonts w:ascii="Times New Roman" w:hAnsi="Times New Roman" w:eastAsia="宋体" w:cs="Times New Roman"/>
          <w:b/>
          <w:bCs/>
          <w:kern w:val="44"/>
          <w:sz w:val="28"/>
          <w:szCs w:val="44"/>
          <w:lang w:val="en-US" w:eastAsia="zh-CN" w:bidi="ar-SA"/>
        </w:rPr>
        <w:t>4</w:t>
      </w:r>
      <w:r>
        <w:rPr>
          <w:rFonts w:hint="eastAsia" w:ascii="Times New Roman" w:hAnsi="Times New Roman" w:eastAsia="宋体" w:cs="Times New Roman"/>
          <w:b/>
          <w:bCs/>
          <w:kern w:val="44"/>
          <w:sz w:val="28"/>
          <w:szCs w:val="44"/>
          <w:lang w:val="en-US" w:eastAsia="zh-CN" w:bidi="ar-SA"/>
        </w:rPr>
        <w:t xml:space="preserve"> </w:t>
      </w:r>
      <w:bookmarkEnd w:id="1753"/>
      <w:r>
        <w:rPr>
          <w:rFonts w:ascii="Times New Roman" w:hAnsi="Times New Roman" w:eastAsia="宋体" w:cs="Times New Roman"/>
          <w:b/>
          <w:bCs/>
          <w:kern w:val="44"/>
          <w:sz w:val="28"/>
          <w:szCs w:val="44"/>
          <w:lang w:val="en-US" w:eastAsia="zh-CN" w:bidi="ar-SA"/>
        </w:rPr>
        <w:t>系统实现与测试</w:t>
      </w:r>
      <w:bookmarkEnd w:id="1754"/>
      <w:bookmarkEnd w:id="1755"/>
      <w:bookmarkEnd w:id="1756"/>
    </w:p>
    <w:p w14:paraId="34921E34">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57" w:name="_Toc26858"/>
      <w:bookmarkStart w:id="1758" w:name="_Toc5669"/>
      <w:bookmarkStart w:id="1759" w:name="_Toc216862531"/>
      <w:bookmarkStart w:id="1760" w:name="_Toc216861520"/>
      <w:r>
        <w:rPr>
          <w:rFonts w:ascii="Times New Roman" w:hAnsi="Times New Roman" w:eastAsia="宋体" w:cs="Times New Roman"/>
          <w:bCs/>
          <w:kern w:val="2"/>
          <w:sz w:val="24"/>
          <w:szCs w:val="32"/>
          <w:lang w:val="en-US" w:eastAsia="zh-CN" w:bidi="ar-SA"/>
        </w:rPr>
        <w:t>4.1</w:t>
      </w:r>
      <w:bookmarkEnd w:id="1757"/>
      <w:r>
        <w:rPr>
          <w:rFonts w:hint="eastAsia" w:ascii="Times New Roman" w:hAnsi="Times New Roman" w:eastAsia="宋体" w:cs="Times New Roman"/>
          <w:bCs/>
          <w:kern w:val="2"/>
          <w:sz w:val="24"/>
          <w:szCs w:val="32"/>
          <w:lang w:val="en-US" w:eastAsia="zh-CN" w:bidi="ar-SA"/>
        </w:rPr>
        <w:t>硬件实现</w:t>
      </w:r>
      <w:bookmarkEnd w:id="1758"/>
      <w:bookmarkEnd w:id="1759"/>
      <w:bookmarkEnd w:id="1760"/>
    </w:p>
    <w:p w14:paraId="7E37ABA2">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61" w:name="_Toc216861521"/>
      <w:bookmarkStart w:id="1762" w:name="_Toc216862532"/>
      <w:r>
        <w:rPr>
          <w:rFonts w:ascii="Times New Roman" w:hAnsi="Times New Roman" w:eastAsia="宋体" w:cs="Times New Roman"/>
          <w:kern w:val="2"/>
          <w:sz w:val="24"/>
          <w:szCs w:val="24"/>
          <w:lang w:val="en-US" w:eastAsia="zh-CN" w:bidi="ar-SA"/>
        </w:rPr>
        <w:t>4.1.1</w:t>
      </w:r>
      <w:r>
        <w:rPr>
          <w:rFonts w:hint="eastAsia" w:ascii="Times New Roman" w:hAnsi="Times New Roman" w:eastAsia="宋体" w:cs="Times New Roman"/>
          <w:kern w:val="2"/>
          <w:sz w:val="24"/>
          <w:szCs w:val="24"/>
          <w:lang w:val="en-US" w:eastAsia="zh-CN" w:bidi="ar-SA"/>
        </w:rPr>
        <w:t>元件选型与采购</w:t>
      </w:r>
      <w:bookmarkEnd w:id="1761"/>
      <w:bookmarkEnd w:id="1762"/>
    </w:p>
    <w:p w14:paraId="6287E402">
      <w:pPr>
        <w:spacing w:line="440" w:lineRule="exact"/>
        <w:ind w:firstLine="480" w:firstLineChars="200"/>
        <w:rPr>
          <w:rFonts w:hint="eastAsia" w:ascii="宋体" w:hAnsi="宋体" w:eastAsia="宋体" w:cs="宋体"/>
          <w:sz w:val="24"/>
        </w:rPr>
      </w:pPr>
      <w:r>
        <w:rPr>
          <w:rFonts w:hint="eastAsia" w:ascii="宋体" w:hAnsi="宋体" w:eastAsia="宋体" w:cs="宋体"/>
          <w:sz w:val="24"/>
        </w:rPr>
        <w:t>根据电路设计方案，选型的核心元件如下表所示，所有元件均选用市场成熟供应的通用型产品，确保性价比与供货稳定性。</w:t>
      </w:r>
    </w:p>
    <w:tbl>
      <w:tblPr>
        <w:tblStyle w:val="36"/>
        <w:tblW w:w="9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5"/>
        <w:gridCol w:w="3683"/>
        <w:gridCol w:w="1226"/>
        <w:gridCol w:w="2504"/>
      </w:tblGrid>
      <w:tr w14:paraId="40886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5E948481">
            <w:pPr>
              <w:spacing w:line="440" w:lineRule="exact"/>
              <w:ind w:firstLine="210" w:firstLineChars="100"/>
              <w:jc w:val="center"/>
              <w:rPr>
                <w:rFonts w:hint="eastAsia" w:ascii="宋体" w:hAnsi="宋体" w:eastAsia="宋体" w:cs="宋体"/>
                <w:sz w:val="21"/>
                <w:szCs w:val="21"/>
              </w:rPr>
            </w:pPr>
            <w:r>
              <w:rPr>
                <w:rFonts w:hint="eastAsia" w:ascii="宋体" w:hAnsi="宋体" w:eastAsia="宋体" w:cs="宋体"/>
                <w:sz w:val="21"/>
                <w:szCs w:val="21"/>
              </w:rPr>
              <w:t>元件名称</w:t>
            </w:r>
          </w:p>
        </w:tc>
        <w:tc>
          <w:tcPr>
            <w:tcW w:w="3683" w:type="dxa"/>
            <w:vAlign w:val="center"/>
          </w:tcPr>
          <w:p w14:paraId="03C75C01">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型号规格</w:t>
            </w:r>
          </w:p>
        </w:tc>
        <w:tc>
          <w:tcPr>
            <w:tcW w:w="1226" w:type="dxa"/>
            <w:vAlign w:val="center"/>
          </w:tcPr>
          <w:p w14:paraId="6DE453CD">
            <w:pPr>
              <w:spacing w:line="440" w:lineRule="exact"/>
              <w:ind w:firstLine="210" w:firstLineChars="100"/>
              <w:rPr>
                <w:rFonts w:hint="eastAsia" w:ascii="宋体" w:hAnsi="宋体" w:eastAsia="宋体" w:cs="宋体"/>
                <w:sz w:val="21"/>
                <w:szCs w:val="21"/>
              </w:rPr>
            </w:pPr>
            <w:r>
              <w:rPr>
                <w:rFonts w:hint="eastAsia" w:ascii="宋体" w:hAnsi="宋体" w:eastAsia="宋体" w:cs="宋体"/>
                <w:sz w:val="21"/>
                <w:szCs w:val="21"/>
              </w:rPr>
              <w:t>数量</w:t>
            </w:r>
          </w:p>
        </w:tc>
        <w:tc>
          <w:tcPr>
            <w:tcW w:w="2504" w:type="dxa"/>
            <w:vAlign w:val="center"/>
          </w:tcPr>
          <w:p w14:paraId="0F35698F">
            <w:pPr>
              <w:spacing w:line="440" w:lineRule="exact"/>
              <w:ind w:firstLine="840" w:firstLineChars="400"/>
              <w:rPr>
                <w:rFonts w:hint="eastAsia" w:ascii="宋体" w:hAnsi="宋体" w:eastAsia="宋体" w:cs="宋体"/>
                <w:sz w:val="21"/>
                <w:szCs w:val="21"/>
              </w:rPr>
            </w:pPr>
            <w:r>
              <w:rPr>
                <w:rFonts w:hint="eastAsia" w:ascii="宋体" w:hAnsi="宋体" w:eastAsia="宋体" w:cs="宋体"/>
                <w:sz w:val="21"/>
                <w:szCs w:val="21"/>
              </w:rPr>
              <w:t>用途</w:t>
            </w:r>
          </w:p>
        </w:tc>
      </w:tr>
      <w:tr w14:paraId="65CB1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56251E48">
            <w:pPr>
              <w:spacing w:line="440" w:lineRule="exact"/>
              <w:ind w:firstLine="210" w:firstLineChars="100"/>
              <w:jc w:val="center"/>
              <w:rPr>
                <w:rFonts w:hint="eastAsia" w:ascii="宋体" w:hAnsi="宋体" w:eastAsia="宋体" w:cs="宋体"/>
                <w:sz w:val="21"/>
                <w:szCs w:val="21"/>
              </w:rPr>
            </w:pPr>
            <w:r>
              <w:rPr>
                <w:rFonts w:hint="eastAsia" w:ascii="宋体" w:hAnsi="宋体" w:eastAsia="宋体" w:cs="宋体"/>
                <w:sz w:val="21"/>
                <w:szCs w:val="21"/>
              </w:rPr>
              <w:t>单片机</w:t>
            </w:r>
          </w:p>
        </w:tc>
        <w:tc>
          <w:tcPr>
            <w:tcW w:w="3683" w:type="dxa"/>
            <w:vAlign w:val="center"/>
          </w:tcPr>
          <w:p w14:paraId="4952E603">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P80C528BPN</w:t>
            </w:r>
          </w:p>
        </w:tc>
        <w:tc>
          <w:tcPr>
            <w:tcW w:w="1226" w:type="dxa"/>
            <w:vAlign w:val="center"/>
          </w:tcPr>
          <w:p w14:paraId="74E426DF">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4E857DF4">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核心控制单元</w:t>
            </w:r>
          </w:p>
        </w:tc>
      </w:tr>
      <w:tr w14:paraId="0AA7F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5C334735">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时钟芯片</w:t>
            </w:r>
          </w:p>
        </w:tc>
        <w:tc>
          <w:tcPr>
            <w:tcW w:w="3683" w:type="dxa"/>
            <w:vAlign w:val="center"/>
          </w:tcPr>
          <w:p w14:paraId="30C17C93">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DS12887</w:t>
            </w:r>
          </w:p>
        </w:tc>
        <w:tc>
          <w:tcPr>
            <w:tcW w:w="1226" w:type="dxa"/>
            <w:vAlign w:val="center"/>
          </w:tcPr>
          <w:p w14:paraId="16853515">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3B2A1DCE">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高精度时间基准</w:t>
            </w:r>
          </w:p>
        </w:tc>
      </w:tr>
      <w:tr w14:paraId="47C55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3D1DE136">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运算放大器</w:t>
            </w:r>
          </w:p>
        </w:tc>
        <w:tc>
          <w:tcPr>
            <w:tcW w:w="3683" w:type="dxa"/>
            <w:vAlign w:val="center"/>
          </w:tcPr>
          <w:p w14:paraId="77BD2C6B">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LM324AN</w:t>
            </w:r>
          </w:p>
        </w:tc>
        <w:tc>
          <w:tcPr>
            <w:tcW w:w="1226" w:type="dxa"/>
            <w:vAlign w:val="center"/>
          </w:tcPr>
          <w:p w14:paraId="0951B3DB">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2A0C1856">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信号放大</w:t>
            </w:r>
          </w:p>
        </w:tc>
      </w:tr>
      <w:tr w14:paraId="5069C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5F82E34C">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稳压器</w:t>
            </w:r>
          </w:p>
        </w:tc>
        <w:tc>
          <w:tcPr>
            <w:tcW w:w="3683" w:type="dxa"/>
            <w:vAlign w:val="center"/>
          </w:tcPr>
          <w:p w14:paraId="6C4F9429">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7805</w:t>
            </w:r>
          </w:p>
        </w:tc>
        <w:tc>
          <w:tcPr>
            <w:tcW w:w="1226" w:type="dxa"/>
            <w:vAlign w:val="center"/>
          </w:tcPr>
          <w:p w14:paraId="02349BE0">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59F8883A">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5V电压稳压</w:t>
            </w:r>
          </w:p>
        </w:tc>
      </w:tr>
      <w:tr w14:paraId="5856A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46F57323">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电机</w:t>
            </w:r>
          </w:p>
        </w:tc>
        <w:tc>
          <w:tcPr>
            <w:tcW w:w="3683" w:type="dxa"/>
            <w:vAlign w:val="center"/>
          </w:tcPr>
          <w:p w14:paraId="4FDBA76E">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微型步进电机（12V）</w:t>
            </w:r>
          </w:p>
        </w:tc>
        <w:tc>
          <w:tcPr>
            <w:tcW w:w="1226" w:type="dxa"/>
            <w:vAlign w:val="center"/>
          </w:tcPr>
          <w:p w14:paraId="590D3557">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76E0C907">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摇摆动作驱动</w:t>
            </w:r>
          </w:p>
        </w:tc>
      </w:tr>
      <w:tr w14:paraId="5861F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73633671">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显示屏</w:t>
            </w:r>
          </w:p>
        </w:tc>
        <w:tc>
          <w:tcPr>
            <w:tcW w:w="3683" w:type="dxa"/>
            <w:vAlign w:val="center"/>
          </w:tcPr>
          <w:p w14:paraId="2CF66223">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LCD1602</w:t>
            </w:r>
          </w:p>
        </w:tc>
        <w:tc>
          <w:tcPr>
            <w:tcW w:w="1226" w:type="dxa"/>
            <w:vAlign w:val="center"/>
          </w:tcPr>
          <w:p w14:paraId="1879B67D">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2622ECB5">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详细参数显示</w:t>
            </w:r>
          </w:p>
        </w:tc>
      </w:tr>
      <w:tr w14:paraId="7FD7E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525AC022">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数码管</w:t>
            </w:r>
          </w:p>
        </w:tc>
        <w:tc>
          <w:tcPr>
            <w:tcW w:w="3683" w:type="dxa"/>
            <w:vAlign w:val="center"/>
          </w:tcPr>
          <w:p w14:paraId="2306A4C9">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四位共阳LED数码管</w:t>
            </w:r>
          </w:p>
        </w:tc>
        <w:tc>
          <w:tcPr>
            <w:tcW w:w="1226" w:type="dxa"/>
            <w:vAlign w:val="center"/>
          </w:tcPr>
          <w:p w14:paraId="676F37B2">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75C00402">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时间快速显示</w:t>
            </w:r>
          </w:p>
        </w:tc>
      </w:tr>
      <w:tr w14:paraId="562F0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70141735">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按键</w:t>
            </w:r>
          </w:p>
        </w:tc>
        <w:tc>
          <w:tcPr>
            <w:tcW w:w="3683" w:type="dxa"/>
            <w:vAlign w:val="center"/>
          </w:tcPr>
          <w:p w14:paraId="6571E7B4">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轻触按键</w:t>
            </w:r>
          </w:p>
        </w:tc>
        <w:tc>
          <w:tcPr>
            <w:tcW w:w="1226" w:type="dxa"/>
            <w:vAlign w:val="center"/>
          </w:tcPr>
          <w:p w14:paraId="010E42C6">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5</w:t>
            </w:r>
          </w:p>
        </w:tc>
        <w:tc>
          <w:tcPr>
            <w:tcW w:w="2504" w:type="dxa"/>
            <w:vAlign w:val="center"/>
          </w:tcPr>
          <w:p w14:paraId="3FA36FD9">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功能操作输入</w:t>
            </w:r>
          </w:p>
        </w:tc>
      </w:tr>
      <w:tr w14:paraId="252D6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2AF8F9D2">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电阻</w:t>
            </w:r>
          </w:p>
        </w:tc>
        <w:tc>
          <w:tcPr>
            <w:tcW w:w="3683" w:type="dxa"/>
            <w:vAlign w:val="center"/>
          </w:tcPr>
          <w:p w14:paraId="1E903510">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10K、33K、1M、300Ω等</w:t>
            </w:r>
          </w:p>
        </w:tc>
        <w:tc>
          <w:tcPr>
            <w:tcW w:w="1226" w:type="dxa"/>
            <w:vAlign w:val="center"/>
          </w:tcPr>
          <w:p w14:paraId="72806D63">
            <w:pPr>
              <w:spacing w:line="440" w:lineRule="exact"/>
              <w:ind w:firstLine="210" w:firstLineChars="100"/>
              <w:rPr>
                <w:rFonts w:hint="eastAsia" w:ascii="宋体" w:hAnsi="宋体" w:eastAsia="宋体" w:cs="宋体"/>
                <w:sz w:val="21"/>
                <w:szCs w:val="21"/>
              </w:rPr>
            </w:pPr>
            <w:r>
              <w:rPr>
                <w:rFonts w:hint="eastAsia" w:ascii="宋体" w:hAnsi="宋体" w:eastAsia="宋体" w:cs="宋体"/>
                <w:sz w:val="21"/>
                <w:szCs w:val="21"/>
              </w:rPr>
              <w:t>若干</w:t>
            </w:r>
          </w:p>
        </w:tc>
        <w:tc>
          <w:tcPr>
            <w:tcW w:w="2504" w:type="dxa"/>
            <w:vAlign w:val="center"/>
          </w:tcPr>
          <w:p w14:paraId="668D866E">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限流、分压、偏置</w:t>
            </w:r>
          </w:p>
        </w:tc>
      </w:tr>
      <w:tr w14:paraId="41BC2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1605" w:type="dxa"/>
            <w:vAlign w:val="center"/>
          </w:tcPr>
          <w:p w14:paraId="7D0359F7">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电容</w:t>
            </w:r>
          </w:p>
        </w:tc>
        <w:tc>
          <w:tcPr>
            <w:tcW w:w="3683" w:type="dxa"/>
            <w:vAlign w:val="center"/>
          </w:tcPr>
          <w:p w14:paraId="0DB3C975">
            <w:pPr>
              <w:spacing w:line="440" w:lineRule="exact"/>
              <w:rPr>
                <w:rFonts w:hint="eastAsia" w:ascii="宋体" w:hAnsi="宋体" w:eastAsia="宋体" w:cs="宋体"/>
                <w:sz w:val="21"/>
                <w:szCs w:val="21"/>
              </w:rPr>
            </w:pPr>
            <w:r>
              <w:rPr>
                <w:rFonts w:hint="eastAsia" w:ascii="宋体" w:hAnsi="宋体" w:eastAsia="宋体" w:cs="宋体"/>
                <w:sz w:val="21"/>
                <w:szCs w:val="21"/>
              </w:rPr>
              <w:t>104瓷片电容、22pF电容、47uF电解电容等</w:t>
            </w:r>
          </w:p>
        </w:tc>
        <w:tc>
          <w:tcPr>
            <w:tcW w:w="1226" w:type="dxa"/>
            <w:vAlign w:val="center"/>
          </w:tcPr>
          <w:p w14:paraId="4B566108">
            <w:pPr>
              <w:spacing w:line="440" w:lineRule="exact"/>
              <w:ind w:firstLine="210" w:firstLineChars="100"/>
              <w:rPr>
                <w:rFonts w:hint="eastAsia" w:ascii="宋体" w:hAnsi="宋体" w:eastAsia="宋体" w:cs="宋体"/>
                <w:sz w:val="21"/>
                <w:szCs w:val="21"/>
              </w:rPr>
            </w:pPr>
            <w:r>
              <w:rPr>
                <w:rFonts w:hint="eastAsia" w:ascii="宋体" w:hAnsi="宋体" w:eastAsia="宋体" w:cs="宋体"/>
                <w:sz w:val="21"/>
                <w:szCs w:val="21"/>
              </w:rPr>
              <w:t>若干</w:t>
            </w:r>
          </w:p>
        </w:tc>
        <w:tc>
          <w:tcPr>
            <w:tcW w:w="2504" w:type="dxa"/>
            <w:vAlign w:val="center"/>
          </w:tcPr>
          <w:p w14:paraId="70CD6770">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滤波、储能、定时</w:t>
            </w:r>
          </w:p>
        </w:tc>
      </w:tr>
      <w:tr w14:paraId="2B888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7A9963F7">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二极管</w:t>
            </w:r>
          </w:p>
        </w:tc>
        <w:tc>
          <w:tcPr>
            <w:tcW w:w="3683" w:type="dxa"/>
            <w:vAlign w:val="center"/>
          </w:tcPr>
          <w:p w14:paraId="1DE4FEC2">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1N4148</w:t>
            </w:r>
          </w:p>
        </w:tc>
        <w:tc>
          <w:tcPr>
            <w:tcW w:w="1226" w:type="dxa"/>
            <w:vAlign w:val="center"/>
          </w:tcPr>
          <w:p w14:paraId="0546AAE7">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2</w:t>
            </w:r>
          </w:p>
        </w:tc>
        <w:tc>
          <w:tcPr>
            <w:tcW w:w="2504" w:type="dxa"/>
            <w:vAlign w:val="center"/>
          </w:tcPr>
          <w:p w14:paraId="227ABE6D">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电源切换隔离</w:t>
            </w:r>
          </w:p>
        </w:tc>
      </w:tr>
      <w:tr w14:paraId="4C7E5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1605" w:type="dxa"/>
            <w:vAlign w:val="center"/>
          </w:tcPr>
          <w:p w14:paraId="6A54E40F">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蜂鸣器</w:t>
            </w:r>
          </w:p>
        </w:tc>
        <w:tc>
          <w:tcPr>
            <w:tcW w:w="3683" w:type="dxa"/>
            <w:vAlign w:val="center"/>
          </w:tcPr>
          <w:p w14:paraId="65CBBE80">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有源蜂鸣器（5V）</w:t>
            </w:r>
          </w:p>
        </w:tc>
        <w:tc>
          <w:tcPr>
            <w:tcW w:w="1226" w:type="dxa"/>
            <w:vAlign w:val="center"/>
          </w:tcPr>
          <w:p w14:paraId="49DD2E20">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1</w:t>
            </w:r>
          </w:p>
        </w:tc>
        <w:tc>
          <w:tcPr>
            <w:tcW w:w="2504" w:type="dxa"/>
            <w:vAlign w:val="center"/>
          </w:tcPr>
          <w:p w14:paraId="6088A29F">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故障报警</w:t>
            </w:r>
          </w:p>
        </w:tc>
      </w:tr>
      <w:tr w14:paraId="28340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1605" w:type="dxa"/>
            <w:vAlign w:val="center"/>
          </w:tcPr>
          <w:p w14:paraId="5330DEAB">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LED 指示灯</w:t>
            </w:r>
          </w:p>
        </w:tc>
        <w:tc>
          <w:tcPr>
            <w:tcW w:w="3683" w:type="dxa"/>
            <w:vAlign w:val="center"/>
          </w:tcPr>
          <w:p w14:paraId="495C167B">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5mm发光二极管</w:t>
            </w:r>
          </w:p>
        </w:tc>
        <w:tc>
          <w:tcPr>
            <w:tcW w:w="1226" w:type="dxa"/>
            <w:vAlign w:val="center"/>
          </w:tcPr>
          <w:p w14:paraId="060ADB3A">
            <w:pPr>
              <w:spacing w:line="44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3</w:t>
            </w:r>
          </w:p>
        </w:tc>
        <w:tc>
          <w:tcPr>
            <w:tcW w:w="2504" w:type="dxa"/>
            <w:vAlign w:val="center"/>
          </w:tcPr>
          <w:p w14:paraId="62B2EF6C">
            <w:pPr>
              <w:spacing w:line="440" w:lineRule="exact"/>
              <w:ind w:firstLine="240"/>
              <w:jc w:val="center"/>
              <w:rPr>
                <w:rFonts w:hint="eastAsia" w:ascii="宋体" w:hAnsi="宋体" w:eastAsia="宋体" w:cs="宋体"/>
                <w:sz w:val="21"/>
                <w:szCs w:val="21"/>
              </w:rPr>
            </w:pPr>
            <w:r>
              <w:rPr>
                <w:rFonts w:hint="eastAsia" w:ascii="宋体" w:hAnsi="宋体" w:eastAsia="宋体" w:cs="宋体"/>
                <w:sz w:val="21"/>
                <w:szCs w:val="21"/>
              </w:rPr>
              <w:t>状态指示</w:t>
            </w:r>
          </w:p>
        </w:tc>
      </w:tr>
    </w:tbl>
    <w:p w14:paraId="7DB7318E">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63" w:name="_Toc8612"/>
      <w:bookmarkStart w:id="1764" w:name="_Toc216862533"/>
      <w:bookmarkStart w:id="1765" w:name="_Toc216861522"/>
      <w:bookmarkStart w:id="1766" w:name="_Toc12020"/>
      <w:r>
        <w:rPr>
          <w:rFonts w:ascii="Times New Roman" w:hAnsi="Times New Roman" w:eastAsia="宋体" w:cs="Times New Roman"/>
          <w:bCs/>
          <w:kern w:val="2"/>
          <w:sz w:val="24"/>
          <w:szCs w:val="32"/>
          <w:lang w:val="en-US" w:eastAsia="zh-CN" w:bidi="ar-SA"/>
        </w:rPr>
        <w:t>4.2系统使用</w:t>
      </w:r>
      <w:bookmarkEnd w:id="1763"/>
      <w:bookmarkEnd w:id="1764"/>
      <w:bookmarkEnd w:id="1765"/>
      <w:bookmarkEnd w:id="1766"/>
    </w:p>
    <w:p w14:paraId="77D9D0A0">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67" w:name="_Toc216861523"/>
      <w:bookmarkStart w:id="1768" w:name="_Toc216862534"/>
      <w:r>
        <w:rPr>
          <w:rFonts w:ascii="Times New Roman" w:hAnsi="Times New Roman" w:eastAsia="宋体" w:cs="Times New Roman"/>
          <w:kern w:val="2"/>
          <w:sz w:val="24"/>
          <w:szCs w:val="24"/>
          <w:lang w:val="en-US" w:eastAsia="zh-CN" w:bidi="ar-SA"/>
        </w:rPr>
        <w:t>4.2.1 原理图绘制与验证（Altium Designer 17）</w:t>
      </w:r>
      <w:bookmarkEnd w:id="1767"/>
      <w:bookmarkEnd w:id="1768"/>
    </w:p>
    <w:p w14:paraId="3547FC42">
      <w:pPr>
        <w:spacing w:line="440" w:lineRule="exact"/>
        <w:ind w:firstLine="480" w:firstLineChars="200"/>
        <w:rPr>
          <w:rFonts w:hint="eastAsia" w:ascii="宋体" w:hAnsi="宋体" w:eastAsia="宋体" w:cs="宋体"/>
          <w:sz w:val="24"/>
        </w:rPr>
      </w:pPr>
      <w:r>
        <w:rPr>
          <w:rFonts w:hint="eastAsia" w:ascii="宋体" w:hAnsi="宋体" w:eastAsia="宋体" w:cs="宋体"/>
          <w:sz w:val="24"/>
        </w:rPr>
        <w:t>1.原理图绘制流程基于系统架构设计，在Altium Designer 17中完成全电路原理图绘制，核心步骤如下：</w:t>
      </w:r>
    </w:p>
    <w:p w14:paraId="10E8C52D">
      <w:pPr>
        <w:spacing w:line="440" w:lineRule="exact"/>
        <w:ind w:firstLine="480" w:firstLineChars="200"/>
        <w:rPr>
          <w:rFonts w:hint="eastAsia" w:ascii="宋体" w:hAnsi="宋体" w:eastAsia="宋体" w:cs="宋体"/>
          <w:sz w:val="24"/>
        </w:rPr>
      </w:pPr>
      <w:r>
        <w:rPr>
          <w:rFonts w:hint="eastAsia" w:ascii="宋体" w:hAnsi="宋体" w:eastAsia="宋体" w:cs="宋体"/>
          <w:sz w:val="24"/>
        </w:rPr>
        <w:t>1）新建原理图工程，加载通用元件库（如Miscellaneous Devices.IntLib、TI Operational Amplifiers.IntLib等），针对P80C528BPN、DS12887等专用芯片，通过“Create Library”功能创建自定义元件库，精准绘制芯片引脚定义、封装关联及电气连接属性。</w:t>
      </w:r>
    </w:p>
    <w:p w14:paraId="1AECD2BC">
      <w:pPr>
        <w:spacing w:line="440" w:lineRule="exact"/>
        <w:ind w:firstLine="480" w:firstLineChars="200"/>
        <w:rPr>
          <w:rFonts w:hint="eastAsia" w:ascii="宋体" w:hAnsi="宋体" w:eastAsia="宋体" w:cs="宋体"/>
          <w:sz w:val="24"/>
        </w:rPr>
      </w:pPr>
      <w:r>
        <w:rPr>
          <w:rFonts w:hint="eastAsia" w:ascii="宋体" w:hAnsi="宋体" w:eastAsia="宋体" w:cs="宋体"/>
          <w:sz w:val="24"/>
        </w:rPr>
        <w:t>2）按模块分区绘制：将核心控制电路、时钟电路、放大电路、电源电路、按键 / 显示电路等模块化布局，通过“Net Label”统一命名电气节点（如VCC_5V、GND、CLK、SWING_CTRL等），确保跨模块信号连接准确；使用“Bus”总线功能整合单片机I/O口与显示屏、按键的多线连接，简化原理图布线。</w:t>
      </w:r>
    </w:p>
    <w:p w14:paraId="0798EA22">
      <w:pPr>
        <w:spacing w:line="440" w:lineRule="exact"/>
        <w:ind w:firstLine="480" w:firstLineChars="200"/>
        <w:rPr>
          <w:rFonts w:hint="eastAsia" w:ascii="宋体" w:hAnsi="宋体" w:eastAsia="宋体" w:cs="宋体"/>
          <w:sz w:val="24"/>
        </w:rPr>
      </w:pPr>
      <w:r>
        <w:rPr>
          <w:rFonts w:hint="eastAsia" w:ascii="宋体" w:hAnsi="宋体" w:eastAsia="宋体" w:cs="宋体"/>
          <w:sz w:val="24"/>
        </w:rPr>
        <w:t>3）添加电气规则检查（ERC）规则：设置未连接引脚、短路节点、电源/地未匹配等检测规则，执行ERC检查，逐一修正“Unconnected pin”“Duplicate net name”等报错，确保原理图无电气逻辑错误。</w:t>
      </w:r>
    </w:p>
    <w:p w14:paraId="54A4DEB4">
      <w:pPr>
        <w:spacing w:line="440" w:lineRule="exact"/>
        <w:ind w:firstLine="480" w:firstLineChars="200"/>
        <w:rPr>
          <w:rFonts w:hint="eastAsia" w:ascii="宋体" w:hAnsi="宋体" w:eastAsia="宋体" w:cs="宋体"/>
          <w:sz w:val="24"/>
        </w:rPr>
      </w:pPr>
      <w:r>
        <w:rPr>
          <w:rFonts w:hint="eastAsia" w:ascii="宋体" w:hAnsi="宋体" w:eastAsia="宋体" w:cs="宋体"/>
          <w:sz w:val="24"/>
        </w:rPr>
        <w:t>2.原理图验证</w:t>
      </w:r>
    </w:p>
    <w:p w14:paraId="553143AA">
      <w:pPr>
        <w:spacing w:line="440" w:lineRule="exact"/>
        <w:ind w:firstLine="480" w:firstLineChars="200"/>
        <w:rPr>
          <w:rFonts w:hint="eastAsia" w:ascii="宋体" w:hAnsi="宋体" w:eastAsia="宋体" w:cs="宋体"/>
          <w:sz w:val="24"/>
        </w:rPr>
      </w:pPr>
      <w:r>
        <w:rPr>
          <w:rFonts w:hint="eastAsia" w:ascii="宋体" w:hAnsi="宋体" w:eastAsia="宋体" w:cs="宋体"/>
          <w:sz w:val="24"/>
        </w:rPr>
        <w:t>1）对照电路设计需求，人工复核核心模块参数：LM324放大电路的电阻配比（33K/1M/100K）、电源电路的滤波电容规格（47uF/104）、单片机复位电路的阻容参数（10K+47uF）等，确保与设计指标匹配。</w:t>
      </w:r>
    </w:p>
    <w:p w14:paraId="4E0DCE10">
      <w:pPr>
        <w:spacing w:line="440" w:lineRule="exact"/>
        <w:ind w:firstLine="480" w:firstLineChars="200"/>
        <w:rPr>
          <w:rFonts w:hint="eastAsia" w:ascii="宋体" w:hAnsi="宋体" w:eastAsia="宋体" w:cs="宋体"/>
          <w:sz w:val="24"/>
        </w:rPr>
      </w:pPr>
      <w:r>
        <w:rPr>
          <w:rFonts w:hint="eastAsia" w:ascii="宋体" w:hAnsi="宋体" w:eastAsia="宋体" w:cs="宋体"/>
          <w:sz w:val="24"/>
        </w:rPr>
        <w:t>2）导出原理图PDF文件，结合电路原理手册交叉验证关键芯片的典型应用电路（如DS12887的读写时序电路、LM324的同相放大电路），确认电路拓扑结构符合芯片datasheet推荐方案。</w:t>
      </w:r>
    </w:p>
    <w:p w14:paraId="2A07E114">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69" w:name="_Toc216862535"/>
      <w:bookmarkStart w:id="1770" w:name="_Toc216861524"/>
      <w:r>
        <w:rPr>
          <w:rFonts w:ascii="Times New Roman" w:hAnsi="Times New Roman" w:eastAsia="宋体" w:cs="Times New Roman"/>
          <w:kern w:val="2"/>
          <w:sz w:val="24"/>
          <w:szCs w:val="24"/>
          <w:lang w:val="en-US" w:eastAsia="zh-CN" w:bidi="ar-SA"/>
        </w:rPr>
        <w:t>4.2.2 PCB设计与优化（Altium Designer 17）</w:t>
      </w:r>
      <w:bookmarkEnd w:id="1769"/>
      <w:bookmarkEnd w:id="1770"/>
    </w:p>
    <w:p w14:paraId="3CC24FAB">
      <w:pPr>
        <w:spacing w:line="440" w:lineRule="exact"/>
        <w:ind w:firstLine="480" w:firstLineChars="200"/>
        <w:rPr>
          <w:rFonts w:hint="eastAsia" w:ascii="宋体" w:hAnsi="宋体" w:eastAsia="宋体" w:cs="宋体"/>
          <w:sz w:val="24"/>
        </w:rPr>
      </w:pPr>
      <w:r>
        <w:rPr>
          <w:rFonts w:hint="eastAsia" w:ascii="宋体" w:hAnsi="宋体" w:eastAsia="宋体" w:cs="宋体"/>
          <w:sz w:val="24"/>
        </w:rPr>
        <w:t>1.PCB布局设计</w:t>
      </w:r>
    </w:p>
    <w:p w14:paraId="17E18A58">
      <w:pPr>
        <w:spacing w:line="440" w:lineRule="exact"/>
        <w:ind w:firstLine="480" w:firstLineChars="200"/>
        <w:rPr>
          <w:rFonts w:hint="eastAsia" w:ascii="宋体" w:hAnsi="宋体" w:eastAsia="宋体" w:cs="宋体"/>
          <w:sz w:val="24"/>
        </w:rPr>
      </w:pPr>
      <w:r>
        <w:rPr>
          <w:rFonts w:hint="eastAsia" w:ascii="宋体" w:hAnsi="宋体" w:eastAsia="宋体" w:cs="宋体"/>
          <w:sz w:val="24"/>
        </w:rPr>
        <w:t>1）导入原理图网络表，创建PCB工程并设置板框参数（尺寸100mm×80mm，FR-4基材，1.6mm厚度），启用“Room”功能按模块划分布局区域：核心控制区（单片机+时钟芯片）居中，电源区（7805+滤波电容）靠边，接口区（按键/显示屏/电机接口）布置在板边，减少信号走线长度。</w:t>
      </w:r>
    </w:p>
    <w:p w14:paraId="0282E5C8">
      <w:pPr>
        <w:spacing w:line="440" w:lineRule="exact"/>
        <w:ind w:firstLine="480" w:firstLineChars="200"/>
        <w:rPr>
          <w:rFonts w:hint="eastAsia" w:ascii="宋体" w:hAnsi="宋体" w:eastAsia="宋体" w:cs="宋体"/>
          <w:sz w:val="24"/>
        </w:rPr>
      </w:pPr>
      <w:r>
        <w:rPr>
          <w:rFonts w:hint="eastAsia" w:ascii="宋体" w:hAnsi="宋体" w:eastAsia="宋体" w:cs="宋体"/>
          <w:sz w:val="24"/>
        </w:rPr>
        <w:t>2）遵循“就近布局”原则：将LM324运算放大器靠近电机驱动接口，缩短放大信号传输路径；DS12887时钟芯片靠近单片机，减少时钟信号干扰；电源滤波电容紧贴7805输出引脚，提升滤波效果。</w:t>
      </w:r>
    </w:p>
    <w:p w14:paraId="2DF5D723">
      <w:pPr>
        <w:spacing w:line="440" w:lineRule="exact"/>
        <w:ind w:firstLine="480" w:firstLineChars="200"/>
        <w:rPr>
          <w:rFonts w:hint="eastAsia" w:ascii="宋体" w:hAnsi="宋体" w:eastAsia="宋体" w:cs="宋体"/>
          <w:sz w:val="24"/>
        </w:rPr>
      </w:pPr>
      <w:r>
        <w:rPr>
          <w:rFonts w:hint="eastAsia" w:ascii="宋体" w:hAnsi="宋体" w:eastAsia="宋体" w:cs="宋体"/>
          <w:sz w:val="24"/>
        </w:rPr>
        <w:t>3）元件封装匹配：为P80C528BPN选择DIP-40封装，DS12887选择DIP-18封装，LM324选择DIP-8封装，电阻/电容采用0805贴片封装，确保封装与实物元件匹配，避免焊接干涉。</w:t>
      </w:r>
    </w:p>
    <w:p w14:paraId="7DF9B3EC">
      <w:pPr>
        <w:spacing w:line="440" w:lineRule="exact"/>
        <w:ind w:firstLine="480" w:firstLineChars="200"/>
        <w:rPr>
          <w:rFonts w:hint="eastAsia" w:ascii="宋体" w:hAnsi="宋体" w:eastAsia="宋体" w:cs="宋体"/>
          <w:sz w:val="24"/>
        </w:rPr>
      </w:pPr>
      <w:r>
        <w:rPr>
          <w:rFonts w:hint="eastAsia" w:ascii="宋体" w:hAnsi="宋体" w:eastAsia="宋体" w:cs="宋体"/>
          <w:sz w:val="24"/>
        </w:rPr>
        <w:t>2.PCB布线设计</w:t>
      </w:r>
    </w:p>
    <w:p w14:paraId="36537BD8">
      <w:pPr>
        <w:spacing w:line="440" w:lineRule="exact"/>
        <w:ind w:firstLine="480" w:firstLineChars="200"/>
        <w:rPr>
          <w:rFonts w:hint="eastAsia" w:ascii="宋体" w:hAnsi="宋体" w:eastAsia="宋体" w:cs="宋体"/>
          <w:sz w:val="24"/>
        </w:rPr>
      </w:pPr>
      <w:r>
        <w:rPr>
          <w:rFonts w:hint="eastAsia" w:ascii="宋体" w:hAnsi="宋体" w:eastAsia="宋体" w:cs="宋体"/>
          <w:sz w:val="24"/>
        </w:rPr>
        <w:t>1）布线规则设置：在“Design Rules”中定义电源线宽≥1.5mm，地线≥2mm，信号线≥0.2mm；时钟信号（DS12887的SQW引脚）采用单端布线，长度控制在20mm内，且远离电源走线；模拟地（LM324电路）与数字地（单片机电路）通过单点接地连接，避免串扰。</w:t>
      </w:r>
    </w:p>
    <w:p w14:paraId="00FDE208">
      <w:pPr>
        <w:spacing w:line="440" w:lineRule="exact"/>
        <w:ind w:firstLine="480" w:firstLineChars="200"/>
        <w:rPr>
          <w:rFonts w:hint="eastAsia" w:ascii="宋体" w:hAnsi="宋体" w:eastAsia="宋体" w:cs="宋体"/>
          <w:sz w:val="24"/>
        </w:rPr>
      </w:pPr>
      <w:r>
        <w:rPr>
          <w:rFonts w:hint="eastAsia" w:ascii="宋体" w:hAnsi="宋体" w:eastAsia="宋体" w:cs="宋体"/>
          <w:sz w:val="24"/>
        </w:rPr>
        <w:t>2）布线优先级：先布电源/地线，再布时钟、PWM驱动等关键信号线，最后布普通I/O信号线；采用“45°角”布线方式，避免直角走线导致的信号反射；对电机驱动等高电流走线进行覆铜加粗，增强载流能力。</w:t>
      </w:r>
    </w:p>
    <w:p w14:paraId="361820F3">
      <w:pPr>
        <w:spacing w:line="440" w:lineRule="exact"/>
        <w:ind w:firstLine="480" w:firstLineChars="200"/>
        <w:rPr>
          <w:rFonts w:hint="eastAsia" w:ascii="宋体" w:hAnsi="宋体" w:eastAsia="宋体" w:cs="宋体"/>
          <w:sz w:val="24"/>
        </w:rPr>
      </w:pPr>
      <w:r>
        <w:rPr>
          <w:rFonts w:hint="eastAsia" w:ascii="宋体" w:hAnsi="宋体" w:eastAsia="宋体" w:cs="宋体"/>
          <w:sz w:val="24"/>
        </w:rPr>
        <w:t>3）覆铜处理：整板覆接地铜，设置覆铜与焊盘、过孔的连接方式为“Relief Connect”（花焊盘），增强散热与抗干扰能力；在电源输入引脚、单片机核心引脚附近添加接地过孔，降低电源噪声。</w:t>
      </w:r>
    </w:p>
    <w:p w14:paraId="7B5DCCCD">
      <w:pPr>
        <w:spacing w:line="440" w:lineRule="exact"/>
        <w:ind w:firstLine="480" w:firstLineChars="200"/>
        <w:rPr>
          <w:rFonts w:hint="eastAsia" w:ascii="宋体" w:hAnsi="宋体" w:eastAsia="宋体" w:cs="宋体"/>
          <w:sz w:val="24"/>
        </w:rPr>
      </w:pPr>
      <w:r>
        <w:rPr>
          <w:rFonts w:hint="eastAsia" w:ascii="宋体" w:hAnsi="宋体" w:eastAsia="宋体" w:cs="宋体"/>
          <w:sz w:val="24"/>
        </w:rPr>
        <w:t>3.PCB验证与输出</w:t>
      </w:r>
    </w:p>
    <w:p w14:paraId="4C848470">
      <w:pPr>
        <w:spacing w:line="440" w:lineRule="exact"/>
        <w:ind w:firstLine="480" w:firstLineChars="200"/>
        <w:rPr>
          <w:rFonts w:hint="eastAsia" w:ascii="宋体" w:hAnsi="宋体" w:eastAsia="宋体" w:cs="宋体"/>
          <w:sz w:val="24"/>
        </w:rPr>
      </w:pPr>
      <w:r>
        <w:rPr>
          <w:rFonts w:hint="eastAsia" w:ascii="宋体" w:hAnsi="宋体" w:eastAsia="宋体" w:cs="宋体"/>
          <w:sz w:val="24"/>
        </w:rPr>
        <w:t>1）执行设计规则检查（DRC）：检测线宽、间距、短路、未连接网络等问题，修正“Clearance violation”“Width violation”等报错；通过“3D View”预览PCB立体效果，检查元件封装高度、板框干涉等机械问题。</w:t>
      </w:r>
    </w:p>
    <w:p w14:paraId="5B25040C">
      <w:pPr>
        <w:spacing w:line="440" w:lineRule="exact"/>
        <w:ind w:firstLine="480" w:firstLineChars="200"/>
        <w:rPr>
          <w:rFonts w:hint="eastAsia" w:ascii="宋体" w:hAnsi="宋体" w:eastAsia="宋体" w:cs="宋体"/>
          <w:sz w:val="24"/>
        </w:rPr>
      </w:pPr>
      <w:r>
        <w:rPr>
          <w:rFonts w:hint="eastAsia" w:ascii="宋体" w:hAnsi="宋体" w:eastAsia="宋体" w:cs="宋体"/>
          <w:sz w:val="24"/>
        </w:rPr>
        <w:t>2）导出生产文件：生成Gerber文件（包含Top/Bottom Layer、Silkscreen、Solder Mask、Drill Guide等图层）、BOM表（物料清单）及Pick and Place文件，标注元件位号、封装、参数等信息，提交PCB厂家打样。</w:t>
      </w:r>
    </w:p>
    <w:p w14:paraId="601E74A1">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71" w:name="_Toc216861525"/>
      <w:bookmarkStart w:id="1772" w:name="_Toc216862536"/>
      <w:r>
        <w:rPr>
          <w:rFonts w:ascii="Times New Roman" w:hAnsi="Times New Roman" w:eastAsia="宋体" w:cs="Times New Roman"/>
          <w:kern w:val="2"/>
          <w:sz w:val="24"/>
          <w:szCs w:val="24"/>
          <w:lang w:val="en-US" w:eastAsia="zh-CN" w:bidi="ar-SA"/>
        </w:rPr>
        <w:t>4.2.3 PCB制作与硬件组装</w:t>
      </w:r>
      <w:bookmarkEnd w:id="1771"/>
      <w:bookmarkEnd w:id="1772"/>
    </w:p>
    <w:p w14:paraId="1A279AE4">
      <w:pPr>
        <w:spacing w:line="440" w:lineRule="exact"/>
        <w:ind w:firstLine="480" w:firstLineChars="200"/>
        <w:rPr>
          <w:rFonts w:hint="eastAsia" w:ascii="宋体" w:hAnsi="宋体" w:eastAsia="宋体" w:cs="宋体"/>
          <w:sz w:val="24"/>
        </w:rPr>
      </w:pPr>
      <w:r>
        <w:rPr>
          <w:rFonts w:hint="eastAsia" w:ascii="宋体" w:hAnsi="宋体" w:eastAsia="宋体" w:cs="宋体"/>
          <w:sz w:val="24"/>
        </w:rPr>
        <w:t>1.PCB打样与验收：委托PCB厂家按Gerber文件制作10片样板，要求表面喷锡工艺，阻焊层为绿色，丝印层清晰；收到样板后，通过万用表检测电源/地线导通性，使用放大镜检查焊盘、过孔是否存在毛刺、短路，确保PCB板无制造缺陷。</w:t>
      </w:r>
    </w:p>
    <w:p w14:paraId="74B4C443">
      <w:pPr>
        <w:spacing w:line="440" w:lineRule="exact"/>
        <w:ind w:firstLine="480" w:firstLineChars="200"/>
        <w:rPr>
          <w:rFonts w:hint="eastAsia" w:ascii="宋体" w:hAnsi="宋体" w:eastAsia="宋体" w:cs="宋体"/>
          <w:sz w:val="24"/>
        </w:rPr>
      </w:pPr>
      <w:r>
        <w:rPr>
          <w:rFonts w:hint="eastAsia" w:ascii="宋体" w:hAnsi="宋体" w:eastAsia="宋体" w:cs="宋体"/>
          <w:sz w:val="24"/>
        </w:rPr>
        <w:t>2.元件焊接与组装：焊接准备：整理BOM表中的元件（电阻、电容、P80C528BPN、DS12887、LM324、7805等），按位号对应PCB板位置摆放；使用恒温电烙铁（温度350℃）、焊锡丝（0.8mm）及助焊剂进行手工焊接。</w:t>
      </w:r>
    </w:p>
    <w:p w14:paraId="64FA079E">
      <w:pPr>
        <w:spacing w:line="440" w:lineRule="exact"/>
        <w:ind w:firstLine="480" w:firstLineChars="200"/>
        <w:rPr>
          <w:rFonts w:hint="eastAsia" w:ascii="宋体" w:hAnsi="宋体" w:eastAsia="宋体" w:cs="宋体"/>
          <w:sz w:val="24"/>
        </w:rPr>
      </w:pPr>
      <w:r>
        <w:rPr>
          <w:rFonts w:hint="eastAsia" w:ascii="宋体" w:hAnsi="宋体" w:eastAsia="宋体" w:cs="宋体"/>
          <w:sz w:val="24"/>
        </w:rPr>
        <w:t>3.焊接流程：先焊贴片电阻/电容，再焊插装芯片（单片机、时钟芯片等），最后焊接口元件（按键、显示屏、电机接口）；焊接完成后清理助焊剂残留，检查焊点是否存在虚焊、连锡，重点核对电源引脚、接地引脚的焊接质量。</w:t>
      </w:r>
    </w:p>
    <w:p w14:paraId="041BFBC6">
      <w:pPr>
        <w:spacing w:line="440" w:lineRule="exact"/>
        <w:ind w:firstLine="480" w:firstLineChars="200"/>
        <w:rPr>
          <w:rFonts w:hint="eastAsia" w:ascii="宋体" w:hAnsi="宋体" w:eastAsia="宋体" w:cs="宋体"/>
          <w:sz w:val="24"/>
        </w:rPr>
      </w:pPr>
      <w:r>
        <w:rPr>
          <w:rFonts w:hint="eastAsia" w:ascii="宋体" w:hAnsi="宋体" w:eastAsia="宋体" w:cs="宋体"/>
          <w:sz w:val="24"/>
        </w:rPr>
        <w:t>4.硬件组装：将焊接完成的PCB板固定在亚克力外壳中，连接微型步进电机、LCD1602显示屏、按键、电源接口等外部元件，确保接线牢固，电机传动机构与摇摆钟摆锤连接顺畅，无机械卡顿。</w:t>
      </w:r>
    </w:p>
    <w:p w14:paraId="254DE1BB">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73" w:name="_Toc21831"/>
      <w:bookmarkStart w:id="1774" w:name="_Toc216862537"/>
      <w:bookmarkStart w:id="1775" w:name="_Toc216861526"/>
      <w:r>
        <w:rPr>
          <w:rFonts w:ascii="Times New Roman" w:hAnsi="Times New Roman" w:eastAsia="宋体" w:cs="Times New Roman"/>
          <w:bCs/>
          <w:kern w:val="2"/>
          <w:sz w:val="24"/>
          <w:szCs w:val="32"/>
          <w:lang w:val="en-US" w:eastAsia="zh-CN" w:bidi="ar-SA"/>
        </w:rPr>
        <w:t>4.3 系统测试</w:t>
      </w:r>
      <w:bookmarkEnd w:id="1773"/>
      <w:bookmarkEnd w:id="1774"/>
      <w:bookmarkEnd w:id="1775"/>
    </w:p>
    <w:p w14:paraId="6C3FDE81">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76" w:name="_Toc216862538"/>
      <w:bookmarkStart w:id="1777" w:name="_Toc216861527"/>
      <w:r>
        <w:rPr>
          <w:rFonts w:ascii="Times New Roman" w:hAnsi="Times New Roman" w:eastAsia="宋体" w:cs="Times New Roman"/>
          <w:kern w:val="2"/>
          <w:sz w:val="24"/>
          <w:szCs w:val="24"/>
          <w:lang w:val="en-US" w:eastAsia="zh-CN" w:bidi="ar-SA"/>
        </w:rPr>
        <w:t>4.3.1 测试环境与工具</w:t>
      </w:r>
      <w:bookmarkEnd w:id="1776"/>
      <w:bookmarkEnd w:id="1777"/>
    </w:p>
    <w:p w14:paraId="36E74F95">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测试环境：室温15℃±5℃，无强电磁干扰的实验室环境；提供220V市电（经稳压电源转为5V）、3.7V 锂电池，确保供电稳定。</w:t>
      </w:r>
    </w:p>
    <w:p w14:paraId="6EB6F813">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测试工具：高精度万用表、示波器、秒表、负载测试仪、放大镜、防静电手环。</w:t>
      </w:r>
    </w:p>
    <w:p w14:paraId="60235BE8">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78" w:name="_Toc216861528"/>
      <w:bookmarkStart w:id="1779" w:name="_Toc216862539"/>
      <w:r>
        <w:rPr>
          <w:rFonts w:hint="eastAsia" w:ascii="Times New Roman" w:hAnsi="Times New Roman" w:eastAsia="宋体" w:cs="Times New Roman"/>
          <w:kern w:val="2"/>
          <w:sz w:val="24"/>
          <w:szCs w:val="24"/>
          <w:lang w:val="en-US" w:eastAsia="zh-CN" w:bidi="ar-SA"/>
        </w:rPr>
        <w:t>4.3.2 硬件功能测试</w:t>
      </w:r>
      <w:bookmarkEnd w:id="1778"/>
      <w:bookmarkEnd w:id="1779"/>
    </w:p>
    <w:p w14:paraId="14A8CE2F">
      <w:pPr>
        <w:spacing w:line="440" w:lineRule="exact"/>
        <w:ind w:firstLine="480" w:firstLineChars="200"/>
        <w:rPr>
          <w:rFonts w:hint="eastAsia" w:ascii="宋体" w:hAnsi="宋体" w:eastAsia="宋体" w:cs="宋体"/>
          <w:sz w:val="24"/>
        </w:rPr>
      </w:pPr>
      <w:r>
        <w:rPr>
          <w:rFonts w:hint="eastAsia" w:ascii="宋体" w:hAnsi="宋体" w:eastAsia="宋体" w:cs="宋体"/>
          <w:sz w:val="24"/>
        </w:rPr>
        <w:t>1.供电电路测试</w:t>
      </w:r>
    </w:p>
    <w:p w14:paraId="0D81CB27">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测试方法：分别接入市电5V供电和3.7V锂电池供电，使用万用表测量7805输出端、单片机VCC引脚的电压值，记录电压波动范围；模拟电压波动（4.5V~5.5V），观察系统是否正常工作。</w:t>
      </w:r>
    </w:p>
    <w:p w14:paraId="2FD029F8">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测试结果：市电供电时输出电压稳定在5.0V±0.1V，锂电池供电时电压稳定在3.7V±0.05V；电压波动范围内，PCB板无发热、元件无损坏，系统可正常启动，供电电路满足设计要求。</w:t>
      </w:r>
    </w:p>
    <w:p w14:paraId="4CBFB236">
      <w:pPr>
        <w:spacing w:line="440" w:lineRule="exact"/>
        <w:ind w:firstLine="480" w:firstLineChars="200"/>
        <w:rPr>
          <w:rFonts w:hint="eastAsia" w:ascii="宋体" w:hAnsi="宋体" w:eastAsia="宋体" w:cs="宋体"/>
          <w:sz w:val="24"/>
        </w:rPr>
      </w:pPr>
      <w:r>
        <w:rPr>
          <w:rFonts w:hint="eastAsia" w:ascii="宋体" w:hAnsi="宋体" w:eastAsia="宋体" w:cs="宋体"/>
          <w:sz w:val="24"/>
        </w:rPr>
        <w:t>2.时钟电路测试</w:t>
      </w:r>
    </w:p>
    <w:p w14:paraId="79388D3F">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测试方法：通过示波器测量DS12887时钟芯片SQW引脚的输出波形，验证时钟频率（32.768kHz）；将系统时间校准为标准时间，连续运行72小时，每隔24小时记录显示时间与标准时间的差值。</w:t>
      </w:r>
    </w:p>
    <w:p w14:paraId="737F1F31">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测试结果：SQW引脚输出波形稳定，频率误差≤±1Hz；72小时累计时间误差为+2.1秒，日均误差≤±1秒，时钟电路计时精度符合设计指标。</w:t>
      </w:r>
    </w:p>
    <w:p w14:paraId="363175B3">
      <w:pPr>
        <w:spacing w:line="440" w:lineRule="exact"/>
        <w:ind w:firstLine="480" w:firstLineChars="200"/>
        <w:rPr>
          <w:rFonts w:hint="eastAsia" w:ascii="宋体" w:hAnsi="宋体" w:eastAsia="宋体" w:cs="宋体"/>
          <w:sz w:val="24"/>
        </w:rPr>
      </w:pPr>
      <w:r>
        <w:rPr>
          <w:rFonts w:hint="eastAsia" w:ascii="宋体" w:hAnsi="宋体" w:eastAsia="宋体" w:cs="宋体"/>
          <w:sz w:val="24"/>
        </w:rPr>
        <w:t>3.放大与摇摆驱动测试</w:t>
      </w:r>
    </w:p>
    <w:p w14:paraId="740FF7B5">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测试方法：通过示波器测量LM324运算放大器输入端（单片机PWM信号）与输出端（电机驱动信号）的电压幅值，验证信号放大效果；调节单片机输出的PWM占空比，观察电机摇摆频率（10~30 次/分钟），使用秒表统计实际摇摆次数。</w:t>
      </w:r>
    </w:p>
    <w:p w14:paraId="010CCF5A">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测试结果：LM324输出信号幅值为输入信号的10倍（设计放大倍数），无信号失真；摇摆频率调节范围精准，实际频率与设定值偏差≤±0.5次/分钟，电机运转平稳，摆锤摇摆无卡顿。</w:t>
      </w:r>
    </w:p>
    <w:p w14:paraId="7F3C30E0">
      <w:pPr>
        <w:spacing w:line="440" w:lineRule="exact"/>
        <w:ind w:firstLine="480" w:firstLineChars="200"/>
        <w:rPr>
          <w:rFonts w:hint="eastAsia" w:ascii="宋体" w:hAnsi="宋体" w:eastAsia="宋体" w:cs="宋体"/>
          <w:sz w:val="24"/>
        </w:rPr>
      </w:pPr>
      <w:r>
        <w:rPr>
          <w:rFonts w:hint="eastAsia" w:ascii="宋体" w:hAnsi="宋体" w:eastAsia="宋体" w:cs="宋体"/>
          <w:sz w:val="24"/>
        </w:rPr>
        <w:t>4.按键与显示测试</w:t>
      </w:r>
    </w:p>
    <w:p w14:paraId="47EA8975">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测试方法：依次操作时间校准、频率调节、复位等按键，观察LCD1602显示屏与数码管的显示内容是否同步更新，按键响应是否及时。</w:t>
      </w:r>
    </w:p>
    <w:p w14:paraId="052F63CB">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测试结果：按键无防抖失效现象，响应时间≤0.5秒；显示屏可清晰显示时间、摇摆频率、电源状态等信息，数码管时间显示与时钟芯片数据一致，无乱码、闪烁问题。</w:t>
      </w:r>
    </w:p>
    <w:p w14:paraId="60FF7BED">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80" w:name="_Toc216862540"/>
      <w:bookmarkStart w:id="1781" w:name="_Toc216861529"/>
      <w:r>
        <w:rPr>
          <w:rFonts w:ascii="Times New Roman" w:hAnsi="Times New Roman" w:eastAsia="宋体" w:cs="Times New Roman"/>
          <w:kern w:val="2"/>
          <w:sz w:val="24"/>
          <w:szCs w:val="24"/>
          <w:lang w:val="en-US" w:eastAsia="zh-CN" w:bidi="ar-SA"/>
        </w:rPr>
        <w:t>4.3.3 硬件性能测试</w:t>
      </w:r>
      <w:bookmarkEnd w:id="1780"/>
      <w:bookmarkEnd w:id="1781"/>
    </w:p>
    <w:p w14:paraId="25E10D7C">
      <w:pPr>
        <w:spacing w:line="440" w:lineRule="exact"/>
        <w:ind w:firstLine="480" w:firstLineChars="200"/>
        <w:rPr>
          <w:rFonts w:hint="eastAsia" w:ascii="宋体" w:hAnsi="宋体" w:eastAsia="宋体" w:cs="宋体"/>
          <w:sz w:val="24"/>
        </w:rPr>
      </w:pPr>
      <w:r>
        <w:rPr>
          <w:rFonts w:hint="eastAsia" w:ascii="宋体" w:hAnsi="宋体" w:eastAsia="宋体" w:cs="宋体"/>
          <w:sz w:val="24"/>
        </w:rPr>
        <w:t>1.功耗测试</w:t>
      </w:r>
    </w:p>
    <w:p w14:paraId="06816AA3">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测试方法：使用万用表串联在供电回路中，测量系统静态（无摇摆）、动态（摇摆状态）的工作电流，计算功耗。</w:t>
      </w:r>
    </w:p>
    <w:p w14:paraId="3E585F29">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测试结果：静态电流≤20mA（5V供电），动态电流≤80mA，锂电池供电时可持续工作≥24小时，功耗符合低功耗设计要求。</w:t>
      </w:r>
    </w:p>
    <w:p w14:paraId="3658E1E2">
      <w:pPr>
        <w:spacing w:line="440" w:lineRule="exact"/>
        <w:ind w:firstLine="480" w:firstLineChars="200"/>
        <w:rPr>
          <w:rFonts w:hint="eastAsia" w:ascii="宋体" w:hAnsi="宋体" w:eastAsia="宋体" w:cs="宋体"/>
          <w:sz w:val="24"/>
        </w:rPr>
      </w:pPr>
      <w:r>
        <w:rPr>
          <w:rFonts w:hint="eastAsia" w:ascii="宋体" w:hAnsi="宋体" w:eastAsia="宋体" w:cs="宋体"/>
          <w:sz w:val="24"/>
        </w:rPr>
        <w:t>2.电磁兼容性测试</w:t>
      </w:r>
    </w:p>
    <w:p w14:paraId="3CB40F2E">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测试方法：使用示波器观察电源走线、时钟信号走线的电压纹波，检测是否存在电磁干扰；将系统与其他电子设备（如手机、电脑）近距离放置，观察系统运行是否受干扰。</w:t>
      </w:r>
    </w:p>
    <w:p w14:paraId="050DCA78">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测试结果：电源纹波≤50mV，时钟信号无杂波干扰；与其他电子设备共存时，系统计时、摇摆功能无异常，电磁兼容性良好。</w:t>
      </w:r>
    </w:p>
    <w:p w14:paraId="2AC2855A">
      <w:pPr>
        <w:spacing w:line="440" w:lineRule="exact"/>
        <w:ind w:firstLine="480" w:firstLineChars="200"/>
        <w:rPr>
          <w:rFonts w:hint="eastAsia" w:ascii="宋体" w:hAnsi="宋体" w:eastAsia="宋体" w:cs="宋体"/>
          <w:sz w:val="24"/>
        </w:rPr>
      </w:pPr>
      <w:r>
        <w:rPr>
          <w:rFonts w:hint="eastAsia" w:ascii="宋体" w:hAnsi="宋体" w:eastAsia="宋体" w:cs="宋体"/>
          <w:sz w:val="24"/>
        </w:rPr>
        <w:t>3.可靠性测试</w:t>
      </w:r>
    </w:p>
    <w:p w14:paraId="2DA04B8C">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测试方法：将系统连续通电运行72小时，每隔8小时检查一次功能完整性（计时、摇摆、显示、报警），记录故障次数。</w:t>
      </w:r>
    </w:p>
    <w:p w14:paraId="18E0DE06">
      <w:pPr>
        <w:spacing w:line="440" w:lineRule="exact"/>
        <w:ind w:firstLine="480" w:firstLineChars="200"/>
        <w:rPr>
          <w:rFonts w:hint="eastAsia" w:ascii="宋体" w:hAnsi="宋体" w:eastAsia="宋体" w:cs="宋体"/>
          <w:sz w:val="24"/>
        </w:rPr>
      </w:pPr>
      <w:r>
        <w:rPr>
          <w:rFonts w:hint="eastAsia" w:ascii="宋体" w:hAnsi="宋体" w:eastAsia="宋体" w:cs="宋体"/>
          <w:sz w:val="24"/>
        </w:rPr>
        <w:t>测试结果：72小时连续运行无故障，PCB板无发热、元件无老化，焊点无脱落，系统可靠性满足设计要求。</w:t>
      </w:r>
    </w:p>
    <w:p w14:paraId="6FDFACEA">
      <w:pPr>
        <w:keepNext/>
        <w:keepLines/>
        <w:widowControl w:val="0"/>
        <w:spacing w:line="440" w:lineRule="exact"/>
        <w:ind w:firstLine="480" w:firstLineChars="200"/>
        <w:jc w:val="both"/>
        <w:outlineLvl w:val="9"/>
        <w:rPr>
          <w:rFonts w:ascii="Times New Roman" w:hAnsi="Times New Roman" w:eastAsia="宋体" w:cs="Times New Roman"/>
          <w:kern w:val="2"/>
          <w:sz w:val="24"/>
          <w:szCs w:val="24"/>
          <w:lang w:val="en-US" w:eastAsia="zh-CN" w:bidi="ar-SA"/>
        </w:rPr>
      </w:pPr>
      <w:bookmarkStart w:id="1782" w:name="_Toc216861530"/>
      <w:bookmarkStart w:id="1783" w:name="_Toc216862541"/>
      <w:r>
        <w:rPr>
          <w:rFonts w:ascii="Times New Roman" w:hAnsi="Times New Roman" w:eastAsia="宋体" w:cs="Times New Roman"/>
          <w:kern w:val="2"/>
          <w:sz w:val="24"/>
          <w:szCs w:val="24"/>
          <w:lang w:val="en-US" w:eastAsia="zh-CN" w:bidi="ar-SA"/>
        </w:rPr>
        <w:t>4.3.4 测试结论</w:t>
      </w:r>
      <w:bookmarkEnd w:id="1782"/>
      <w:bookmarkEnd w:id="1783"/>
    </w:p>
    <w:p w14:paraId="2FBC732A">
      <w:pPr>
        <w:spacing w:line="440" w:lineRule="exact"/>
        <w:ind w:firstLine="480" w:firstLineChars="200"/>
        <w:rPr>
          <w:rFonts w:hint="eastAsia" w:ascii="宋体" w:hAnsi="宋体" w:eastAsia="宋体" w:cs="宋体"/>
          <w:sz w:val="24"/>
        </w:rPr>
      </w:pPr>
      <w:r>
        <w:rPr>
          <w:rFonts w:hint="eastAsia" w:ascii="宋体" w:hAnsi="宋体" w:eastAsia="宋体" w:cs="宋体"/>
          <w:sz w:val="24"/>
        </w:rPr>
        <w:t>通过全维度硬件测试验证，基于Altium Designer设计的摇摆钟电路PCB板布局合理、布线规范，核心模块（供电、时钟、放大、驱动）功能均达到设计指标；系统计时精准、摇摆稳定、操作便捷，无硬件故障或性能缺陷，可满足家居、教学等场景的使用需求。</w:t>
      </w:r>
    </w:p>
    <w:p w14:paraId="434A80E6">
      <w:pPr>
        <w:keepNext/>
        <w:keepLines/>
        <w:widowControl w:val="0"/>
        <w:spacing w:line="440" w:lineRule="exact"/>
        <w:jc w:val="both"/>
        <w:outlineLvl w:val="9"/>
        <w:rPr>
          <w:rFonts w:ascii="Times New Roman" w:hAnsi="Times New Roman" w:eastAsia="宋体" w:cs="Times New Roman"/>
          <w:b/>
          <w:bCs/>
          <w:kern w:val="44"/>
          <w:sz w:val="28"/>
          <w:szCs w:val="44"/>
          <w:lang w:val="en-US" w:eastAsia="zh-CN" w:bidi="ar-SA"/>
        </w:rPr>
      </w:pPr>
      <w:bookmarkStart w:id="1784" w:name="_Toc8500"/>
      <w:bookmarkStart w:id="1785" w:name="_Toc14784"/>
      <w:bookmarkStart w:id="1786" w:name="_Toc216862542"/>
      <w:bookmarkStart w:id="1787" w:name="_Toc7480"/>
      <w:bookmarkStart w:id="1788" w:name="_Toc216861531"/>
      <w:r>
        <w:rPr>
          <w:rFonts w:ascii="Times New Roman" w:hAnsi="Times New Roman" w:eastAsia="宋体" w:cs="Times New Roman"/>
          <w:b/>
          <w:bCs/>
          <w:kern w:val="44"/>
          <w:sz w:val="28"/>
          <w:szCs w:val="44"/>
          <w:lang w:val="en-US" w:eastAsia="zh-CN" w:bidi="ar-SA"/>
        </w:rPr>
        <w:t xml:space="preserve">5 </w:t>
      </w:r>
      <w:bookmarkEnd w:id="1784"/>
      <w:bookmarkEnd w:id="1785"/>
      <w:r>
        <w:rPr>
          <w:rFonts w:hint="eastAsia" w:ascii="Times New Roman" w:hAnsi="Times New Roman" w:eastAsia="宋体" w:cs="Times New Roman"/>
          <w:b/>
          <w:bCs/>
          <w:kern w:val="44"/>
          <w:sz w:val="28"/>
          <w:szCs w:val="44"/>
          <w:lang w:val="en-US" w:eastAsia="zh-CN" w:bidi="ar-SA"/>
        </w:rPr>
        <w:t>总结</w:t>
      </w:r>
      <w:bookmarkEnd w:id="1786"/>
      <w:bookmarkEnd w:id="1787"/>
      <w:bookmarkEnd w:id="1788"/>
    </w:p>
    <w:p w14:paraId="10A1D26C">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89" w:name="_Toc216861532"/>
      <w:bookmarkStart w:id="1790" w:name="_Toc216862543"/>
      <w:bookmarkStart w:id="1791" w:name="_Toc11541"/>
      <w:r>
        <w:rPr>
          <w:rFonts w:hint="eastAsia" w:ascii="Times New Roman" w:hAnsi="Times New Roman" w:eastAsia="宋体" w:cs="Times New Roman"/>
          <w:bCs/>
          <w:kern w:val="2"/>
          <w:sz w:val="24"/>
          <w:szCs w:val="32"/>
          <w:lang w:val="en-US" w:eastAsia="zh-CN" w:bidi="ar-SA"/>
        </w:rPr>
        <w:t>5.1 项目成果</w:t>
      </w:r>
      <w:bookmarkEnd w:id="1789"/>
      <w:bookmarkEnd w:id="1790"/>
      <w:bookmarkEnd w:id="1791"/>
    </w:p>
    <w:p w14:paraId="1EFF20C9">
      <w:pPr>
        <w:spacing w:line="440" w:lineRule="exact"/>
        <w:ind w:firstLine="480" w:firstLineChars="200"/>
        <w:rPr>
          <w:rFonts w:hint="eastAsia" w:ascii="宋体" w:hAnsi="宋体" w:eastAsia="宋体" w:cs="宋体"/>
          <w:sz w:val="24"/>
        </w:rPr>
      </w:pPr>
      <w:r>
        <w:rPr>
          <w:rFonts w:hint="eastAsia" w:ascii="宋体" w:hAnsi="宋体" w:eastAsia="宋体" w:cs="宋体"/>
          <w:sz w:val="24"/>
        </w:rPr>
        <w:t>本项目依托 Altium Designer 17完成了摇摆钟电路的全流程硬件设计与实现，核心成果如下：</w:t>
      </w:r>
    </w:p>
    <w:p w14:paraId="4A393AEB">
      <w:pPr>
        <w:spacing w:line="440" w:lineRule="exact"/>
        <w:ind w:firstLine="480" w:firstLineChars="200"/>
        <w:rPr>
          <w:rFonts w:hint="eastAsia" w:ascii="宋体" w:hAnsi="宋体" w:eastAsia="宋体" w:cs="宋体"/>
          <w:sz w:val="24"/>
        </w:rPr>
      </w:pPr>
      <w:r>
        <w:rPr>
          <w:rFonts w:hint="eastAsia" w:ascii="宋体" w:hAnsi="宋体" w:eastAsia="宋体" w:cs="宋体"/>
          <w:sz w:val="24"/>
        </w:rPr>
        <w:t>完成了模块化的电路原理图设计，涵盖核心控制、时钟、放大、电源、显示/按键等模块，通过ERC检查消除电气逻辑错误，确保电路拓扑符合芯片应用规范。</w:t>
      </w:r>
    </w:p>
    <w:p w14:paraId="33F35B8C">
      <w:pPr>
        <w:spacing w:line="440" w:lineRule="exact"/>
        <w:ind w:firstLine="480" w:firstLineChars="200"/>
        <w:rPr>
          <w:rFonts w:hint="eastAsia" w:ascii="宋体" w:hAnsi="宋体" w:eastAsia="宋体" w:cs="宋体"/>
          <w:sz w:val="24"/>
        </w:rPr>
      </w:pPr>
      <w:r>
        <w:rPr>
          <w:rFonts w:hint="eastAsia" w:ascii="宋体" w:hAnsi="宋体" w:eastAsia="宋体" w:cs="宋体"/>
          <w:sz w:val="24"/>
        </w:rPr>
        <w:t>优化了PCB板的布局与布线，实现了信号抗干扰、电源稳定性与机械装配性的统一，PCB板经打样、焊接后无制造缺陷，满足批量生产的基础要求。</w:t>
      </w:r>
    </w:p>
    <w:p w14:paraId="47B10F8B">
      <w:pPr>
        <w:spacing w:line="440" w:lineRule="exact"/>
        <w:ind w:firstLine="480" w:firstLineChars="200"/>
        <w:rPr>
          <w:rFonts w:hint="eastAsia" w:ascii="宋体" w:hAnsi="宋体" w:eastAsia="宋体" w:cs="宋体"/>
          <w:sz w:val="24"/>
        </w:rPr>
      </w:pPr>
      <w:r>
        <w:rPr>
          <w:rFonts w:hint="eastAsia" w:ascii="宋体" w:hAnsi="宋体" w:eastAsia="宋体" w:cs="宋体"/>
          <w:sz w:val="24"/>
        </w:rPr>
        <w:t>硬件系统功能完整：具备精准计时（日均误差≤±1秒）、可调频率摇摆（10~30次/分钟）、双供电模式、故障报警等核心功能，且功耗低、电磁兼容性好，72小时连续运行无故障。</w:t>
      </w:r>
    </w:p>
    <w:p w14:paraId="6A5F175E">
      <w:pPr>
        <w:spacing w:line="440" w:lineRule="exact"/>
        <w:ind w:firstLine="480" w:firstLineChars="200"/>
        <w:rPr>
          <w:rFonts w:hint="eastAsia" w:ascii="宋体" w:hAnsi="宋体" w:eastAsia="宋体" w:cs="宋体"/>
          <w:sz w:val="24"/>
        </w:rPr>
      </w:pPr>
      <w:r>
        <w:rPr>
          <w:rFonts w:hint="eastAsia" w:ascii="宋体" w:hAnsi="宋体" w:eastAsia="宋体" w:cs="宋体"/>
          <w:sz w:val="24"/>
        </w:rPr>
        <w:t>形成了标准化的硬件设计文档，包括原理图PDF、PCB Gerber文件、BOM表、测试报告等，为后续产品迭代、批量生产提供了完整的技术资料。</w:t>
      </w:r>
    </w:p>
    <w:p w14:paraId="3C41907A">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92" w:name="_Toc216861533"/>
      <w:bookmarkStart w:id="1793" w:name="_Toc15652"/>
      <w:bookmarkStart w:id="1794" w:name="_Toc216862544"/>
      <w:r>
        <w:rPr>
          <w:rFonts w:hint="eastAsia" w:ascii="Times New Roman" w:hAnsi="Times New Roman" w:eastAsia="宋体" w:cs="Times New Roman"/>
          <w:bCs/>
          <w:kern w:val="2"/>
          <w:sz w:val="24"/>
          <w:szCs w:val="32"/>
          <w:lang w:val="en-US" w:eastAsia="zh-CN" w:bidi="ar-SA"/>
        </w:rPr>
        <w:t>5.2 项目亮点</w:t>
      </w:r>
      <w:bookmarkEnd w:id="1792"/>
      <w:bookmarkEnd w:id="1793"/>
      <w:bookmarkEnd w:id="1794"/>
    </w:p>
    <w:p w14:paraId="79415DE3">
      <w:pPr>
        <w:spacing w:line="440" w:lineRule="exact"/>
        <w:ind w:firstLine="480" w:firstLineChars="200"/>
        <w:rPr>
          <w:rFonts w:hint="eastAsia" w:ascii="宋体" w:hAnsi="宋体" w:eastAsia="宋体" w:cs="宋体"/>
          <w:sz w:val="24"/>
        </w:rPr>
      </w:pPr>
      <w:r>
        <w:rPr>
          <w:rFonts w:hint="eastAsia" w:ascii="宋体" w:hAnsi="宋体" w:eastAsia="宋体" w:cs="宋体"/>
          <w:sz w:val="24"/>
        </w:rPr>
        <w:t>基于Altium Designer的模块化设计思路，实现了原理图与PCB的无缝衔接，通过严格的ERC/DRC检查，从源头规避了硬件设计错误，提升了开发效率。</w:t>
      </w:r>
    </w:p>
    <w:p w14:paraId="0D1FBF02">
      <w:pPr>
        <w:spacing w:line="440" w:lineRule="exact"/>
        <w:ind w:firstLine="480" w:firstLineChars="200"/>
        <w:rPr>
          <w:rFonts w:hint="eastAsia" w:ascii="宋体" w:hAnsi="宋体" w:eastAsia="宋体" w:cs="宋体"/>
          <w:sz w:val="24"/>
        </w:rPr>
      </w:pPr>
      <w:r>
        <w:rPr>
          <w:rFonts w:hint="eastAsia" w:ascii="宋体" w:hAnsi="宋体" w:eastAsia="宋体" w:cs="宋体"/>
          <w:sz w:val="24"/>
        </w:rPr>
        <w:t>针对摇摆钟的核心需求优化PCB布局：时钟信号短路径布线、模拟/数字地单点连接、电源覆铜加粗等设计，有效降低了信号干扰，保障了计时精度与摇摆稳定性。</w:t>
      </w:r>
    </w:p>
    <w:p w14:paraId="167E5973">
      <w:pPr>
        <w:spacing w:line="440" w:lineRule="exact"/>
        <w:ind w:firstLine="480" w:firstLineChars="200"/>
        <w:rPr>
          <w:rFonts w:hint="eastAsia" w:ascii="宋体" w:hAnsi="宋体" w:eastAsia="宋体" w:cs="宋体"/>
          <w:sz w:val="24"/>
        </w:rPr>
      </w:pPr>
      <w:r>
        <w:rPr>
          <w:rFonts w:hint="eastAsia" w:ascii="宋体" w:hAnsi="宋体" w:eastAsia="宋体" w:cs="宋体"/>
          <w:sz w:val="24"/>
        </w:rPr>
        <w:t>硬件方案兼顾实用性与经济性：选用通用型元件（LM324、7805、P80C528BPN 等），PCB板采用常规工艺制作，成本控制在100元以内，具备量产可行性。</w:t>
      </w:r>
    </w:p>
    <w:p w14:paraId="5712A092">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95" w:name="_Toc216862545"/>
      <w:bookmarkStart w:id="1796" w:name="_Toc216861534"/>
      <w:bookmarkStart w:id="1797" w:name="_Toc10739"/>
      <w:r>
        <w:rPr>
          <w:rFonts w:hint="eastAsia" w:ascii="Times New Roman" w:hAnsi="Times New Roman" w:eastAsia="宋体" w:cs="Times New Roman"/>
          <w:bCs/>
          <w:kern w:val="2"/>
          <w:sz w:val="24"/>
          <w:szCs w:val="32"/>
          <w:lang w:val="en-US" w:eastAsia="zh-CN" w:bidi="ar-SA"/>
        </w:rPr>
        <w:t>5.3 存在不足与改进方向</w:t>
      </w:r>
      <w:bookmarkEnd w:id="1795"/>
      <w:bookmarkEnd w:id="1796"/>
      <w:bookmarkEnd w:id="1797"/>
    </w:p>
    <w:p w14:paraId="013C5890">
      <w:pPr>
        <w:spacing w:line="440" w:lineRule="exact"/>
        <w:ind w:firstLine="480" w:firstLineChars="200"/>
        <w:rPr>
          <w:rFonts w:hint="eastAsia" w:ascii="宋体" w:hAnsi="宋体" w:eastAsia="宋体" w:cs="宋体"/>
          <w:sz w:val="24"/>
        </w:rPr>
      </w:pPr>
      <w:r>
        <w:rPr>
          <w:rFonts w:hint="eastAsia" w:ascii="宋体" w:hAnsi="宋体" w:eastAsia="宋体" w:cs="宋体"/>
          <w:sz w:val="24"/>
        </w:rPr>
        <w:t>PCB设计优化：当前PCB板为手工焊接的实验板，未考虑SMT贴片工艺的量产适配；部分信号线（如PWM驱动线）未做阻抗匹配，极端环境下可能存在信号衰减。后续可在Altium Designer中优化封装库（适配0603贴片元件），添加阻抗控制规则，设计量产版PCB。</w:t>
      </w:r>
    </w:p>
    <w:p w14:paraId="61E8EC7E">
      <w:pPr>
        <w:spacing w:line="440" w:lineRule="exact"/>
        <w:ind w:firstLine="480" w:firstLineChars="200"/>
        <w:rPr>
          <w:rFonts w:hint="eastAsia" w:ascii="宋体" w:hAnsi="宋体" w:eastAsia="宋体" w:cs="宋体"/>
          <w:sz w:val="24"/>
        </w:rPr>
      </w:pPr>
      <w:r>
        <w:rPr>
          <w:rFonts w:hint="eastAsia" w:ascii="宋体" w:hAnsi="宋体" w:eastAsia="宋体" w:cs="宋体"/>
          <w:sz w:val="24"/>
        </w:rPr>
        <w:t>元件选型升级：现有时钟芯片DS12887为插装封装，体积较大；电机驱动电路未使用专用驱动芯片（如L298N），放大电路负载能力有限。可替换为贴片式高精度时钟芯片（如DS3231），增加专用电机驱动模块，缩小PCB体积，提升驱动能力。</w:t>
      </w:r>
    </w:p>
    <w:p w14:paraId="4B5C98AF">
      <w:pPr>
        <w:spacing w:line="440" w:lineRule="exact"/>
        <w:ind w:firstLine="480" w:firstLineChars="200"/>
        <w:rPr>
          <w:rFonts w:hint="eastAsia" w:ascii="宋体" w:hAnsi="宋体" w:eastAsia="宋体" w:cs="宋体"/>
          <w:sz w:val="24"/>
        </w:rPr>
      </w:pPr>
      <w:r>
        <w:rPr>
          <w:rFonts w:hint="eastAsia" w:ascii="宋体" w:hAnsi="宋体" w:eastAsia="宋体" w:cs="宋体"/>
          <w:sz w:val="24"/>
        </w:rPr>
        <w:t>机械结构适配：当前硬件与摆锤的机械连接为简易装配，摇摆过程中存在轻微噪音。后续可结合Altium Designer的3D建模功能，优化PCB板安装孔位、电机固定方式，匹配定制化机械外壳，降低机械噪音。</w:t>
      </w:r>
    </w:p>
    <w:p w14:paraId="3199CA29">
      <w:pPr>
        <w:keepNext/>
        <w:keepLines/>
        <w:widowControl w:val="0"/>
        <w:spacing w:line="440" w:lineRule="exact"/>
        <w:ind w:firstLine="480" w:firstLineChars="200"/>
        <w:jc w:val="both"/>
        <w:outlineLvl w:val="9"/>
        <w:rPr>
          <w:rFonts w:ascii="Times New Roman" w:hAnsi="Times New Roman" w:eastAsia="宋体" w:cs="Times New Roman"/>
          <w:bCs/>
          <w:kern w:val="2"/>
          <w:sz w:val="24"/>
          <w:szCs w:val="32"/>
          <w:lang w:val="en-US" w:eastAsia="zh-CN" w:bidi="ar-SA"/>
        </w:rPr>
      </w:pPr>
      <w:bookmarkStart w:id="1798" w:name="_Toc216862546"/>
      <w:bookmarkStart w:id="1799" w:name="_Toc216861535"/>
      <w:bookmarkStart w:id="1800" w:name="_Toc14528"/>
      <w:r>
        <w:rPr>
          <w:rFonts w:hint="eastAsia" w:ascii="Times New Roman" w:hAnsi="Times New Roman" w:eastAsia="宋体" w:cs="Times New Roman"/>
          <w:bCs/>
          <w:kern w:val="2"/>
          <w:sz w:val="24"/>
          <w:szCs w:val="32"/>
          <w:lang w:val="en-US" w:eastAsia="zh-CN" w:bidi="ar-SA"/>
        </w:rPr>
        <w:t>5.4 项目展望</w:t>
      </w:r>
      <w:bookmarkEnd w:id="1798"/>
      <w:bookmarkEnd w:id="1799"/>
      <w:bookmarkEnd w:id="1800"/>
    </w:p>
    <w:p w14:paraId="53EF6F85">
      <w:pPr>
        <w:spacing w:line="440" w:lineRule="exact"/>
        <w:ind w:firstLine="480" w:firstLineChars="200"/>
        <w:rPr>
          <w:rFonts w:hint="eastAsia" w:ascii="宋体" w:hAnsi="宋体" w:eastAsia="宋体" w:cs="宋体"/>
          <w:sz w:val="24"/>
        </w:rPr>
      </w:pPr>
      <w:r>
        <w:rPr>
          <w:rFonts w:hint="eastAsia" w:ascii="宋体" w:hAnsi="宋体" w:eastAsia="宋体" w:cs="宋体"/>
          <w:sz w:val="24"/>
        </w:rPr>
        <w:t>本项目通过Altium Designer完成的摇摆钟电路硬件设计，验证了低成本、高精度计时与摇摆驱动方案的可行性，具备多场景拓展潜力：</w:t>
      </w:r>
    </w:p>
    <w:p w14:paraId="449F1074">
      <w:pPr>
        <w:spacing w:line="440" w:lineRule="exact"/>
        <w:ind w:firstLine="480" w:firstLineChars="200"/>
        <w:rPr>
          <w:rFonts w:hint="eastAsia" w:ascii="宋体" w:hAnsi="宋体" w:eastAsia="宋体" w:cs="宋体"/>
          <w:sz w:val="24"/>
        </w:rPr>
      </w:pPr>
      <w:r>
        <w:rPr>
          <w:rFonts w:hint="eastAsia" w:ascii="宋体" w:hAnsi="宋体" w:eastAsia="宋体" w:cs="宋体"/>
          <w:sz w:val="24"/>
        </w:rPr>
        <w:t>教育场景：将原理图、PCB设计文件与硬件套件结合，开发电子技术实训课程，帮助学生掌握Altium Designer使用、电路设计与PCB制作全流程。</w:t>
      </w:r>
    </w:p>
    <w:p w14:paraId="6ADAC887">
      <w:pPr>
        <w:spacing w:line="440" w:lineRule="exact"/>
        <w:ind w:firstLine="480" w:firstLineChars="200"/>
        <w:rPr>
          <w:rFonts w:hint="eastAsia" w:ascii="宋体" w:hAnsi="宋体" w:eastAsia="宋体" w:cs="宋体"/>
          <w:sz w:val="24"/>
        </w:rPr>
      </w:pPr>
      <w:r>
        <w:rPr>
          <w:rFonts w:hint="eastAsia" w:ascii="宋体" w:hAnsi="宋体" w:eastAsia="宋体" w:cs="宋体"/>
          <w:sz w:val="24"/>
        </w:rPr>
        <w:t>家居场景：优化外观设计，适配不同风格的家居装饰，增加光线感应、蓝牙校时等扩展功能，形成消费级产品。</w:t>
      </w:r>
    </w:p>
    <w:p w14:paraId="5AA93D14">
      <w:pPr>
        <w:spacing w:line="440" w:lineRule="exact"/>
        <w:ind w:firstLine="480" w:firstLineChars="200"/>
        <w:rPr>
          <w:rFonts w:hint="eastAsia" w:ascii="宋体" w:hAnsi="宋体" w:eastAsia="宋体" w:cs="宋体"/>
          <w:sz w:val="24"/>
        </w:rPr>
      </w:pPr>
      <w:r>
        <w:rPr>
          <w:rFonts w:hint="eastAsia" w:ascii="宋体" w:hAnsi="宋体" w:eastAsia="宋体" w:cs="宋体"/>
          <w:sz w:val="24"/>
        </w:rPr>
        <w:t>工业场景：基于现有硬件架构，替换核心芯片与驱动模块，适配工业低速机械的精准摆动控制，如流水线物料推送、检测设备摆臂驱动等。</w:t>
      </w:r>
    </w:p>
    <w:p w14:paraId="2D978C2B">
      <w:pPr>
        <w:spacing w:line="440" w:lineRule="exact"/>
        <w:ind w:firstLine="480" w:firstLineChars="200"/>
        <w:rPr>
          <w:rFonts w:ascii="Calibri" w:hAnsi="Calibri" w:eastAsia="宋体" w:cs="Times New Roman"/>
        </w:rPr>
      </w:pPr>
      <w:r>
        <w:rPr>
          <w:rFonts w:hint="eastAsia" w:ascii="宋体" w:hAnsi="宋体" w:eastAsia="宋体" w:cs="宋体"/>
          <w:sz w:val="24"/>
        </w:rPr>
        <w:t>本项目的实施验证了Altium Designer在中小规模电路设计中的核心价值，从原理图绘制到PCB量产文件输出的全流程实践，为同类电子设备的硬件开发提供了可复用的设计思路与技术文档。后续将聚焦量产适配与功能扩展，推动硬件方案的落地应用</w:t>
      </w:r>
      <w:r>
        <w:rPr>
          <w:rFonts w:hint="eastAsia" w:ascii="Calibri" w:hAnsi="Calibri" w:eastAsia="宋体" w:cs="Times New Roman"/>
        </w:rPr>
        <w:t>。</w:t>
      </w:r>
    </w:p>
    <w:p w14:paraId="79F0CB22">
      <w:pPr>
        <w:keepNext w:val="0"/>
        <w:keepLines w:val="0"/>
        <w:pageBreakBefore w:val="0"/>
        <w:kinsoku/>
        <w:wordWrap/>
        <w:overflowPunct/>
        <w:topLinePunct w:val="0"/>
        <w:autoSpaceDE/>
        <w:autoSpaceDN/>
        <w:bidi w:val="0"/>
        <w:adjustRightInd/>
        <w:snapToGrid/>
        <w:spacing w:beforeAutospacing="0" w:afterAutospacing="0" w:line="440" w:lineRule="exact"/>
        <w:ind w:firstLine="480" w:firstLineChars="200"/>
        <w:textAlignment w:val="auto"/>
        <w:rPr>
          <w:rFonts w:hint="eastAsia" w:asciiTheme="minorEastAsia" w:hAnsiTheme="minorEastAsia" w:cstheme="minorEastAsia"/>
          <w:sz w:val="24"/>
        </w:rPr>
        <w:sectPr>
          <w:headerReference r:id="rId55" w:type="default"/>
          <w:footerReference r:id="rId5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4E460AC">
      <w:pPr>
        <w:tabs>
          <w:tab w:val="left" w:pos="967"/>
        </w:tabs>
        <w:spacing w:line="400" w:lineRule="exact"/>
        <w:ind w:left="980" w:leftChars="200" w:hanging="560" w:hangingChars="200"/>
        <w:jc w:val="center"/>
        <w:rPr>
          <w:rFonts w:hint="eastAsia" w:ascii="宋体" w:hAnsi="宋体" w:cs="宋体"/>
          <w:b/>
          <w:bCs/>
          <w:szCs w:val="21"/>
        </w:rPr>
      </w:pPr>
      <w:bookmarkStart w:id="1801" w:name="_Toc2309"/>
      <w:r>
        <w:rPr>
          <w:rFonts w:hint="eastAsia" w:ascii="宋体" w:hAnsi="宋体" w:cs="宋体"/>
          <w:b w:val="0"/>
          <w:bCs w:val="0"/>
          <w:sz w:val="28"/>
          <w:szCs w:val="28"/>
        </w:rPr>
        <w:t>参考</w:t>
      </w:r>
      <w:r>
        <w:rPr>
          <w:rFonts w:hint="eastAsia" w:asciiTheme="minorEastAsia" w:hAnsiTheme="minorEastAsia" w:cstheme="minorEastAsia"/>
          <w:b w:val="0"/>
          <w:bCs w:val="0"/>
          <w:sz w:val="28"/>
          <w:szCs w:val="28"/>
        </w:rPr>
        <w:t>文献</w:t>
      </w:r>
      <w:bookmarkEnd w:id="1801"/>
    </w:p>
    <w:p w14:paraId="653C05B0">
      <w:pPr>
        <w:wordWrap w:val="0"/>
        <w:spacing w:line="440" w:lineRule="exact"/>
        <w:ind w:left="420" w:hanging="420" w:hangingChars="200"/>
        <w:rPr>
          <w:rFonts w:ascii="Times New Roman" w:hAnsi="Times New Roman"/>
        </w:rPr>
      </w:pPr>
      <w:r>
        <w:rPr>
          <w:rFonts w:hint="eastAsia" w:ascii="Times New Roman" w:hAnsi="Times New Roman"/>
        </w:rPr>
        <w:t>[1]</w:t>
      </w:r>
      <w:r>
        <w:rPr>
          <w:rFonts w:hint="eastAsia" w:ascii="Times New Roman" w:hAnsi="Times New Roman"/>
        </w:rPr>
        <w:tab/>
      </w:r>
      <w:r>
        <w:rPr>
          <w:rFonts w:hint="eastAsia" w:ascii="Times New Roman" w:hAnsi="Times New Roman"/>
        </w:rPr>
        <w:t>莫树培,刘夏.基于DS12887的时钟设计[J].科技创新导报,2011,(17):131+133.DOI:10.16660/j.cnki.1674-098x.2011.17.183.</w:t>
      </w:r>
    </w:p>
    <w:p w14:paraId="4AB30C33">
      <w:pPr>
        <w:wordWrap w:val="0"/>
        <w:spacing w:line="440" w:lineRule="exact"/>
        <w:ind w:left="420" w:hanging="420" w:hangingChars="200"/>
        <w:rPr>
          <w:rFonts w:ascii="Times New Roman" w:hAnsi="Times New Roman"/>
        </w:rPr>
      </w:pPr>
      <w:r>
        <w:rPr>
          <w:rFonts w:hint="eastAsia" w:ascii="Times New Roman" w:hAnsi="Times New Roman"/>
        </w:rPr>
        <w:t>[2]</w:t>
      </w:r>
      <w:r>
        <w:rPr>
          <w:rFonts w:hint="eastAsia" w:ascii="Times New Roman" w:hAnsi="Times New Roman"/>
        </w:rPr>
        <w:tab/>
      </w:r>
      <w:r>
        <w:rPr>
          <w:rFonts w:hint="eastAsia" w:ascii="Times New Roman" w:hAnsi="Times New Roman"/>
        </w:rPr>
        <w:t>佟云峰.时钟芯片DS12887在单片机系统中的应用[J].昆明冶金高等专科学校学报,2001,(02):44-46.</w:t>
      </w:r>
    </w:p>
    <w:p w14:paraId="51E7E382">
      <w:pPr>
        <w:wordWrap w:val="0"/>
        <w:spacing w:line="440" w:lineRule="exact"/>
        <w:ind w:left="420" w:hanging="420" w:hangingChars="200"/>
        <w:rPr>
          <w:rFonts w:ascii="Times New Roman" w:hAnsi="Times New Roman"/>
        </w:rPr>
      </w:pPr>
      <w:r>
        <w:rPr>
          <w:rFonts w:hint="eastAsia" w:ascii="Times New Roman" w:hAnsi="Times New Roman"/>
        </w:rPr>
        <w:t>[3]</w:t>
      </w:r>
      <w:r>
        <w:rPr>
          <w:rFonts w:hint="eastAsia" w:ascii="Times New Roman" w:hAnsi="Times New Roman"/>
        </w:rPr>
        <w:tab/>
      </w:r>
      <w:r>
        <w:rPr>
          <w:rFonts w:hint="eastAsia" w:ascii="Times New Roman" w:hAnsi="Times New Roman"/>
        </w:rPr>
        <w:t>胡峻岭.实时时钟DS12887及其在单片机系统中的应用[J].集成电路应用,1998,(03):29-33.DOI:10.19339/j.issn.1674-2583.1998.03.011.</w:t>
      </w:r>
    </w:p>
    <w:p w14:paraId="480FCA0B">
      <w:pPr>
        <w:wordWrap w:val="0"/>
        <w:spacing w:line="440" w:lineRule="exact"/>
        <w:ind w:left="420" w:hanging="420" w:hangingChars="200"/>
        <w:rPr>
          <w:rFonts w:ascii="Times New Roman" w:hAnsi="Times New Roman"/>
        </w:rPr>
      </w:pPr>
      <w:r>
        <w:rPr>
          <w:rFonts w:hint="eastAsia" w:ascii="Times New Roman" w:hAnsi="Times New Roman"/>
        </w:rPr>
        <w:t>[4]</w:t>
      </w:r>
      <w:r>
        <w:rPr>
          <w:rFonts w:hint="eastAsia" w:ascii="Times New Roman" w:hAnsi="Times New Roman"/>
        </w:rPr>
        <w:tab/>
      </w:r>
      <w:r>
        <w:rPr>
          <w:rFonts w:hint="eastAsia" w:ascii="Times New Roman" w:hAnsi="Times New Roman"/>
        </w:rPr>
        <w:t>王强.Altium Designer在电路设计中的应用[J].信息记录材料,2020,21(02):118-120.DOI:10.16009/j.cnki.cn13-1295/tq.2020.02.073.</w:t>
      </w:r>
    </w:p>
    <w:p w14:paraId="20C6DD57">
      <w:pPr>
        <w:wordWrap w:val="0"/>
        <w:spacing w:line="440" w:lineRule="exact"/>
        <w:ind w:left="420" w:hanging="420" w:hangingChars="200"/>
        <w:rPr>
          <w:rFonts w:ascii="Times New Roman" w:hAnsi="Times New Roman"/>
        </w:rPr>
      </w:pPr>
      <w:r>
        <w:rPr>
          <w:rFonts w:hint="eastAsia" w:ascii="Times New Roman" w:hAnsi="Times New Roman"/>
        </w:rPr>
        <w:t>[5]</w:t>
      </w:r>
      <w:r>
        <w:rPr>
          <w:rFonts w:hint="eastAsia" w:ascii="Times New Roman" w:hAnsi="Times New Roman"/>
        </w:rPr>
        <w:tab/>
      </w:r>
      <w:r>
        <w:rPr>
          <w:rFonts w:hint="eastAsia" w:ascii="Times New Roman" w:hAnsi="Times New Roman"/>
        </w:rPr>
        <w:t>周向红,范伟.DS12887实时时钟芯片及应用研究[J].企业技术开发,2006,(02):6-8.DOI:10.14165/j.cnki.hunansci.2006.02.003.</w:t>
      </w:r>
    </w:p>
    <w:p w14:paraId="0826282D">
      <w:pPr>
        <w:wordWrap w:val="0"/>
        <w:spacing w:line="440" w:lineRule="exact"/>
        <w:ind w:left="420" w:hanging="420" w:hangingChars="200"/>
        <w:rPr>
          <w:rFonts w:ascii="Times New Roman" w:hAnsi="Times New Roman"/>
        </w:rPr>
      </w:pPr>
      <w:r>
        <w:rPr>
          <w:rFonts w:hint="eastAsia" w:ascii="Times New Roman" w:hAnsi="Times New Roman"/>
        </w:rPr>
        <w:t>[6]</w:t>
      </w:r>
      <w:r>
        <w:rPr>
          <w:rFonts w:hint="eastAsia" w:ascii="Times New Roman" w:hAnsi="Times New Roman"/>
        </w:rPr>
        <w:tab/>
      </w:r>
      <w:r>
        <w:rPr>
          <w:rFonts w:hint="eastAsia" w:ascii="Times New Roman" w:hAnsi="Times New Roman"/>
        </w:rPr>
        <w:t>周兴华.实时时钟芯片DS12887特点与应用[J].电子世界,2005,(07):47-48.</w:t>
      </w:r>
    </w:p>
    <w:p w14:paraId="742D5D44">
      <w:pPr>
        <w:wordWrap w:val="0"/>
        <w:spacing w:line="440" w:lineRule="exact"/>
        <w:ind w:left="420" w:hanging="420" w:hangingChars="200"/>
        <w:rPr>
          <w:rFonts w:ascii="Times New Roman" w:hAnsi="Times New Roman"/>
        </w:rPr>
      </w:pPr>
      <w:r>
        <w:rPr>
          <w:rFonts w:hint="eastAsia" w:ascii="Times New Roman" w:hAnsi="Times New Roman"/>
        </w:rPr>
        <w:t>[7]</w:t>
      </w:r>
      <w:r>
        <w:rPr>
          <w:rFonts w:hint="eastAsia" w:ascii="Times New Roman" w:hAnsi="Times New Roman"/>
        </w:rPr>
        <w:tab/>
      </w:r>
      <w:r>
        <w:rPr>
          <w:rFonts w:hint="eastAsia" w:ascii="Times New Roman" w:hAnsi="Times New Roman"/>
        </w:rPr>
        <w:t>侯崇升.利用DS12887时钟芯片实现实时定时电路[J].国外电子测量技术,2002,(01):18-21.DOI:10.19652/j.cnki.femt.2002.01.008.</w:t>
      </w:r>
    </w:p>
    <w:p w14:paraId="0370D7B8">
      <w:pPr>
        <w:keepNext w:val="0"/>
        <w:keepLines w:val="0"/>
        <w:pageBreakBefore w:val="0"/>
        <w:widowControl w:val="0"/>
        <w:tabs>
          <w:tab w:val="left" w:pos="967"/>
        </w:tabs>
        <w:kinsoku/>
        <w:wordWrap/>
        <w:overflowPunct/>
        <w:topLinePunct w:val="0"/>
        <w:autoSpaceDE/>
        <w:autoSpaceDN/>
        <w:bidi w:val="0"/>
        <w:adjustRightInd/>
        <w:snapToGrid/>
        <w:spacing w:line="440" w:lineRule="exact"/>
        <w:textAlignment w:val="auto"/>
        <w:rPr>
          <w:rFonts w:hint="default" w:ascii="Times New Roman" w:hAnsi="Times New Roman" w:cs="Times New Roman"/>
          <w:szCs w:val="21"/>
        </w:rPr>
      </w:pPr>
    </w:p>
    <w:p w14:paraId="106B5D57">
      <w:pPr>
        <w:pStyle w:val="10"/>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57A266E">
      <w:pPr>
        <w:pStyle w:val="3"/>
        <w:bidi w:val="0"/>
        <w:rPr>
          <w:rFonts w:hint="default"/>
          <w:lang w:val="en-US" w:eastAsia="zh-CN"/>
        </w:rPr>
      </w:pPr>
      <w:bookmarkStart w:id="1802" w:name="_Toc18464"/>
      <w:bookmarkStart w:id="1803" w:name="_Toc16923"/>
      <w:r>
        <w:rPr>
          <w:rFonts w:hint="eastAsia"/>
          <w:lang w:val="en-US" w:eastAsia="zh-CN"/>
        </w:rPr>
        <w:t>3.简易闪光电路的PCB设计与实现</w:t>
      </w:r>
      <w:bookmarkEnd w:id="1802"/>
      <w:bookmarkEnd w:id="1803"/>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B4A8B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7166852D">
            <w:pPr>
              <w:jc w:val="left"/>
              <w:outlineLvl w:val="0"/>
              <w:rPr>
                <w:rFonts w:hint="default" w:ascii="Calibri" w:hAnsi="Calibri" w:eastAsia="黑体" w:cs="Times New Roman"/>
                <w:szCs w:val="21"/>
                <w:lang w:val="en-US" w:eastAsia="zh-CN"/>
              </w:rPr>
            </w:pPr>
            <w:bookmarkStart w:id="1804" w:name="_Toc29784"/>
            <w:bookmarkStart w:id="1805" w:name="_Toc29152"/>
            <w:r>
              <w:rPr>
                <w:rFonts w:hint="eastAsia" w:ascii="Calibri" w:hAnsi="Calibri" w:eastAsia="黑体" w:cs="Times New Roman"/>
                <w:sz w:val="24"/>
              </w:rPr>
              <w:t>项目主题：</w:t>
            </w:r>
            <w:r>
              <w:rPr>
                <w:rFonts w:hint="eastAsia" w:ascii="Calibri" w:hAnsi="Calibri" w:eastAsia="黑体" w:cs="Times New Roman"/>
                <w:sz w:val="24"/>
                <w:lang w:val="en-US" w:eastAsia="zh-CN"/>
              </w:rPr>
              <w:t>简易闪光电路的PCB设计与实现</w:t>
            </w:r>
            <w:bookmarkEnd w:id="1804"/>
            <w:bookmarkEnd w:id="1805"/>
          </w:p>
        </w:tc>
      </w:tr>
      <w:tr w14:paraId="5652C8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0241E4A">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物联网工程本科1班</w:t>
            </w:r>
          </w:p>
        </w:tc>
      </w:tr>
      <w:tr w14:paraId="369F55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6E58CBE7">
            <w:pPr>
              <w:jc w:val="left"/>
              <w:rPr>
                <w:rFonts w:ascii="Calibri" w:hAnsi="Calibri" w:eastAsia="黑体" w:cs="Times New Roman"/>
                <w:szCs w:val="21"/>
              </w:rPr>
            </w:pPr>
            <w:r>
              <w:rPr>
                <w:rFonts w:hint="eastAsia" w:ascii="Calibri" w:hAnsi="Calibri" w:eastAsia="黑体" w:cs="Times New Roman"/>
                <w:szCs w:val="21"/>
              </w:rPr>
              <w:t>学生姓名：闵淑慧</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周缘</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毕有吉</w:t>
            </w:r>
            <w:r>
              <w:rPr>
                <w:rFonts w:hint="eastAsia" w:ascii="Calibri" w:hAnsi="Calibri" w:eastAsia="黑体" w:cs="Times New Roman"/>
                <w:szCs w:val="21"/>
                <w:lang w:val="en-US" w:eastAsia="zh-CN"/>
              </w:rPr>
              <w:t xml:space="preserve"> 周嘉慧 张子鑫</w:t>
            </w:r>
            <w:r>
              <w:rPr>
                <w:rFonts w:hint="eastAsia" w:ascii="Calibri" w:hAnsi="Calibri" w:eastAsia="黑体" w:cs="Times New Roman"/>
                <w:szCs w:val="21"/>
              </w:rPr>
              <w:t xml:space="preserve">  </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指导教师：黄淑娟 刘有珠</w:t>
            </w:r>
          </w:p>
        </w:tc>
      </w:tr>
    </w:tbl>
    <w:p w14:paraId="7936E080">
      <w:pPr>
        <w:keepNext/>
        <w:keepLines/>
        <w:pageBreakBefore w:val="0"/>
        <w:widowControl w:val="0"/>
        <w:kinsoku/>
        <w:wordWrap/>
        <w:overflowPunct/>
        <w:topLinePunct w:val="0"/>
        <w:autoSpaceDE/>
        <w:autoSpaceDN/>
        <w:bidi w:val="0"/>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06" w:name="_Toc25644"/>
      <w:bookmarkStart w:id="1807" w:name="_Toc30614"/>
      <w:r>
        <w:rPr>
          <w:rFonts w:hint="default" w:ascii="Times New Roman" w:hAnsi="Times New Roman" w:eastAsia="宋体" w:cs="Times New Roman"/>
          <w:b/>
          <w:bCs/>
          <w:kern w:val="44"/>
          <w:sz w:val="28"/>
          <w:szCs w:val="44"/>
          <w:lang w:val="en-US" w:eastAsia="zh-CN" w:bidi="ar-SA"/>
        </w:rPr>
        <w:t>1 项目概述</w:t>
      </w:r>
      <w:bookmarkEnd w:id="1806"/>
      <w:bookmarkEnd w:id="1807"/>
    </w:p>
    <w:p w14:paraId="0EA3A607">
      <w:pPr>
        <w:keepNext/>
        <w:keepLines/>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08" w:name="_Toc4447"/>
      <w:bookmarkStart w:id="1809" w:name="_Toc20829"/>
      <w:r>
        <w:rPr>
          <w:rFonts w:hint="default" w:ascii="Times New Roman" w:hAnsi="Times New Roman" w:eastAsia="宋体" w:cs="Times New Roman"/>
          <w:bCs/>
          <w:kern w:val="2"/>
          <w:sz w:val="24"/>
          <w:szCs w:val="32"/>
          <w:lang w:val="en-US" w:eastAsia="zh-CN" w:bidi="ar-SA"/>
        </w:rPr>
        <w:t>1.1项目介绍</w:t>
      </w:r>
      <w:bookmarkEnd w:id="1808"/>
      <w:bookmarkEnd w:id="1809"/>
    </w:p>
    <w:p w14:paraId="088116FD">
      <w:pPr>
        <w:pageBreakBefore w:val="0"/>
        <w:widowControl w:val="0"/>
        <w:kinsoku/>
        <w:wordWrap/>
        <w:overflowPunct/>
        <w:topLinePunct w:val="0"/>
        <w:autoSpaceDE/>
        <w:autoSpaceDN/>
        <w:bidi w:val="0"/>
        <w:adjustRightInd/>
        <w:snapToGrid/>
        <w:spacing w:line="440" w:lineRule="exact"/>
        <w:ind w:firstLine="480" w:firstLineChars="200"/>
        <w:textAlignment w:val="auto"/>
        <w:outlineLvl w:val="9"/>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随着电子技术的普及和应用，基础电路的学习与实现成为工科教育的重要环节。人们希望通过简单、直观的项目理解电子元件的工作原理和电路的基本逻辑</w:t>
      </w:r>
      <w:r>
        <w:rPr>
          <w:rFonts w:hint="eastAsia" w:ascii="Times New Roman" w:hAnsi="Times New Roman" w:eastAsia="宋体" w:cs="Times New Roman"/>
          <w:sz w:val="24"/>
          <w:vertAlign w:val="superscript"/>
          <w:lang w:val="en-US" w:eastAsia="zh-CN"/>
        </w:rPr>
        <w:t>[1]</w:t>
      </w:r>
      <w:r>
        <w:rPr>
          <w:rFonts w:hint="default" w:ascii="Times New Roman" w:hAnsi="Times New Roman" w:eastAsia="宋体" w:cs="Times New Roman"/>
          <w:sz w:val="24"/>
          <w:lang w:val="en-US" w:eastAsia="zh-CN"/>
        </w:rPr>
        <w:t>。简易闪光电路能给初学者带来理论与实践结合的便利</w:t>
      </w:r>
      <w:r>
        <w:rPr>
          <w:rFonts w:hint="eastAsia" w:ascii="Times New Roman" w:hAnsi="Times New Roman" w:eastAsia="宋体" w:cs="Times New Roman"/>
          <w:sz w:val="24"/>
          <w:vertAlign w:val="superscript"/>
          <w:lang w:val="en-US" w:eastAsia="zh-CN"/>
        </w:rPr>
        <w:t>[2]</w:t>
      </w:r>
      <w:r>
        <w:rPr>
          <w:rFonts w:hint="default" w:ascii="Times New Roman" w:hAnsi="Times New Roman" w:eastAsia="宋体" w:cs="Times New Roman"/>
          <w:sz w:val="24"/>
          <w:lang w:val="en-US" w:eastAsia="zh-CN"/>
        </w:rPr>
        <w:t>。本项目要实现的是一个基于双晶体管多谐振荡器的简易闪光电路。根据经典的多谐振荡器原理，通过电容的充放电控制三极管的导通与截止，实现两个LED灯交替闪烁。该电路是面向教学演示的，具有结构简单、成本低廉、现象明显的特点</w:t>
      </w:r>
      <w:r>
        <w:rPr>
          <w:rFonts w:hint="eastAsia" w:ascii="Times New Roman" w:hAnsi="Times New Roman" w:eastAsia="宋体" w:cs="Times New Roman"/>
          <w:sz w:val="24"/>
          <w:vertAlign w:val="superscript"/>
          <w:lang w:val="en-US" w:eastAsia="zh-CN"/>
        </w:rPr>
        <w:t>[7]</w:t>
      </w:r>
      <w:r>
        <w:rPr>
          <w:rFonts w:hint="default" w:ascii="Times New Roman" w:hAnsi="Times New Roman" w:eastAsia="宋体" w:cs="Times New Roman"/>
          <w:sz w:val="24"/>
          <w:lang w:val="en-US" w:eastAsia="zh-CN"/>
        </w:rPr>
        <w:t>。由于电路运行依赖于元件的正确连接和参数匹配，所以搭建前必须核对元件清单和电路图，通电后才会根据RC时间常数自动展示LED交替闪烁的效果。当调整电阻或电容参数时，系统还会实时改变闪烁频率，让学习者直观理解时间常数对振荡频率的影响，让知识形成一个闭环</w:t>
      </w:r>
      <w:r>
        <w:rPr>
          <w:rFonts w:hint="eastAsia" w:ascii="Times New Roman" w:hAnsi="Times New Roman" w:eastAsia="宋体" w:cs="Times New Roman"/>
          <w:sz w:val="24"/>
          <w:vertAlign w:val="superscript"/>
          <w:lang w:val="en-US" w:eastAsia="zh-CN"/>
        </w:rPr>
        <w:t>[13]</w:t>
      </w:r>
      <w:r>
        <w:rPr>
          <w:rFonts w:hint="default" w:ascii="Times New Roman" w:hAnsi="Times New Roman" w:eastAsia="宋体" w:cs="Times New Roman"/>
          <w:sz w:val="24"/>
          <w:lang w:val="en-US" w:eastAsia="zh-CN"/>
        </w:rPr>
        <w:t>。</w:t>
      </w:r>
    </w:p>
    <w:p w14:paraId="77580FC1">
      <w:pPr>
        <w:keepNext/>
        <w:keepLines/>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10" w:name="_Toc25968"/>
      <w:bookmarkStart w:id="1811" w:name="_Toc26612"/>
      <w:r>
        <w:rPr>
          <w:rFonts w:hint="default" w:ascii="Times New Roman" w:hAnsi="Times New Roman" w:eastAsia="宋体" w:cs="Times New Roman"/>
          <w:bCs/>
          <w:kern w:val="2"/>
          <w:sz w:val="24"/>
          <w:szCs w:val="32"/>
          <w:lang w:val="en-US" w:eastAsia="zh-CN" w:bidi="ar-SA"/>
        </w:rPr>
        <w:t>1.2项目开发环境</w:t>
      </w:r>
      <w:bookmarkEnd w:id="1810"/>
      <w:bookmarkEnd w:id="1811"/>
    </w:p>
    <w:p w14:paraId="1D0DC6EB">
      <w:pPr>
        <w:pageBreakBefore w:val="0"/>
        <w:widowControl w:val="0"/>
        <w:numPr>
          <w:ilvl w:val="0"/>
          <w:numId w:val="0"/>
        </w:numPr>
        <w:kinsoku/>
        <w:wordWrap/>
        <w:overflowPunct/>
        <w:topLinePunct w:val="0"/>
        <w:autoSpaceDE/>
        <w:autoSpaceDN/>
        <w:bidi w:val="0"/>
        <w:adjustRightInd/>
        <w:snapToGrid/>
        <w:spacing w:line="440" w:lineRule="exact"/>
        <w:ind w:leftChars="200" w:firstLine="480" w:firstLineChars="200"/>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系统：windows系统</w:t>
      </w:r>
    </w:p>
    <w:p w14:paraId="54893BE9">
      <w:pPr>
        <w:pageBreakBefore w:val="0"/>
        <w:widowControl w:val="0"/>
        <w:numPr>
          <w:ilvl w:val="0"/>
          <w:numId w:val="0"/>
        </w:numPr>
        <w:kinsoku/>
        <w:wordWrap/>
        <w:overflowPunct/>
        <w:topLinePunct w:val="0"/>
        <w:autoSpaceDE/>
        <w:autoSpaceDN/>
        <w:bidi w:val="0"/>
        <w:adjustRightInd/>
        <w:snapToGrid/>
        <w:spacing w:line="440" w:lineRule="exact"/>
        <w:ind w:leftChars="200" w:firstLine="480" w:firstLineChars="200"/>
        <w:textAlignment w:val="auto"/>
        <w:rPr>
          <w:rFonts w:hint="eastAsia"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软件：Proteus</w:t>
      </w:r>
      <w:r>
        <w:rPr>
          <w:rFonts w:hint="eastAsia" w:ascii="Times New Roman" w:hAnsi="Times New Roman" w:eastAsia="宋体" w:cs="Times New Roman"/>
          <w:sz w:val="24"/>
          <w:lang w:val="en-US" w:eastAsia="zh-CN"/>
        </w:rPr>
        <w:t>、WPS</w:t>
      </w:r>
    </w:p>
    <w:p w14:paraId="3A1F99BE">
      <w:pPr>
        <w:pageBreakBefore w:val="0"/>
        <w:widowControl w:val="0"/>
        <w:numPr>
          <w:ilvl w:val="0"/>
          <w:numId w:val="0"/>
        </w:numPr>
        <w:kinsoku/>
        <w:wordWrap/>
        <w:overflowPunct/>
        <w:topLinePunct w:val="0"/>
        <w:autoSpaceDE/>
        <w:autoSpaceDN/>
        <w:bidi w:val="0"/>
        <w:adjustRightInd/>
        <w:snapToGrid/>
        <w:spacing w:line="440" w:lineRule="exact"/>
        <w:ind w:leftChars="200" w:firstLine="480" w:firstLineChars="200"/>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语言/工具：电路原理图设计，焊接工具，万用表，示波器</w:t>
      </w:r>
    </w:p>
    <w:p w14:paraId="67E23C0B">
      <w:pPr>
        <w:keepNext/>
        <w:keepLines/>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12" w:name="_Toc3350"/>
      <w:bookmarkStart w:id="1813" w:name="_Toc12214"/>
      <w:r>
        <w:rPr>
          <w:rFonts w:hint="default" w:ascii="Times New Roman" w:hAnsi="Times New Roman" w:eastAsia="宋体" w:cs="Times New Roman"/>
          <w:bCs/>
          <w:kern w:val="2"/>
          <w:sz w:val="24"/>
          <w:szCs w:val="32"/>
          <w:lang w:val="en-US" w:eastAsia="zh-CN" w:bidi="ar-SA"/>
        </w:rPr>
        <w:t>1.3小组人员及分工</w:t>
      </w:r>
      <w:bookmarkEnd w:id="1812"/>
      <w:bookmarkEnd w:id="1813"/>
    </w:p>
    <w:p w14:paraId="2AB52106">
      <w:pPr>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小组人员及分工</w:t>
      </w:r>
      <w:r>
        <w:rPr>
          <w:rFonts w:hint="eastAsia" w:ascii="Times New Roman" w:hAnsi="Times New Roman" w:eastAsia="宋体" w:cs="Times New Roman"/>
          <w:sz w:val="24"/>
          <w:szCs w:val="24"/>
          <w:lang w:val="en-US" w:eastAsia="zh-CN"/>
        </w:rPr>
        <w:t>如表1-1示。</w:t>
      </w:r>
    </w:p>
    <w:p w14:paraId="26DD60A4">
      <w:pPr>
        <w:pageBreakBefore w:val="0"/>
        <w:widowControl w:val="0"/>
        <w:kinsoku/>
        <w:wordWrap/>
        <w:overflowPunct/>
        <w:topLinePunct w:val="0"/>
        <w:autoSpaceDE/>
        <w:autoSpaceDN/>
        <w:bidi w:val="0"/>
        <w:adjustRightInd/>
        <w:snapToGrid/>
        <w:spacing w:line="440" w:lineRule="exact"/>
        <w:ind w:firstLine="420" w:firstLineChars="20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表1-1 小组人员及分工</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2"/>
        <w:gridCol w:w="6460"/>
      </w:tblGrid>
      <w:tr w14:paraId="5F3C5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2" w:type="dxa"/>
            <w:vAlign w:val="top"/>
          </w:tcPr>
          <w:p w14:paraId="52C4FD9C">
            <w:pPr>
              <w:pageBreakBefore w:val="0"/>
              <w:numPr>
                <w:ilvl w:val="0"/>
                <w:numId w:val="0"/>
              </w:numPr>
              <w:kinsoku/>
              <w:wordWrap/>
              <w:overflowPunct/>
              <w:topLinePunct w:val="0"/>
              <w:autoSpaceDE/>
              <w:autoSpaceDN/>
              <w:bidi w:val="0"/>
              <w:spacing w:line="440" w:lineRule="exact"/>
              <w:ind w:left="0" w:leftChars="0" w:firstLine="420" w:firstLineChars="20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姓名</w:t>
            </w:r>
          </w:p>
        </w:tc>
        <w:tc>
          <w:tcPr>
            <w:tcW w:w="6460" w:type="dxa"/>
            <w:vAlign w:val="top"/>
          </w:tcPr>
          <w:p w14:paraId="7AAA603E">
            <w:pPr>
              <w:pageBreakBefore w:val="0"/>
              <w:numPr>
                <w:ilvl w:val="0"/>
                <w:numId w:val="0"/>
              </w:numPr>
              <w:kinsoku/>
              <w:wordWrap/>
              <w:overflowPunct/>
              <w:topLinePunct w:val="0"/>
              <w:autoSpaceDE/>
              <w:autoSpaceDN/>
              <w:bidi w:val="0"/>
              <w:spacing w:line="440" w:lineRule="exact"/>
              <w:ind w:left="0" w:leftChars="0" w:firstLine="420" w:firstLineChars="20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分工</w:t>
            </w:r>
          </w:p>
        </w:tc>
      </w:tr>
      <w:tr w14:paraId="71B0C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2" w:type="dxa"/>
            <w:vAlign w:val="top"/>
          </w:tcPr>
          <w:p w14:paraId="0D38E9DA">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闵淑慧</w:t>
            </w:r>
          </w:p>
        </w:tc>
        <w:tc>
          <w:tcPr>
            <w:tcW w:w="6460" w:type="dxa"/>
            <w:vAlign w:val="top"/>
          </w:tcPr>
          <w:p w14:paraId="4B535A33">
            <w:pPr>
              <w:pageBreakBefore w:val="0"/>
              <w:kinsoku/>
              <w:wordWrap/>
              <w:overflowPunct/>
              <w:topLinePunct w:val="0"/>
              <w:autoSpaceDE/>
              <w:autoSpaceDN/>
              <w:bidi w:val="0"/>
              <w:spacing w:line="440" w:lineRule="exact"/>
              <w:ind w:firstLine="420" w:firstLineChars="200"/>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汇报展示ppt以及电影推荐系统项目、调试和编译代码</w:t>
            </w:r>
          </w:p>
        </w:tc>
      </w:tr>
      <w:tr w14:paraId="02D97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2" w:type="dxa"/>
            <w:vAlign w:val="top"/>
          </w:tcPr>
          <w:p w14:paraId="3910D6DC">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周  缘</w:t>
            </w:r>
          </w:p>
        </w:tc>
        <w:tc>
          <w:tcPr>
            <w:tcW w:w="6460" w:type="dxa"/>
            <w:vAlign w:val="top"/>
          </w:tcPr>
          <w:p w14:paraId="5E332770">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ppt制作、爬取相关的的电影内容信息并进行整理</w:t>
            </w:r>
          </w:p>
        </w:tc>
      </w:tr>
      <w:tr w14:paraId="4FE52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062" w:type="dxa"/>
            <w:vAlign w:val="top"/>
          </w:tcPr>
          <w:p w14:paraId="1E760C93">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周嘉慧</w:t>
            </w:r>
          </w:p>
        </w:tc>
        <w:tc>
          <w:tcPr>
            <w:tcW w:w="6460" w:type="dxa"/>
            <w:vAlign w:val="top"/>
          </w:tcPr>
          <w:p w14:paraId="6864EF21">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ppt制作、爬取相关的的电影内容信息并进行整理</w:t>
            </w:r>
          </w:p>
        </w:tc>
      </w:tr>
      <w:tr w14:paraId="4AF4C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2" w:type="dxa"/>
            <w:vAlign w:val="top"/>
          </w:tcPr>
          <w:p w14:paraId="7FC70790">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毕有吉</w:t>
            </w:r>
          </w:p>
        </w:tc>
        <w:tc>
          <w:tcPr>
            <w:tcW w:w="6460" w:type="dxa"/>
            <w:vAlign w:val="top"/>
          </w:tcPr>
          <w:p w14:paraId="124E4F7A">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论文撰写、评估和优化推荐算法的性能、配置系统环境</w:t>
            </w:r>
          </w:p>
        </w:tc>
      </w:tr>
      <w:tr w14:paraId="689A0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2" w:type="dxa"/>
            <w:vAlign w:val="top"/>
          </w:tcPr>
          <w:p w14:paraId="4CD7FD2A">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张子鑫</w:t>
            </w:r>
          </w:p>
        </w:tc>
        <w:tc>
          <w:tcPr>
            <w:tcW w:w="6460" w:type="dxa"/>
            <w:vAlign w:val="top"/>
          </w:tcPr>
          <w:p w14:paraId="68323843">
            <w:pPr>
              <w:pageBreakBefore w:val="0"/>
              <w:numPr>
                <w:ilvl w:val="0"/>
                <w:numId w:val="0"/>
              </w:numPr>
              <w:kinsoku/>
              <w:wordWrap/>
              <w:overflowPunct/>
              <w:topLinePunct w:val="0"/>
              <w:autoSpaceDE/>
              <w:autoSpaceDN/>
              <w:bidi w:val="0"/>
              <w:spacing w:line="440" w:lineRule="exact"/>
              <w:ind w:left="0" w:leftChars="0" w:firstLine="420" w:firstLineChars="200"/>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论文撰写、评估和优化推荐算法的性能、配置系统环境</w:t>
            </w:r>
          </w:p>
        </w:tc>
      </w:tr>
    </w:tbl>
    <w:p w14:paraId="3CBAE33D">
      <w:pPr>
        <w:keepNext/>
        <w:keepLines/>
        <w:pageBreakBefore w:val="0"/>
        <w:widowControl w:val="0"/>
        <w:kinsoku/>
        <w:wordWrap/>
        <w:overflowPunct/>
        <w:topLinePunct w:val="0"/>
        <w:autoSpaceDE/>
        <w:autoSpaceDN/>
        <w:bidi w:val="0"/>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14" w:name="_Toc9449"/>
      <w:bookmarkStart w:id="1815" w:name="_Toc12584"/>
      <w:r>
        <w:rPr>
          <w:rFonts w:hint="default" w:ascii="Times New Roman" w:hAnsi="Times New Roman" w:eastAsia="宋体" w:cs="Times New Roman"/>
          <w:b/>
          <w:bCs/>
          <w:kern w:val="44"/>
          <w:sz w:val="28"/>
          <w:szCs w:val="44"/>
          <w:lang w:val="en-US" w:eastAsia="zh-CN" w:bidi="ar-SA"/>
        </w:rPr>
        <w:t>2 需求分析</w:t>
      </w:r>
      <w:bookmarkEnd w:id="1814"/>
      <w:bookmarkEnd w:id="1815"/>
    </w:p>
    <w:p w14:paraId="5ECCB811">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16" w:name="_Toc16886"/>
      <w:bookmarkStart w:id="1817" w:name="_Toc12531"/>
      <w:r>
        <w:rPr>
          <w:rFonts w:hint="default" w:ascii="Times New Roman" w:hAnsi="Times New Roman" w:eastAsia="宋体" w:cs="Times New Roman"/>
          <w:bCs/>
          <w:kern w:val="2"/>
          <w:sz w:val="24"/>
          <w:szCs w:val="32"/>
          <w:lang w:val="en-US" w:eastAsia="zh-CN" w:bidi="ar-SA"/>
        </w:rPr>
        <w:t>2.1系统需求分析</w:t>
      </w:r>
      <w:bookmarkEnd w:id="1816"/>
      <w:bookmarkEnd w:id="1817"/>
    </w:p>
    <w:p w14:paraId="5F08E0BB">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18" w:name="_Toc30300"/>
      <w:r>
        <w:rPr>
          <w:rFonts w:hint="default" w:ascii="Times New Roman" w:hAnsi="Times New Roman" w:eastAsia="宋体" w:cs="Times New Roman"/>
          <w:kern w:val="2"/>
          <w:sz w:val="24"/>
          <w:szCs w:val="24"/>
          <w:lang w:val="en-US" w:eastAsia="zh-CN" w:bidi="ar-SA"/>
        </w:rPr>
        <w:t>2.1.1基本需求</w:t>
      </w:r>
      <w:bookmarkEnd w:id="1818"/>
    </w:p>
    <w:p w14:paraId="40521DA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随着电子实验教学的深入，设计直观可靠的入门级电子电路迫在眉睫。本系统旨在通过一个简单的实体电路，帮助学习者理解振荡器、三极管开关、电容充放电等核心概念。本系统包含电路原理图解读、元件焊接、通电测试、参数测量与调节。其中实现稳定可靠的双LED交替闪烁是整个闪光电路的核心。</w:t>
      </w:r>
    </w:p>
    <w:p w14:paraId="76565893">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随着电子技术基础的日益重要，每天都有新的学习者和爱好者加入。人们都希望可以高效地在理论学习后，通过一个简单的实践项目来巩固知识，以加深对抽象概念的理解。简易闪光电路能给学习者带来实践验证理论的便利。本系统要实现的是一个面向教学的实体闪光电路。根据经典的双晶体管多谐振荡器拓扑，通过计算RC时间常数、三极管开关状态，实现为两个LED灯提供交替的闪烁驱动。本系统实现的简易闪光电路有以下几点基本需求：</w:t>
      </w:r>
    </w:p>
    <w:p w14:paraId="449BA9E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1）元件参数：所选电阻、电容值需匹配，确保电路能正常起振并工作在安全范围内；</w:t>
      </w:r>
    </w:p>
    <w:p w14:paraId="256F2B4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2）电路功能：闪光效果要稳定、明显，交替节奏清晰；</w:t>
      </w:r>
    </w:p>
    <w:p w14:paraId="522AE7D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3）良好的可操作性与安全性：包括电路焊接、通电测试在内的整个实践过程，用户可观察现象，测量参数；</w:t>
      </w:r>
    </w:p>
    <w:p w14:paraId="06AC5FB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4）系统要易于理解、调整和维护。</w:t>
      </w:r>
    </w:p>
    <w:p w14:paraId="483560C0">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19" w:name="_Toc9272"/>
      <w:r>
        <w:rPr>
          <w:rFonts w:hint="default" w:ascii="Times New Roman" w:hAnsi="Times New Roman" w:eastAsia="宋体" w:cs="Times New Roman"/>
          <w:kern w:val="2"/>
          <w:sz w:val="24"/>
          <w:szCs w:val="24"/>
          <w:lang w:val="en-US" w:eastAsia="zh-CN" w:bidi="ar-SA"/>
        </w:rPr>
        <w:t>2.1.2国内外研究现状</w:t>
      </w:r>
      <w:bookmarkEnd w:id="1819"/>
    </w:p>
    <w:p w14:paraId="1EFF2958">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多谐振荡器作为基础脉冲波形产生电路，被提出并应用于教学和简单控制已有多年历史。在国内，文献对目前常见的几种振荡器电路进行分析，从简单的555定时器到由分离元件构成的无稳态多谐振荡器，都是电子技术课程中的经典案例。这些电路的核心思想是利用正反馈和RC延时，使电路在两个暂态之间自动切换，从而产生方波或脉冲输出。</w:t>
      </w:r>
    </w:p>
    <w:p w14:paraId="25A6225F">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综合来看，简易闪光电路主要是从优化电路稳定性、降低功耗以及适应不同教学场景等两个方面进行研究，目前常用的基础方案有：</w:t>
      </w:r>
    </w:p>
    <w:p w14:paraId="5C742199">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1）基于555定时器的闪光电路。它以555为核心，外围连接少量电阻电容即可构成高精度的无稳态多谐振荡器，驱动能力强，频率调节方便，是应用最广泛的方案之一。</w:t>
      </w:r>
    </w:p>
    <w:p w14:paraId="51D46DC7">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2）基于晶体管多谐振荡器的闪光电路。它由两个三极管、电阻电容交叉耦合构成。其特点是全部使用分离元件，有助于学习者深入理解晶体管开关状态和电容充放电过程，教学意义突出。</w:t>
      </w:r>
    </w:p>
    <w:p w14:paraId="64859165">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3）基于逻辑门电路（如CD4017、NE555）的闪光电路。利用数字集成电路构成振荡器和计数器，可以方便地实现多路流水灯等复杂效果，但原理相对抽象。</w:t>
      </w:r>
    </w:p>
    <w:p w14:paraId="78073022">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4）基于微控制器（如Arduino、STM32）的闪光电路。通过编程控制IO口高低电平变化来实现闪烁，功能强大且灵活，但涉及软件编程，硬件原理被封装。</w:t>
      </w:r>
    </w:p>
    <w:p w14:paraId="500C3710">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20" w:name="_Toc31502"/>
      <w:bookmarkStart w:id="1821" w:name="_Toc3758"/>
      <w:r>
        <w:rPr>
          <w:rFonts w:hint="default" w:ascii="Times New Roman" w:hAnsi="Times New Roman" w:eastAsia="宋体" w:cs="Times New Roman"/>
          <w:bCs/>
          <w:kern w:val="2"/>
          <w:sz w:val="24"/>
          <w:szCs w:val="32"/>
          <w:lang w:val="en-US" w:eastAsia="zh-CN" w:bidi="ar-SA"/>
        </w:rPr>
        <w:t>2.2 可行性分析</w:t>
      </w:r>
      <w:bookmarkEnd w:id="1820"/>
      <w:bookmarkEnd w:id="1821"/>
    </w:p>
    <w:p w14:paraId="44513F3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从理论学习到实践验证，电子技术的学习者常常面临如何将抽象公式转化为具体现象的挑战。社会各行业均以电子技术为基础，与此同时也积累了大量的经典电路案例和教学资源，现今已步入强调动手能力的工程教育时代。我们查阅各种教科书和网络资源，在找到关键电路图后尝试搭建和测试。尽管我们可以通过仿真软件来模拟我们想要的电路行为，但是对于很多初学者来说，却并不明确理论计算与实际元件参数偏差的影响。例如当人们按照原理图焊接好电路后，并不一定就能立刻成功，而是需要调试、测量才知道。通过分析电路的工作状态和问题，最终决定如何修改。我们身处于一个信息丰富的时代，让学习者在有限的时间和众多的方案中选择最适合入门实践的电路，有时也会令人困惑，这就是大家经常所称的“选择困难”现象。一个经典、可靠的入门项目能够为学习者提供明确的目标和成功的体验，现在越来越多的教育工作者投入到此领域当中。如何能让这些基础电路知识自己“活”起来，从以前的被动理解公式，变为主动地观察和测量。因此，这样也就形成了本简易闪光电路项目的雏形。</w:t>
      </w:r>
    </w:p>
    <w:p w14:paraId="356BA69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现如今开源硬件和电子制作越来越流行，在教育和 hobby 领域的应用涉及到方方面面，相应的元件获取成本也控制得很低。本项目采用的分离元件都是常见型号，价格低廉，易于获取。电路原理清晰，计算简单，能帮助学习者建立信心。它能让抽象的电子学概念更加具体地呈现在学习者面前，学习者也无需在庞杂的进阶项目中毫无头绪地摸索，在强调基础的前提下，设计一个满足所有入门者需要的、成功率高且现象明显的教学电路，从而达到理论与实践的无缝衔接，这正是本文所需要研究和实现的。</w:t>
      </w:r>
    </w:p>
    <w:p w14:paraId="12D42C39">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22" w:name="_Toc1338"/>
      <w:bookmarkStart w:id="1823" w:name="_Toc2202"/>
      <w:r>
        <w:rPr>
          <w:rFonts w:hint="default" w:ascii="Times New Roman" w:hAnsi="Times New Roman" w:eastAsia="宋体" w:cs="Times New Roman"/>
          <w:bCs/>
          <w:kern w:val="2"/>
          <w:sz w:val="24"/>
          <w:szCs w:val="32"/>
          <w:lang w:val="en-US" w:eastAsia="zh-CN" w:bidi="ar-SA"/>
        </w:rPr>
        <w:t>2.3功能分析</w:t>
      </w:r>
      <w:bookmarkEnd w:id="1822"/>
      <w:bookmarkEnd w:id="1823"/>
    </w:p>
    <w:p w14:paraId="2A9A9839">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由于电子技术教育的不断发展，每天都有新加入的学习者和实验需求。如何让学习者在种类繁多的入门项目中找到既经典又有效的实践电路，就必须让项目从被动接收知识转化为主动激发探索兴趣，从而节约摸索的时间、增加学习的成就感。本文所设计的简易闪光电路就是以此为目的，让电路主动向学习者展示电子世界的规律。</w:t>
      </w:r>
    </w:p>
    <w:p w14:paraId="7EA37BA6">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学习者可以分为有明确目标性和探索性的，对于有目标性的学习者，可直接根据项目步骤完成电路搭建并观察预期现象；对于探索性的学习者，可根据调整电路参数（如电阻、电容值）观察闪烁频率的变化，让电路自动展示参数与现象的关联，从而进行深入探究。</w:t>
      </w:r>
    </w:p>
    <w:p w14:paraId="377DD214">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文设计的简易闪光电路是面向实践教学的，具有明确的原理部分和操作部分。由于电路运行是依据物理定律和元件特性，所以操作者必须先理解原理图，正确焊接后才会根据电路参数自动展示LED交替闪烁的效果。当学习者改变元件参数时，电路还会实时响应这种变化，以此为深入理解做准备，让学习形成一个闭环。</w:t>
      </w:r>
    </w:p>
    <w:p w14:paraId="1FDA49C8">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24" w:name="_Toc27357"/>
      <w:r>
        <w:rPr>
          <w:rFonts w:hint="default" w:ascii="Times New Roman" w:hAnsi="Times New Roman" w:eastAsia="宋体" w:cs="Times New Roman"/>
          <w:kern w:val="2"/>
          <w:sz w:val="24"/>
          <w:szCs w:val="24"/>
          <w:lang w:val="en-US" w:eastAsia="zh-CN" w:bidi="ar-SA"/>
        </w:rPr>
        <w:t>2.3.1基本功能</w:t>
      </w:r>
      <w:bookmarkEnd w:id="1824"/>
    </w:p>
    <w:p w14:paraId="523471BB">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1）电路搭建：本电路只对正确连接有效，用户焊接检查无误后，方能通电。</w:t>
      </w:r>
    </w:p>
    <w:p w14:paraId="5712AFCF">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2）通电启动：用户在确认电源极性及电压正确后接通电源，电路接收到电能后会开始工作。工作正常，则两个LED开始交替闪烁，否则需检查电路。</w:t>
      </w:r>
    </w:p>
    <w:p w14:paraId="6268731E">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3）现象观察：用户在电路板上可直接观察两个LED灯的交替点亮与熄灭，系统则会根据RC时间常数呈现固定的闪烁节奏。</w:t>
      </w:r>
    </w:p>
    <w:p w14:paraId="18FD9FA6">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4）频率调节：用户可通过更换不同阻值的电阻R2/R4或不同容量的电容C1/C2，根据自己的需求对该电路的闪烁频率进行调节。频率变化范围可通过公式估算。</w:t>
      </w:r>
    </w:p>
    <w:p w14:paraId="77106F86">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5）参数测量：用户可使用万用表或示波器对电路中关键点的电压、波形进行测量，以验证理论。</w:t>
      </w:r>
    </w:p>
    <w:p w14:paraId="3FBF7D3E">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6）断电关闭：当用户断开电源后，电路则会停止工作。若还想观察现象，就得再次通电。</w:t>
      </w:r>
    </w:p>
    <w:p w14:paraId="2CE3815D">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25" w:name="_Toc23795"/>
      <w:r>
        <w:rPr>
          <w:rFonts w:hint="default" w:ascii="Times New Roman" w:hAnsi="Times New Roman" w:eastAsia="宋体" w:cs="Times New Roman"/>
          <w:kern w:val="2"/>
          <w:sz w:val="24"/>
          <w:szCs w:val="24"/>
          <w:lang w:val="en-US" w:eastAsia="zh-CN" w:bidi="ar-SA"/>
        </w:rPr>
        <w:t>2.3.</w:t>
      </w:r>
      <w:r>
        <w:rPr>
          <w:rFonts w:hint="eastAsia" w:ascii="Times New Roman" w:hAnsi="Times New Roman" w:eastAsia="宋体" w:cs="Times New Roman"/>
          <w:kern w:val="2"/>
          <w:sz w:val="24"/>
          <w:szCs w:val="24"/>
          <w:lang w:val="en-US" w:eastAsia="zh-CN" w:bidi="ar-SA"/>
        </w:rPr>
        <w:t>2闪光控制功能</w:t>
      </w:r>
      <w:bookmarkEnd w:id="1825"/>
    </w:p>
    <w:p w14:paraId="34E6B29E">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本闪光电路的控制核心是无稳态多谐振荡器，其功能单一但原理典型，主要通过两个三极管的交替导通与截止实现。</w:t>
      </w:r>
    </w:p>
    <w:p w14:paraId="5082640D">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1）自动振荡：电路上电后，无需外部触发，依靠两个支路电容的充放电差异和晶体管的正反馈，自动进入并维持交替闪烁状态。</w:t>
      </w:r>
    </w:p>
    <w:p w14:paraId="6E62C4D2">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2）频率可调：闪烁频率主要由电阻R2、R4和电容C1、C2的数值决定，通过改变这些元件的值，可以在一定范围内调节闪烁的快慢，频率计算公式为近似值 f ≈ 1 / (0.7 * R * C)。</w:t>
      </w:r>
    </w:p>
    <w:p w14:paraId="59038EF5">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3）状态指示：两个LED（D1, D2）分别作为两个振荡支路的负载和状态指示器，它们的交替亮灭直观地反映了两个三极管（Q1, Q2）的开关状态。</w:t>
      </w:r>
    </w:p>
    <w:p w14:paraId="64AD2FE1">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4）驱动显示：LED的亮灭由对应三极管的集电极电流驱动，电路设计需确保三极管饱和导通时能为LED提供足够的驱动电流，并保证LED工作在安全电流范围内。</w:t>
      </w:r>
    </w:p>
    <w:p w14:paraId="0CCDE4DB">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26" w:name="_Toc19011"/>
      <w:bookmarkStart w:id="1827" w:name="_Toc91669949"/>
      <w:bookmarkStart w:id="1828" w:name="_Toc22415"/>
      <w:bookmarkStart w:id="1829" w:name="_Toc20319"/>
      <w:r>
        <w:rPr>
          <w:rFonts w:hint="default" w:ascii="Times New Roman" w:hAnsi="Times New Roman" w:eastAsia="宋体" w:cs="Times New Roman"/>
          <w:bCs/>
          <w:kern w:val="2"/>
          <w:sz w:val="24"/>
          <w:szCs w:val="32"/>
          <w:lang w:val="en-US" w:eastAsia="zh-CN" w:bidi="ar-SA"/>
        </w:rPr>
        <w:t>2.</w:t>
      </w:r>
      <w:r>
        <w:rPr>
          <w:rFonts w:hint="eastAsia" w:ascii="Times New Roman" w:hAnsi="Times New Roman" w:eastAsia="宋体" w:cs="Times New Roman"/>
          <w:bCs/>
          <w:kern w:val="2"/>
          <w:sz w:val="24"/>
          <w:szCs w:val="32"/>
          <w:lang w:val="en-US" w:eastAsia="zh-CN" w:bidi="ar-SA"/>
        </w:rPr>
        <w:t>3.3</w:t>
      </w:r>
      <w:r>
        <w:rPr>
          <w:rFonts w:hint="default" w:ascii="Times New Roman" w:hAnsi="Times New Roman" w:eastAsia="宋体" w:cs="Times New Roman"/>
          <w:bCs/>
          <w:kern w:val="2"/>
          <w:sz w:val="24"/>
          <w:szCs w:val="32"/>
          <w:lang w:val="en-US" w:eastAsia="zh-CN" w:bidi="ar-SA"/>
        </w:rPr>
        <w:t xml:space="preserve"> </w:t>
      </w:r>
      <w:bookmarkEnd w:id="1826"/>
      <w:bookmarkEnd w:id="1827"/>
      <w:r>
        <w:rPr>
          <w:rFonts w:hint="eastAsia" w:ascii="Times New Roman" w:hAnsi="Times New Roman" w:eastAsia="宋体" w:cs="Times New Roman"/>
          <w:bCs/>
          <w:kern w:val="2"/>
          <w:sz w:val="24"/>
          <w:szCs w:val="32"/>
          <w:lang w:val="en-US" w:eastAsia="zh-CN" w:bidi="ar-SA"/>
        </w:rPr>
        <w:t>电路保护功能</w:t>
      </w:r>
      <w:bookmarkEnd w:id="1828"/>
      <w:bookmarkEnd w:id="1829"/>
    </w:p>
    <w:p w14:paraId="447390E3">
      <w:pPr>
        <w:pageBreakBefore w:val="0"/>
        <w:widowControl w:val="0"/>
        <w:kinsoku/>
        <w:wordWrap/>
        <w:overflowPunct/>
        <w:topLinePunct w:val="0"/>
        <w:autoSpaceDE/>
        <w:autoSpaceDN/>
        <w:bidi w:val="0"/>
        <w:spacing w:line="440" w:lineRule="exact"/>
        <w:ind w:firstLine="480" w:firstLineChars="200"/>
        <w:jc w:val="both"/>
        <w:textAlignment w:val="auto"/>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闪光电路应具备基本的元件保护和安全运行能力。对于功率元件，应采用合理的限流措施进行保护，例如为LED串联合适的限流电阻R1和R3。对于三极管，应确保其工作在安全区（SOA）内，基极电流由R2和R4限制，集电极电流由LED回路限制。电源输入端可考虑增加极性保护二极管或保险丝，防止电源反接或短路。</w:t>
      </w:r>
    </w:p>
    <w:p w14:paraId="65C326AC">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30" w:name="_Toc18689"/>
      <w:bookmarkStart w:id="1831" w:name="_Toc23990"/>
      <w:r>
        <w:rPr>
          <w:rFonts w:hint="default" w:ascii="Times New Roman" w:hAnsi="Times New Roman" w:eastAsia="宋体" w:cs="Times New Roman"/>
          <w:bCs/>
          <w:kern w:val="2"/>
          <w:sz w:val="24"/>
          <w:szCs w:val="32"/>
          <w:lang w:val="en-US" w:eastAsia="zh-CN" w:bidi="ar-SA"/>
        </w:rPr>
        <w:t>2.4. 用例图</w:t>
      </w:r>
      <w:bookmarkEnd w:id="1830"/>
      <w:bookmarkEnd w:id="1831"/>
    </w:p>
    <w:p w14:paraId="2AB3B7FE">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用例的核心概念中首先它是一个业务过程，经过逻辑整理抽象出来的一个业务过程，这是用例的实质。业务过程是指在待开发系统所处的业务领域内完成特定业务任务的一系列活动。</w:t>
      </w:r>
    </w:p>
    <w:p w14:paraId="781601BD">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eastAsia" w:ascii="Times New Roman" w:hAnsi="Times New Roman" w:eastAsia="宋体" w:cs="Times New Roman"/>
          <w:sz w:val="24"/>
          <w:lang w:val="en-US" w:eastAsia="zh-CN"/>
        </w:rPr>
        <w:t>我们小组所设计的闪光电路主要服务于操作员和维护员。</w:t>
      </w:r>
    </w:p>
    <w:p w14:paraId="519575CA">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32" w:name="_Toc10393"/>
      <w:r>
        <w:rPr>
          <w:rFonts w:hint="default" w:ascii="Times New Roman" w:hAnsi="Times New Roman" w:eastAsia="宋体" w:cs="Times New Roman"/>
          <w:kern w:val="2"/>
          <w:sz w:val="24"/>
          <w:szCs w:val="24"/>
          <w:lang w:val="en-US" w:eastAsia="zh-CN" w:bidi="ar-SA"/>
        </w:rPr>
        <w:t>2.4.</w:t>
      </w:r>
      <w:r>
        <w:rPr>
          <w:rFonts w:hint="eastAsia" w:ascii="Times New Roman" w:hAnsi="Times New Roman" w:eastAsia="宋体" w:cs="Times New Roman"/>
          <w:kern w:val="2"/>
          <w:sz w:val="24"/>
          <w:szCs w:val="24"/>
          <w:lang w:val="en-US" w:eastAsia="zh-CN" w:bidi="ar-SA"/>
        </w:rPr>
        <w:t>1</w:t>
      </w:r>
      <w:r>
        <w:rPr>
          <w:rFonts w:hint="default" w:ascii="Times New Roman" w:hAnsi="Times New Roman" w:eastAsia="宋体" w:cs="Times New Roman"/>
          <w:kern w:val="2"/>
          <w:sz w:val="24"/>
          <w:szCs w:val="24"/>
          <w:lang w:val="en-US" w:eastAsia="zh-CN" w:bidi="ar-SA"/>
        </w:rPr>
        <w:t xml:space="preserve"> </w:t>
      </w:r>
      <w:r>
        <w:rPr>
          <w:rFonts w:hint="eastAsia" w:ascii="Times New Roman" w:hAnsi="Times New Roman" w:eastAsia="宋体" w:cs="Times New Roman"/>
          <w:kern w:val="2"/>
          <w:sz w:val="24"/>
          <w:szCs w:val="24"/>
          <w:lang w:val="en-US" w:eastAsia="zh-CN" w:bidi="ar-SA"/>
        </w:rPr>
        <w:t>操作员</w:t>
      </w:r>
      <w:r>
        <w:rPr>
          <w:rFonts w:hint="default" w:ascii="Times New Roman" w:hAnsi="Times New Roman" w:eastAsia="宋体" w:cs="Times New Roman"/>
          <w:kern w:val="2"/>
          <w:sz w:val="24"/>
          <w:szCs w:val="24"/>
          <w:lang w:val="en-US" w:eastAsia="zh-CN" w:bidi="ar-SA"/>
        </w:rPr>
        <w:t>用例图</w:t>
      </w:r>
      <w:bookmarkEnd w:id="1832"/>
    </w:p>
    <w:p w14:paraId="6B0CA99C">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从操作员角度来看，操作员负责电路的搭建、通电测试和基本现象观察，而且需要操作员具备基本的电子知识才可以安全操作，所以未经培训的人员无法获得正确的实验体验。</w:t>
      </w:r>
    </w:p>
    <w:p w14:paraId="3B8D51D8">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对于操作员，首先需要按照原理图和元件清单准备物料，便于系统能够准确被复现，并根据操作步骤获得成功的闪烁现象。</w:t>
      </w:r>
    </w:p>
    <w:p w14:paraId="04E7B7F8">
      <w:pPr>
        <w:pageBreakBefore w:val="0"/>
        <w:kinsoku/>
        <w:wordWrap/>
        <w:overflowPunct/>
        <w:topLinePunct w:val="0"/>
        <w:autoSpaceDE/>
        <w:autoSpaceDN/>
        <w:bidi w:val="0"/>
        <w:spacing w:line="440" w:lineRule="exact"/>
        <w:ind w:firstLine="420" w:firstLineChars="200"/>
        <w:jc w:val="center"/>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Cs w:val="21"/>
        </w:rPr>
        <w:t>图</w:t>
      </w:r>
      <w:r>
        <w:rPr>
          <w:rFonts w:hint="eastAsia" w:ascii="Times New Roman" w:hAnsi="Times New Roman" w:eastAsia="宋体" w:cs="Times New Roman"/>
          <w:szCs w:val="21"/>
          <w:lang w:val="en-US" w:eastAsia="zh-CN"/>
        </w:rPr>
        <w:t>2</w:t>
      </w:r>
      <w:r>
        <w:rPr>
          <w:rFonts w:hint="default" w:ascii="Times New Roman" w:hAnsi="Times New Roman" w:eastAsia="宋体" w:cs="Times New Roman"/>
          <w:szCs w:val="21"/>
          <w:lang w:val="en-US" w:eastAsia="zh-CN"/>
        </w:rPr>
        <w:t>-</w:t>
      </w:r>
      <w:r>
        <w:rPr>
          <w:rFonts w:hint="eastAsia" w:ascii="Times New Roman" w:hAnsi="Times New Roman" w:eastAsia="宋体" w:cs="Times New Roman"/>
          <w:szCs w:val="21"/>
          <w:lang w:val="en-US" w:eastAsia="zh-CN"/>
        </w:rPr>
        <w:t>1</w:t>
      </w:r>
      <w:r>
        <w:rPr>
          <w:rFonts w:hint="default" w:ascii="Times New Roman" w:hAnsi="Times New Roman" w:eastAsia="宋体" w:cs="Times New Roman"/>
          <w:szCs w:val="21"/>
        </w:rPr>
        <w:t xml:space="preserve"> </w:t>
      </w:r>
      <w:r>
        <w:rPr>
          <w:rFonts w:hint="eastAsia" w:ascii="Times New Roman" w:hAnsi="Times New Roman" w:eastAsia="宋体" w:cs="Times New Roman"/>
          <w:szCs w:val="21"/>
          <w:lang w:val="en-US" w:eastAsia="zh-CN"/>
        </w:rPr>
        <w:t>操作员用例图</w:t>
      </w:r>
      <w:r>
        <w:rPr>
          <w:rFonts w:ascii="宋体" w:hAnsi="宋体" w:eastAsia="宋体" w:cs="宋体"/>
          <w:sz w:val="24"/>
          <w:szCs w:val="24"/>
        </w:rPr>
        <w:drawing>
          <wp:anchor distT="0" distB="0" distL="114300" distR="114300" simplePos="0" relativeHeight="251923456" behindDoc="0" locked="0" layoutInCell="1" allowOverlap="1">
            <wp:simplePos x="0" y="0"/>
            <wp:positionH relativeFrom="column">
              <wp:posOffset>-116840</wp:posOffset>
            </wp:positionH>
            <wp:positionV relativeFrom="paragraph">
              <wp:posOffset>26670</wp:posOffset>
            </wp:positionV>
            <wp:extent cx="5454650" cy="2148205"/>
            <wp:effectExtent l="0" t="0" r="12700" b="4445"/>
            <wp:wrapSquare wrapText="bothSides"/>
            <wp:docPr id="7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1" descr="IMG_256"/>
                    <pic:cNvPicPr>
                      <a:picLocks noChangeAspect="1"/>
                    </pic:cNvPicPr>
                  </pic:nvPicPr>
                  <pic:blipFill>
                    <a:blip r:embed="rId500"/>
                    <a:stretch>
                      <a:fillRect/>
                    </a:stretch>
                  </pic:blipFill>
                  <pic:spPr>
                    <a:xfrm>
                      <a:off x="0" y="0"/>
                      <a:ext cx="5454650" cy="2148205"/>
                    </a:xfrm>
                    <a:prstGeom prst="rect">
                      <a:avLst/>
                    </a:prstGeom>
                    <a:noFill/>
                    <a:ln w="9525">
                      <a:noFill/>
                    </a:ln>
                  </pic:spPr>
                </pic:pic>
              </a:graphicData>
            </a:graphic>
          </wp:anchor>
        </w:drawing>
      </w:r>
    </w:p>
    <w:p w14:paraId="4BCE9033">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33" w:name="_Toc9927"/>
      <w:r>
        <w:rPr>
          <w:rFonts w:hint="default" w:ascii="Times New Roman" w:hAnsi="Times New Roman" w:eastAsia="宋体" w:cs="Times New Roman"/>
          <w:kern w:val="2"/>
          <w:sz w:val="24"/>
          <w:szCs w:val="24"/>
          <w:lang w:val="en-US" w:eastAsia="zh-CN" w:bidi="ar-SA"/>
        </w:rPr>
        <w:t>2.4.</w:t>
      </w:r>
      <w:r>
        <w:rPr>
          <w:rFonts w:hint="eastAsia" w:ascii="Times New Roman" w:hAnsi="Times New Roman" w:eastAsia="宋体" w:cs="Times New Roman"/>
          <w:kern w:val="2"/>
          <w:sz w:val="24"/>
          <w:szCs w:val="24"/>
          <w:lang w:val="en-US" w:eastAsia="zh-CN" w:bidi="ar-SA"/>
        </w:rPr>
        <w:t>2</w:t>
      </w:r>
      <w:r>
        <w:rPr>
          <w:rFonts w:hint="default" w:ascii="Times New Roman" w:hAnsi="Times New Roman" w:eastAsia="宋体" w:cs="Times New Roman"/>
          <w:kern w:val="2"/>
          <w:sz w:val="24"/>
          <w:szCs w:val="24"/>
          <w:lang w:val="en-US" w:eastAsia="zh-CN" w:bidi="ar-SA"/>
        </w:rPr>
        <w:t xml:space="preserve"> </w:t>
      </w:r>
      <w:r>
        <w:rPr>
          <w:rFonts w:hint="eastAsia" w:ascii="Times New Roman" w:hAnsi="Times New Roman" w:eastAsia="宋体" w:cs="Times New Roman"/>
          <w:kern w:val="2"/>
          <w:sz w:val="24"/>
          <w:szCs w:val="24"/>
          <w:lang w:val="en-US" w:eastAsia="zh-CN" w:bidi="ar-SA"/>
        </w:rPr>
        <w:t>维护员</w:t>
      </w:r>
      <w:r>
        <w:rPr>
          <w:rFonts w:hint="default" w:ascii="Times New Roman" w:hAnsi="Times New Roman" w:eastAsia="宋体" w:cs="Times New Roman"/>
          <w:kern w:val="2"/>
          <w:sz w:val="24"/>
          <w:szCs w:val="24"/>
          <w:lang w:val="en-US" w:eastAsia="zh-CN" w:bidi="ar-SA"/>
        </w:rPr>
        <w:t>用例图</w:t>
      </w:r>
      <w:bookmarkEnd w:id="1833"/>
    </w:p>
    <w:p w14:paraId="601F24E0">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从维护员的角度来看，维护员在系统中具有更高权限，其主要是对电路性能以及元件状态进行诊断与维护操作。维护员可以随时更换元件以调节频率，以及对电路进行测量，故障排查以及性能优化等，维护员还可以根据原理进行电路改造，扩展功能等。</w:t>
      </w:r>
    </w:p>
    <w:p w14:paraId="42D600F0">
      <w:pPr>
        <w:keepNext w:val="0"/>
        <w:keepLines w:val="0"/>
        <w:pageBreakBefore w:val="0"/>
        <w:widowControl/>
        <w:suppressLineNumbers w:val="0"/>
        <w:kinsoku/>
        <w:wordWrap/>
        <w:overflowPunct/>
        <w:topLinePunct w:val="0"/>
        <w:autoSpaceDE/>
        <w:autoSpaceDN/>
        <w:bidi w:val="0"/>
        <w:adjustRightInd/>
        <w:snapToGrid/>
        <w:spacing w:line="440" w:lineRule="exact"/>
        <w:ind w:firstLine="420" w:firstLineChars="200"/>
        <w:jc w:val="center"/>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szCs w:val="21"/>
        </w:rPr>
        <w:t>图</w:t>
      </w:r>
      <w:r>
        <w:rPr>
          <w:rFonts w:hint="eastAsia" w:ascii="Times New Roman" w:hAnsi="Times New Roman" w:eastAsia="宋体" w:cs="Times New Roman"/>
          <w:szCs w:val="21"/>
          <w:lang w:val="en-US" w:eastAsia="zh-CN"/>
        </w:rPr>
        <w:t>2</w:t>
      </w:r>
      <w:r>
        <w:rPr>
          <w:rFonts w:hint="default" w:ascii="Times New Roman" w:hAnsi="Times New Roman" w:eastAsia="宋体" w:cs="Times New Roman"/>
          <w:szCs w:val="21"/>
          <w:lang w:val="en-US" w:eastAsia="zh-CN"/>
        </w:rPr>
        <w:t>-</w:t>
      </w:r>
      <w:r>
        <w:rPr>
          <w:rFonts w:hint="eastAsia" w:ascii="Times New Roman" w:hAnsi="Times New Roman" w:eastAsia="宋体" w:cs="Times New Roman"/>
          <w:szCs w:val="21"/>
          <w:lang w:val="en-US" w:eastAsia="zh-CN"/>
        </w:rPr>
        <w:t>2</w:t>
      </w:r>
      <w:r>
        <w:rPr>
          <w:rFonts w:hint="default" w:ascii="Times New Roman" w:hAnsi="Times New Roman" w:eastAsia="宋体" w:cs="Times New Roman"/>
          <w:szCs w:val="21"/>
        </w:rPr>
        <w:t xml:space="preserve"> </w:t>
      </w:r>
      <w:r>
        <w:rPr>
          <w:rFonts w:hint="eastAsia" w:ascii="Times New Roman" w:hAnsi="Times New Roman" w:eastAsia="宋体" w:cs="Times New Roman"/>
          <w:szCs w:val="21"/>
          <w:lang w:val="en-US" w:eastAsia="zh-CN"/>
        </w:rPr>
        <w:t>维护员员用例图</w:t>
      </w:r>
      <w:r>
        <w:rPr>
          <w:rFonts w:ascii="宋体" w:hAnsi="宋体" w:eastAsia="宋体" w:cs="宋体"/>
          <w:sz w:val="24"/>
          <w:szCs w:val="24"/>
        </w:rPr>
        <w:drawing>
          <wp:anchor distT="0" distB="0" distL="114300" distR="114300" simplePos="0" relativeHeight="251922432" behindDoc="0" locked="0" layoutInCell="1" allowOverlap="1">
            <wp:simplePos x="0" y="0"/>
            <wp:positionH relativeFrom="column">
              <wp:posOffset>132715</wp:posOffset>
            </wp:positionH>
            <wp:positionV relativeFrom="paragraph">
              <wp:posOffset>115570</wp:posOffset>
            </wp:positionV>
            <wp:extent cx="5096510" cy="1830070"/>
            <wp:effectExtent l="0" t="0" r="8890" b="17780"/>
            <wp:wrapSquare wrapText="bothSides"/>
            <wp:docPr id="71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3" descr="IMG_256"/>
                    <pic:cNvPicPr>
                      <a:picLocks noChangeAspect="1"/>
                    </pic:cNvPicPr>
                  </pic:nvPicPr>
                  <pic:blipFill>
                    <a:blip r:embed="rId501"/>
                    <a:stretch>
                      <a:fillRect/>
                    </a:stretch>
                  </pic:blipFill>
                  <pic:spPr>
                    <a:xfrm>
                      <a:off x="0" y="0"/>
                      <a:ext cx="5096510" cy="1830070"/>
                    </a:xfrm>
                    <a:prstGeom prst="rect">
                      <a:avLst/>
                    </a:prstGeom>
                    <a:noFill/>
                    <a:ln w="9525">
                      <a:noFill/>
                    </a:ln>
                  </pic:spPr>
                </pic:pic>
              </a:graphicData>
            </a:graphic>
          </wp:anchor>
        </w:drawing>
      </w:r>
    </w:p>
    <w:p w14:paraId="69E82646">
      <w:pPr>
        <w:keepNext w:val="0"/>
        <w:keepLines w:val="0"/>
        <w:pageBreakBefore w:val="0"/>
        <w:widowControl/>
        <w:suppressLineNumbers w:val="0"/>
        <w:kinsoku/>
        <w:wordWrap/>
        <w:overflowPunct/>
        <w:topLinePunct w:val="0"/>
        <w:autoSpaceDE/>
        <w:autoSpaceDN/>
        <w:bidi w:val="0"/>
        <w:adjustRightInd/>
        <w:snapToGrid/>
        <w:spacing w:line="440" w:lineRule="exact"/>
        <w:jc w:val="left"/>
        <w:textAlignment w:val="auto"/>
        <w:rPr>
          <w:rFonts w:hint="default" w:ascii="Times New Roman" w:hAnsi="Times New Roman" w:eastAsia="宋体" w:cs="Times New Roman"/>
          <w:b w:val="0"/>
          <w:bCs w:val="0"/>
          <w:color w:val="000000"/>
          <w:kern w:val="0"/>
          <w:sz w:val="24"/>
          <w:szCs w:val="24"/>
          <w:lang w:val="en-US" w:eastAsia="zh-CN" w:bidi="ar"/>
        </w:rPr>
      </w:pPr>
    </w:p>
    <w:p w14:paraId="7844F820">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outlineLvl w:val="9"/>
        <w:rPr>
          <w:rFonts w:hint="default" w:ascii="Times New Roman" w:hAnsi="Times New Roman" w:eastAsia="宋体" w:cs="Times New Roman"/>
          <w:b w:val="0"/>
          <w:bCs w:val="0"/>
          <w:color w:val="000000"/>
          <w:kern w:val="0"/>
          <w:sz w:val="24"/>
          <w:szCs w:val="24"/>
          <w:lang w:val="en-US" w:eastAsia="zh-CN" w:bidi="ar"/>
        </w:rPr>
      </w:pPr>
      <w:bookmarkStart w:id="1834" w:name="_Toc3593"/>
      <w:r>
        <w:rPr>
          <w:rFonts w:hint="default" w:ascii="Times New Roman" w:hAnsi="Times New Roman" w:eastAsia="宋体" w:cs="Times New Roman"/>
          <w:b w:val="0"/>
          <w:bCs w:val="0"/>
          <w:color w:val="000000"/>
          <w:kern w:val="0"/>
          <w:sz w:val="24"/>
          <w:szCs w:val="24"/>
          <w:lang w:val="en-US" w:eastAsia="zh-CN" w:bidi="ar"/>
        </w:rPr>
        <w:t>2.4.3 系统用例描述</w:t>
      </w:r>
      <w:bookmarkEnd w:id="1834"/>
    </w:p>
    <w:p w14:paraId="251D8F91">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根据上一节系统用例图的描述，本节进行每一用例的文档说明，详细信息如以下各表所示：</w:t>
      </w:r>
    </w:p>
    <w:p w14:paraId="34408A01">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1. 操作员相关用例说明</w:t>
      </w:r>
    </w:p>
    <w:p w14:paraId="070CC559">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（1）电路搭建</w:t>
      </w:r>
    </w:p>
    <w:p w14:paraId="1C123547">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left"/>
        <w:textAlignment w:val="auto"/>
        <w:rPr>
          <w:rFonts w:hint="default" w:ascii="Calibri" w:hAnsi="Calibri" w:eastAsia="宋体" w:cs="Times New Roman"/>
          <w:lang w:val="en-US" w:eastAsia="zh-CN"/>
        </w:rPr>
      </w:pPr>
      <w:r>
        <w:rPr>
          <w:rFonts w:hint="default" w:ascii="Times New Roman" w:hAnsi="Times New Roman" w:eastAsia="宋体" w:cs="Times New Roman"/>
          <w:b w:val="0"/>
          <w:bCs w:val="0"/>
          <w:color w:val="000000"/>
          <w:kern w:val="0"/>
          <w:sz w:val="24"/>
          <w:szCs w:val="24"/>
          <w:lang w:val="en-US" w:eastAsia="zh-CN" w:bidi="ar"/>
        </w:rPr>
        <w:t>初次使用系统的操作员只有完成电路正确搭建后才能成功进行测试。电路搭建的用例文档，如表 2-1 所示。</w:t>
      </w:r>
    </w:p>
    <w:p w14:paraId="68F27CA5">
      <w:pPr>
        <w:keepNext w:val="0"/>
        <w:keepLines w:val="0"/>
        <w:pageBreakBefore w:val="0"/>
        <w:widowControl/>
        <w:suppressLineNumbers w:val="0"/>
        <w:kinsoku/>
        <w:wordWrap/>
        <w:overflowPunct/>
        <w:topLinePunct w:val="0"/>
        <w:autoSpaceDE/>
        <w:autoSpaceDN/>
        <w:bidi w:val="0"/>
        <w:adjustRightInd/>
        <w:snapToGrid/>
        <w:spacing w:line="440" w:lineRule="exact"/>
        <w:jc w:val="center"/>
        <w:textAlignment w:val="auto"/>
        <w:rPr>
          <w:rFonts w:hint="eastAsia" w:ascii="Times New Roman" w:hAnsi="Times New Roman" w:eastAsia="宋体" w:cs="Times New Roman"/>
          <w:b w:val="0"/>
          <w:bCs w:val="0"/>
          <w:color w:val="000000"/>
          <w:kern w:val="0"/>
          <w:sz w:val="21"/>
          <w:szCs w:val="21"/>
          <w:lang w:val="en-US" w:eastAsia="zh-CN" w:bidi="ar"/>
        </w:rPr>
      </w:pPr>
    </w:p>
    <w:p w14:paraId="75C9EAEB">
      <w:pPr>
        <w:keepNext w:val="0"/>
        <w:keepLines w:val="0"/>
        <w:pageBreakBefore w:val="0"/>
        <w:widowControl/>
        <w:suppressLineNumbers w:val="0"/>
        <w:kinsoku/>
        <w:wordWrap/>
        <w:overflowPunct/>
        <w:topLinePunct w:val="0"/>
        <w:autoSpaceDE/>
        <w:autoSpaceDN/>
        <w:bidi w:val="0"/>
        <w:adjustRightInd/>
        <w:snapToGrid/>
        <w:spacing w:line="440" w:lineRule="exact"/>
        <w:jc w:val="center"/>
        <w:textAlignment w:val="auto"/>
        <w:rPr>
          <w:rFonts w:hint="default" w:ascii="Times New Roman" w:hAnsi="Times New Roman" w:eastAsia="宋体" w:cs="Times New Roman"/>
          <w:b w:val="0"/>
          <w:bCs w:val="0"/>
          <w:color w:val="000000"/>
          <w:kern w:val="0"/>
          <w:sz w:val="21"/>
          <w:szCs w:val="21"/>
          <w:lang w:val="en-US" w:eastAsia="zh-CN" w:bidi="ar"/>
        </w:rPr>
      </w:pPr>
      <w:r>
        <w:rPr>
          <w:rFonts w:hint="eastAsia" w:ascii="Times New Roman" w:hAnsi="Times New Roman" w:eastAsia="宋体" w:cs="Times New Roman"/>
          <w:b w:val="0"/>
          <w:bCs w:val="0"/>
          <w:color w:val="000000"/>
          <w:kern w:val="0"/>
          <w:sz w:val="21"/>
          <w:szCs w:val="21"/>
          <w:lang w:val="en-US" w:eastAsia="zh-CN" w:bidi="ar"/>
        </w:rPr>
        <w:t>表2-1 注册功能用例描述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7218"/>
      </w:tblGrid>
      <w:tr w14:paraId="4308F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04" w:type="dxa"/>
          </w:tcPr>
          <w:p w14:paraId="221286A4">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218" w:type="dxa"/>
          </w:tcPr>
          <w:p w14:paraId="17C77AD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 w:val="0"/>
                <w:bCs w:val="0"/>
                <w:color w:val="000000"/>
                <w:sz w:val="21"/>
                <w:szCs w:val="21"/>
              </w:rPr>
              <w:t>说明</w:t>
            </w:r>
          </w:p>
        </w:tc>
      </w:tr>
      <w:tr w14:paraId="22077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56EB8C1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218" w:type="dxa"/>
          </w:tcPr>
          <w:p w14:paraId="5DB951F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电路搭建</w:t>
            </w:r>
          </w:p>
        </w:tc>
      </w:tr>
      <w:tr w14:paraId="3E2FB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4BE505C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218" w:type="dxa"/>
          </w:tcPr>
          <w:p w14:paraId="31446EA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操作员进行电路的物理连接与焊接</w:t>
            </w:r>
          </w:p>
        </w:tc>
      </w:tr>
      <w:tr w14:paraId="3D171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22A1435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218" w:type="dxa"/>
          </w:tcPr>
          <w:p w14:paraId="29E16C34">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w:t>
            </w:r>
          </w:p>
        </w:tc>
      </w:tr>
      <w:tr w14:paraId="42518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7581B8A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218" w:type="dxa"/>
          </w:tcPr>
          <w:p w14:paraId="5717FDF9">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操作员已获取全部元件和工具</w:t>
            </w:r>
          </w:p>
        </w:tc>
      </w:tr>
      <w:tr w14:paraId="5F0D4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04" w:type="dxa"/>
          </w:tcPr>
          <w:p w14:paraId="6028826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218" w:type="dxa"/>
          </w:tcPr>
          <w:p w14:paraId="491B185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电路焊接完毕，等待通电</w:t>
            </w:r>
          </w:p>
        </w:tc>
      </w:tr>
      <w:tr w14:paraId="2B311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0AB5217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218" w:type="dxa"/>
          </w:tcPr>
          <w:p w14:paraId="5E54C29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①阅读原理图与布局图，发起“搭建”请求，用例开始</w:t>
            </w:r>
          </w:p>
          <w:p w14:paraId="3C1EA70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②识别并放置元件</w:t>
            </w:r>
          </w:p>
          <w:p w14:paraId="40526A4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③进行焊接连接 </w:t>
            </w:r>
          </w:p>
        </w:tc>
      </w:tr>
      <w:tr w14:paraId="43C6D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28977AD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218" w:type="dxa"/>
          </w:tcPr>
          <w:p w14:paraId="60B295F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 xml:space="preserve">检测到元件损坏、焊接错误或短路，搭建操作失败， </w:t>
            </w:r>
          </w:p>
          <w:p w14:paraId="104652BF">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允许用户重新检查或修正。</w:t>
            </w:r>
          </w:p>
        </w:tc>
      </w:tr>
      <w:tr w14:paraId="3F404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2F898BB9">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包含用例</w:t>
            </w:r>
          </w:p>
        </w:tc>
        <w:tc>
          <w:tcPr>
            <w:tcW w:w="7218" w:type="dxa"/>
          </w:tcPr>
          <w:p w14:paraId="4D5855F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包含：元件识别、焊接操作 </w:t>
            </w:r>
          </w:p>
        </w:tc>
      </w:tr>
    </w:tbl>
    <w:p w14:paraId="6816F01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eastAsia" w:ascii="宋体" w:hAnsi="宋体" w:eastAsia="宋体" w:cs="宋体"/>
          <w:sz w:val="24"/>
          <w:szCs w:val="24"/>
          <w:vertAlign w:val="baseline"/>
          <w:lang w:val="en-US" w:eastAsia="zh-CN"/>
        </w:rPr>
      </w:pPr>
      <w:r>
        <w:rPr>
          <w:rFonts w:hint="eastAsia" w:ascii="宋体" w:hAnsi="宋体" w:eastAsia="宋体" w:cs="宋体"/>
          <w:b w:val="0"/>
          <w:bCs w:val="0"/>
          <w:color w:val="000000"/>
          <w:kern w:val="0"/>
          <w:sz w:val="24"/>
          <w:szCs w:val="24"/>
          <w:lang w:val="en-US" w:eastAsia="zh-CN" w:bidi="ar"/>
        </w:rPr>
        <w:t>（2）</w:t>
      </w:r>
      <w:r>
        <w:rPr>
          <w:rFonts w:hint="eastAsia" w:ascii="宋体" w:hAnsi="宋体" w:eastAsia="宋体" w:cs="宋体"/>
          <w:sz w:val="24"/>
          <w:szCs w:val="24"/>
          <w:vertAlign w:val="baseline"/>
          <w:lang w:val="en-US" w:eastAsia="zh-CN"/>
        </w:rPr>
        <w:t>通电测试</w:t>
      </w:r>
    </w:p>
    <w:p w14:paraId="525273E6">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操作员在电路搭建完成并检查无误后，方可进行通电测试。</w:t>
      </w:r>
    </w:p>
    <w:p w14:paraId="53F7400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vertAlign w:val="baseline"/>
          <w:lang w:val="en-US" w:eastAsia="zh-CN"/>
        </w:rPr>
      </w:pPr>
      <w:r>
        <w:rPr>
          <w:rFonts w:hint="eastAsia" w:ascii="宋体" w:hAnsi="宋体" w:eastAsia="宋体" w:cs="宋体"/>
          <w:sz w:val="24"/>
          <w:szCs w:val="24"/>
          <w:lang w:val="en-US" w:eastAsia="zh-CN"/>
        </w:rPr>
        <w:t>通电测试的用例文档，如表 2-2所示</w:t>
      </w:r>
      <w:r>
        <w:rPr>
          <w:rFonts w:hint="eastAsia" w:ascii="宋体" w:hAnsi="宋体" w:eastAsia="宋体" w:cs="宋体"/>
          <w:sz w:val="24"/>
          <w:szCs w:val="24"/>
          <w:vertAlign w:val="baseline"/>
          <w:lang w:val="en-US" w:eastAsia="zh-CN"/>
        </w:rPr>
        <w:t>。</w:t>
      </w:r>
    </w:p>
    <w:p w14:paraId="04467E3D">
      <w:pPr>
        <w:keepNext w:val="0"/>
        <w:keepLines w:val="0"/>
        <w:pageBreakBefore w:val="0"/>
        <w:widowControl/>
        <w:suppressLineNumbers w:val="0"/>
        <w:kinsoku/>
        <w:wordWrap/>
        <w:overflowPunct/>
        <w:topLinePunct w:val="0"/>
        <w:autoSpaceDE/>
        <w:autoSpaceDN/>
        <w:bidi w:val="0"/>
        <w:adjustRightInd/>
        <w:snapToGrid/>
        <w:spacing w:line="440" w:lineRule="exact"/>
        <w:ind w:firstLine="420" w:firstLineChars="20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b w:val="0"/>
          <w:bCs w:val="0"/>
          <w:color w:val="000000"/>
          <w:kern w:val="0"/>
          <w:sz w:val="21"/>
          <w:szCs w:val="21"/>
          <w:lang w:val="en-US" w:eastAsia="zh-CN" w:bidi="ar"/>
        </w:rPr>
        <w:t>表2-</w:t>
      </w:r>
      <w:r>
        <w:rPr>
          <w:rFonts w:hint="default" w:ascii="Times New Roman" w:hAnsi="Times New Roman" w:eastAsia="宋体" w:cs="Times New Roman"/>
          <w:b w:val="0"/>
          <w:bCs w:val="0"/>
          <w:color w:val="000000"/>
          <w:kern w:val="0"/>
          <w:sz w:val="21"/>
          <w:szCs w:val="21"/>
          <w:lang w:val="en-US" w:eastAsia="zh-CN" w:bidi="ar"/>
        </w:rPr>
        <w:t>2</w:t>
      </w:r>
      <w:r>
        <w:rPr>
          <w:rFonts w:hint="eastAsia" w:ascii="Times New Roman" w:hAnsi="Times New Roman" w:eastAsia="宋体" w:cs="Times New Roman"/>
          <w:b w:val="0"/>
          <w:bCs w:val="0"/>
          <w:color w:val="000000"/>
          <w:kern w:val="0"/>
          <w:sz w:val="21"/>
          <w:szCs w:val="21"/>
          <w:lang w:val="en-US" w:eastAsia="zh-CN" w:bidi="ar"/>
        </w:rPr>
        <w:t xml:space="preserve"> </w:t>
      </w:r>
      <w:r>
        <w:rPr>
          <w:rFonts w:hint="default" w:ascii="Times New Roman" w:hAnsi="Times New Roman" w:eastAsia="宋体" w:cs="Times New Roman"/>
          <w:sz w:val="21"/>
          <w:szCs w:val="21"/>
          <w:vertAlign w:val="baseline"/>
          <w:lang w:val="en-US" w:eastAsia="zh-CN"/>
        </w:rPr>
        <w:t>通电测试功能用例描述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7248"/>
      </w:tblGrid>
      <w:tr w14:paraId="75EFC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105C5B2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248" w:type="dxa"/>
          </w:tcPr>
          <w:p w14:paraId="05B7920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说明</w:t>
            </w:r>
          </w:p>
        </w:tc>
      </w:tr>
      <w:tr w14:paraId="7B9F5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67386E5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248" w:type="dxa"/>
          </w:tcPr>
          <w:p w14:paraId="067073A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通电测试</w:t>
            </w:r>
          </w:p>
        </w:tc>
      </w:tr>
      <w:tr w14:paraId="2B58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51E8ED9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248" w:type="dxa"/>
          </w:tcPr>
          <w:p w14:paraId="7D5D184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操作员为搭建好的电路接通电源</w:t>
            </w:r>
          </w:p>
        </w:tc>
      </w:tr>
      <w:tr w14:paraId="04443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333EF6F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248" w:type="dxa"/>
          </w:tcPr>
          <w:p w14:paraId="4CF9620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w:t>
            </w:r>
          </w:p>
        </w:tc>
      </w:tr>
      <w:tr w14:paraId="18C2D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6F2244C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248" w:type="dxa"/>
          </w:tcPr>
          <w:p w14:paraId="570D405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电路焊接完成并通过目视检查</w:t>
            </w:r>
          </w:p>
        </w:tc>
      </w:tr>
      <w:tr w14:paraId="39CC1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782D9D14">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248" w:type="dxa"/>
          </w:tcPr>
          <w:p w14:paraId="0CDC994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电路获得电能，进入工作状态或故障状态</w:t>
            </w:r>
          </w:p>
        </w:tc>
      </w:tr>
      <w:tr w14:paraId="3CE61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4C5E592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248" w:type="dxa"/>
          </w:tcPr>
          <w:p w14:paraId="2FACFCB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①确认电源电压极性正确，发起“通电”请求，用例开始</w:t>
            </w:r>
          </w:p>
          <w:p w14:paraId="5817B1D9">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②连接电源</w:t>
            </w:r>
          </w:p>
        </w:tc>
      </w:tr>
      <w:tr w14:paraId="61216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03187EE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备选事件流</w:t>
            </w:r>
          </w:p>
        </w:tc>
        <w:tc>
          <w:tcPr>
            <w:tcW w:w="7248" w:type="dxa"/>
          </w:tcPr>
          <w:p w14:paraId="1FCBD92F">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①电源电压不符，提示更换电源</w:t>
            </w:r>
          </w:p>
          <w:p w14:paraId="6FA1B11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②电源极性接反，提示调整极性</w:t>
            </w:r>
          </w:p>
        </w:tc>
      </w:tr>
      <w:tr w14:paraId="620FF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4BFFBA0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248" w:type="dxa"/>
          </w:tcPr>
          <w:p w14:paraId="2EBC155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检测到电路冒烟、元件发热等异常，立即断电，用户可以重新检查电路或寻求帮助</w:t>
            </w:r>
          </w:p>
        </w:tc>
      </w:tr>
      <w:tr w14:paraId="03650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4" w:type="dxa"/>
          </w:tcPr>
          <w:p w14:paraId="6BE988A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包含用例</w:t>
            </w:r>
          </w:p>
        </w:tc>
        <w:tc>
          <w:tcPr>
            <w:tcW w:w="7248" w:type="dxa"/>
          </w:tcPr>
          <w:p w14:paraId="43DD2B9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被包含：电路功能验证</w:t>
            </w:r>
          </w:p>
        </w:tc>
      </w:tr>
    </w:tbl>
    <w:p w14:paraId="2AE2C433">
      <w:pPr>
        <w:keepNext w:val="0"/>
        <w:keepLines w:val="0"/>
        <w:pageBreakBefore w:val="0"/>
        <w:widowControl/>
        <w:numPr>
          <w:ilvl w:val="0"/>
          <w:numId w:val="0"/>
        </w:numPr>
        <w:suppressLineNumbers w:val="0"/>
        <w:kinsoku/>
        <w:wordWrap/>
        <w:overflowPunct/>
        <w:topLinePunct w:val="0"/>
        <w:autoSpaceDE/>
        <w:autoSpaceDN/>
        <w:bidi w:val="0"/>
        <w:adjustRightInd/>
        <w:snapToGrid/>
        <w:spacing w:line="440" w:lineRule="exact"/>
        <w:ind w:firstLine="240" w:firstLineChars="100"/>
        <w:jc w:val="both"/>
        <w:textAlignment w:val="auto"/>
        <w:rPr>
          <w:rFonts w:hint="default" w:ascii="Times New Roman" w:hAnsi="Times New Roman" w:eastAsia="TimesNewRomanPSMT" w:cs="Times New Roman"/>
          <w:b w:val="0"/>
          <w:bCs w:val="0"/>
          <w:color w:val="000000"/>
          <w:kern w:val="0"/>
          <w:sz w:val="24"/>
          <w:szCs w:val="24"/>
          <w:lang w:val="en-US" w:eastAsia="zh-CN" w:bidi="ar"/>
        </w:rPr>
      </w:pPr>
      <w:r>
        <w:rPr>
          <w:rFonts w:hint="default" w:ascii="Times New Roman" w:hAnsi="Times New Roman" w:eastAsia="TimesNewRomanPSMT" w:cs="Times New Roman"/>
          <w:b w:val="0"/>
          <w:bCs w:val="0"/>
          <w:color w:val="000000"/>
          <w:kern w:val="0"/>
          <w:sz w:val="24"/>
          <w:szCs w:val="24"/>
          <w:lang w:val="en-US" w:eastAsia="zh-CN" w:bidi="ar"/>
        </w:rPr>
        <w:t>现象观察</w:t>
      </w:r>
    </w:p>
    <w:p w14:paraId="0D32D542">
      <w:pPr>
        <w:keepNext w:val="0"/>
        <w:keepLines w:val="0"/>
        <w:pageBreakBefore w:val="0"/>
        <w:widowControl/>
        <w:suppressLineNumbers w:val="0"/>
        <w:kinsoku/>
        <w:wordWrap/>
        <w:overflowPunct/>
        <w:topLinePunct w:val="0"/>
        <w:autoSpaceDE/>
        <w:autoSpaceDN/>
        <w:bidi w:val="0"/>
        <w:adjustRightInd/>
        <w:snapToGrid/>
        <w:spacing w:line="440" w:lineRule="exact"/>
        <w:ind w:left="1919" w:leftChars="114" w:hanging="1680" w:hangingChars="700"/>
        <w:jc w:val="both"/>
        <w:textAlignment w:val="auto"/>
        <w:rPr>
          <w:rFonts w:hint="eastAsia" w:ascii="Times New Roman" w:hAnsi="Times New Roman" w:eastAsia="TimesNewRomanPSMT" w:cs="Times New Roman"/>
          <w:b w:val="0"/>
          <w:bCs w:val="0"/>
          <w:color w:val="000000"/>
          <w:kern w:val="0"/>
          <w:sz w:val="24"/>
          <w:szCs w:val="24"/>
          <w:lang w:val="en-US" w:eastAsia="zh-CN" w:bidi="ar"/>
        </w:rPr>
      </w:pPr>
      <w:r>
        <w:rPr>
          <w:rFonts w:hint="default" w:ascii="Times New Roman" w:hAnsi="Times New Roman" w:eastAsia="TimesNewRomanPSMT" w:cs="Times New Roman"/>
          <w:b w:val="0"/>
          <w:bCs w:val="0"/>
          <w:color w:val="000000"/>
          <w:kern w:val="0"/>
          <w:sz w:val="24"/>
          <w:szCs w:val="24"/>
          <w:lang w:val="en-US" w:eastAsia="zh-CN" w:bidi="ar"/>
        </w:rPr>
        <w:t>操作员在电路通电后，观察LED的闪烁现象。现象观察的用例文档，如表2-3</w:t>
      </w:r>
      <w:r>
        <w:rPr>
          <w:rFonts w:hint="eastAsia" w:ascii="Times New Roman" w:hAnsi="Times New Roman" w:eastAsia="TimesNewRomanPSMT" w:cs="Times New Roman"/>
          <w:b w:val="0"/>
          <w:bCs w:val="0"/>
          <w:color w:val="000000"/>
          <w:kern w:val="0"/>
          <w:sz w:val="24"/>
          <w:szCs w:val="24"/>
          <w:lang w:val="en-US" w:eastAsia="zh-CN" w:bidi="ar"/>
        </w:rPr>
        <w:t>。</w:t>
      </w:r>
    </w:p>
    <w:p w14:paraId="2D304CC7">
      <w:pPr>
        <w:keepNext w:val="0"/>
        <w:keepLines w:val="0"/>
        <w:pageBreakBefore w:val="0"/>
        <w:widowControl/>
        <w:suppressLineNumbers w:val="0"/>
        <w:kinsoku/>
        <w:wordWrap/>
        <w:overflowPunct/>
        <w:topLinePunct w:val="0"/>
        <w:autoSpaceDE/>
        <w:autoSpaceDN/>
        <w:bidi w:val="0"/>
        <w:adjustRightInd/>
        <w:snapToGrid/>
        <w:spacing w:line="440" w:lineRule="exact"/>
        <w:ind w:left="1709" w:leftChars="114" w:hanging="1470" w:hangingChars="700"/>
        <w:jc w:val="center"/>
        <w:textAlignment w:val="auto"/>
        <w:rPr>
          <w:rFonts w:hint="eastAsia" w:ascii="Times New Roman" w:hAnsi="Times New Roman" w:eastAsia="宋体" w:cs="Times New Roman"/>
          <w:b w:val="0"/>
          <w:bCs w:val="0"/>
          <w:color w:val="000000"/>
          <w:kern w:val="0"/>
          <w:sz w:val="21"/>
          <w:szCs w:val="21"/>
          <w:lang w:val="en-US" w:eastAsia="zh-CN" w:bidi="ar"/>
        </w:rPr>
      </w:pPr>
      <w:r>
        <w:rPr>
          <w:rFonts w:hint="eastAsia" w:ascii="Times New Roman" w:hAnsi="Times New Roman" w:eastAsia="宋体" w:cs="Times New Roman"/>
          <w:b w:val="0"/>
          <w:bCs w:val="0"/>
          <w:color w:val="000000"/>
          <w:kern w:val="0"/>
          <w:sz w:val="21"/>
          <w:szCs w:val="21"/>
          <w:lang w:val="en-US" w:eastAsia="zh-CN" w:bidi="ar"/>
        </w:rPr>
        <w:t>表2-3 现象观察功能用例描述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4"/>
        <w:gridCol w:w="7198"/>
      </w:tblGrid>
      <w:tr w14:paraId="6505C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24" w:type="dxa"/>
          </w:tcPr>
          <w:p w14:paraId="533FE99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198" w:type="dxa"/>
          </w:tcPr>
          <w:p w14:paraId="6978449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说明</w:t>
            </w:r>
          </w:p>
        </w:tc>
      </w:tr>
      <w:tr w14:paraId="0B764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6F5F59A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198" w:type="dxa"/>
          </w:tcPr>
          <w:p w14:paraId="72848A0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现象观察</w:t>
            </w:r>
          </w:p>
        </w:tc>
      </w:tr>
      <w:tr w14:paraId="1A6D2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03DF901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198" w:type="dxa"/>
          </w:tcPr>
          <w:p w14:paraId="7A59F4F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操作员观察电路工作状态</w:t>
            </w:r>
          </w:p>
        </w:tc>
      </w:tr>
      <w:tr w14:paraId="1B441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6BEE5B1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198" w:type="dxa"/>
          </w:tcPr>
          <w:p w14:paraId="7D1201F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操作员</w:t>
            </w:r>
          </w:p>
        </w:tc>
      </w:tr>
      <w:tr w14:paraId="0399D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1DB4615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198" w:type="dxa"/>
          </w:tcPr>
          <w:p w14:paraId="577D231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电路通电成功</w:t>
            </w:r>
          </w:p>
        </w:tc>
      </w:tr>
      <w:tr w14:paraId="0AF3A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40C94B7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198" w:type="dxa"/>
          </w:tcPr>
          <w:p w14:paraId="4D2422C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记录观察到的现象（正常闪烁/常亮/不亮/异常）</w:t>
            </w:r>
          </w:p>
        </w:tc>
      </w:tr>
      <w:tr w14:paraId="1E9E5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4004D4C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198" w:type="dxa"/>
          </w:tcPr>
          <w:p w14:paraId="71640D5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①目视观察LED D1和D2，发出“观察”请求，用例开始</w:t>
            </w:r>
          </w:p>
          <w:p w14:paraId="559E364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②记录观察结果</w:t>
            </w:r>
          </w:p>
        </w:tc>
      </w:tr>
      <w:tr w14:paraId="74BC5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4" w:type="dxa"/>
          </w:tcPr>
          <w:p w14:paraId="1C191B2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198" w:type="dxa"/>
          </w:tcPr>
          <w:p w14:paraId="61310A8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电路无任何反应或出现异常现象，操作员可以重新断电检查或进入故障排查流程。</w:t>
            </w:r>
          </w:p>
        </w:tc>
      </w:tr>
    </w:tbl>
    <w:p w14:paraId="4FFF6501">
      <w:pPr>
        <w:keepNext w:val="0"/>
        <w:keepLines w:val="0"/>
        <w:pageBreakBefore w:val="0"/>
        <w:widowControl/>
        <w:numPr>
          <w:ilvl w:val="0"/>
          <w:numId w:val="0"/>
        </w:numPr>
        <w:suppressLineNumbers w:val="0"/>
        <w:kinsoku/>
        <w:wordWrap/>
        <w:overflowPunct/>
        <w:topLinePunct w:val="0"/>
        <w:autoSpaceDE/>
        <w:autoSpaceDN/>
        <w:bidi w:val="0"/>
        <w:adjustRightInd/>
        <w:snapToGrid/>
        <w:spacing w:line="440" w:lineRule="exact"/>
        <w:ind w:firstLine="480" w:firstLineChars="200"/>
        <w:jc w:val="both"/>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维护员相关用例说明</w:t>
      </w:r>
    </w:p>
    <w:p w14:paraId="6546A358">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对于具备电子知识的维护员，可以对电路进行参数调整和故障诊断。接下来从维护员角度出发，其相关的用例文档信息如下：</w:t>
      </w:r>
    </w:p>
    <w:p w14:paraId="735F5664">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参数测量</w:t>
      </w:r>
    </w:p>
    <w:p w14:paraId="7B0F727F">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eastAsia"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维护员使用仪器对电路关键点电压、波形进行测量。参数测量的用例文档，如表 2-4 所示</w:t>
      </w:r>
      <w:r>
        <w:rPr>
          <w:rFonts w:hint="eastAsia" w:ascii="Times New Roman" w:hAnsi="Times New Roman" w:eastAsia="宋体" w:cs="Times New Roman"/>
          <w:b w:val="0"/>
          <w:bCs w:val="0"/>
          <w:color w:val="000000"/>
          <w:kern w:val="0"/>
          <w:sz w:val="24"/>
          <w:szCs w:val="24"/>
          <w:lang w:val="en-US" w:eastAsia="zh-CN" w:bidi="ar"/>
        </w:rPr>
        <w:t>。</w:t>
      </w:r>
    </w:p>
    <w:p w14:paraId="69684DB1">
      <w:pPr>
        <w:keepNext w:val="0"/>
        <w:keepLines w:val="0"/>
        <w:pageBreakBefore w:val="0"/>
        <w:widowControl/>
        <w:suppressLineNumbers w:val="0"/>
        <w:kinsoku/>
        <w:wordWrap/>
        <w:overflowPunct/>
        <w:topLinePunct w:val="0"/>
        <w:autoSpaceDE/>
        <w:autoSpaceDN/>
        <w:bidi w:val="0"/>
        <w:adjustRightInd/>
        <w:snapToGrid/>
        <w:spacing w:line="440" w:lineRule="exact"/>
        <w:ind w:firstLine="420" w:firstLineChars="200"/>
        <w:jc w:val="center"/>
        <w:textAlignment w:val="auto"/>
        <w:rPr>
          <w:rFonts w:hint="eastAsia" w:ascii="Times New Roman" w:hAnsi="Times New Roman" w:eastAsia="宋体" w:cs="Times New Roman"/>
          <w:b w:val="0"/>
          <w:bCs w:val="0"/>
          <w:color w:val="000000"/>
          <w:kern w:val="0"/>
          <w:sz w:val="21"/>
          <w:szCs w:val="21"/>
          <w:lang w:val="en-US" w:eastAsia="zh-CN" w:bidi="ar"/>
        </w:rPr>
      </w:pPr>
      <w:r>
        <w:rPr>
          <w:rFonts w:hint="eastAsia" w:ascii="Times New Roman" w:hAnsi="Times New Roman" w:eastAsia="宋体" w:cs="Times New Roman"/>
          <w:b w:val="0"/>
          <w:bCs w:val="0"/>
          <w:color w:val="000000"/>
          <w:kern w:val="0"/>
          <w:sz w:val="21"/>
          <w:szCs w:val="21"/>
          <w:lang w:val="en-US" w:eastAsia="zh-CN" w:bidi="ar"/>
        </w:rPr>
        <w:t>表2-4 参数测量功能用例描述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4"/>
        <w:gridCol w:w="7188"/>
      </w:tblGrid>
      <w:tr w14:paraId="5F9AF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BDD8FA9">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188" w:type="dxa"/>
          </w:tcPr>
          <w:p w14:paraId="1551E70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说明</w:t>
            </w:r>
          </w:p>
        </w:tc>
      </w:tr>
      <w:tr w14:paraId="1C945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0DD4FFE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188" w:type="dxa"/>
          </w:tcPr>
          <w:p w14:paraId="2E6B5B69">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参数测量</w:t>
            </w:r>
          </w:p>
        </w:tc>
      </w:tr>
      <w:tr w14:paraId="20108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2E0E65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188" w:type="dxa"/>
          </w:tcPr>
          <w:p w14:paraId="23F44B4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eastAsia" w:ascii="Calibri" w:hAnsi="Calibri" w:eastAsia="宋体" w:cs="Times New Roman"/>
              </w:rPr>
              <w:t>维护员使用万用表、示波器测量电路参数</w:t>
            </w:r>
          </w:p>
        </w:tc>
      </w:tr>
      <w:tr w14:paraId="74597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0DD85A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188" w:type="dxa"/>
          </w:tcPr>
          <w:p w14:paraId="5FC14F6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 xml:space="preserve"> 维护员</w:t>
            </w:r>
          </w:p>
        </w:tc>
      </w:tr>
      <w:tr w14:paraId="131F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468196F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188" w:type="dxa"/>
          </w:tcPr>
          <w:p w14:paraId="1E44CCC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电路处于正常工作状态</w:t>
            </w:r>
          </w:p>
        </w:tc>
      </w:tr>
      <w:tr w14:paraId="4A3C5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DD4854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188" w:type="dxa"/>
          </w:tcPr>
          <w:p w14:paraId="4EEE640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获得测量数据（电压值、频率、波形等）</w:t>
            </w:r>
          </w:p>
        </w:tc>
      </w:tr>
      <w:tr w14:paraId="5F1E2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47B4ADE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188" w:type="dxa"/>
          </w:tcPr>
          <w:p w14:paraId="54B8039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 xml:space="preserve"> ①选择测量点（如三极管集电极），发起“测量”请求，用例开始</w:t>
            </w:r>
          </w:p>
          <w:p w14:paraId="4F88A0F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②连接测量仪器</w:t>
            </w:r>
          </w:p>
          <w:p w14:paraId="79EF6345">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③读取并记录数据</w:t>
            </w:r>
          </w:p>
        </w:tc>
      </w:tr>
      <w:tr w14:paraId="114EF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334" w:type="dxa"/>
          </w:tcPr>
          <w:p w14:paraId="5149C21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备选事件流</w:t>
            </w:r>
          </w:p>
        </w:tc>
        <w:tc>
          <w:tcPr>
            <w:tcW w:w="7188" w:type="dxa"/>
          </w:tcPr>
          <w:p w14:paraId="4ADD2F9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测量值与理论值偏差过大，提示检查元件参数或电路连接。</w:t>
            </w:r>
          </w:p>
        </w:tc>
      </w:tr>
      <w:tr w14:paraId="5F39C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75E6C80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188" w:type="dxa"/>
          </w:tcPr>
          <w:p w14:paraId="6AECC68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仪器无读数或波形异常，维护员可以检查仪器设置或电路工作点。</w:t>
            </w:r>
          </w:p>
        </w:tc>
      </w:tr>
    </w:tbl>
    <w:p w14:paraId="5AACAC29">
      <w:pPr>
        <w:keepNext w:val="0"/>
        <w:keepLines w:val="0"/>
        <w:pageBreakBefore w:val="0"/>
        <w:widowControl/>
        <w:numPr>
          <w:ilvl w:val="0"/>
          <w:numId w:val="0"/>
        </w:numPr>
        <w:suppressLineNumbers w:val="0"/>
        <w:kinsoku/>
        <w:wordWrap/>
        <w:overflowPunct/>
        <w:topLinePunct w:val="0"/>
        <w:autoSpaceDE/>
        <w:autoSpaceDN/>
        <w:bidi w:val="0"/>
        <w:adjustRightInd/>
        <w:snapToGrid/>
        <w:spacing w:line="440" w:lineRule="exact"/>
        <w:ind w:leftChars="200"/>
        <w:jc w:val="both"/>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频率调节</w:t>
      </w:r>
    </w:p>
    <w:p w14:paraId="39EEDCE4">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default" w:ascii="Times New Roman" w:hAnsi="Times New Roman" w:eastAsia="宋体" w:cs="Times New Roman"/>
          <w:b w:val="0"/>
          <w:bCs w:val="0"/>
          <w:color w:val="000000"/>
          <w:kern w:val="0"/>
          <w:sz w:val="24"/>
          <w:szCs w:val="24"/>
          <w:lang w:val="en-US" w:eastAsia="zh-CN" w:bidi="ar"/>
        </w:rPr>
      </w:pPr>
      <w:r>
        <w:rPr>
          <w:rFonts w:hint="default" w:ascii="Times New Roman" w:hAnsi="Times New Roman" w:eastAsia="宋体" w:cs="Times New Roman"/>
          <w:b w:val="0"/>
          <w:bCs w:val="0"/>
          <w:color w:val="000000"/>
          <w:kern w:val="0"/>
          <w:sz w:val="24"/>
          <w:szCs w:val="24"/>
          <w:lang w:val="en-US" w:eastAsia="zh-CN" w:bidi="ar"/>
        </w:rPr>
        <w:t>维护员通过更换电阻或电容来改变电路的闪烁频率。频率调节的用例文档，如表2-5 所示。</w:t>
      </w:r>
    </w:p>
    <w:p w14:paraId="0654EB7F">
      <w:pPr>
        <w:keepNext w:val="0"/>
        <w:keepLines w:val="0"/>
        <w:pageBreakBefore w:val="0"/>
        <w:widowControl/>
        <w:suppressLineNumbers w:val="0"/>
        <w:kinsoku/>
        <w:wordWrap/>
        <w:overflowPunct/>
        <w:topLinePunct w:val="0"/>
        <w:autoSpaceDE/>
        <w:autoSpaceDN/>
        <w:bidi w:val="0"/>
        <w:adjustRightInd/>
        <w:snapToGrid/>
        <w:spacing w:line="440" w:lineRule="exact"/>
        <w:ind w:firstLine="420" w:firstLineChars="200"/>
        <w:jc w:val="center"/>
        <w:textAlignment w:val="auto"/>
        <w:rPr>
          <w:rFonts w:hint="default" w:ascii="Times New Roman" w:hAnsi="Times New Roman" w:eastAsia="宋体" w:cs="Times New Roman"/>
          <w:b w:val="0"/>
          <w:bCs w:val="0"/>
          <w:color w:val="000000"/>
          <w:kern w:val="0"/>
          <w:sz w:val="24"/>
          <w:szCs w:val="24"/>
          <w:lang w:val="en-US" w:eastAsia="zh-CN" w:bidi="ar"/>
        </w:rPr>
      </w:pPr>
      <w:r>
        <w:rPr>
          <w:rFonts w:hint="eastAsia" w:ascii="Times New Roman" w:hAnsi="Times New Roman" w:eastAsia="宋体" w:cs="Times New Roman"/>
          <w:b w:val="0"/>
          <w:bCs w:val="0"/>
          <w:color w:val="000000"/>
          <w:kern w:val="0"/>
          <w:sz w:val="21"/>
          <w:szCs w:val="21"/>
          <w:lang w:val="en-US" w:eastAsia="zh-CN" w:bidi="ar"/>
        </w:rPr>
        <w:t>表2-5 频率调节功能用例描述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4"/>
        <w:gridCol w:w="7188"/>
      </w:tblGrid>
      <w:tr w14:paraId="1EE3C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B1A19F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188" w:type="dxa"/>
          </w:tcPr>
          <w:p w14:paraId="2F75049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说明</w:t>
            </w:r>
          </w:p>
        </w:tc>
      </w:tr>
      <w:tr w14:paraId="49693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73E26FFF">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188" w:type="dxa"/>
          </w:tcPr>
          <w:p w14:paraId="37AD589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 xml:space="preserve"> 频率调节</w:t>
            </w:r>
          </w:p>
        </w:tc>
      </w:tr>
      <w:tr w14:paraId="57D08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55D7CA8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188" w:type="dxa"/>
          </w:tcPr>
          <w:p w14:paraId="6DBC740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eastAsia" w:ascii="Calibri" w:hAnsi="Calibri" w:eastAsia="宋体" w:cs="Times New Roman"/>
              </w:rPr>
              <w:t>维护员更换R2/R4或C1/C2以调节闪烁频率</w:t>
            </w:r>
          </w:p>
        </w:tc>
      </w:tr>
      <w:tr w14:paraId="17C1C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D946C3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188" w:type="dxa"/>
          </w:tcPr>
          <w:p w14:paraId="7F2A9CA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维护员</w:t>
            </w:r>
          </w:p>
        </w:tc>
      </w:tr>
      <w:tr w14:paraId="7444A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97B7BE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188" w:type="dxa"/>
          </w:tcPr>
          <w:p w14:paraId="5F3074B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电路断电，工具准备就绪</w:t>
            </w:r>
          </w:p>
        </w:tc>
      </w:tr>
      <w:tr w14:paraId="4FD9B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542E4E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188" w:type="dxa"/>
          </w:tcPr>
          <w:p w14:paraId="49E4FE10">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电路参数改变，闪烁频率变化</w:t>
            </w:r>
          </w:p>
        </w:tc>
      </w:tr>
      <w:tr w14:paraId="1717D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C86ED4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188" w:type="dxa"/>
          </w:tcPr>
          <w:p w14:paraId="2D887E7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①选择要更换的元件（如将C1从10uF换为22uF），发起“调节”请求，用例开始</w:t>
            </w:r>
          </w:p>
          <w:p w14:paraId="23EBC2A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②断电并拆焊旧元件</w:t>
            </w:r>
          </w:p>
          <w:p w14:paraId="42A9CBD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③焊接新元件</w:t>
            </w:r>
          </w:p>
          <w:p w14:paraId="4D9BF5E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④通电验证新频率</w:t>
            </w:r>
          </w:p>
        </w:tc>
      </w:tr>
      <w:tr w14:paraId="79B7B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757F9A9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188" w:type="dxa"/>
          </w:tcPr>
          <w:p w14:paraId="1604E42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更换后电路不起振，维护员需检查新元件值是否合适或焊接是否良好。</w:t>
            </w:r>
          </w:p>
        </w:tc>
      </w:tr>
      <w:tr w14:paraId="18EE7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6C82EB6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包含用例</w:t>
            </w:r>
          </w:p>
        </w:tc>
        <w:tc>
          <w:tcPr>
            <w:tcW w:w="7188" w:type="dxa"/>
          </w:tcPr>
          <w:p w14:paraId="196B0E0A">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包含：元件更换</w:t>
            </w:r>
          </w:p>
        </w:tc>
      </w:tr>
    </w:tbl>
    <w:p w14:paraId="55BE9E95">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center"/>
        <w:textAlignment w:val="auto"/>
        <w:rPr>
          <w:rFonts w:hint="eastAsia" w:ascii="Times New Roman" w:hAnsi="Times New Roman" w:eastAsia="宋体" w:cs="Times New Roman"/>
          <w:b w:val="0"/>
          <w:bCs w:val="0"/>
          <w:color w:val="000000"/>
          <w:kern w:val="0"/>
          <w:sz w:val="24"/>
          <w:szCs w:val="24"/>
          <w:lang w:val="en-US" w:eastAsia="zh-CN" w:bidi="ar"/>
        </w:rPr>
      </w:pPr>
    </w:p>
    <w:p w14:paraId="2968DFFA">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eastAsia" w:ascii="Times New Roman" w:hAnsi="Times New Roman" w:eastAsia="宋体" w:cs="Times New Roman"/>
          <w:b w:val="0"/>
          <w:bCs w:val="0"/>
          <w:color w:val="000000"/>
          <w:kern w:val="0"/>
          <w:sz w:val="24"/>
          <w:szCs w:val="24"/>
          <w:lang w:val="en-US" w:eastAsia="zh-CN" w:bidi="ar"/>
        </w:rPr>
      </w:pPr>
      <w:r>
        <w:rPr>
          <w:rFonts w:hint="eastAsia" w:ascii="Times New Roman" w:hAnsi="Times New Roman" w:eastAsia="宋体" w:cs="Times New Roman"/>
          <w:b w:val="0"/>
          <w:bCs w:val="0"/>
          <w:color w:val="000000"/>
          <w:kern w:val="0"/>
          <w:sz w:val="24"/>
          <w:szCs w:val="24"/>
          <w:lang w:val="en-US" w:eastAsia="zh-CN" w:bidi="ar"/>
        </w:rPr>
        <w:t>（3）故障排查</w:t>
      </w:r>
    </w:p>
    <w:p w14:paraId="756C37BE">
      <w:pPr>
        <w:keepNext w:val="0"/>
        <w:keepLines w:val="0"/>
        <w:pageBreakBefore w:val="0"/>
        <w:widowControl/>
        <w:suppressLineNumbers w:val="0"/>
        <w:kinsoku/>
        <w:wordWrap/>
        <w:overflowPunct/>
        <w:topLinePunct w:val="0"/>
        <w:autoSpaceDE/>
        <w:autoSpaceDN/>
        <w:bidi w:val="0"/>
        <w:adjustRightInd/>
        <w:snapToGrid/>
        <w:spacing w:line="440" w:lineRule="exact"/>
        <w:ind w:firstLine="480" w:firstLineChars="200"/>
        <w:jc w:val="both"/>
        <w:textAlignment w:val="auto"/>
        <w:rPr>
          <w:rFonts w:hint="eastAsia" w:ascii="Times New Roman" w:hAnsi="Times New Roman" w:eastAsia="宋体" w:cs="Times New Roman"/>
          <w:b w:val="0"/>
          <w:bCs w:val="0"/>
          <w:color w:val="000000"/>
          <w:kern w:val="0"/>
          <w:sz w:val="24"/>
          <w:szCs w:val="24"/>
          <w:lang w:val="en-US" w:eastAsia="zh-CN" w:bidi="ar"/>
        </w:rPr>
      </w:pPr>
      <w:r>
        <w:rPr>
          <w:rFonts w:hint="eastAsia" w:ascii="Times New Roman" w:hAnsi="Times New Roman" w:eastAsia="宋体" w:cs="Times New Roman"/>
          <w:b w:val="0"/>
          <w:bCs w:val="0"/>
          <w:color w:val="000000"/>
          <w:kern w:val="0"/>
          <w:sz w:val="24"/>
          <w:szCs w:val="24"/>
          <w:lang w:val="en-US" w:eastAsia="zh-CN" w:bidi="ar"/>
        </w:rPr>
        <w:t>维护员在电路工作异常时，进行系统性检查以定位和修复问题。故障排查相关用例如表 2-6 所示。</w:t>
      </w:r>
    </w:p>
    <w:p w14:paraId="7202C0E6">
      <w:pPr>
        <w:keepNext w:val="0"/>
        <w:keepLines w:val="0"/>
        <w:pageBreakBefore w:val="0"/>
        <w:widowControl/>
        <w:suppressLineNumbers w:val="0"/>
        <w:kinsoku/>
        <w:wordWrap/>
        <w:overflowPunct/>
        <w:topLinePunct w:val="0"/>
        <w:autoSpaceDE/>
        <w:autoSpaceDN/>
        <w:bidi w:val="0"/>
        <w:adjustRightInd/>
        <w:snapToGrid/>
        <w:spacing w:line="440" w:lineRule="exact"/>
        <w:jc w:val="center"/>
        <w:textAlignment w:val="auto"/>
        <w:rPr>
          <w:rFonts w:hint="eastAsia" w:ascii="Times New Roman" w:hAnsi="Times New Roman" w:eastAsia="宋体" w:cs="Times New Roman"/>
          <w:b w:val="0"/>
          <w:bCs w:val="0"/>
          <w:color w:val="000000"/>
          <w:kern w:val="0"/>
          <w:sz w:val="21"/>
          <w:szCs w:val="21"/>
          <w:lang w:val="en-US" w:eastAsia="zh-CN" w:bidi="ar"/>
        </w:rPr>
      </w:pPr>
      <w:r>
        <w:rPr>
          <w:rFonts w:hint="eastAsia" w:ascii="Times New Roman" w:hAnsi="Times New Roman" w:eastAsia="宋体" w:cs="Times New Roman"/>
          <w:b w:val="0"/>
          <w:bCs w:val="0"/>
          <w:color w:val="000000"/>
          <w:kern w:val="0"/>
          <w:sz w:val="21"/>
          <w:szCs w:val="21"/>
          <w:lang w:val="en-US" w:eastAsia="zh-CN" w:bidi="ar"/>
        </w:rPr>
        <w:t>表2-6 故障排查功能用例描述</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4"/>
        <w:gridCol w:w="7188"/>
      </w:tblGrid>
      <w:tr w14:paraId="1798C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7D8C62A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描述项</w:t>
            </w:r>
          </w:p>
        </w:tc>
        <w:tc>
          <w:tcPr>
            <w:tcW w:w="7188" w:type="dxa"/>
          </w:tcPr>
          <w:p w14:paraId="5D52A76F">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说明</w:t>
            </w:r>
          </w:p>
        </w:tc>
      </w:tr>
      <w:tr w14:paraId="52842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63F8B2FE">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用例名称</w:t>
            </w:r>
          </w:p>
        </w:tc>
        <w:tc>
          <w:tcPr>
            <w:tcW w:w="7188" w:type="dxa"/>
          </w:tcPr>
          <w:p w14:paraId="148E2E04">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故障排查</w:t>
            </w:r>
          </w:p>
        </w:tc>
      </w:tr>
      <w:tr w14:paraId="0A0A7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4C4DFF9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用例简述</w:t>
            </w:r>
          </w:p>
        </w:tc>
        <w:tc>
          <w:tcPr>
            <w:tcW w:w="7188" w:type="dxa"/>
          </w:tcPr>
          <w:p w14:paraId="5568AA5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eastAsia" w:ascii="Calibri" w:hAnsi="Calibri" w:eastAsia="宋体" w:cs="Times New Roman"/>
              </w:rPr>
              <w:t>维护员诊断并修复电路故障</w:t>
            </w:r>
          </w:p>
        </w:tc>
      </w:tr>
      <w:tr w14:paraId="165AB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0934197">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行为者</w:t>
            </w:r>
          </w:p>
        </w:tc>
        <w:tc>
          <w:tcPr>
            <w:tcW w:w="7188" w:type="dxa"/>
          </w:tcPr>
          <w:p w14:paraId="6CE4351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维护员</w:t>
            </w:r>
          </w:p>
        </w:tc>
      </w:tr>
      <w:tr w14:paraId="1EFF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55C8947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前置条件</w:t>
            </w:r>
          </w:p>
        </w:tc>
        <w:tc>
          <w:tcPr>
            <w:tcW w:w="7188" w:type="dxa"/>
          </w:tcPr>
          <w:p w14:paraId="2AFDB2A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电路工作异常（如LED不闪、常亮）</w:t>
            </w:r>
          </w:p>
        </w:tc>
      </w:tr>
      <w:tr w14:paraId="3767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626E7B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后置条件</w:t>
            </w:r>
          </w:p>
        </w:tc>
        <w:tc>
          <w:tcPr>
            <w:tcW w:w="7188" w:type="dxa"/>
          </w:tcPr>
          <w:p w14:paraId="1DE14F1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故障被定位并修复，电路恢复正常</w:t>
            </w:r>
          </w:p>
        </w:tc>
      </w:tr>
      <w:tr w14:paraId="124FD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3CDEEC83">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基本事件流</w:t>
            </w:r>
          </w:p>
        </w:tc>
        <w:tc>
          <w:tcPr>
            <w:tcW w:w="7188" w:type="dxa"/>
          </w:tcPr>
          <w:p w14:paraId="4A8C1D5F">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①通过观察和测量缩小故障范围（如电源、某个三极管支路），用例开始</w:t>
            </w:r>
          </w:p>
          <w:p w14:paraId="62A5D222">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②检查可疑元件的连接、值、好坏</w:t>
            </w:r>
          </w:p>
          <w:p w14:paraId="25D01F2B">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③更换损坏元件</w:t>
            </w:r>
          </w:p>
          <w:p w14:paraId="3499AC76">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④通电测试修复结果</w:t>
            </w:r>
          </w:p>
        </w:tc>
      </w:tr>
      <w:tr w14:paraId="37F89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2EBECF9C">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异常事件流</w:t>
            </w:r>
          </w:p>
        </w:tc>
        <w:tc>
          <w:tcPr>
            <w:tcW w:w="7188" w:type="dxa"/>
          </w:tcPr>
          <w:p w14:paraId="6D48C10D">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故障复杂难以定位，维护员可以查阅资料或寻求更专业帮助。</w:t>
            </w:r>
          </w:p>
        </w:tc>
      </w:tr>
      <w:tr w14:paraId="274C5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4" w:type="dxa"/>
          </w:tcPr>
          <w:p w14:paraId="4B474FA1">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备选事件流</w:t>
            </w:r>
          </w:p>
        </w:tc>
        <w:tc>
          <w:tcPr>
            <w:tcW w:w="7188" w:type="dxa"/>
          </w:tcPr>
          <w:p w14:paraId="1DD8A728">
            <w:pPr>
              <w:keepNext w:val="0"/>
              <w:keepLines w:val="0"/>
              <w:pageBreakBefore w:val="0"/>
              <w:widowControl/>
              <w:suppressLineNumbers w:val="0"/>
              <w:kinsoku/>
              <w:wordWrap/>
              <w:overflowPunct/>
              <w:topLinePunct w:val="0"/>
              <w:autoSpaceDE/>
              <w:autoSpaceDN/>
              <w:bidi w:val="0"/>
              <w:adjustRightInd/>
              <w:snapToGrid/>
              <w:spacing w:line="440" w:lineRule="exact"/>
              <w:ind w:firstLine="0" w:firstLineChars="0"/>
              <w:jc w:val="left"/>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故障为虚焊，重新焊接。</w:t>
            </w:r>
          </w:p>
        </w:tc>
      </w:tr>
    </w:tbl>
    <w:p w14:paraId="561AEE4F">
      <w:pPr>
        <w:keepNext/>
        <w:keepLines/>
        <w:pageBreakBefore w:val="0"/>
        <w:widowControl w:val="0"/>
        <w:kinsoku/>
        <w:wordWrap/>
        <w:overflowPunct/>
        <w:topLinePunct w:val="0"/>
        <w:autoSpaceDE/>
        <w:autoSpaceDN/>
        <w:bidi w:val="0"/>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35" w:name="_Toc18637"/>
      <w:bookmarkStart w:id="1836" w:name="_Toc13981"/>
      <w:r>
        <w:rPr>
          <w:rFonts w:hint="default" w:ascii="Times New Roman" w:hAnsi="Times New Roman" w:eastAsia="宋体" w:cs="Times New Roman"/>
          <w:b/>
          <w:bCs/>
          <w:kern w:val="44"/>
          <w:sz w:val="28"/>
          <w:szCs w:val="44"/>
          <w:lang w:val="en-US" w:eastAsia="zh-CN" w:bidi="ar-SA"/>
        </w:rPr>
        <w:t>3系统</w:t>
      </w:r>
      <w:r>
        <w:rPr>
          <w:rFonts w:hint="eastAsia" w:ascii="Times New Roman" w:hAnsi="Times New Roman" w:eastAsia="宋体" w:cs="Times New Roman"/>
          <w:b/>
          <w:bCs/>
          <w:kern w:val="44"/>
          <w:sz w:val="28"/>
          <w:szCs w:val="44"/>
          <w:lang w:val="en-US" w:eastAsia="zh-CN" w:bidi="ar-SA"/>
        </w:rPr>
        <w:t>设计</w:t>
      </w:r>
      <w:bookmarkEnd w:id="1835"/>
      <w:bookmarkEnd w:id="1836"/>
    </w:p>
    <w:p w14:paraId="1D47788C">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37" w:name="_Toc23683"/>
      <w:r>
        <w:rPr>
          <w:rFonts w:hint="default" w:ascii="Times New Roman" w:hAnsi="Times New Roman" w:eastAsia="宋体" w:cs="Times New Roman"/>
          <w:bCs/>
          <w:kern w:val="2"/>
          <w:sz w:val="24"/>
          <w:szCs w:val="32"/>
          <w:lang w:val="en-US" w:eastAsia="zh-CN" w:bidi="ar-SA"/>
        </w:rPr>
        <w:t>3.1 系统架构</w:t>
      </w:r>
      <w:bookmarkEnd w:id="1837"/>
    </w:p>
    <w:p w14:paraId="6F8364E4">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38" w:name="_Toc4084"/>
      <w:r>
        <w:rPr>
          <w:rFonts w:hint="default" w:ascii="Times New Roman" w:hAnsi="Times New Roman" w:eastAsia="宋体" w:cs="Times New Roman"/>
          <w:kern w:val="2"/>
          <w:sz w:val="24"/>
          <w:szCs w:val="24"/>
          <w:lang w:val="en-US" w:eastAsia="zh-CN" w:bidi="ar-SA"/>
        </w:rPr>
        <w:t>3.1.1 电路拓扑结构</w:t>
      </w:r>
      <w:bookmarkEnd w:id="1838"/>
    </w:p>
    <w:p w14:paraId="22D11ACB">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本闪光电路采用经典的双晶体管集基耦合无稳态多谐振荡器拓扑</w:t>
      </w:r>
      <w:r>
        <w:rPr>
          <w:rFonts w:hint="eastAsia" w:ascii="Times New Roman" w:hAnsi="Times New Roman" w:eastAsia="宋体" w:cs="Times New Roman"/>
          <w:sz w:val="24"/>
          <w:vertAlign w:val="superscript"/>
          <w:lang w:val="en-US" w:eastAsia="zh-CN"/>
        </w:rPr>
        <w:t>[3]</w:t>
      </w:r>
      <w:r>
        <w:rPr>
          <w:rFonts w:hint="default" w:ascii="Times New Roman" w:hAnsi="Times New Roman" w:eastAsia="宋体" w:cs="Times New Roman"/>
          <w:sz w:val="24"/>
        </w:rPr>
        <w:t>。其核心是利用两级共发射极放大电路通过电容（C1, C2）交叉耦合，构成正反馈环路。每个三极管（Q1, Q2）的集电极通过一个限流电阻（R1, R3）连接LED（D1, D2）到电源，同时通过一个定时电阻（R2, R4）和耦合电容（C2, C1）连接到另一个三极管的基极。这种对称结构使得两个三极管无法同时保持导通或截止，从而被迫进入交替开关的振荡状态</w:t>
      </w:r>
      <w:r>
        <w:rPr>
          <w:rFonts w:hint="eastAsia" w:ascii="Times New Roman" w:hAnsi="Times New Roman" w:eastAsia="宋体" w:cs="Times New Roman"/>
          <w:sz w:val="24"/>
          <w:vertAlign w:val="superscript"/>
          <w:lang w:val="en-US" w:eastAsia="zh-CN"/>
        </w:rPr>
        <w:t>[10]</w:t>
      </w:r>
      <w:r>
        <w:rPr>
          <w:rFonts w:hint="default" w:ascii="Times New Roman" w:hAnsi="Times New Roman" w:eastAsia="宋体" w:cs="Times New Roman"/>
          <w:sz w:val="24"/>
        </w:rPr>
        <w:t>。</w:t>
      </w:r>
    </w:p>
    <w:p w14:paraId="0ADC3BFE">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39" w:name="_Toc24542"/>
      <w:r>
        <w:rPr>
          <w:rFonts w:hint="default" w:ascii="Times New Roman" w:hAnsi="Times New Roman" w:eastAsia="宋体" w:cs="Times New Roman"/>
          <w:kern w:val="2"/>
          <w:sz w:val="24"/>
          <w:szCs w:val="24"/>
          <w:lang w:val="en-US" w:eastAsia="zh-CN" w:bidi="ar-SA"/>
        </w:rPr>
        <w:t>3.1.2 模块化设计框架</w:t>
      </w:r>
      <w:bookmarkEnd w:id="1839"/>
    </w:p>
    <w:p w14:paraId="664D9972">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本电路虽然简单，但其设计体现了清晰的模块化思想，便于理解和分析：</w:t>
      </w:r>
    </w:p>
    <w:p w14:paraId="5A823CED">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1）电源模块：提供稳定的直流工作电压（VCC）。本设计为简化，直接使用电池或直流电源适配器，未包含复杂的稳压电路。</w:t>
      </w:r>
    </w:p>
    <w:p w14:paraId="2C6A6C94">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2）振荡核心模块：由Q1、Q2、R2、R4、C1、C2组成。负责产生自激振荡，控制两个支路的交替导通时序。这是整个系统的“大脑”。</w:t>
      </w:r>
    </w:p>
    <w:p w14:paraId="18B4B9B1">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3）负载指示模块：由R1、D1和R3、D2组成。作为振荡核心的负载，同时将电信号转换为可见光信号，是系统的“执行机构”和“状态显示器”。</w:t>
      </w:r>
    </w:p>
    <w:p w14:paraId="7D7A908A">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 w:val="24"/>
        </w:rPr>
        <w:t>4）偏置与保护模块：隐含在振荡核心中，电阻R2、R4除了作为定时电阻，也起到限制基极电流、保护三极管的作用</w:t>
      </w:r>
      <w:r>
        <w:rPr>
          <w:rFonts w:hint="eastAsia" w:ascii="Times New Roman" w:hAnsi="Times New Roman" w:eastAsia="宋体" w:cs="Times New Roman"/>
          <w:sz w:val="24"/>
          <w:vertAlign w:val="superscript"/>
          <w:lang w:val="en-US" w:eastAsia="zh-CN"/>
        </w:rPr>
        <w:t>[5]</w:t>
      </w:r>
      <w:r>
        <w:rPr>
          <w:rFonts w:hint="default" w:ascii="Times New Roman" w:hAnsi="Times New Roman" w:eastAsia="宋体" w:cs="Times New Roman"/>
          <w:sz w:val="24"/>
        </w:rPr>
        <w:t>。</w:t>
      </w:r>
    </w:p>
    <w:p w14:paraId="3A29BAC8">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40" w:name="_Toc20346"/>
      <w:bookmarkStart w:id="1841" w:name="_Toc16630"/>
      <w:r>
        <w:rPr>
          <w:rFonts w:hint="default" w:ascii="Times New Roman" w:hAnsi="Times New Roman" w:eastAsia="宋体" w:cs="Times New Roman"/>
          <w:bCs/>
          <w:kern w:val="2"/>
          <w:sz w:val="24"/>
          <w:szCs w:val="32"/>
          <w:lang w:val="en-US" w:eastAsia="zh-CN" w:bidi="ar-SA"/>
        </w:rPr>
        <w:t>3</w:t>
      </w:r>
      <w:r>
        <w:rPr>
          <w:rFonts w:hint="eastAsia" w:ascii="Times New Roman" w:hAnsi="Times New Roman" w:eastAsia="宋体" w:cs="Times New Roman"/>
          <w:bCs/>
          <w:kern w:val="2"/>
          <w:sz w:val="24"/>
          <w:szCs w:val="32"/>
          <w:lang w:val="en-US" w:eastAsia="zh-CN" w:bidi="ar-SA"/>
        </w:rPr>
        <w:t>.2 功能模块</w:t>
      </w:r>
      <w:bookmarkEnd w:id="1840"/>
      <w:bookmarkEnd w:id="1841"/>
    </w:p>
    <w:p w14:paraId="17C288C3">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系统用户分为两种，分别是操作员和维护员。操作员需要按照指导完成电路搭建并成功看到闪烁现象，可以通过更换元件体验参数的影响，并测量关键点电压。最重要的是可以通过观察和测量理解多谐振荡器的工作原理</w:t>
      </w:r>
      <w:r>
        <w:rPr>
          <w:rFonts w:hint="eastAsia" w:ascii="Times New Roman" w:hAnsi="Times New Roman" w:eastAsia="宋体" w:cs="Times New Roman"/>
          <w:sz w:val="24"/>
          <w:vertAlign w:val="superscript"/>
          <w:lang w:val="en-US" w:eastAsia="zh-CN"/>
        </w:rPr>
        <w:t>[9]</w:t>
      </w:r>
      <w:r>
        <w:rPr>
          <w:rFonts w:hint="default" w:ascii="Times New Roman" w:hAnsi="Times New Roman" w:eastAsia="宋体" w:cs="Times New Roman"/>
          <w:sz w:val="24"/>
        </w:rPr>
        <w:t>。维护员需要诊断问题，进行元件更换、参数调整以及性能优化等。</w:t>
      </w:r>
    </w:p>
    <w:p w14:paraId="234A8110">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42" w:name="_Toc20427"/>
      <w:bookmarkStart w:id="1843" w:name="_Toc6496"/>
      <w:r>
        <w:rPr>
          <w:rFonts w:hint="eastAsia" w:ascii="Times New Roman" w:hAnsi="Times New Roman" w:eastAsia="宋体" w:cs="Times New Roman"/>
          <w:bCs/>
          <w:kern w:val="2"/>
          <w:sz w:val="24"/>
          <w:szCs w:val="32"/>
          <w:lang w:val="en-US" w:eastAsia="zh-CN" w:bidi="ar-SA"/>
        </w:rPr>
        <w:t>3.3</w:t>
      </w:r>
      <w:r>
        <w:rPr>
          <w:rFonts w:hint="default" w:ascii="Times New Roman" w:hAnsi="Times New Roman" w:eastAsia="宋体" w:cs="Times New Roman"/>
          <w:bCs/>
          <w:kern w:val="2"/>
          <w:sz w:val="24"/>
          <w:szCs w:val="32"/>
          <w:lang w:val="en-US" w:eastAsia="zh-CN" w:bidi="ar-SA"/>
        </w:rPr>
        <w:t xml:space="preserve"> 系统原理图与元件布局图</w:t>
      </w:r>
      <w:bookmarkEnd w:id="1842"/>
      <w:bookmarkEnd w:id="1843"/>
    </w:p>
    <w:p w14:paraId="6FBE0712">
      <w:pPr>
        <w:pageBreakBefore w:val="0"/>
        <w:kinsoku/>
        <w:wordWrap/>
        <w:overflowPunct/>
        <w:topLinePunct w:val="0"/>
        <w:autoSpaceDE/>
        <w:autoSpaceDN/>
        <w:bidi w:val="0"/>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电路原理图是设计思想的图形化表达，它使用标准的符号表示元件及其电气连接关系，是分析和搭建电路的唯一权威依据。元件布局图则反映了元件在电路板上的物理位置和走线，是焊接操作的直接指导。</w:t>
      </w:r>
    </w:p>
    <w:p w14:paraId="4EB72080">
      <w:pPr>
        <w:pageBreakBefore w:val="0"/>
        <w:kinsoku/>
        <w:wordWrap/>
        <w:overflowPunct/>
        <w:topLinePunct w:val="0"/>
        <w:autoSpaceDE/>
        <w:autoSpaceDN/>
        <w:bidi w:val="0"/>
        <w:spacing w:line="440" w:lineRule="exact"/>
        <w:ind w:firstLine="480" w:firstLineChars="200"/>
        <w:textAlignment w:val="auto"/>
        <w:rPr>
          <w:rFonts w:hint="eastAsia" w:ascii="Times New Roman" w:hAnsi="Times New Roman" w:eastAsia="宋体" w:cs="Times New Roman"/>
          <w:sz w:val="24"/>
          <w:lang w:eastAsia="zh-CN"/>
        </w:rPr>
      </w:pPr>
      <w:r>
        <w:rPr>
          <w:rFonts w:hint="default" w:ascii="Times New Roman" w:hAnsi="Times New Roman" w:eastAsia="宋体" w:cs="Times New Roman"/>
          <w:sz w:val="24"/>
        </w:rPr>
        <w:t>本系统完整电路原理图如图3-2所示，元件布局图如图3-3所示。原理图清晰地展示了所有元件的连接关系，而布局图则为实际制作提供了直观参考。</w:t>
      </w:r>
    </w:p>
    <w:p w14:paraId="303788E2">
      <w:pPr>
        <w:pageBreakBefore w:val="0"/>
        <w:kinsoku/>
        <w:wordWrap/>
        <w:overflowPunct/>
        <w:topLinePunct w:val="0"/>
        <w:autoSpaceDE/>
        <w:autoSpaceDN/>
        <w:bidi w:val="0"/>
        <w:spacing w:line="440" w:lineRule="exact"/>
        <w:ind w:firstLine="480" w:firstLineChars="200"/>
        <w:jc w:val="center"/>
        <w:textAlignment w:val="auto"/>
        <w:rPr>
          <w:rFonts w:hint="default" w:ascii="Times New Roman" w:hAnsi="Times New Roman" w:eastAsia="宋体" w:cs="Times New Roman"/>
          <w:szCs w:val="21"/>
        </w:rPr>
      </w:pPr>
      <w:r>
        <w:rPr>
          <w:rFonts w:hint="eastAsia" w:ascii="Times New Roman" w:hAnsi="Times New Roman" w:eastAsia="宋体" w:cs="Times New Roman"/>
          <w:sz w:val="24"/>
          <w:lang w:eastAsia="zh-CN"/>
        </w:rPr>
        <w:drawing>
          <wp:anchor distT="0" distB="0" distL="114300" distR="114300" simplePos="0" relativeHeight="251924480" behindDoc="0" locked="0" layoutInCell="1" allowOverlap="1">
            <wp:simplePos x="0" y="0"/>
            <wp:positionH relativeFrom="column">
              <wp:posOffset>743585</wp:posOffset>
            </wp:positionH>
            <wp:positionV relativeFrom="paragraph">
              <wp:posOffset>229870</wp:posOffset>
            </wp:positionV>
            <wp:extent cx="4116070" cy="2543810"/>
            <wp:effectExtent l="0" t="0" r="17780" b="8890"/>
            <wp:wrapTopAndBottom/>
            <wp:docPr id="715" name="图片 715" descr="屏幕截图 2025-12-22 090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715" descr="屏幕截图 2025-12-22 090922"/>
                    <pic:cNvPicPr>
                      <a:picLocks noChangeAspect="1"/>
                    </pic:cNvPicPr>
                  </pic:nvPicPr>
                  <pic:blipFill>
                    <a:blip r:embed="rId502"/>
                    <a:stretch>
                      <a:fillRect/>
                    </a:stretch>
                  </pic:blipFill>
                  <pic:spPr>
                    <a:xfrm>
                      <a:off x="0" y="0"/>
                      <a:ext cx="4116070" cy="2543810"/>
                    </a:xfrm>
                    <a:prstGeom prst="rect">
                      <a:avLst/>
                    </a:prstGeom>
                  </pic:spPr>
                </pic:pic>
              </a:graphicData>
            </a:graphic>
          </wp:anchor>
        </w:drawing>
      </w:r>
      <w:r>
        <w:rPr>
          <w:rFonts w:hint="default" w:ascii="Times New Roman" w:hAnsi="Times New Roman" w:eastAsia="宋体" w:cs="Times New Roman"/>
          <w:szCs w:val="21"/>
        </w:rPr>
        <w:t>图</w:t>
      </w:r>
      <w:r>
        <w:rPr>
          <w:rFonts w:hint="eastAsia" w:ascii="Times New Roman" w:hAnsi="Times New Roman" w:eastAsia="宋体" w:cs="Times New Roman"/>
          <w:szCs w:val="21"/>
          <w:lang w:val="en-US" w:eastAsia="zh-CN"/>
        </w:rPr>
        <w:t>3-1</w:t>
      </w:r>
      <w:r>
        <w:rPr>
          <w:rFonts w:hint="default" w:ascii="Times New Roman" w:hAnsi="Times New Roman" w:eastAsia="宋体" w:cs="Times New Roman"/>
          <w:szCs w:val="21"/>
        </w:rPr>
        <w:t xml:space="preserve"> </w:t>
      </w:r>
      <w:r>
        <w:rPr>
          <w:rFonts w:hint="eastAsia" w:ascii="Times New Roman" w:hAnsi="Times New Roman" w:eastAsia="宋体" w:cs="Times New Roman"/>
          <w:szCs w:val="21"/>
          <w:lang w:val="en-US" w:eastAsia="zh-CN"/>
        </w:rPr>
        <w:t>简易闪光电路原理</w:t>
      </w:r>
      <w:r>
        <w:rPr>
          <w:rFonts w:hint="default" w:ascii="Times New Roman" w:hAnsi="Times New Roman" w:eastAsia="宋体" w:cs="Times New Roman"/>
          <w:szCs w:val="21"/>
        </w:rPr>
        <w:t>图</w:t>
      </w:r>
    </w:p>
    <w:p w14:paraId="659D8A20">
      <w:pPr>
        <w:pageBreakBefore w:val="0"/>
        <w:kinsoku/>
        <w:wordWrap/>
        <w:overflowPunct/>
        <w:topLinePunct w:val="0"/>
        <w:autoSpaceDE/>
        <w:autoSpaceDN/>
        <w:bidi w:val="0"/>
        <w:spacing w:line="440" w:lineRule="exact"/>
        <w:ind w:firstLine="420" w:firstLineChars="200"/>
        <w:jc w:val="both"/>
        <w:textAlignment w:val="auto"/>
        <w:rPr>
          <w:rFonts w:hint="default" w:ascii="Times New Roman" w:hAnsi="Times New Roman" w:eastAsia="宋体" w:cs="Times New Roman"/>
          <w:szCs w:val="21"/>
        </w:rPr>
      </w:pPr>
    </w:p>
    <w:p w14:paraId="0FE834B5">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eastAsia" w:ascii="Times New Roman" w:hAnsi="Times New Roman" w:eastAsia="宋体" w:cs="Times New Roman"/>
          <w:bCs/>
          <w:kern w:val="2"/>
          <w:sz w:val="24"/>
          <w:szCs w:val="32"/>
          <w:lang w:val="en-US" w:eastAsia="zh-CN" w:bidi="ar-SA"/>
        </w:rPr>
      </w:pPr>
      <w:bookmarkStart w:id="1844" w:name="_Toc23005"/>
      <w:bookmarkStart w:id="1845" w:name="_Toc9800"/>
      <w:r>
        <w:rPr>
          <w:rFonts w:hint="default" w:ascii="Times New Roman" w:hAnsi="Times New Roman" w:eastAsia="宋体" w:cs="Times New Roman"/>
          <w:bCs/>
          <w:kern w:val="2"/>
          <w:sz w:val="24"/>
          <w:szCs w:val="32"/>
          <w:lang w:val="en-US" w:eastAsia="zh-CN" w:bidi="ar-SA"/>
        </w:rPr>
        <w:t>3.</w:t>
      </w:r>
      <w:r>
        <w:rPr>
          <w:rFonts w:hint="eastAsia" w:ascii="Times New Roman" w:hAnsi="Times New Roman" w:eastAsia="宋体" w:cs="Times New Roman"/>
          <w:bCs/>
          <w:kern w:val="2"/>
          <w:sz w:val="24"/>
          <w:szCs w:val="32"/>
          <w:lang w:val="en-US" w:eastAsia="zh-CN" w:bidi="ar-SA"/>
        </w:rPr>
        <w:t>4 系统元件清单</w:t>
      </w:r>
      <w:bookmarkEnd w:id="1844"/>
      <w:bookmarkEnd w:id="1845"/>
    </w:p>
    <w:p w14:paraId="5D11B477">
      <w:pPr>
        <w:keepNext w:val="0"/>
        <w:keepLines w:val="0"/>
        <w:pageBreakBefore w:val="0"/>
        <w:kinsoku/>
        <w:wordWrap/>
        <w:overflowPunct/>
        <w:topLinePunct w:val="0"/>
        <w:autoSpaceDE/>
        <w:autoSpaceDN/>
        <w:bidi w:val="0"/>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系统的运行十分依赖于与数据库的交互，所以数据库的建立必须是整洁有条理而且规范的。而系统所运用到的协同过滤也是以相当规模的数据集为基础，包括后期的推荐结果测试也同样是需要反复与数据库进行交互。</w:t>
      </w:r>
    </w:p>
    <w:p w14:paraId="7C1469A8">
      <w:pPr>
        <w:keepNext w:val="0"/>
        <w:keepLines w:val="0"/>
        <w:pageBreakBefore w:val="0"/>
        <w:kinsoku/>
        <w:wordWrap/>
        <w:overflowPunct/>
        <w:topLinePunct w:val="0"/>
        <w:autoSpaceDE/>
        <w:autoSpaceDN/>
        <w:bidi w:val="0"/>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核心元件清单表</w:t>
      </w:r>
      <w:r>
        <w:rPr>
          <w:rFonts w:hint="eastAsia" w:ascii="宋体" w:hAnsi="宋体" w:eastAsia="宋体" w:cs="宋体"/>
          <w:sz w:val="24"/>
          <w:szCs w:val="24"/>
        </w:rPr>
        <w:t>如表</w:t>
      </w:r>
      <w:r>
        <w:rPr>
          <w:rFonts w:hint="eastAsia" w:ascii="宋体" w:hAnsi="宋体" w:eastAsia="宋体" w:cs="宋体"/>
          <w:sz w:val="24"/>
          <w:szCs w:val="24"/>
          <w:lang w:val="en-US" w:eastAsia="zh-CN"/>
        </w:rPr>
        <w:t>3</w:t>
      </w:r>
      <w:r>
        <w:rPr>
          <w:rFonts w:hint="eastAsia" w:ascii="宋体" w:hAnsi="宋体" w:eastAsia="宋体" w:cs="宋体"/>
          <w:sz w:val="24"/>
          <w:szCs w:val="24"/>
        </w:rPr>
        <w:t>-1所示。</w:t>
      </w:r>
    </w:p>
    <w:p w14:paraId="7245D393">
      <w:pPr>
        <w:keepNext w:val="0"/>
        <w:keepLines w:val="0"/>
        <w:pageBreakBefore w:val="0"/>
        <w:widowControl w:val="0"/>
        <w:kinsoku/>
        <w:wordWrap/>
        <w:overflowPunct/>
        <w:topLinePunct w:val="0"/>
        <w:autoSpaceDE/>
        <w:autoSpaceDN/>
        <w:bidi w:val="0"/>
        <w:adjustRightInd/>
        <w:snapToGrid/>
        <w:spacing w:line="440" w:lineRule="exact"/>
        <w:ind w:firstLine="0" w:firstLineChars="0"/>
        <w:jc w:val="center"/>
        <w:textAlignment w:val="auto"/>
        <w:rPr>
          <w:rFonts w:hint="eastAsia" w:ascii="宋体" w:hAnsi="宋体" w:eastAsia="宋体" w:cs="宋体"/>
          <w:sz w:val="21"/>
          <w:szCs w:val="21"/>
        </w:rPr>
      </w:pPr>
      <w:r>
        <w:rPr>
          <w:rFonts w:hint="eastAsia" w:ascii="宋体" w:hAnsi="宋体" w:eastAsia="宋体" w:cs="宋体"/>
          <w:sz w:val="21"/>
          <w:szCs w:val="21"/>
        </w:rPr>
        <w:t>表</w:t>
      </w:r>
      <w:r>
        <w:rPr>
          <w:rFonts w:hint="eastAsia" w:ascii="宋体" w:hAnsi="宋体" w:eastAsia="宋体" w:cs="宋体"/>
          <w:sz w:val="21"/>
          <w:szCs w:val="21"/>
          <w:lang w:val="en-US" w:eastAsia="zh-CN"/>
        </w:rPr>
        <w:t>3</w:t>
      </w:r>
      <w:r>
        <w:rPr>
          <w:rFonts w:hint="eastAsia" w:ascii="宋体" w:hAnsi="宋体" w:eastAsia="宋体" w:cs="宋体"/>
          <w:sz w:val="21"/>
          <w:szCs w:val="21"/>
        </w:rPr>
        <w:t>-1核心元件清单</w:t>
      </w:r>
    </w:p>
    <w:tbl>
      <w:tblPr>
        <w:tblStyle w:val="36"/>
        <w:tblW w:w="85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7"/>
        <w:gridCol w:w="2460"/>
        <w:gridCol w:w="790"/>
        <w:gridCol w:w="3700"/>
      </w:tblGrid>
      <w:tr w14:paraId="74668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4CDB0166">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元件标号</w:t>
            </w:r>
          </w:p>
        </w:tc>
        <w:tc>
          <w:tcPr>
            <w:tcW w:w="2460" w:type="dxa"/>
          </w:tcPr>
          <w:p w14:paraId="623F9CBF">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元件名称/型号</w:t>
            </w:r>
          </w:p>
        </w:tc>
        <w:tc>
          <w:tcPr>
            <w:tcW w:w="790" w:type="dxa"/>
          </w:tcPr>
          <w:p w14:paraId="085C8CAE">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数量</w:t>
            </w:r>
          </w:p>
        </w:tc>
        <w:tc>
          <w:tcPr>
            <w:tcW w:w="3700" w:type="dxa"/>
          </w:tcPr>
          <w:p w14:paraId="0540FBE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关键参数/说明</w:t>
            </w:r>
          </w:p>
        </w:tc>
      </w:tr>
      <w:tr w14:paraId="06927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558C3FA3">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Q1, Q2</w:t>
            </w:r>
          </w:p>
        </w:tc>
        <w:tc>
          <w:tcPr>
            <w:tcW w:w="2460" w:type="dxa"/>
          </w:tcPr>
          <w:p w14:paraId="482A3563">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三极管</w:t>
            </w:r>
          </w:p>
        </w:tc>
        <w:tc>
          <w:tcPr>
            <w:tcW w:w="790" w:type="dxa"/>
          </w:tcPr>
          <w:p w14:paraId="21280BA4">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2</w:t>
            </w:r>
          </w:p>
        </w:tc>
        <w:tc>
          <w:tcPr>
            <w:tcW w:w="3700" w:type="dxa"/>
          </w:tcPr>
          <w:p w14:paraId="2D313FF5">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NPN型，如9013, 2N3904</w:t>
            </w:r>
          </w:p>
        </w:tc>
      </w:tr>
      <w:tr w14:paraId="7D91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3370DD8F">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D1, D2</w:t>
            </w:r>
          </w:p>
        </w:tc>
        <w:tc>
          <w:tcPr>
            <w:tcW w:w="2460" w:type="dxa"/>
          </w:tcPr>
          <w:p w14:paraId="79213E80">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发光二极管(LED)</w:t>
            </w:r>
          </w:p>
        </w:tc>
        <w:tc>
          <w:tcPr>
            <w:tcW w:w="790" w:type="dxa"/>
          </w:tcPr>
          <w:p w14:paraId="2375B3F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2</w:t>
            </w:r>
          </w:p>
        </w:tc>
        <w:tc>
          <w:tcPr>
            <w:tcW w:w="3700" w:type="dxa"/>
          </w:tcPr>
          <w:p w14:paraId="7C728FB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颜色任选，如红、绿</w:t>
            </w:r>
          </w:p>
        </w:tc>
      </w:tr>
      <w:tr w14:paraId="5F9D5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51FD18C8">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R1, R3</w:t>
            </w:r>
          </w:p>
        </w:tc>
        <w:tc>
          <w:tcPr>
            <w:tcW w:w="2460" w:type="dxa"/>
          </w:tcPr>
          <w:p w14:paraId="4D29AABF">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电阻</w:t>
            </w:r>
          </w:p>
        </w:tc>
        <w:tc>
          <w:tcPr>
            <w:tcW w:w="790" w:type="dxa"/>
          </w:tcPr>
          <w:p w14:paraId="022326B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2</w:t>
            </w:r>
          </w:p>
        </w:tc>
        <w:tc>
          <w:tcPr>
            <w:tcW w:w="3700" w:type="dxa"/>
          </w:tcPr>
          <w:p w14:paraId="5D43517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阻值计算确定，如470Ω</w:t>
            </w:r>
          </w:p>
        </w:tc>
      </w:tr>
      <w:tr w14:paraId="0E511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59393987">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R2, R4</w:t>
            </w:r>
          </w:p>
        </w:tc>
        <w:tc>
          <w:tcPr>
            <w:tcW w:w="2460" w:type="dxa"/>
          </w:tcPr>
          <w:p w14:paraId="1DE145D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电阻</w:t>
            </w:r>
          </w:p>
        </w:tc>
        <w:tc>
          <w:tcPr>
            <w:tcW w:w="790" w:type="dxa"/>
          </w:tcPr>
          <w:p w14:paraId="2B780C6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2</w:t>
            </w:r>
          </w:p>
        </w:tc>
        <w:tc>
          <w:tcPr>
            <w:tcW w:w="3700" w:type="dxa"/>
          </w:tcPr>
          <w:p w14:paraId="020711B8">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阻值决定频率，如10kΩ</w:t>
            </w:r>
          </w:p>
        </w:tc>
      </w:tr>
      <w:tr w14:paraId="019CD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586752C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C1, C2</w:t>
            </w:r>
          </w:p>
        </w:tc>
        <w:tc>
          <w:tcPr>
            <w:tcW w:w="2460" w:type="dxa"/>
          </w:tcPr>
          <w:p w14:paraId="5A66E2C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电解电容</w:t>
            </w:r>
          </w:p>
        </w:tc>
        <w:tc>
          <w:tcPr>
            <w:tcW w:w="790" w:type="dxa"/>
          </w:tcPr>
          <w:p w14:paraId="639AEC9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2</w:t>
            </w:r>
          </w:p>
        </w:tc>
        <w:tc>
          <w:tcPr>
            <w:tcW w:w="3700" w:type="dxa"/>
          </w:tcPr>
          <w:p w14:paraId="08DCB87E">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阻值决定频率，如10kΩ</w:t>
            </w:r>
          </w:p>
        </w:tc>
      </w:tr>
      <w:tr w14:paraId="20497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70791A76">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VCC</w:t>
            </w:r>
          </w:p>
        </w:tc>
        <w:tc>
          <w:tcPr>
            <w:tcW w:w="2460" w:type="dxa"/>
          </w:tcPr>
          <w:p w14:paraId="4437B68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 xml:space="preserve"> 直流电源</w:t>
            </w:r>
          </w:p>
        </w:tc>
        <w:tc>
          <w:tcPr>
            <w:tcW w:w="790" w:type="dxa"/>
          </w:tcPr>
          <w:p w14:paraId="6D96C93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lang w:val="en-US" w:eastAsia="zh-CN"/>
              </w:rPr>
            </w:pPr>
            <w:r>
              <w:rPr>
                <w:rFonts w:hint="eastAsia" w:ascii="宋体" w:hAnsi="宋体" w:eastAsia="宋体" w:cs="宋体"/>
                <w:color w:val="000000"/>
                <w:kern w:val="0"/>
                <w:sz w:val="24"/>
                <w:szCs w:val="24"/>
                <w:vertAlign w:val="baseline"/>
                <w:lang w:val="en-US" w:eastAsia="zh-CN"/>
              </w:rPr>
              <w:t>1</w:t>
            </w:r>
          </w:p>
        </w:tc>
        <w:tc>
          <w:tcPr>
            <w:tcW w:w="3700" w:type="dxa"/>
          </w:tcPr>
          <w:p w14:paraId="40B25F4A">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vertAlign w:val="baseline"/>
              </w:rPr>
            </w:pPr>
            <w:r>
              <w:rPr>
                <w:rFonts w:hint="eastAsia" w:ascii="宋体" w:hAnsi="宋体" w:eastAsia="宋体" w:cs="宋体"/>
                <w:color w:val="000000"/>
                <w:kern w:val="0"/>
                <w:sz w:val="24"/>
                <w:szCs w:val="24"/>
                <w:vertAlign w:val="baseline"/>
              </w:rPr>
              <w:t>电压范围 3V - 9V DC</w:t>
            </w:r>
          </w:p>
        </w:tc>
      </w:tr>
    </w:tbl>
    <w:p w14:paraId="3413E8CF">
      <w:pPr>
        <w:keepNext w:val="0"/>
        <w:keepLines w:val="0"/>
        <w:pageBreakBefore w:val="0"/>
        <w:kinsoku/>
        <w:wordWrap/>
        <w:overflowPunct/>
        <w:topLinePunct w:val="0"/>
        <w:autoSpaceDE/>
        <w:autoSpaceDN/>
        <w:bidi w:val="0"/>
        <w:adjustRightInd w:val="0"/>
        <w:snapToGrid w:val="0"/>
        <w:spacing w:line="440" w:lineRule="exact"/>
        <w:ind w:firstLine="480" w:firstLineChars="200"/>
        <w:textAlignment w:val="auto"/>
        <w:rPr>
          <w:rFonts w:hint="eastAsia" w:ascii="宋体" w:hAnsi="宋体" w:eastAsia="宋体" w:cs="宋体"/>
          <w:color w:val="000000"/>
          <w:kern w:val="0"/>
          <w:sz w:val="24"/>
          <w:szCs w:val="24"/>
        </w:rPr>
      </w:pPr>
    </w:p>
    <w:p w14:paraId="38DA657D">
      <w:pPr>
        <w:keepNext w:val="0"/>
        <w:keepLines w:val="0"/>
        <w:pageBreakBefore w:val="0"/>
        <w:widowControl w:val="0"/>
        <w:kinsoku/>
        <w:wordWrap/>
        <w:overflowPunct/>
        <w:topLinePunct w:val="0"/>
        <w:autoSpaceDE/>
        <w:autoSpaceDN/>
        <w:bidi w:val="0"/>
        <w:adjustRightInd w:val="0"/>
        <w:snapToGrid w:val="0"/>
        <w:spacing w:line="440" w:lineRule="exact"/>
        <w:ind w:firstLine="0" w:firstLineChars="0"/>
        <w:jc w:val="both"/>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*注：R1、R3为LED限流电阻，其阻值需根据电源电压VCC、LED正向压降Vf及期望工作电流If计算：R = (VCC - Vf) / If。*</w:t>
      </w:r>
    </w:p>
    <w:p w14:paraId="755506FF">
      <w:pPr>
        <w:keepNext w:val="0"/>
        <w:keepLines w:val="0"/>
        <w:pageBreakBefore w:val="0"/>
        <w:widowControl w:val="0"/>
        <w:kinsoku/>
        <w:wordWrap/>
        <w:overflowPunct/>
        <w:topLinePunct w:val="0"/>
        <w:autoSpaceDE/>
        <w:autoSpaceDN/>
        <w:bidi w:val="0"/>
        <w:adjustRightInd w:val="0"/>
        <w:snapToGrid w:val="0"/>
        <w:spacing w:line="440" w:lineRule="exact"/>
        <w:ind w:firstLine="0" w:firstLineChars="0"/>
        <w:jc w:val="both"/>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电路连接关系与功能说明如表3-2所示。该表用于描述原理图中主要的电气连接及其在电路中所起的作用，是理解电路工作原理的辅助。</w:t>
      </w:r>
    </w:p>
    <w:p w14:paraId="0F284AF4">
      <w:pPr>
        <w:keepNext w:val="0"/>
        <w:keepLines w:val="0"/>
        <w:pageBreakBefore w:val="0"/>
        <w:widowControl w:val="0"/>
        <w:kinsoku/>
        <w:wordWrap/>
        <w:overflowPunct/>
        <w:topLinePunct w:val="0"/>
        <w:autoSpaceDE/>
        <w:autoSpaceDN/>
        <w:bidi w:val="0"/>
        <w:adjustRightInd w:val="0"/>
        <w:snapToGrid w:val="0"/>
        <w:spacing w:line="440" w:lineRule="exact"/>
        <w:ind w:firstLine="0" w:firstLineChars="0"/>
        <w:jc w:val="center"/>
        <w:textAlignment w:val="auto"/>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表</w:t>
      </w:r>
      <w:r>
        <w:rPr>
          <w:rFonts w:hint="default" w:ascii="宋体" w:hAnsi="宋体" w:eastAsia="宋体" w:cs="宋体"/>
          <w:color w:val="000000"/>
          <w:kern w:val="0"/>
          <w:sz w:val="21"/>
          <w:szCs w:val="21"/>
          <w:lang w:val="en-US"/>
        </w:rPr>
        <w:t>3</w:t>
      </w:r>
      <w:r>
        <w:rPr>
          <w:rFonts w:hint="eastAsia" w:ascii="宋体" w:hAnsi="宋体" w:eastAsia="宋体" w:cs="宋体"/>
          <w:color w:val="000000"/>
          <w:kern w:val="0"/>
          <w:sz w:val="21"/>
          <w:szCs w:val="21"/>
        </w:rPr>
        <w:t>-2主要连接关系与功能说明</w:t>
      </w:r>
    </w:p>
    <w:tbl>
      <w:tblPr>
        <w:tblStyle w:val="36"/>
        <w:tblpPr w:leftFromText="180" w:rightFromText="180" w:vertAnchor="text" w:horzAnchor="page" w:tblpXSpec="center" w:tblpY="131"/>
        <w:tblOverlap w:val="never"/>
        <w:tblW w:w="8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2"/>
        <w:gridCol w:w="3134"/>
        <w:gridCol w:w="4072"/>
      </w:tblGrid>
      <w:tr w14:paraId="2E271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292" w:type="dxa"/>
          </w:tcPr>
          <w:p w14:paraId="1F9040A3">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 xml:space="preserve"> 连接网络</w:t>
            </w:r>
          </w:p>
        </w:tc>
        <w:tc>
          <w:tcPr>
            <w:tcW w:w="3134" w:type="dxa"/>
          </w:tcPr>
          <w:p w14:paraId="745DB5E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涉及元件/节点</w:t>
            </w:r>
          </w:p>
        </w:tc>
        <w:tc>
          <w:tcPr>
            <w:tcW w:w="4072" w:type="dxa"/>
          </w:tcPr>
          <w:p w14:paraId="0C3AB3D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 xml:space="preserve"> 功能说明</w:t>
            </w:r>
          </w:p>
        </w:tc>
      </w:tr>
      <w:tr w14:paraId="11C7F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1292" w:type="dxa"/>
          </w:tcPr>
          <w:p w14:paraId="4AF1E08A">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VCC 电源网络</w:t>
            </w:r>
          </w:p>
        </w:tc>
        <w:tc>
          <w:tcPr>
            <w:tcW w:w="3134" w:type="dxa"/>
          </w:tcPr>
          <w:p w14:paraId="6B1D58FA">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VCC, R1, R3, R2(上端), R4(上端)</w:t>
            </w:r>
          </w:p>
        </w:tc>
        <w:tc>
          <w:tcPr>
            <w:tcW w:w="4072" w:type="dxa"/>
          </w:tcPr>
          <w:p w14:paraId="4347A54C">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为整个电路提供能量</w:t>
            </w:r>
          </w:p>
        </w:tc>
      </w:tr>
      <w:tr w14:paraId="0ECE4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292" w:type="dxa"/>
          </w:tcPr>
          <w:p w14:paraId="2E715C2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GND 地网络</w:t>
            </w:r>
          </w:p>
        </w:tc>
        <w:tc>
          <w:tcPr>
            <w:tcW w:w="3134" w:type="dxa"/>
          </w:tcPr>
          <w:p w14:paraId="6B55081B">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C1(负), C2(负), Q1(e), Q2(e)</w:t>
            </w:r>
          </w:p>
        </w:tc>
        <w:tc>
          <w:tcPr>
            <w:tcW w:w="4072" w:type="dxa"/>
          </w:tcPr>
          <w:p w14:paraId="15DF18DE">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电路的公共参考点</w:t>
            </w:r>
          </w:p>
        </w:tc>
      </w:tr>
      <w:tr w14:paraId="2ED57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292" w:type="dxa"/>
          </w:tcPr>
          <w:p w14:paraId="073BE5DB">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Q1 集电极</w:t>
            </w:r>
          </w:p>
        </w:tc>
        <w:tc>
          <w:tcPr>
            <w:tcW w:w="3134" w:type="dxa"/>
          </w:tcPr>
          <w:p w14:paraId="37112055">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 xml:space="preserve">  Q1(c), R1, D1(阳)</w:t>
            </w:r>
          </w:p>
        </w:tc>
        <w:tc>
          <w:tcPr>
            <w:tcW w:w="4072" w:type="dxa"/>
          </w:tcPr>
          <w:p w14:paraId="75B70D3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输出支路1，驱动LED D1。电平高低交替变化</w:t>
            </w:r>
          </w:p>
        </w:tc>
      </w:tr>
      <w:tr w14:paraId="61FE9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292" w:type="dxa"/>
          </w:tcPr>
          <w:p w14:paraId="59793B76">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Q2 集电极</w:t>
            </w:r>
          </w:p>
        </w:tc>
        <w:tc>
          <w:tcPr>
            <w:tcW w:w="3134" w:type="dxa"/>
          </w:tcPr>
          <w:p w14:paraId="1071B3C3">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 xml:space="preserve"> Q2(c), R3, D2(阳)</w:t>
            </w:r>
          </w:p>
        </w:tc>
        <w:tc>
          <w:tcPr>
            <w:tcW w:w="4072" w:type="dxa"/>
          </w:tcPr>
          <w:p w14:paraId="05FD5F1C">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输出支路2，驱动LED D2。电平与Q1(c)反相</w:t>
            </w:r>
          </w:p>
        </w:tc>
      </w:tr>
      <w:tr w14:paraId="1E89C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1292" w:type="dxa"/>
          </w:tcPr>
          <w:p w14:paraId="02813320">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Q1 基极回路</w:t>
            </w:r>
          </w:p>
        </w:tc>
        <w:tc>
          <w:tcPr>
            <w:tcW w:w="3134" w:type="dxa"/>
          </w:tcPr>
          <w:p w14:paraId="0690A0ED">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 xml:space="preserve"> Q1(b), R2, C2(正)</w:t>
            </w:r>
          </w:p>
        </w:tc>
        <w:tc>
          <w:tcPr>
            <w:tcW w:w="4072" w:type="dxa"/>
          </w:tcPr>
          <w:p w14:paraId="2AE009E4">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控制Q1导通的定时与反馈通路。受C2充放电控制</w:t>
            </w:r>
          </w:p>
        </w:tc>
      </w:tr>
      <w:tr w14:paraId="0AB45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1292" w:type="dxa"/>
          </w:tcPr>
          <w:p w14:paraId="2F71DBA8">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Q2 基极回路</w:t>
            </w:r>
          </w:p>
        </w:tc>
        <w:tc>
          <w:tcPr>
            <w:tcW w:w="3134" w:type="dxa"/>
          </w:tcPr>
          <w:p w14:paraId="07C2A1E6">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Q2(b), R4, C1(正)</w:t>
            </w:r>
          </w:p>
        </w:tc>
        <w:tc>
          <w:tcPr>
            <w:tcW w:w="4072" w:type="dxa"/>
          </w:tcPr>
          <w:p w14:paraId="01FEA31B">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1"/>
                <w:szCs w:val="21"/>
                <w:vertAlign w:val="baseline"/>
              </w:rPr>
            </w:pPr>
            <w:r>
              <w:rPr>
                <w:rFonts w:hint="eastAsia" w:ascii="宋体" w:hAnsi="宋体" w:eastAsia="宋体" w:cs="宋体"/>
                <w:color w:val="000000"/>
                <w:kern w:val="0"/>
                <w:sz w:val="21"/>
                <w:szCs w:val="21"/>
                <w:vertAlign w:val="baseline"/>
              </w:rPr>
              <w:t>控制Q2导通的定时与反馈通路。受C1充放电控制</w:t>
            </w:r>
          </w:p>
        </w:tc>
      </w:tr>
    </w:tbl>
    <w:p w14:paraId="7BD5C777">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参数计算参考表如表3-3所示。用于指导元件选型和频率预估。</w:t>
      </w:r>
    </w:p>
    <w:p w14:paraId="65D2AA7B">
      <w:pPr>
        <w:keepNext w:val="0"/>
        <w:keepLines w:val="0"/>
        <w:pageBreakBefore w:val="0"/>
        <w:kinsoku/>
        <w:wordWrap/>
        <w:overflowPunct/>
        <w:topLinePunct w:val="0"/>
        <w:autoSpaceDE/>
        <w:autoSpaceDN/>
        <w:bidi w:val="0"/>
        <w:adjustRightInd w:val="0"/>
        <w:snapToGrid w:val="0"/>
        <w:spacing w:line="440" w:lineRule="exact"/>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1"/>
          <w:szCs w:val="21"/>
        </w:rPr>
        <w:t>表</w:t>
      </w:r>
      <w:r>
        <w:rPr>
          <w:rFonts w:hint="eastAsia" w:ascii="宋体" w:hAnsi="宋体" w:eastAsia="宋体" w:cs="宋体"/>
          <w:color w:val="000000"/>
          <w:kern w:val="0"/>
          <w:sz w:val="21"/>
          <w:szCs w:val="21"/>
          <w:lang w:val="en-US" w:eastAsia="zh-CN"/>
        </w:rPr>
        <w:t>3</w:t>
      </w:r>
      <w:r>
        <w:rPr>
          <w:rFonts w:hint="eastAsia" w:ascii="宋体" w:hAnsi="宋体" w:eastAsia="宋体" w:cs="宋体"/>
          <w:color w:val="000000"/>
          <w:kern w:val="0"/>
          <w:sz w:val="21"/>
          <w:szCs w:val="21"/>
        </w:rPr>
        <w:t>-3关键参数计算公式与参考</w:t>
      </w:r>
    </w:p>
    <w:tbl>
      <w:tblPr>
        <w:tblStyle w:val="36"/>
        <w:tblpPr w:leftFromText="180" w:rightFromText="180" w:vertAnchor="text" w:horzAnchor="page" w:tblpXSpec="center" w:tblpY="439"/>
        <w:tblOverlap w:val="never"/>
        <w:tblW w:w="82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1"/>
        <w:gridCol w:w="3619"/>
        <w:gridCol w:w="3169"/>
      </w:tblGrid>
      <w:tr w14:paraId="731BF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471" w:type="dxa"/>
          </w:tcPr>
          <w:p w14:paraId="42B6454A">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参数</w:t>
            </w:r>
          </w:p>
        </w:tc>
        <w:tc>
          <w:tcPr>
            <w:tcW w:w="3619" w:type="dxa"/>
          </w:tcPr>
          <w:p w14:paraId="0211CA1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计算公式/说明</w:t>
            </w:r>
          </w:p>
        </w:tc>
        <w:tc>
          <w:tcPr>
            <w:tcW w:w="3169" w:type="dxa"/>
          </w:tcPr>
          <w:p w14:paraId="65E3301A">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参考值</w:t>
            </w:r>
          </w:p>
        </w:tc>
      </w:tr>
      <w:tr w14:paraId="5BA0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471" w:type="dxa"/>
          </w:tcPr>
          <w:p w14:paraId="6E79491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振荡周期 T</w:t>
            </w:r>
          </w:p>
        </w:tc>
        <w:tc>
          <w:tcPr>
            <w:tcW w:w="3619" w:type="dxa"/>
          </w:tcPr>
          <w:p w14:paraId="21BA11DF">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T ≈ 0.7 * (R2*C2 + R4*C1)</w:t>
            </w:r>
          </w:p>
        </w:tc>
        <w:tc>
          <w:tcPr>
            <w:tcW w:w="3169" w:type="dxa"/>
          </w:tcPr>
          <w:p w14:paraId="2125499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T ≈ 1.4 * 10kΩ * 10μF = 0.14 s</w:t>
            </w:r>
          </w:p>
        </w:tc>
      </w:tr>
      <w:tr w14:paraId="3A1DC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1471" w:type="dxa"/>
          </w:tcPr>
          <w:p w14:paraId="36E6C06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振荡频率 f</w:t>
            </w:r>
          </w:p>
        </w:tc>
        <w:tc>
          <w:tcPr>
            <w:tcW w:w="3619" w:type="dxa"/>
          </w:tcPr>
          <w:p w14:paraId="1CCA9DD1">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f = 1 / T</w:t>
            </w:r>
          </w:p>
        </w:tc>
        <w:tc>
          <w:tcPr>
            <w:tcW w:w="3169" w:type="dxa"/>
          </w:tcPr>
          <w:p w14:paraId="1A8E7EF3">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f ≈ 7.1 Hz</w:t>
            </w:r>
          </w:p>
        </w:tc>
      </w:tr>
      <w:tr w14:paraId="33684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1471" w:type="dxa"/>
          </w:tcPr>
          <w:p w14:paraId="57F90107">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LED电流 If</w:t>
            </w:r>
          </w:p>
        </w:tc>
        <w:tc>
          <w:tcPr>
            <w:tcW w:w="3619" w:type="dxa"/>
          </w:tcPr>
          <w:p w14:paraId="6FEDE522">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If_led ≈ (VCC - Vf_led - Vce_sat) / R_limit</w:t>
            </w:r>
          </w:p>
        </w:tc>
        <w:tc>
          <w:tcPr>
            <w:tcW w:w="3169" w:type="dxa"/>
          </w:tcPr>
          <w:p w14:paraId="2E82E6C9">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sz w:val="18"/>
                <w:szCs w:val="18"/>
              </w:rPr>
              <w:t xml:space="preserve"> If ≈ (6V - 2V - 0.2V) / 470Ω ≈ 8.1 mA</w:t>
            </w:r>
          </w:p>
        </w:tc>
      </w:tr>
      <w:tr w14:paraId="4DB74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1471" w:type="dxa"/>
          </w:tcPr>
          <w:p w14:paraId="3C98B4CE">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三极管基极电流Ib</w:t>
            </w:r>
          </w:p>
        </w:tc>
        <w:tc>
          <w:tcPr>
            <w:tcW w:w="3619" w:type="dxa"/>
          </w:tcPr>
          <w:p w14:paraId="2783BAE8">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 xml:space="preserve"> Ib ≈ (VCC - Vbe) / R2 ， 其中Vbe≈0.7V</w:t>
            </w:r>
          </w:p>
        </w:tc>
        <w:tc>
          <w:tcPr>
            <w:tcW w:w="3169" w:type="dxa"/>
          </w:tcPr>
          <w:p w14:paraId="0AE40EA8">
            <w:pPr>
              <w:keepNext w:val="0"/>
              <w:keepLines w:val="0"/>
              <w:pageBreakBefore w:val="0"/>
              <w:kinsoku/>
              <w:wordWrap/>
              <w:overflowPunct/>
              <w:topLinePunct w:val="0"/>
              <w:autoSpaceDE/>
              <w:autoSpaceDN/>
              <w:bidi w:val="0"/>
              <w:adjustRightInd w:val="0"/>
              <w:snapToGrid w:val="0"/>
              <w:spacing w:line="440" w:lineRule="exact"/>
              <w:textAlignment w:val="auto"/>
              <w:rPr>
                <w:rFonts w:hint="eastAsia" w:ascii="宋体" w:hAnsi="宋体" w:eastAsia="宋体" w:cs="宋体"/>
                <w:color w:val="000000"/>
                <w:kern w:val="0"/>
                <w:sz w:val="18"/>
                <w:szCs w:val="18"/>
                <w:vertAlign w:val="baseline"/>
              </w:rPr>
            </w:pPr>
            <w:r>
              <w:rPr>
                <w:rFonts w:hint="eastAsia" w:ascii="宋体" w:hAnsi="宋体" w:eastAsia="宋体" w:cs="宋体"/>
                <w:color w:val="000000"/>
                <w:kern w:val="0"/>
                <w:sz w:val="18"/>
                <w:szCs w:val="18"/>
                <w:vertAlign w:val="baseline"/>
              </w:rPr>
              <w:t>Ib ≈ (6V - 0.7V) / 10kΩ ≈ 0.53 mA</w:t>
            </w:r>
          </w:p>
        </w:tc>
      </w:tr>
    </w:tbl>
    <w:p w14:paraId="64CC6951">
      <w:pPr>
        <w:pageBreakBefore w:val="0"/>
        <w:kinsoku/>
        <w:wordWrap/>
        <w:overflowPunct/>
        <w:topLinePunct w:val="0"/>
        <w:autoSpaceDE/>
        <w:autoSpaceDN/>
        <w:bidi w:val="0"/>
        <w:spacing w:line="440" w:lineRule="exact"/>
        <w:jc w:val="both"/>
        <w:textAlignment w:val="auto"/>
        <w:rPr>
          <w:rFonts w:hint="default" w:ascii="Times New Roman" w:hAnsi="Times New Roman" w:eastAsia="宋体" w:cs="Times New Roman"/>
          <w:szCs w:val="21"/>
          <w:lang w:val="en-US" w:eastAsia="zh-CN"/>
        </w:rPr>
      </w:pPr>
    </w:p>
    <w:p w14:paraId="4FF11463">
      <w:pPr>
        <w:keepNext/>
        <w:keepLines/>
        <w:pageBreakBefore w:val="0"/>
        <w:widowControl w:val="0"/>
        <w:numPr>
          <w:ilvl w:val="0"/>
          <w:numId w:val="0"/>
        </w:numPr>
        <w:kinsoku/>
        <w:wordWrap/>
        <w:overflowPunct/>
        <w:topLinePunct w:val="0"/>
        <w:autoSpaceDE/>
        <w:autoSpaceDN/>
        <w:bidi w:val="0"/>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46" w:name="_Toc1739"/>
      <w:bookmarkStart w:id="1847" w:name="_Toc28997"/>
      <w:r>
        <w:rPr>
          <w:rFonts w:hint="default" w:ascii="Times New Roman" w:hAnsi="Times New Roman" w:eastAsia="宋体" w:cs="Times New Roman"/>
          <w:b/>
          <w:bCs/>
          <w:kern w:val="44"/>
          <w:sz w:val="28"/>
          <w:szCs w:val="44"/>
          <w:lang w:val="en-US" w:eastAsia="zh-CN" w:bidi="ar-SA"/>
        </w:rPr>
        <w:t>4</w:t>
      </w:r>
      <w:r>
        <w:rPr>
          <w:rFonts w:hint="eastAsia" w:ascii="Times New Roman" w:hAnsi="Times New Roman" w:eastAsia="宋体" w:cs="Times New Roman"/>
          <w:b/>
          <w:bCs/>
          <w:kern w:val="44"/>
          <w:sz w:val="28"/>
          <w:szCs w:val="44"/>
          <w:lang w:val="en-US" w:eastAsia="zh-CN" w:bidi="ar-SA"/>
        </w:rPr>
        <w:t xml:space="preserve"> </w:t>
      </w:r>
      <w:r>
        <w:rPr>
          <w:rFonts w:hint="default" w:ascii="Times New Roman" w:hAnsi="Times New Roman" w:eastAsia="宋体" w:cs="Times New Roman"/>
          <w:b/>
          <w:bCs/>
          <w:kern w:val="44"/>
          <w:sz w:val="28"/>
          <w:szCs w:val="44"/>
          <w:lang w:val="en-US" w:eastAsia="zh-CN" w:bidi="ar-SA"/>
        </w:rPr>
        <w:t>系统功能及使用说明</w:t>
      </w:r>
      <w:bookmarkEnd w:id="1846"/>
      <w:bookmarkEnd w:id="1847"/>
    </w:p>
    <w:p w14:paraId="43543E52">
      <w:pPr>
        <w:keepNext/>
        <w:keepLines/>
        <w:pageBreakBefore w:val="0"/>
        <w:widowControl w:val="0"/>
        <w:kinsoku/>
        <w:wordWrap/>
        <w:overflowPunct/>
        <w:topLinePunct w:val="0"/>
        <w:autoSpaceDE/>
        <w:autoSpaceDN/>
        <w:bidi w:val="0"/>
        <w:spacing w:line="440" w:lineRule="exact"/>
        <w:ind w:firstLine="480" w:firstLineChars="200"/>
        <w:jc w:val="both"/>
        <w:textAlignment w:val="auto"/>
        <w:outlineLvl w:val="9"/>
        <w:rPr>
          <w:rFonts w:hint="default" w:ascii="Times New Roman" w:hAnsi="Times New Roman" w:eastAsia="宋体" w:cs="Times New Roman"/>
          <w:bCs/>
          <w:kern w:val="2"/>
          <w:sz w:val="24"/>
          <w:szCs w:val="32"/>
          <w:lang w:val="en-US" w:eastAsia="zh-CN" w:bidi="ar-SA"/>
        </w:rPr>
      </w:pPr>
      <w:bookmarkStart w:id="1848" w:name="_Toc12926"/>
      <w:bookmarkStart w:id="1849" w:name="_Toc17954"/>
      <w:r>
        <w:rPr>
          <w:rFonts w:hint="default" w:ascii="Times New Roman" w:hAnsi="Times New Roman" w:eastAsia="宋体" w:cs="Times New Roman"/>
          <w:bCs/>
          <w:kern w:val="2"/>
          <w:sz w:val="24"/>
          <w:szCs w:val="32"/>
          <w:lang w:val="en-US" w:eastAsia="zh-CN" w:bidi="ar-SA"/>
        </w:rPr>
        <w:t>4.1系统功能</w:t>
      </w:r>
      <w:bookmarkEnd w:id="1848"/>
      <w:bookmarkEnd w:id="1849"/>
    </w:p>
    <w:p w14:paraId="0D9A2E72">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50" w:name="_Toc637"/>
      <w:r>
        <w:rPr>
          <w:rFonts w:hint="default" w:ascii="Times New Roman" w:hAnsi="Times New Roman" w:eastAsia="宋体" w:cs="Times New Roman"/>
          <w:kern w:val="2"/>
          <w:sz w:val="24"/>
          <w:szCs w:val="24"/>
          <w:lang w:val="en-US" w:eastAsia="zh-CN" w:bidi="ar-SA"/>
        </w:rPr>
        <w:t>4.1.1基本功能</w:t>
      </w:r>
      <w:bookmarkEnd w:id="1850"/>
    </w:p>
    <w:p w14:paraId="3BFB4A24">
      <w:pPr>
        <w:pageBreakBefore w:val="0"/>
        <w:kinsoku/>
        <w:wordWrap/>
        <w:overflowPunct/>
        <w:topLinePunct w:val="0"/>
        <w:autoSpaceDE/>
        <w:autoSpaceDN/>
        <w:bidi w:val="0"/>
        <w:spacing w:line="440" w:lineRule="exact"/>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电路搭建：本系统只对正确焊接有效，用户焊接检查无误后，方能通电。</w:t>
      </w:r>
    </w:p>
    <w:p w14:paraId="68B01EE4">
      <w:pPr>
        <w:pageBreakBefore w:val="0"/>
        <w:kinsoku/>
        <w:wordWrap/>
        <w:overflowPunct/>
        <w:topLinePunct w:val="0"/>
        <w:autoSpaceDE/>
        <w:autoSpaceDN/>
        <w:bidi w:val="0"/>
        <w:spacing w:line="440" w:lineRule="exact"/>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通电启动：用户在确认电源极性及电压正确后接通电源，电路接收到电能后会开始工作。工作正常，则两个LED开始交替闪烁，否则需断电检查。</w:t>
      </w:r>
    </w:p>
    <w:p w14:paraId="3C1440FC">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现象观察：用户在电路板上可直接观察两个LED灯的交替点亮与熄灭，系统则会根据RC时间常数呈现固定的闪烁节奏。</w:t>
      </w:r>
    </w:p>
    <w:p w14:paraId="2D0C5887">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频率调节：用户可通过更换不同阻值的电阻R2/R4或不同容量的电容C1/C2，对该电路的闪烁频率进行调节。</w:t>
      </w:r>
    </w:p>
    <w:p w14:paraId="395CCAD2">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参数测量：用户可使用万用表或示波器对电路中关键点的电压、波形进行测量，以验证理论。</w:t>
      </w:r>
    </w:p>
    <w:p w14:paraId="75B66656">
      <w:pPr>
        <w:pageBreakBefore w:val="0"/>
        <w:kinsoku/>
        <w:wordWrap/>
        <w:overflowPunct/>
        <w:topLinePunct w:val="0"/>
        <w:autoSpaceDE/>
        <w:autoSpaceDN/>
        <w:bidi w:val="0"/>
        <w:spacing w:line="440" w:lineRule="exact"/>
        <w:ind w:left="0" w:leftChars="0"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断电关闭：当用户断开电源后，电路则会停止工作。若还想观察现象，就得再次通电。</w:t>
      </w:r>
    </w:p>
    <w:p w14:paraId="3F6B427F">
      <w:pPr>
        <w:keepNext/>
        <w:keepLines/>
        <w:pageBreakBefore w:val="0"/>
        <w:widowControl w:val="0"/>
        <w:kinsoku/>
        <w:wordWrap/>
        <w:overflowPunct/>
        <w:topLinePunct w:val="0"/>
        <w:autoSpaceDE/>
        <w:autoSpaceDN/>
        <w:bidi w:val="0"/>
        <w:spacing w:beforeLines="0" w:beforeAutospacing="0" w:afterLines="0" w:afterAutospacing="0" w:line="440" w:lineRule="exact"/>
        <w:ind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851" w:name="_Toc14348"/>
      <w:r>
        <w:rPr>
          <w:rFonts w:hint="default" w:ascii="Times New Roman" w:hAnsi="Times New Roman" w:eastAsia="宋体" w:cs="Times New Roman"/>
          <w:kern w:val="2"/>
          <w:sz w:val="24"/>
          <w:szCs w:val="24"/>
          <w:lang w:val="en-US" w:eastAsia="zh-CN" w:bidi="ar-SA"/>
        </w:rPr>
        <w:t>4.1.2核心功能</w:t>
      </w:r>
      <w:bookmarkEnd w:id="1851"/>
    </w:p>
    <w:p w14:paraId="0BB4DFEF">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本闪光电路的核心功能是无稳态振荡与视觉指示，电路结构对称，功能直观。</w:t>
      </w:r>
    </w:p>
    <w:p w14:paraId="15B3F33A">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1）自动交替振荡：电路上电后自动工作，两个三极管在电容的充放电作用下轮流导通和截止，形成稳定的方波振荡。</w:t>
      </w:r>
    </w:p>
    <w:p w14:paraId="15D33FBD">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2）频率可调：闪烁频率主要由定时电阻R2、R4和定时电容C1、C2的数值决定，修改这些元件的值可以直接改变闪烁速度。</w:t>
      </w:r>
    </w:p>
    <w:p w14:paraId="59CF4E8F">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3）双路状态指示：两个LED分别直观显示对应三极管支路的工作状态（导通时亮，截止时灭），二者交替亮灭。</w:t>
      </w:r>
    </w:p>
    <w:p w14:paraId="742A1132">
      <w:pPr>
        <w:pageBreakBefore w:val="0"/>
        <w:kinsoku/>
        <w:wordWrap/>
        <w:overflowPunct/>
        <w:topLinePunct w:val="0"/>
        <w:autoSpaceDE/>
        <w:autoSpaceDN/>
        <w:bidi w:val="0"/>
        <w:spacing w:line="440" w:lineRule="exact"/>
        <w:ind w:firstLine="480" w:firstLineChars="200"/>
        <w:textAlignment w:val="auto"/>
        <w:outlineLvl w:val="9"/>
        <w:rPr>
          <w:rFonts w:hint="default" w:ascii="Calibri" w:hAnsi="Calibri" w:eastAsia="宋体" w:cs="Times New Roman"/>
          <w:lang w:eastAsia="zh-CN"/>
        </w:rPr>
      </w:pPr>
      <w:r>
        <w:rPr>
          <w:rFonts w:hint="default" w:ascii="Times New Roman" w:hAnsi="Times New Roman" w:eastAsia="宋体" w:cs="Times New Roman"/>
          <w:sz w:val="24"/>
        </w:rPr>
        <w:t>4）教学演示：通过测量三极管各极电压、电容两端电压变化，可以清晰地展示晶体管开关特性、电容充放电过程以及正反馈原理。</w:t>
      </w:r>
      <w:r>
        <w:rPr>
          <w:rFonts w:hint="default" w:ascii="Calibri" w:hAnsi="Calibri" w:eastAsia="宋体" w:cs="Times New Roman"/>
          <w:lang w:val="en-US" w:eastAsia="zh-CN"/>
        </w:rPr>
        <w:t>4.2系统</w:t>
      </w:r>
      <w:r>
        <w:rPr>
          <w:rFonts w:hint="default" w:ascii="Calibri" w:hAnsi="Calibri" w:eastAsia="宋体" w:cs="Times New Roman"/>
        </w:rPr>
        <w:t>使用说明</w:t>
      </w:r>
    </w:p>
    <w:p w14:paraId="0500BB9B">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bCs/>
          <w:kern w:val="2"/>
          <w:sz w:val="24"/>
          <w:szCs w:val="32"/>
          <w:lang w:val="en-US" w:eastAsia="zh-CN" w:bidi="ar-SA"/>
        </w:rPr>
      </w:pPr>
      <w:bookmarkStart w:id="1852" w:name="_Toc17712"/>
      <w:bookmarkStart w:id="1853" w:name="_Toc17842"/>
      <w:r>
        <w:rPr>
          <w:rFonts w:hint="default" w:ascii="Times New Roman" w:hAnsi="Times New Roman" w:eastAsia="宋体" w:cs="Times New Roman"/>
          <w:bCs/>
          <w:kern w:val="2"/>
          <w:sz w:val="24"/>
          <w:szCs w:val="32"/>
          <w:lang w:val="en-US" w:eastAsia="zh-CN" w:bidi="ar-SA"/>
        </w:rPr>
        <w:t>4.2系统使用说明</w:t>
      </w:r>
      <w:bookmarkEnd w:id="1852"/>
      <w:bookmarkEnd w:id="1853"/>
    </w:p>
    <w:p w14:paraId="7531B12F">
      <w:pPr>
        <w:pageBreakBefore w:val="0"/>
        <w:kinsoku/>
        <w:wordWrap/>
        <w:overflowPunct/>
        <w:topLinePunct w:val="0"/>
        <w:autoSpaceDE/>
        <w:autoSpaceDN/>
        <w:bidi w:val="0"/>
        <w:spacing w:line="440" w:lineRule="exact"/>
        <w:ind w:firstLine="480" w:firstLineChars="200"/>
        <w:textAlignment w:val="auto"/>
        <w:outlineLvl w:val="9"/>
        <w:rPr>
          <w:rFonts w:hint="default" w:ascii="Times New Roman" w:hAnsi="Times New Roman" w:eastAsia="宋体" w:cs="Times New Roman"/>
          <w:bCs/>
          <w:kern w:val="2"/>
          <w:sz w:val="24"/>
          <w:szCs w:val="32"/>
          <w:lang w:val="en-US" w:eastAsia="zh-CN" w:bidi="ar-SA"/>
        </w:rPr>
      </w:pPr>
      <w:bookmarkStart w:id="1854" w:name="_Toc2880"/>
      <w:r>
        <w:rPr>
          <w:rFonts w:hint="default" w:ascii="Times New Roman" w:hAnsi="Times New Roman" w:eastAsia="宋体" w:cs="Times New Roman"/>
          <w:bCs/>
          <w:kern w:val="2"/>
          <w:sz w:val="24"/>
          <w:szCs w:val="32"/>
          <w:lang w:val="en-US" w:eastAsia="zh-CN" w:bidi="ar-SA"/>
        </w:rPr>
        <w:t>4.2.1 电路搭建模块</w:t>
      </w:r>
      <w:bookmarkEnd w:id="1854"/>
    </w:p>
    <w:p w14:paraId="0EE2BBA9">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sz w:val="24"/>
        </w:rPr>
      </w:pPr>
      <w:r>
        <w:rPr>
          <w:rFonts w:hint="default" w:ascii="Times New Roman" w:hAnsi="Times New Roman" w:eastAsia="宋体" w:cs="Times New Roman"/>
          <w:sz w:val="24"/>
        </w:rPr>
        <w:t>描述：主要实现电路的物理制作。</w:t>
      </w:r>
    </w:p>
    <w:p w14:paraId="6C77FC2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default" w:ascii="Times New Roman" w:hAnsi="Times New Roman" w:eastAsia="宋体" w:cs="Times New Roman"/>
          <w:sz w:val="24"/>
        </w:rPr>
      </w:pPr>
      <w:r>
        <w:rPr>
          <w:rFonts w:hint="default" w:ascii="Times New Roman" w:hAnsi="Times New Roman" w:eastAsia="宋体" w:cs="Times New Roman"/>
          <w:sz w:val="24"/>
        </w:rPr>
        <w:t>操作员需根据原理图（图3-2）和布局图（图3-3），识别元件并将其正确焊接在电路板（或面包板）上</w:t>
      </w:r>
      <w:r>
        <w:rPr>
          <w:rFonts w:hint="eastAsia" w:ascii="Times New Roman" w:hAnsi="Times New Roman" w:eastAsia="宋体" w:cs="Times New Roman"/>
          <w:sz w:val="24"/>
          <w:vertAlign w:val="superscript"/>
          <w:lang w:val="en-US" w:eastAsia="zh-CN"/>
        </w:rPr>
        <w:t>[4]</w:t>
      </w:r>
      <w:r>
        <w:rPr>
          <w:rFonts w:hint="default" w:ascii="Times New Roman" w:hAnsi="Times New Roman" w:eastAsia="宋体" w:cs="Times New Roman"/>
          <w:sz w:val="24"/>
        </w:rPr>
        <w:t>。焊接时注意电解电容的极性、三极管的管脚（E，B，C）以及LED的正负极。电路搭建示意图如图4-1所示</w:t>
      </w:r>
      <w:r>
        <w:rPr>
          <w:rFonts w:hint="eastAsia" w:ascii="Times New Roman" w:hAnsi="Times New Roman" w:eastAsia="宋体" w:cs="Times New Roman"/>
          <w:sz w:val="24"/>
          <w:lang w:eastAsia="zh-CN"/>
        </w:rPr>
        <w:t>。</w:t>
      </w:r>
    </w:p>
    <w:p w14:paraId="413ED736">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drawing>
          <wp:inline distT="0" distB="0" distL="114300" distR="114300">
            <wp:extent cx="3638550" cy="2101850"/>
            <wp:effectExtent l="0" t="0" r="0" b="12700"/>
            <wp:docPr id="716" name="图片 716" descr="屏幕截图 2025-12-22 09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716" descr="屏幕截图 2025-12-22 090936"/>
                    <pic:cNvPicPr>
                      <a:picLocks noChangeAspect="1"/>
                    </pic:cNvPicPr>
                  </pic:nvPicPr>
                  <pic:blipFill>
                    <a:blip r:embed="rId503"/>
                    <a:srcRect l="15518" t="21477" r="15446" b="16492"/>
                    <a:stretch>
                      <a:fillRect/>
                    </a:stretch>
                  </pic:blipFill>
                  <pic:spPr>
                    <a:xfrm>
                      <a:off x="0" y="0"/>
                      <a:ext cx="3638550" cy="2101850"/>
                    </a:xfrm>
                    <a:prstGeom prst="rect">
                      <a:avLst/>
                    </a:prstGeom>
                  </pic:spPr>
                </pic:pic>
              </a:graphicData>
            </a:graphic>
          </wp:inline>
        </w:drawing>
      </w:r>
    </w:p>
    <w:p w14:paraId="24492F3E">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imes New Roman" w:hAnsi="Times New Roman" w:eastAsia="宋体" w:cs="Times New Roman"/>
          <w:szCs w:val="21"/>
          <w:lang w:val="en-US" w:eastAsia="zh-CN"/>
        </w:rPr>
      </w:pPr>
      <w:r>
        <w:rPr>
          <w:rFonts w:hint="default" w:ascii="Times New Roman" w:hAnsi="Times New Roman" w:eastAsia="宋体" w:cs="Times New Roman"/>
          <w:szCs w:val="21"/>
        </w:rPr>
        <w:t>图</w:t>
      </w:r>
      <w:r>
        <w:rPr>
          <w:rFonts w:hint="default" w:ascii="Times New Roman" w:hAnsi="Times New Roman" w:eastAsia="宋体" w:cs="Times New Roman"/>
          <w:szCs w:val="21"/>
          <w:lang w:val="en-US" w:eastAsia="zh-CN"/>
        </w:rPr>
        <w:t>4-1</w:t>
      </w:r>
      <w:r>
        <w:rPr>
          <w:rFonts w:hint="default" w:ascii="Times New Roman" w:hAnsi="Times New Roman" w:eastAsia="宋体" w:cs="Times New Roman"/>
          <w:szCs w:val="21"/>
        </w:rPr>
        <w:t xml:space="preserve"> </w:t>
      </w:r>
      <w:r>
        <w:rPr>
          <w:rFonts w:hint="eastAsia" w:ascii="Times New Roman" w:hAnsi="Times New Roman" w:eastAsia="宋体" w:cs="Times New Roman"/>
          <w:szCs w:val="21"/>
          <w:lang w:val="en-US" w:eastAsia="zh-CN"/>
        </w:rPr>
        <w:t>电路搭建图</w:t>
      </w:r>
    </w:p>
    <w:p w14:paraId="2A98C896">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center"/>
        <w:textAlignment w:val="auto"/>
        <w:rPr>
          <w:rFonts w:hint="default" w:ascii="Times New Roman" w:hAnsi="Times New Roman" w:eastAsia="宋体" w:cs="Times New Roman"/>
          <w:sz w:val="24"/>
        </w:rPr>
      </w:pPr>
      <w:r>
        <w:rPr>
          <w:rFonts w:ascii="宋体" w:hAnsi="宋体" w:eastAsia="宋体" w:cs="宋体"/>
          <w:sz w:val="24"/>
          <w:szCs w:val="24"/>
        </w:rPr>
        <w:drawing>
          <wp:inline distT="0" distB="0" distL="114300" distR="114300">
            <wp:extent cx="4088130" cy="2635250"/>
            <wp:effectExtent l="0" t="0" r="7620" b="12700"/>
            <wp:docPr id="71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4" descr="IMG_256"/>
                    <pic:cNvPicPr>
                      <a:picLocks noChangeAspect="1"/>
                    </pic:cNvPicPr>
                  </pic:nvPicPr>
                  <pic:blipFill>
                    <a:blip r:embed="rId504"/>
                    <a:stretch>
                      <a:fillRect/>
                    </a:stretch>
                  </pic:blipFill>
                  <pic:spPr>
                    <a:xfrm>
                      <a:off x="0" y="0"/>
                      <a:ext cx="4088130" cy="2635250"/>
                    </a:xfrm>
                    <a:prstGeom prst="rect">
                      <a:avLst/>
                    </a:prstGeom>
                    <a:noFill/>
                    <a:ln w="9525">
                      <a:noFill/>
                    </a:ln>
                  </pic:spPr>
                </pic:pic>
              </a:graphicData>
            </a:graphic>
          </wp:inline>
        </w:drawing>
      </w:r>
    </w:p>
    <w:p w14:paraId="7D548E26">
      <w:pPr>
        <w:pageBreakBefore w:val="0"/>
        <w:kinsoku/>
        <w:wordWrap/>
        <w:overflowPunct/>
        <w:topLinePunct w:val="0"/>
        <w:autoSpaceDE/>
        <w:autoSpaceDN/>
        <w:bidi w:val="0"/>
        <w:spacing w:line="440" w:lineRule="exact"/>
        <w:ind w:firstLine="420" w:firstLineChars="200"/>
        <w:jc w:val="center"/>
        <w:textAlignment w:val="auto"/>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rPr>
        <w:t>图</w:t>
      </w:r>
      <w:r>
        <w:rPr>
          <w:rFonts w:hint="default" w:ascii="Times New Roman" w:hAnsi="Times New Roman" w:eastAsia="宋体" w:cs="Times New Roman"/>
          <w:szCs w:val="21"/>
          <w:lang w:val="en-US" w:eastAsia="zh-CN"/>
        </w:rPr>
        <w:t>4-</w:t>
      </w:r>
      <w:r>
        <w:rPr>
          <w:rFonts w:hint="default" w:ascii="Times New Roman" w:hAnsi="Times New Roman" w:eastAsia="宋体" w:cs="Times New Roman"/>
          <w:szCs w:val="21"/>
        </w:rPr>
        <w:t xml:space="preserve">2 </w:t>
      </w:r>
      <w:r>
        <w:rPr>
          <w:rFonts w:hint="eastAsia" w:ascii="Times New Roman" w:hAnsi="Times New Roman" w:eastAsia="宋体" w:cs="Times New Roman"/>
          <w:szCs w:val="21"/>
          <w:lang w:val="en-US" w:eastAsia="zh-CN"/>
        </w:rPr>
        <w:t>焊接图</w:t>
      </w:r>
    </w:p>
    <w:p w14:paraId="4B59FE0F">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bookmarkStart w:id="1855" w:name="_Toc19400"/>
      <w:r>
        <w:rPr>
          <w:rFonts w:hint="default" w:ascii="Times New Roman" w:hAnsi="Times New Roman" w:eastAsia="宋体" w:cs="Times New Roman"/>
          <w:sz w:val="24"/>
          <w:lang w:val="en-US" w:eastAsia="zh-CN"/>
        </w:rPr>
        <w:t>4.2.2 电路通电测试</w:t>
      </w:r>
      <w:bookmarkEnd w:id="1855"/>
    </w:p>
    <w:p w14:paraId="2E9E7AA8">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描述：为搭建好的电路接通电源，观察初始现象。</w:t>
      </w:r>
    </w:p>
    <w:p w14:paraId="67934638">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操作员在仔细检查焊接无误（无短路、虚焊）后，将直流电源（如电池盒）的正极（+）接至电路的VCC点，负极（-）接至电路的GND点</w:t>
      </w:r>
      <w:r>
        <w:rPr>
          <w:rFonts w:hint="eastAsia" w:ascii="Times New Roman" w:hAnsi="Times New Roman" w:eastAsia="宋体" w:cs="Times New Roman"/>
          <w:sz w:val="24"/>
          <w:lang w:val="en-US" w:eastAsia="zh-CN"/>
        </w:rPr>
        <w:t>[6]</w:t>
      </w:r>
      <w:r>
        <w:rPr>
          <w:rFonts w:hint="default" w:ascii="Times New Roman" w:hAnsi="Times New Roman" w:eastAsia="宋体" w:cs="Times New Roman"/>
          <w:sz w:val="24"/>
          <w:lang w:val="en-US" w:eastAsia="zh-CN"/>
        </w:rPr>
        <w:t>。接通电源瞬间，应观察两个LED是否开始交替闪烁。</w:t>
      </w:r>
    </w:p>
    <w:p w14:paraId="410FF5A6">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bookmarkStart w:id="1856" w:name="_Toc117"/>
      <w:r>
        <w:rPr>
          <w:rFonts w:hint="default" w:ascii="Times New Roman" w:hAnsi="Times New Roman" w:eastAsia="宋体" w:cs="Times New Roman"/>
          <w:sz w:val="24"/>
          <w:lang w:val="en-US" w:eastAsia="zh-CN"/>
        </w:rPr>
        <w:t>4.2.3 闪光频率调节功能</w:t>
      </w:r>
      <w:bookmarkEnd w:id="1856"/>
    </w:p>
    <w:p w14:paraId="028A44B6">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描述：通过更换定时元件来改变LED闪烁的快慢</w:t>
      </w:r>
      <w:r>
        <w:rPr>
          <w:rFonts w:hint="eastAsia" w:ascii="Times New Roman" w:hAnsi="Times New Roman" w:eastAsia="宋体" w:cs="Times New Roman"/>
          <w:sz w:val="24"/>
          <w:vertAlign w:val="superscript"/>
          <w:lang w:val="en-US" w:eastAsia="zh-CN"/>
        </w:rPr>
        <w:t>[8]</w:t>
      </w:r>
      <w:r>
        <w:rPr>
          <w:rFonts w:hint="default" w:ascii="Times New Roman" w:hAnsi="Times New Roman" w:eastAsia="宋体" w:cs="Times New Roman"/>
          <w:sz w:val="24"/>
          <w:lang w:val="en-US" w:eastAsia="zh-CN"/>
        </w:rPr>
        <w:t>。</w:t>
      </w:r>
    </w:p>
    <w:p w14:paraId="3ED55338">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Cs w:val="21"/>
        </w:rPr>
      </w:pPr>
      <w:r>
        <w:rPr>
          <w:rFonts w:hint="default" w:ascii="Times New Roman" w:hAnsi="Times New Roman" w:eastAsia="宋体" w:cs="Times New Roman"/>
          <w:sz w:val="24"/>
          <w:lang w:val="en-US" w:eastAsia="zh-CN"/>
        </w:rPr>
        <w:t>操作员或维护员可以尝试更换电阻R2、R4或电容C1、C2。例如，将C1和C2从10μF更换为22μF，闪烁频率会明显变慢；将R2和R4从10kΩ更换为4.7kΩ，频率会变快。调节时需先断电。</w:t>
      </w:r>
    </w:p>
    <w:p w14:paraId="03F69644">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bookmarkStart w:id="1857" w:name="_Toc13390"/>
      <w:r>
        <w:rPr>
          <w:rFonts w:hint="default" w:ascii="Times New Roman" w:hAnsi="Times New Roman" w:eastAsia="宋体" w:cs="Times New Roman"/>
          <w:sz w:val="24"/>
          <w:lang w:val="en-US" w:eastAsia="zh-CN"/>
        </w:rPr>
        <w:t>4.2.4 LED状态监测功能以及故障排查</w:t>
      </w:r>
      <w:bookmarkEnd w:id="1857"/>
    </w:p>
    <w:p w14:paraId="1A3FDDB5">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描述：观察或测量LED及驱动支路的工作状态，用于判断电路是否正常。</w:t>
      </w:r>
    </w:p>
    <w:p w14:paraId="1BE55411">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Cs w:val="21"/>
        </w:rPr>
      </w:pPr>
      <w:r>
        <w:rPr>
          <w:rFonts w:hint="default" w:ascii="Times New Roman" w:hAnsi="Times New Roman" w:eastAsia="宋体" w:cs="Times New Roman"/>
          <w:sz w:val="24"/>
          <w:lang w:val="en-US" w:eastAsia="zh-CN"/>
        </w:rPr>
        <w:t>如果LED不亮、常亮或不闪烁，则需要故障排查。首先检查电源和接地。然后可以测量Q1、Q2集电极电压，正常情况应在高电平（接近VCC）和低电平（约0.2V）之间跳变。如果某一点电压不变，则检查对应的三极管、电容和电阻</w:t>
      </w:r>
      <w:r>
        <w:rPr>
          <w:rFonts w:hint="eastAsia" w:ascii="Times New Roman" w:hAnsi="Times New Roman" w:eastAsia="宋体" w:cs="Times New Roman"/>
          <w:sz w:val="24"/>
          <w:vertAlign w:val="superscript"/>
          <w:lang w:val="en-US" w:eastAsia="zh-CN"/>
        </w:rPr>
        <w:t>[12]</w:t>
      </w:r>
      <w:r>
        <w:rPr>
          <w:rFonts w:hint="default" w:ascii="Times New Roman" w:hAnsi="Times New Roman" w:eastAsia="宋体" w:cs="Times New Roman"/>
          <w:sz w:val="24"/>
          <w:lang w:val="en-US" w:eastAsia="zh-CN"/>
        </w:rPr>
        <w:t>。</w:t>
      </w:r>
    </w:p>
    <w:p w14:paraId="2255EC11">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bookmarkStart w:id="1858" w:name="_Toc26620"/>
      <w:r>
        <w:rPr>
          <w:rFonts w:hint="default" w:ascii="Times New Roman" w:hAnsi="Times New Roman" w:eastAsia="宋体" w:cs="Times New Roman"/>
          <w:sz w:val="24"/>
          <w:lang w:val="en-US" w:eastAsia="zh-CN"/>
        </w:rPr>
        <w:t>4.2.5 电路参数测量</w:t>
      </w:r>
      <w:bookmarkEnd w:id="1858"/>
    </w:p>
    <w:p w14:paraId="0704F55A">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描述：使用仪器定量测量电路的工作参数。</w:t>
      </w:r>
    </w:p>
    <w:p w14:paraId="57A98183">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Cs w:val="21"/>
        </w:rPr>
      </w:pPr>
      <w:r>
        <w:rPr>
          <w:rFonts w:hint="default" w:ascii="Times New Roman" w:hAnsi="Times New Roman" w:eastAsia="宋体" w:cs="Times New Roman"/>
          <w:sz w:val="24"/>
          <w:lang w:val="en-US" w:eastAsia="zh-CN"/>
        </w:rPr>
        <w:t>维护员可以使用示波器测量Q1或Q2集电极的输出波形，读取方波的频率和幅值，验证与理论计算是否相符。也可以使用万用表测量静态工作点（异常时）或LED的电流。</w:t>
      </w:r>
    </w:p>
    <w:p w14:paraId="47A6ED08">
      <w:pPr>
        <w:pageBreakBefore w:val="0"/>
        <w:kinsoku/>
        <w:wordWrap/>
        <w:overflowPunct/>
        <w:topLinePunct w:val="0"/>
        <w:autoSpaceDE/>
        <w:autoSpaceDN/>
        <w:bidi w:val="0"/>
        <w:spacing w:line="440" w:lineRule="exact"/>
        <w:ind w:firstLine="480" w:firstLineChars="200"/>
        <w:jc w:val="left"/>
        <w:textAlignment w:val="auto"/>
        <w:outlineLvl w:val="9"/>
        <w:rPr>
          <w:rFonts w:hint="default" w:ascii="Times New Roman" w:hAnsi="Times New Roman" w:eastAsia="宋体" w:cs="Times New Roman"/>
          <w:sz w:val="24"/>
          <w:lang w:val="en-US" w:eastAsia="zh-CN"/>
        </w:rPr>
      </w:pPr>
      <w:bookmarkStart w:id="1859" w:name="_Toc12543"/>
      <w:r>
        <w:rPr>
          <w:rFonts w:hint="default" w:ascii="Times New Roman" w:hAnsi="Times New Roman" w:eastAsia="宋体" w:cs="Times New Roman"/>
          <w:sz w:val="24"/>
          <w:lang w:val="en-US" w:eastAsia="zh-CN"/>
        </w:rPr>
        <w:t>4.2.6 电路维护与元件更换</w:t>
      </w:r>
      <w:bookmarkEnd w:id="1859"/>
    </w:p>
    <w:p w14:paraId="124061A1">
      <w:pPr>
        <w:pageBreakBefore w:val="0"/>
        <w:kinsoku/>
        <w:wordWrap/>
        <w:overflowPunct/>
        <w:topLinePunct w:val="0"/>
        <w:autoSpaceDE/>
        <w:autoSpaceDN/>
        <w:bidi w:val="0"/>
        <w:spacing w:line="440" w:lineRule="exact"/>
        <w:ind w:firstLine="480" w:firstLineChars="200"/>
        <w:jc w:val="left"/>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描述：对老化、损坏或用于调节的元件进行更换。</w:t>
      </w:r>
    </w:p>
    <w:p w14:paraId="34DE07C8">
      <w:pPr>
        <w:pageBreakBefore w:val="0"/>
        <w:kinsoku/>
        <w:wordWrap/>
        <w:overflowPunct/>
        <w:topLinePunct w:val="0"/>
        <w:autoSpaceDE/>
        <w:autoSpaceDN/>
        <w:bidi w:val="0"/>
        <w:spacing w:line="440" w:lineRule="exact"/>
        <w:ind w:firstLine="480" w:firstLineChars="200"/>
        <w:jc w:val="center"/>
        <w:textAlignment w:val="auto"/>
        <w:rPr>
          <w:rFonts w:hint="default" w:ascii="Times New Roman" w:hAnsi="Times New Roman" w:eastAsia="宋体" w:cs="Times New Roman"/>
          <w:szCs w:val="21"/>
        </w:rPr>
      </w:pPr>
      <w:r>
        <w:rPr>
          <w:rFonts w:hint="default" w:ascii="Times New Roman" w:hAnsi="Times New Roman" w:eastAsia="宋体" w:cs="Times New Roman"/>
          <w:sz w:val="24"/>
          <w:lang w:val="en-US" w:eastAsia="zh-CN"/>
        </w:rPr>
        <w:t>维护员需先断电，然后使用电烙铁和吸锡器将故障元件拆下。焊接上新元件时，注意极性（电容、LED、三极管）和参数。更换后重新通电测试。</w:t>
      </w:r>
    </w:p>
    <w:p w14:paraId="0BF17917">
      <w:pPr>
        <w:keepNext/>
        <w:keepLines/>
        <w:pageBreakBefore w:val="0"/>
        <w:widowControl w:val="0"/>
        <w:kinsoku/>
        <w:wordWrap/>
        <w:overflowPunct/>
        <w:topLinePunct w:val="0"/>
        <w:autoSpaceDE/>
        <w:autoSpaceDN/>
        <w:bidi w:val="0"/>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60" w:name="_Toc7676"/>
      <w:bookmarkStart w:id="1861" w:name="_Toc27777"/>
      <w:r>
        <w:rPr>
          <w:rFonts w:hint="default" w:ascii="Times New Roman" w:hAnsi="Times New Roman" w:eastAsia="宋体" w:cs="Times New Roman"/>
          <w:b/>
          <w:bCs/>
          <w:kern w:val="44"/>
          <w:sz w:val="28"/>
          <w:szCs w:val="44"/>
          <w:lang w:val="en-US" w:eastAsia="zh-CN" w:bidi="ar-SA"/>
        </w:rPr>
        <w:t>5 系统测试</w:t>
      </w:r>
      <w:bookmarkEnd w:id="1860"/>
      <w:bookmarkEnd w:id="1861"/>
    </w:p>
    <w:p w14:paraId="43A3D24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rPr>
      </w:pPr>
      <w:r>
        <w:rPr>
          <w:rFonts w:hint="eastAsia" w:ascii="宋体" w:hAnsi="宋体" w:eastAsia="宋体" w:cs="宋体"/>
          <w:sz w:val="24"/>
        </w:rPr>
        <w:t>本节通过功能测试的方法对系统中实现的功能进行测试用例选择和结果展示。</w:t>
      </w:r>
    </w:p>
    <w:p w14:paraId="7FB28BF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80" w:firstLineChars="200"/>
        <w:jc w:val="left"/>
        <w:textAlignment w:val="auto"/>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w:t>
      </w:r>
      <w:r>
        <w:rPr>
          <w:rFonts w:hint="eastAsia" w:ascii="宋体" w:hAnsi="宋体" w:eastAsia="宋体" w:cs="宋体"/>
          <w:kern w:val="2"/>
          <w:sz w:val="24"/>
          <w:szCs w:val="24"/>
          <w:lang w:val="en-US" w:eastAsia="zh-CN" w:bidi="ar-SA"/>
        </w:rPr>
        <w:t>1）电路搭建功能测试，分为两种用例情况，一种是搭建成功，另一种是搭建失败（如短路）。</w:t>
      </w:r>
      <w:r>
        <w:rPr>
          <w:rFonts w:hint="eastAsia" w:ascii="宋体" w:hAnsi="宋体" w:eastAsia="宋体" w:cs="宋体"/>
          <w:kern w:val="0"/>
          <w:sz w:val="24"/>
          <w:szCs w:val="24"/>
          <w:lang w:val="en-US" w:eastAsia="zh-CN" w:bidi="ar"/>
        </w:rPr>
        <w:t>用例信息如表5-1和5-2所示。</w:t>
      </w:r>
    </w:p>
    <w:p w14:paraId="686B037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表5-1 搭建功能测试用例（成功）</w:t>
      </w:r>
    </w:p>
    <w:tbl>
      <w:tblPr>
        <w:tblStyle w:val="36"/>
        <w:tblpPr w:leftFromText="180" w:rightFromText="180" w:vertAnchor="text" w:horzAnchor="page" w:tblpX="1793" w:tblpY="9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6302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F34CC3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37BD30A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电路搭建</w:t>
            </w:r>
          </w:p>
        </w:tc>
      </w:tr>
      <w:tr w14:paraId="1D607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6" w:hRule="atLeast"/>
        </w:trPr>
        <w:tc>
          <w:tcPr>
            <w:tcW w:w="4261" w:type="dxa"/>
          </w:tcPr>
          <w:p w14:paraId="35DB04F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输入/条件</w:t>
            </w:r>
          </w:p>
        </w:tc>
        <w:tc>
          <w:tcPr>
            <w:tcW w:w="4261" w:type="dxa"/>
          </w:tcPr>
          <w:p w14:paraId="3AB2971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元件齐全，工具完好，原理图正确</w:t>
            </w:r>
          </w:p>
        </w:tc>
      </w:tr>
      <w:tr w14:paraId="4CD1B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 w:hRule="atLeast"/>
        </w:trPr>
        <w:tc>
          <w:tcPr>
            <w:tcW w:w="4261" w:type="dxa"/>
          </w:tcPr>
          <w:p w14:paraId="36910FA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操作过程</w:t>
            </w:r>
          </w:p>
        </w:tc>
        <w:tc>
          <w:tcPr>
            <w:tcW w:w="4261" w:type="dxa"/>
          </w:tcPr>
          <w:p w14:paraId="5A0E45C9">
            <w:pPr>
              <w:keepNext w:val="0"/>
              <w:keepLines w:val="0"/>
              <w:pageBreakBefore w:val="0"/>
              <w:widowControl/>
              <w:numPr>
                <w:ilvl w:val="0"/>
                <w:numId w:val="20"/>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对照布局图放置元件</w:t>
            </w:r>
          </w:p>
          <w:p w14:paraId="7B726BBC">
            <w:pPr>
              <w:keepNext w:val="0"/>
              <w:keepLines w:val="0"/>
              <w:pageBreakBefore w:val="0"/>
              <w:widowControl/>
              <w:numPr>
                <w:ilvl w:val="0"/>
                <w:numId w:val="20"/>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进行焊接</w:t>
            </w:r>
          </w:p>
          <w:p w14:paraId="2B6CC380">
            <w:pPr>
              <w:keepNext w:val="0"/>
              <w:keepLines w:val="0"/>
              <w:pageBreakBefore w:val="0"/>
              <w:widowControl/>
              <w:numPr>
                <w:ilvl w:val="0"/>
                <w:numId w:val="20"/>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完成焊接并目视检查</w:t>
            </w:r>
          </w:p>
        </w:tc>
      </w:tr>
      <w:tr w14:paraId="0CA32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4261" w:type="dxa"/>
          </w:tcPr>
          <w:p w14:paraId="3732105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45CDD44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电路板焊接完成，无短路、虚焊</w:t>
            </w:r>
          </w:p>
        </w:tc>
      </w:tr>
      <w:tr w14:paraId="33915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4261" w:type="dxa"/>
          </w:tcPr>
          <w:p w14:paraId="4B70099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615DA08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焊接完成，检查通过</w:t>
            </w:r>
          </w:p>
        </w:tc>
      </w:tr>
    </w:tbl>
    <w:p w14:paraId="013E8E2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表5-2 搭建功能测试用例（失败-短路）</w:t>
      </w:r>
    </w:p>
    <w:tbl>
      <w:tblPr>
        <w:tblStyle w:val="36"/>
        <w:tblpPr w:leftFromText="180" w:rightFromText="180" w:vertAnchor="text" w:horzAnchor="page" w:tblpX="1793" w:tblpY="94"/>
        <w:tblOverlap w:val="never"/>
        <w:tblW w:w="86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03"/>
        <w:gridCol w:w="4556"/>
      </w:tblGrid>
      <w:tr w14:paraId="75F2E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4103" w:type="dxa"/>
          </w:tcPr>
          <w:p w14:paraId="74E501C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556" w:type="dxa"/>
          </w:tcPr>
          <w:p w14:paraId="14C98E3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电路搭建</w:t>
            </w:r>
          </w:p>
        </w:tc>
      </w:tr>
      <w:tr w14:paraId="26280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trPr>
        <w:tc>
          <w:tcPr>
            <w:tcW w:w="4103" w:type="dxa"/>
          </w:tcPr>
          <w:p w14:paraId="6C1C65F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556" w:type="dxa"/>
          </w:tcPr>
          <w:p w14:paraId="20B5CF0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焊接过程中焊锡连接了相邻不该连接的焊盘</w:t>
            </w:r>
          </w:p>
        </w:tc>
      </w:tr>
      <w:tr w14:paraId="6EA42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4103" w:type="dxa"/>
          </w:tcPr>
          <w:p w14:paraId="54B832F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操作过程</w:t>
            </w:r>
          </w:p>
        </w:tc>
        <w:tc>
          <w:tcPr>
            <w:tcW w:w="4556" w:type="dxa"/>
          </w:tcPr>
          <w:p w14:paraId="3A26718F">
            <w:pPr>
              <w:keepNext w:val="0"/>
              <w:keepLines w:val="0"/>
              <w:pageBreakBefore w:val="0"/>
              <w:widowControl/>
              <w:numPr>
                <w:ilvl w:val="0"/>
                <w:numId w:val="21"/>
              </w:numPr>
              <w:suppressLineNumbers w:val="0"/>
              <w:tabs>
                <w:tab w:val="left" w:pos="287"/>
              </w:tabs>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焊接</w:t>
            </w:r>
          </w:p>
          <w:p w14:paraId="4281E1AC">
            <w:pPr>
              <w:keepNext w:val="0"/>
              <w:keepLines w:val="0"/>
              <w:pageBreakBefore w:val="0"/>
              <w:widowControl/>
              <w:numPr>
                <w:ilvl w:val="0"/>
                <w:numId w:val="21"/>
              </w:numPr>
              <w:suppressLineNumbers w:val="0"/>
              <w:tabs>
                <w:tab w:val="left" w:pos="287"/>
              </w:tabs>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检查发现焊盘间有锡桥</w:t>
            </w:r>
          </w:p>
        </w:tc>
      </w:tr>
      <w:tr w14:paraId="30DB2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4103" w:type="dxa"/>
          </w:tcPr>
          <w:p w14:paraId="42A50EE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556" w:type="dxa"/>
          </w:tcPr>
          <w:p w14:paraId="523B218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搭建不通过，存在短路风险</w:t>
            </w:r>
          </w:p>
        </w:tc>
      </w:tr>
      <w:tr w14:paraId="38E77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4103" w:type="dxa"/>
          </w:tcPr>
          <w:p w14:paraId="66DC172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556" w:type="dxa"/>
          </w:tcPr>
          <w:p w14:paraId="3792076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使用万用表蜂鸣档检测到短路，需修复</w:t>
            </w:r>
          </w:p>
        </w:tc>
      </w:tr>
    </w:tbl>
    <w:p w14:paraId="5674B2F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jc w:val="left"/>
        <w:textAlignment w:val="auto"/>
        <w:rPr>
          <w:rFonts w:hint="default" w:ascii="Times New Roman" w:hAnsi="Times New Roman" w:eastAsia="宋体" w:cs="Times New Roman"/>
          <w:kern w:val="0"/>
          <w:sz w:val="18"/>
          <w:szCs w:val="18"/>
          <w:lang w:val="en-US" w:eastAsia="zh-CN" w:bidi="ar"/>
        </w:rPr>
      </w:pPr>
    </w:p>
    <w:p w14:paraId="4F60527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80" w:firstLineChars="200"/>
        <w:jc w:val="both"/>
        <w:textAlignment w:val="auto"/>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(2)通电测试功能测试，分为两种用例情况：一种是正确通电工作；另一种是通电后无反应。用例信息如表5-3和5-4所示。</w:t>
      </w:r>
    </w:p>
    <w:p w14:paraId="680396B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firstLine="2100" w:firstLineChars="1000"/>
        <w:jc w:val="both"/>
        <w:textAlignment w:val="auto"/>
        <w:rPr>
          <w:rFonts w:hint="default" w:ascii="Times New Roman" w:hAnsi="Times New Roman" w:eastAsia="宋体" w:cs="Times New Roman"/>
          <w:kern w:val="0"/>
          <w:sz w:val="21"/>
          <w:szCs w:val="21"/>
          <w:lang w:val="en-US" w:eastAsia="zh-CN" w:bidi="ar"/>
        </w:rPr>
      </w:pPr>
    </w:p>
    <w:p w14:paraId="372AEFA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firstLine="2100" w:firstLineChars="1000"/>
        <w:jc w:val="both"/>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表5-3 通电测试功能测试用例（成功）</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0E0C5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vAlign w:val="top"/>
          </w:tcPr>
          <w:p w14:paraId="7DA8933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62C9878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通电测试</w:t>
            </w:r>
          </w:p>
        </w:tc>
      </w:tr>
      <w:tr w14:paraId="14B6D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31EE7F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261" w:type="dxa"/>
          </w:tcPr>
          <w:p w14:paraId="22C189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焊接正确的电路板，6V直流电源</w:t>
            </w:r>
          </w:p>
        </w:tc>
      </w:tr>
      <w:tr w14:paraId="683FA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B31C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68BDEFF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4261" w:type="dxa"/>
          </w:tcPr>
          <w:p w14:paraId="57896017">
            <w:pPr>
              <w:keepNext w:val="0"/>
              <w:keepLines w:val="0"/>
              <w:pageBreakBefore w:val="0"/>
              <w:widowControl/>
              <w:numPr>
                <w:ilvl w:val="0"/>
                <w:numId w:val="22"/>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连接电源正负极</w:t>
            </w:r>
          </w:p>
          <w:p w14:paraId="78D32541">
            <w:pPr>
              <w:keepNext w:val="0"/>
              <w:keepLines w:val="0"/>
              <w:pageBreakBefore w:val="0"/>
              <w:widowControl/>
              <w:numPr>
                <w:ilvl w:val="0"/>
                <w:numId w:val="22"/>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接通电源</w:t>
            </w:r>
          </w:p>
        </w:tc>
      </w:tr>
      <w:tr w14:paraId="4B6C2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845AA9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42ABEB5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两个LED交替闪烁</w:t>
            </w:r>
          </w:p>
        </w:tc>
      </w:tr>
      <w:tr w14:paraId="3F789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8F4DF4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7683F1A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LED D1和D2以约7Hz频率交替闪烁，测试通过</w:t>
            </w:r>
          </w:p>
        </w:tc>
      </w:tr>
    </w:tbl>
    <w:p w14:paraId="7A9403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表5-4通电测试功能测试用例（失败-无反应）</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56D09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top"/>
          </w:tcPr>
          <w:p w14:paraId="5EDB7BB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3E5D12B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通电测试</w:t>
            </w:r>
          </w:p>
        </w:tc>
      </w:tr>
      <w:tr w14:paraId="6ABB1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A9569A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261" w:type="dxa"/>
          </w:tcPr>
          <w:p w14:paraId="690DC65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可能存在电源接反、断路或核心元件损坏的电路</w:t>
            </w:r>
          </w:p>
        </w:tc>
      </w:tr>
      <w:tr w14:paraId="505BA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B64B6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3F45D64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4261" w:type="dxa"/>
          </w:tcPr>
          <w:p w14:paraId="1600295D">
            <w:pPr>
              <w:keepNext w:val="0"/>
              <w:keepLines w:val="0"/>
              <w:pageBreakBefore w:val="0"/>
              <w:widowControl/>
              <w:numPr>
                <w:ilvl w:val="0"/>
                <w:numId w:val="23"/>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连接电源</w:t>
            </w:r>
          </w:p>
          <w:p w14:paraId="7CB284B9">
            <w:pPr>
              <w:keepNext w:val="0"/>
              <w:keepLines w:val="0"/>
              <w:pageBreakBefore w:val="0"/>
              <w:widowControl/>
              <w:numPr>
                <w:ilvl w:val="0"/>
                <w:numId w:val="23"/>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接通电源</w:t>
            </w:r>
          </w:p>
        </w:tc>
      </w:tr>
      <w:tr w14:paraId="50F9A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6316F6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1128AB8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电路无任何反应，LED不亮</w:t>
            </w:r>
          </w:p>
        </w:tc>
      </w:tr>
      <w:tr w14:paraId="3BEB5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0EAC75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527F00A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电路板无任何现象，需进入故障排查流程</w:t>
            </w:r>
          </w:p>
        </w:tc>
      </w:tr>
    </w:tbl>
    <w:p w14:paraId="1E0436B9">
      <w:pPr>
        <w:keepNext w:val="0"/>
        <w:keepLines w:val="0"/>
        <w:pageBreakBefore w:val="0"/>
        <w:widowControl/>
        <w:numPr>
          <w:ilvl w:val="0"/>
          <w:numId w:val="24"/>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leftChars="0" w:right="0" w:rightChars="0" w:firstLine="480" w:firstLineChars="200"/>
        <w:jc w:val="left"/>
        <w:textAlignment w:val="auto"/>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频率调节功能测试，进行测试的用例包括：通过更换电容改变频率。用例信息如表5-5所示。</w:t>
      </w:r>
    </w:p>
    <w:p w14:paraId="11240EC9">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表5-5 频率调节功能测试用例</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A673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top"/>
          </w:tcPr>
          <w:p w14:paraId="6F58B89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4CEEA70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频率调节</w:t>
            </w:r>
          </w:p>
        </w:tc>
      </w:tr>
      <w:tr w14:paraId="79647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C46FE1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261" w:type="dxa"/>
          </w:tcPr>
          <w:p w14:paraId="3CBCD63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正常工作的电路，22μF电解电容两个</w:t>
            </w:r>
          </w:p>
        </w:tc>
      </w:tr>
      <w:tr w14:paraId="2EA06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1490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793638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4261" w:type="dxa"/>
          </w:tcPr>
          <w:p w14:paraId="72DCD3DA">
            <w:pPr>
              <w:keepNext w:val="0"/>
              <w:keepLines w:val="0"/>
              <w:pageBreakBefore w:val="0"/>
              <w:widowControl/>
              <w:numPr>
                <w:ilvl w:val="0"/>
                <w:numId w:val="25"/>
              </w:numPr>
              <w:suppressLineNumbers w:val="0"/>
              <w:kinsoku/>
              <w:wordWrap/>
              <w:overflowPunct/>
              <w:topLinePunct w:val="0"/>
              <w:autoSpaceDE/>
              <w:autoSpaceDN/>
              <w:bidi w:val="0"/>
              <w:adjustRightInd/>
              <w:snapToGrid/>
              <w:spacing w:before="0" w:beforeAutospacing="0" w:after="0" w:afterAutospacing="0" w:line="440" w:lineRule="exact"/>
              <w:ind w:left="525" w:leftChars="0" w:right="0" w:rightChars="0" w:firstLine="0" w:firstLine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断开电源</w:t>
            </w:r>
          </w:p>
          <w:p w14:paraId="2B043BC4">
            <w:pPr>
              <w:keepNext w:val="0"/>
              <w:keepLines w:val="0"/>
              <w:pageBreakBefore w:val="0"/>
              <w:widowControl/>
              <w:numPr>
                <w:ilvl w:val="0"/>
                <w:numId w:val="25"/>
              </w:numPr>
              <w:suppressLineNumbers w:val="0"/>
              <w:kinsoku/>
              <w:wordWrap/>
              <w:overflowPunct/>
              <w:topLinePunct w:val="0"/>
              <w:autoSpaceDE/>
              <w:autoSpaceDN/>
              <w:bidi w:val="0"/>
              <w:adjustRightInd/>
              <w:snapToGrid/>
              <w:spacing w:before="0" w:beforeAutospacing="0" w:after="0" w:afterAutospacing="0" w:line="440" w:lineRule="exact"/>
              <w:ind w:left="525" w:leftChars="0" w:right="0" w:rightChars="0" w:firstLine="0" w:firstLine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拆下原C1, C2 (10μF)</w:t>
            </w:r>
          </w:p>
          <w:p w14:paraId="5849F19F">
            <w:pPr>
              <w:keepNext w:val="0"/>
              <w:keepLines w:val="0"/>
              <w:pageBreakBefore w:val="0"/>
              <w:widowControl/>
              <w:numPr>
                <w:ilvl w:val="0"/>
                <w:numId w:val="25"/>
              </w:numPr>
              <w:suppressLineNumbers w:val="0"/>
              <w:kinsoku/>
              <w:wordWrap/>
              <w:overflowPunct/>
              <w:topLinePunct w:val="0"/>
              <w:autoSpaceDE/>
              <w:autoSpaceDN/>
              <w:bidi w:val="0"/>
              <w:adjustRightInd/>
              <w:snapToGrid/>
              <w:spacing w:before="0" w:beforeAutospacing="0" w:after="0" w:afterAutospacing="0" w:line="440" w:lineRule="exact"/>
              <w:ind w:left="525" w:leftChars="0" w:right="0" w:rightChars="0" w:firstLine="0" w:firstLine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焊上新的C1, C2 (22μF)</w:t>
            </w:r>
          </w:p>
          <w:p w14:paraId="2FCB108A">
            <w:pPr>
              <w:keepNext w:val="0"/>
              <w:keepLines w:val="0"/>
              <w:pageBreakBefore w:val="0"/>
              <w:widowControl/>
              <w:numPr>
                <w:ilvl w:val="0"/>
                <w:numId w:val="25"/>
              </w:numPr>
              <w:suppressLineNumbers w:val="0"/>
              <w:kinsoku/>
              <w:wordWrap/>
              <w:overflowPunct/>
              <w:topLinePunct w:val="0"/>
              <w:autoSpaceDE/>
              <w:autoSpaceDN/>
              <w:bidi w:val="0"/>
              <w:adjustRightInd/>
              <w:snapToGrid/>
              <w:spacing w:before="0" w:beforeAutospacing="0" w:after="0" w:afterAutospacing="0" w:line="440" w:lineRule="exact"/>
              <w:ind w:left="525" w:leftChars="0" w:right="0" w:rightChars="0" w:firstLine="0" w:firstLine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通电观察</w:t>
            </w:r>
          </w:p>
        </w:tc>
      </w:tr>
      <w:tr w14:paraId="7B629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4E7B63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595B00B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LED闪烁频率明显变慢</w:t>
            </w:r>
          </w:p>
        </w:tc>
      </w:tr>
      <w:tr w14:paraId="35671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36DEC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31FA291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闪烁周期变长，频率约降至3.2Hz，调节成功</w:t>
            </w:r>
          </w:p>
        </w:tc>
      </w:tr>
    </w:tbl>
    <w:p w14:paraId="0AA42A95">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right="0" w:rightChars="0" w:firstLine="480" w:firstLineChars="200"/>
        <w:jc w:val="left"/>
        <w:textAlignment w:val="auto"/>
        <w:rPr>
          <w:rFonts w:hint="default" w:ascii="Times New Roman" w:hAnsi="Times New Roman" w:eastAsia="宋体" w:cs="Times New Roman"/>
          <w:kern w:val="0"/>
          <w:sz w:val="24"/>
          <w:szCs w:val="24"/>
          <w:lang w:val="en-US" w:eastAsia="zh-CN" w:bidi="ar"/>
        </w:rPr>
      </w:pPr>
    </w:p>
    <w:p w14:paraId="360DAABA">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leftChars="0" w:right="0" w:rightChars="0" w:firstLine="240" w:firstLineChars="100"/>
        <w:jc w:val="both"/>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4"/>
          <w:szCs w:val="24"/>
          <w:lang w:val="en-US" w:eastAsia="zh-CN" w:bidi="ar"/>
        </w:rPr>
        <w:t>(</w:t>
      </w:r>
      <w:r>
        <w:rPr>
          <w:rFonts w:hint="eastAsia" w:ascii="Times New Roman" w:hAnsi="Times New Roman" w:eastAsia="宋体" w:cs="Times New Roman"/>
          <w:kern w:val="0"/>
          <w:sz w:val="24"/>
          <w:szCs w:val="24"/>
          <w:lang w:val="en-US" w:eastAsia="zh-CN" w:bidi="ar"/>
        </w:rPr>
        <w:t>4</w:t>
      </w:r>
      <w:r>
        <w:rPr>
          <w:rFonts w:hint="default" w:ascii="Times New Roman" w:hAnsi="Times New Roman" w:eastAsia="宋体" w:cs="Times New Roman"/>
          <w:kern w:val="0"/>
          <w:sz w:val="24"/>
          <w:szCs w:val="24"/>
          <w:lang w:val="en-US" w:eastAsia="zh-CN" w:bidi="ar"/>
        </w:rPr>
        <w:t>)</w:t>
      </w:r>
      <w:r>
        <w:rPr>
          <w:rFonts w:hint="eastAsia" w:ascii="Times New Roman" w:hAnsi="Times New Roman" w:eastAsia="宋体" w:cs="Times New Roman"/>
          <w:kern w:val="0"/>
          <w:sz w:val="24"/>
          <w:szCs w:val="24"/>
          <w:lang w:val="en-US" w:eastAsia="zh-CN" w:bidi="ar"/>
        </w:rPr>
        <w:t xml:space="preserve"> </w:t>
      </w:r>
      <w:r>
        <w:rPr>
          <w:rFonts w:hint="default" w:ascii="Times New Roman" w:hAnsi="Times New Roman" w:eastAsia="宋体" w:cs="Times New Roman"/>
          <w:kern w:val="0"/>
          <w:sz w:val="24"/>
          <w:szCs w:val="24"/>
          <w:lang w:val="en-US" w:eastAsia="zh-CN" w:bidi="ar"/>
        </w:rPr>
        <w:t>参数测量功能测试，进行测试的用例包括：测量LED电流和集电极电压。用例信息如表5-6和表5-7所示。</w:t>
      </w:r>
    </w:p>
    <w:p w14:paraId="3D6C3C95">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right="0" w:rightChars="0" w:firstLine="1200" w:firstLineChars="500"/>
        <w:jc w:val="both"/>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4"/>
          <w:szCs w:val="24"/>
          <w:lang w:val="en-US" w:eastAsia="zh-CN" w:bidi="ar"/>
        </w:rPr>
        <w:t xml:space="preserve">           </w:t>
      </w:r>
      <w:r>
        <w:rPr>
          <w:rFonts w:hint="default" w:ascii="Times New Roman" w:hAnsi="Times New Roman" w:eastAsia="宋体" w:cs="Times New Roman"/>
          <w:kern w:val="0"/>
          <w:sz w:val="21"/>
          <w:szCs w:val="21"/>
          <w:lang w:val="en-US" w:eastAsia="zh-CN" w:bidi="ar"/>
        </w:rPr>
        <w:t>表5-6 测量LED电流功能测试用例</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104D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top"/>
          </w:tcPr>
          <w:p w14:paraId="336F6FC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602DFD4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测量LED工作电流</w:t>
            </w:r>
          </w:p>
        </w:tc>
      </w:tr>
      <w:tr w14:paraId="39B8E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015DA5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261" w:type="dxa"/>
          </w:tcPr>
          <w:p w14:paraId="0A7C499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正常闪烁的电路，万用表（电流档）</w:t>
            </w:r>
          </w:p>
        </w:tc>
      </w:tr>
      <w:tr w14:paraId="440C6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DBAC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05602E2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4261" w:type="dxa"/>
          </w:tcPr>
          <w:p w14:paraId="03B985BA">
            <w:pPr>
              <w:keepNext w:val="0"/>
              <w:keepLines w:val="0"/>
              <w:pageBreakBefore w:val="0"/>
              <w:widowControl/>
              <w:numPr>
                <w:ilvl w:val="0"/>
                <w:numId w:val="26"/>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断电，断开某LED通路</w:t>
            </w:r>
          </w:p>
          <w:p w14:paraId="3F816FD9">
            <w:pPr>
              <w:keepNext w:val="0"/>
              <w:keepLines w:val="0"/>
              <w:pageBreakBefore w:val="0"/>
              <w:widowControl/>
              <w:numPr>
                <w:ilvl w:val="0"/>
                <w:numId w:val="26"/>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万用表串入该通路</w:t>
            </w:r>
          </w:p>
          <w:p w14:paraId="59463D86">
            <w:pPr>
              <w:keepNext w:val="0"/>
              <w:keepLines w:val="0"/>
              <w:pageBreakBefore w:val="0"/>
              <w:widowControl/>
              <w:numPr>
                <w:ilvl w:val="0"/>
                <w:numId w:val="26"/>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通电读数</w:t>
            </w:r>
          </w:p>
        </w:tc>
      </w:tr>
      <w:tr w14:paraId="0A87C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AE35E8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4E04A1A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电流值在5-15mA合理范围内</w:t>
            </w:r>
          </w:p>
        </w:tc>
      </w:tr>
      <w:tr w14:paraId="5D427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471E19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43455C3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测得电流约为8.5mA，符合设计预期</w:t>
            </w:r>
          </w:p>
        </w:tc>
      </w:tr>
    </w:tbl>
    <w:p w14:paraId="658940E4">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表5-7 测量集电极电压功能测试用例</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D1D5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vAlign w:val="top"/>
          </w:tcPr>
          <w:p w14:paraId="522A329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4261" w:type="dxa"/>
          </w:tcPr>
          <w:p w14:paraId="14503D5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测量三极管集电极对地电压</w:t>
            </w:r>
          </w:p>
        </w:tc>
      </w:tr>
      <w:tr w14:paraId="5135E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7C8209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4261" w:type="dxa"/>
          </w:tcPr>
          <w:p w14:paraId="579D0F1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正常闪烁的电路，万用表（电压档）</w:t>
            </w:r>
          </w:p>
        </w:tc>
      </w:tr>
      <w:tr w14:paraId="145F1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6C33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6D88E22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4261" w:type="dxa"/>
          </w:tcPr>
          <w:p w14:paraId="0AF7E7AE">
            <w:pPr>
              <w:keepNext w:val="0"/>
              <w:keepLines w:val="0"/>
              <w:pageBreakBefore w:val="0"/>
              <w:widowControl/>
              <w:numPr>
                <w:ilvl w:val="0"/>
                <w:numId w:val="27"/>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黑表笔接地，红表笔接Q1集电极</w:t>
            </w:r>
          </w:p>
          <w:p w14:paraId="219C4D00">
            <w:pPr>
              <w:keepNext w:val="0"/>
              <w:keepLines w:val="0"/>
              <w:pageBreakBefore w:val="0"/>
              <w:widowControl/>
              <w:numPr>
                <w:ilvl w:val="0"/>
                <w:numId w:val="27"/>
              </w:numPr>
              <w:suppressLineNumbers w:val="0"/>
              <w:kinsoku/>
              <w:wordWrap/>
              <w:overflowPunct/>
              <w:topLinePunct w:val="0"/>
              <w:autoSpaceDE/>
              <w:autoSpaceDN/>
              <w:bidi w:val="0"/>
              <w:adjustRightInd/>
              <w:snapToGrid/>
              <w:spacing w:before="0" w:beforeAutospacing="0" w:after="0" w:afterAutospacing="0" w:line="440" w:lineRule="exact"/>
              <w:ind w:left="420" w:leftChars="200" w:right="0" w:rightChars="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观察读数变化</w:t>
            </w:r>
          </w:p>
        </w:tc>
      </w:tr>
      <w:tr w14:paraId="08133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D3E301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4261" w:type="dxa"/>
          </w:tcPr>
          <w:p w14:paraId="424608F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电压在高电平（~VCC）和低电平（~0.2V）间周期性跳变</w:t>
            </w:r>
          </w:p>
        </w:tc>
      </w:tr>
      <w:tr w14:paraId="070D4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6ED5F1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4261" w:type="dxa"/>
          </w:tcPr>
          <w:p w14:paraId="4358E41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电压在5.8V和0.15V之间跳变，状态正常</w:t>
            </w:r>
          </w:p>
        </w:tc>
      </w:tr>
    </w:tbl>
    <w:p w14:paraId="22743FF3">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leftChars="0" w:right="0" w:rightChars="0" w:firstLine="480" w:firstLineChars="200"/>
        <w:jc w:val="left"/>
        <w:textAlignment w:val="auto"/>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（5）故障排查功能测试，进行测试的用例包括：LED常亮故障排查。具体的测试信息如表5-8所示。</w:t>
      </w:r>
    </w:p>
    <w:p w14:paraId="0FC25D83">
      <w:pPr>
        <w:keepNext w:val="0"/>
        <w:keepLines w:val="0"/>
        <w:pageBreakBefore w:val="0"/>
        <w:widowControl/>
        <w:numPr>
          <w:ilvl w:val="0"/>
          <w:numId w:val="0"/>
        </w:numPr>
        <w:suppressLineNumbers w:val="0"/>
        <w:tabs>
          <w:tab w:val="left" w:pos="1937"/>
        </w:tabs>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center"/>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表5-8故障排查测试功能用例 (LED D1 常亮)</w:t>
      </w:r>
    </w:p>
    <w:tbl>
      <w:tblPr>
        <w:tblStyle w:val="36"/>
        <w:tblW w:w="88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71"/>
        <w:gridCol w:w="5620"/>
      </w:tblGrid>
      <w:tr w14:paraId="0D8C9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71" w:type="dxa"/>
            <w:vAlign w:val="top"/>
          </w:tcPr>
          <w:p w14:paraId="2FE29B9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功能测试</w:t>
            </w:r>
          </w:p>
        </w:tc>
        <w:tc>
          <w:tcPr>
            <w:tcW w:w="5620" w:type="dxa"/>
          </w:tcPr>
          <w:p w14:paraId="29AE966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故障排查：LED D1常亮 </w:t>
            </w:r>
          </w:p>
        </w:tc>
      </w:tr>
      <w:tr w14:paraId="1DF3E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1" w:type="dxa"/>
          </w:tcPr>
          <w:p w14:paraId="335D968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输入/条件</w:t>
            </w:r>
          </w:p>
        </w:tc>
        <w:tc>
          <w:tcPr>
            <w:tcW w:w="5620" w:type="dxa"/>
          </w:tcPr>
          <w:p w14:paraId="3ED2A02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 xml:space="preserve"> 电路通电后，LED D1常亮，D2不亮也不闪</w:t>
            </w:r>
          </w:p>
        </w:tc>
      </w:tr>
      <w:tr w14:paraId="23A04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1" w:type="dxa"/>
          </w:tcPr>
          <w:p w14:paraId="5AFCB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exact"/>
              <w:ind w:left="0" w:right="0" w:firstLine="420" w:firstLineChars="200"/>
              <w:jc w:val="left"/>
              <w:textAlignment w:val="auto"/>
              <w:rPr>
                <w:rFonts w:hint="default" w:ascii="Times New Roman" w:hAnsi="Times New Roman" w:eastAsia="宋体" w:cs="Times New Roman"/>
                <w:kern w:val="0"/>
                <w:sz w:val="21"/>
                <w:szCs w:val="21"/>
                <w:lang w:val="en-US" w:eastAsia="zh-CN" w:bidi="ar"/>
              </w:rPr>
            </w:pPr>
            <w:r>
              <w:rPr>
                <w:rFonts w:hint="default" w:ascii="Times New Roman" w:hAnsi="Times New Roman" w:eastAsia="宋体" w:cs="Times New Roman"/>
                <w:kern w:val="0"/>
                <w:sz w:val="21"/>
                <w:szCs w:val="21"/>
                <w:lang w:val="en-US" w:eastAsia="zh-CN" w:bidi="ar"/>
              </w:rPr>
              <w:t>操作过程</w:t>
            </w:r>
          </w:p>
          <w:p w14:paraId="59FB3C2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p>
        </w:tc>
        <w:tc>
          <w:tcPr>
            <w:tcW w:w="5620" w:type="dxa"/>
          </w:tcPr>
          <w:p w14:paraId="5154A5CD">
            <w:pPr>
              <w:keepNext w:val="0"/>
              <w:keepLines w:val="0"/>
              <w:pageBreakBefore w:val="0"/>
              <w:widowControl/>
              <w:numPr>
                <w:ilvl w:val="0"/>
                <w:numId w:val="28"/>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测量Q1集电极电压，为低电平（~0.2V）</w:t>
            </w:r>
          </w:p>
          <w:p w14:paraId="4606519F">
            <w:pPr>
              <w:keepNext w:val="0"/>
              <w:keepLines w:val="0"/>
              <w:pageBreakBefore w:val="0"/>
              <w:widowControl/>
              <w:numPr>
                <w:ilvl w:val="0"/>
                <w:numId w:val="28"/>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测量Q2集电极电压，为高电平（~VCC），不变化</w:t>
            </w:r>
          </w:p>
          <w:p w14:paraId="0607FE41">
            <w:pPr>
              <w:keepNext w:val="0"/>
              <w:keepLines w:val="0"/>
              <w:pageBreakBefore w:val="0"/>
              <w:widowControl/>
              <w:numPr>
                <w:ilvl w:val="0"/>
                <w:numId w:val="28"/>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怀疑C2损坏或Q2不导通</w:t>
            </w:r>
          </w:p>
          <w:p w14:paraId="78DA5B05">
            <w:pPr>
              <w:keepNext w:val="0"/>
              <w:keepLines w:val="0"/>
              <w:pageBreakBefore w:val="0"/>
              <w:widowControl/>
              <w:numPr>
                <w:ilvl w:val="0"/>
                <w:numId w:val="28"/>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断电，测量C2是否短路，更换C2</w:t>
            </w:r>
          </w:p>
          <w:p w14:paraId="573D8065">
            <w:pPr>
              <w:keepNext w:val="0"/>
              <w:keepLines w:val="0"/>
              <w:pageBreakBefore w:val="0"/>
              <w:widowControl/>
              <w:numPr>
                <w:ilvl w:val="0"/>
                <w:numId w:val="28"/>
              </w:numPr>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通电测试</w:t>
            </w:r>
          </w:p>
        </w:tc>
      </w:tr>
      <w:tr w14:paraId="5D9DF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1" w:type="dxa"/>
          </w:tcPr>
          <w:p w14:paraId="34A9B28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预期结果</w:t>
            </w:r>
          </w:p>
        </w:tc>
        <w:tc>
          <w:tcPr>
            <w:tcW w:w="5620" w:type="dxa"/>
          </w:tcPr>
          <w:p w14:paraId="79588B1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故障排除，电路恢复正常交替闪烁</w:t>
            </w:r>
          </w:p>
        </w:tc>
      </w:tr>
      <w:tr w14:paraId="1D6D3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1" w:type="dxa"/>
          </w:tcPr>
          <w:p w14:paraId="7C42473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实际结果</w:t>
            </w:r>
          </w:p>
        </w:tc>
        <w:tc>
          <w:tcPr>
            <w:tcW w:w="5620" w:type="dxa"/>
          </w:tcPr>
          <w:p w14:paraId="724D1CA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40" w:lineRule="exact"/>
              <w:ind w:left="0" w:right="0" w:rightChars="0" w:firstLine="420" w:firstLineChars="200"/>
              <w:jc w:val="left"/>
              <w:textAlignment w:val="auto"/>
              <w:rPr>
                <w:rFonts w:hint="default" w:ascii="Times New Roman" w:hAnsi="Times New Roman" w:eastAsia="宋体" w:cs="Times New Roman"/>
                <w:kern w:val="0"/>
                <w:sz w:val="21"/>
                <w:szCs w:val="21"/>
                <w:vertAlign w:val="baseline"/>
                <w:lang w:val="en-US" w:eastAsia="zh-CN" w:bidi="ar"/>
              </w:rPr>
            </w:pPr>
            <w:r>
              <w:rPr>
                <w:rFonts w:hint="default" w:ascii="Times New Roman" w:hAnsi="Times New Roman" w:eastAsia="宋体" w:cs="Times New Roman"/>
                <w:kern w:val="0"/>
                <w:sz w:val="21"/>
                <w:szCs w:val="21"/>
                <w:vertAlign w:val="baseline"/>
                <w:lang w:val="en-US" w:eastAsia="zh-CN" w:bidi="ar"/>
              </w:rPr>
              <w:t>更换C2后，电路恢复正常工作，测试通过</w:t>
            </w:r>
          </w:p>
        </w:tc>
      </w:tr>
    </w:tbl>
    <w:p w14:paraId="0A891369">
      <w:pPr>
        <w:keepNext/>
        <w:keepLines/>
        <w:pageBreakBefore w:val="0"/>
        <w:widowControl w:val="0"/>
        <w:kinsoku/>
        <w:wordWrap/>
        <w:overflowPunct/>
        <w:topLinePunct w:val="0"/>
        <w:autoSpaceDE/>
        <w:autoSpaceDN/>
        <w:bidi w:val="0"/>
        <w:adjustRightInd/>
        <w:snapToGrid/>
        <w:spacing w:line="440" w:lineRule="exact"/>
        <w:jc w:val="left"/>
        <w:textAlignment w:val="auto"/>
        <w:outlineLvl w:val="9"/>
        <w:rPr>
          <w:rFonts w:hint="default" w:ascii="Times New Roman" w:hAnsi="Times New Roman" w:eastAsia="宋体" w:cs="Times New Roman"/>
          <w:b/>
          <w:bCs/>
          <w:kern w:val="44"/>
          <w:sz w:val="28"/>
          <w:szCs w:val="44"/>
          <w:lang w:val="en-US" w:eastAsia="zh-CN" w:bidi="ar-SA"/>
        </w:rPr>
      </w:pPr>
      <w:bookmarkStart w:id="1862" w:name="_Toc13131"/>
      <w:bookmarkStart w:id="1863" w:name="_Toc385"/>
      <w:bookmarkStart w:id="1864" w:name="_Toc15581"/>
      <w:r>
        <w:rPr>
          <w:rFonts w:hint="default" w:ascii="Times New Roman" w:hAnsi="Times New Roman" w:eastAsia="宋体" w:cs="Times New Roman"/>
          <w:b/>
          <w:bCs/>
          <w:kern w:val="44"/>
          <w:sz w:val="28"/>
          <w:szCs w:val="44"/>
          <w:lang w:val="en-US" w:eastAsia="zh-CN" w:bidi="ar-SA"/>
        </w:rPr>
        <w:t>6</w:t>
      </w:r>
      <w:bookmarkStart w:id="1865" w:name="_Toc91669975"/>
      <w:r>
        <w:rPr>
          <w:rFonts w:hint="eastAsia" w:ascii="Times New Roman" w:hAnsi="Times New Roman" w:eastAsia="宋体" w:cs="Times New Roman"/>
          <w:b/>
          <w:bCs/>
          <w:kern w:val="44"/>
          <w:sz w:val="28"/>
          <w:szCs w:val="44"/>
          <w:lang w:val="en-US" w:eastAsia="zh-CN" w:bidi="ar-SA"/>
        </w:rPr>
        <w:t xml:space="preserve"> </w:t>
      </w:r>
      <w:r>
        <w:rPr>
          <w:rFonts w:hint="default" w:ascii="Times New Roman" w:hAnsi="Times New Roman" w:eastAsia="宋体" w:cs="Times New Roman"/>
          <w:b/>
          <w:bCs/>
          <w:kern w:val="44"/>
          <w:sz w:val="28"/>
          <w:szCs w:val="44"/>
          <w:lang w:val="en-US" w:eastAsia="zh-CN" w:bidi="ar-SA"/>
        </w:rPr>
        <w:t>总结</w:t>
      </w:r>
      <w:bookmarkEnd w:id="1862"/>
      <w:bookmarkEnd w:id="1863"/>
      <w:bookmarkEnd w:id="1864"/>
      <w:bookmarkEnd w:id="1865"/>
    </w:p>
    <w:p w14:paraId="57F5A1B1">
      <w:pPr>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简易闪光电路的设计与实现是由各个阶段逐步进行的，主要有团队建设、需求分析、系统设计与实现，其中需求分析主要进行了功能分析和性能分析，并使用图表进行更为直观的进一步表示，是系统设计与实现过程中基础的重要的一步</w:t>
      </w:r>
      <w:r>
        <w:rPr>
          <w:rFonts w:hint="eastAsia" w:ascii="Times New Roman" w:hAnsi="Times New Roman" w:eastAsia="宋体" w:cs="Times New Roman"/>
          <w:sz w:val="24"/>
          <w:vertAlign w:val="superscript"/>
          <w:lang w:val="en-US" w:eastAsia="zh-CN"/>
        </w:rPr>
        <w:t>[11]</w:t>
      </w:r>
      <w:r>
        <w:rPr>
          <w:rFonts w:hint="default" w:ascii="Times New Roman" w:hAnsi="Times New Roman" w:eastAsia="宋体" w:cs="Times New Roman"/>
          <w:sz w:val="24"/>
        </w:rPr>
        <w:t>。系统设计阶段主要通过电路拓扑的选择、设计原则、系统架构、功能模块等方面进行对该闪光电路的设计，采用经典的分离元件多谐振荡器方案进行后续的开发及实现，并提出相应的参数计算方法。详细设计通过原理图、布局图和参数表的形式进行说明。本文采用的电路仿真平台是Multisim，再结合理论计算，为后续的搭建、测试和调节提供了依据。</w:t>
      </w:r>
    </w:p>
    <w:p w14:paraId="622E84C5">
      <w:pPr>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本系统结合经典的分离元件电路，采用对称的双晶体管多谐振荡器结构实现两个LED的交替闪烁，通过更换元件实现频率调节。利用示波器、万用表等仪器对电路工作状态进行定量测量，使抽象的理论变得具体和可验证。不过，电路的频率精度和稳定性受元件参数偏差和温度影响较大。当前使用的公式是近似计算，所以实际频率与理论值可能存在偏差，后期可以考虑使用555定时器等集成电路来获得更稳定、更易调节的频率。另外，元件为固定参数，可考虑加入电位器以实现频率的无级连续调节，使实验更加灵活。</w:t>
      </w:r>
    </w:p>
    <w:p w14:paraId="5368B4B7">
      <w:pPr>
        <w:spacing w:line="440" w:lineRule="exact"/>
        <w:ind w:firstLine="480" w:firstLineChars="200"/>
        <w:rPr>
          <w:rFonts w:hint="eastAsia" w:asciiTheme="minorEastAsia" w:hAnsiTheme="minorEastAsia" w:eastAsiaTheme="minorEastAsia"/>
          <w:sz w:val="24"/>
        </w:rPr>
      </w:pPr>
      <w:r>
        <w:rPr>
          <w:rFonts w:hint="default" w:ascii="Times New Roman" w:hAnsi="Times New Roman" w:eastAsia="宋体" w:cs="Times New Roman"/>
          <w:sz w:val="24"/>
        </w:rPr>
        <w:t>总体来说，本简易闪光电路采用了经典的双晶体管无稳态多谐振荡器拓扑，使学习者能从硬件层面理解振荡的产生、晶体管的开关以及电容的充放电，提高了知识的可触摸性。设计的系统包含电源模块、振荡核心模块、负载指示模块，结构清晰，原理典型，易于成功，教学效果显著。</w:t>
      </w:r>
    </w:p>
    <w:p w14:paraId="69B6E9BF">
      <w:pPr>
        <w:pStyle w:val="3"/>
        <w:rPr>
          <w:sz w:val="28"/>
          <w:szCs w:val="28"/>
        </w:rPr>
        <w:sectPr>
          <w:headerReference r:id="rId5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E756D0E">
      <w:pPr>
        <w:spacing w:line="440" w:lineRule="exact"/>
        <w:ind w:firstLine="3373" w:firstLineChars="1200"/>
        <w:jc w:val="both"/>
        <w:rPr>
          <w:rFonts w:hint="eastAsia"/>
          <w:b/>
          <w:bCs/>
          <w:sz w:val="28"/>
          <w:szCs w:val="28"/>
        </w:rPr>
      </w:pPr>
      <w:r>
        <w:rPr>
          <w:rFonts w:hint="eastAsia"/>
          <w:b/>
          <w:bCs/>
          <w:sz w:val="28"/>
          <w:szCs w:val="28"/>
        </w:rPr>
        <w:t>参考文献</w:t>
      </w:r>
    </w:p>
    <w:p w14:paraId="382A1B9D">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康华光，张林. 电子技术基础（模拟部分）[M]. 第七版. 北京：高等教育出版社，2023.</w:t>
      </w:r>
    </w:p>
    <w:p w14:paraId="7FAE651C">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童诗白，华成英. 模拟电子技术基础[M]. 第六版. 北京：高等教育出版社，2021.</w:t>
      </w:r>
    </w:p>
    <w:p w14:paraId="4407ACB8">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王冠，李静. 基于Multisim的无稳态多谐振荡器设计与仿真分析[J]. 电子技术与软件工程，2023(14): 92-95.</w:t>
      </w:r>
    </w:p>
    <w:p w14:paraId="5C0E84E8">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刘伟，张明. 分离元件闪光电路的教学设计与实践研究[J]. 实验室研究与探索，2022, 41(5): 112-115.</w:t>
      </w:r>
    </w:p>
    <w:p w14:paraId="43AAE812">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陈昊，杨帆. 基于晶体管的多谐振荡器频率稳定性改进方法[J]. 现代电子技术，2021, 44(18): 45-48.</w:t>
      </w:r>
    </w:p>
    <w:p w14:paraId="16C0ACCC">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赵欣，孙磊. 开源硬件平台下的电子实验教学设计——以闪光电路为例[J]. 电气电子教学学报，2020, 42(6): 134-137.</w:t>
      </w:r>
    </w:p>
    <w:p w14:paraId="38C7BB55">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Horowitz P, Hill W. The Art of Electronics: The x-Chapters[M]. Cambridge: Cambridge University Press, 2020.</w:t>
      </w:r>
    </w:p>
    <w:p w14:paraId="5D4D598F">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胡涛，周敏. 电子电路故障诊断与实验教学融合路径研究[J]. 实验技术与管理，2024, 41(2): 178-182.</w:t>
      </w:r>
    </w:p>
    <w:p w14:paraId="73583FC8">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郑阳，吴昊. 基于Proteus的模拟电路虚拟实验平台构建与应用[J]. 计算机仿真，2023, 40(7): 201-205.</w:t>
      </w:r>
    </w:p>
    <w:p w14:paraId="4C8476BD">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林峰，徐强. 双晶体管振荡电路参数优化与温漂抑制[J]. 电子器件，2022, 45(3): 567-571.</w:t>
      </w:r>
    </w:p>
    <w:p w14:paraId="3C6B9378">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黄俊，马超. 面向工程教育认证的电子技术实验项目设计——以多谐振荡器为例[J]. 高等工程教育研究，2021(增刊): 89-92.</w:t>
      </w:r>
    </w:p>
    <w:p w14:paraId="5F56C3E5">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韩雪，宋扬. 基于STM32的可编程闪光信号发生器设计[J]. 单片机与嵌入式系统应用，2020, 20(11): 34-37.</w:t>
      </w:r>
    </w:p>
    <w:p w14:paraId="53C09CB8">
      <w:pPr>
        <w:keepNext w:val="0"/>
        <w:keepLines w:val="0"/>
        <w:pageBreakBefore w:val="0"/>
        <w:widowControl w:val="0"/>
        <w:numPr>
          <w:ilvl w:val="0"/>
          <w:numId w:val="29"/>
        </w:numPr>
        <w:kinsoku/>
        <w:wordWrap w:val="0"/>
        <w:overflowPunct/>
        <w:topLinePunct w:val="0"/>
        <w:autoSpaceDE/>
        <w:autoSpaceDN/>
        <w:bidi w:val="0"/>
        <w:adjustRightInd/>
        <w:snapToGrid/>
        <w:spacing w:line="440" w:lineRule="exact"/>
        <w:ind w:left="420" w:leftChars="0" w:hanging="420" w:hangingChars="200"/>
        <w:jc w:val="both"/>
        <w:textAlignment w:val="auto"/>
        <w:rPr>
          <w:rFonts w:hint="default" w:ascii="Times New Roman" w:hAnsi="Times New Roman" w:cs="Times New Roman" w:eastAsiaTheme="majorEastAsia"/>
          <w:sz w:val="21"/>
          <w:szCs w:val="21"/>
        </w:rPr>
      </w:pPr>
      <w:r>
        <w:rPr>
          <w:rFonts w:hint="default" w:ascii="Times New Roman" w:hAnsi="Times New Roman" w:cs="Times New Roman" w:eastAsiaTheme="majorEastAsia"/>
          <w:sz w:val="21"/>
          <w:szCs w:val="21"/>
        </w:rPr>
        <w:t>肖建国，刘洋. 电子技术基础实验教程（新工科系列）[M]. 北京：机械工业出版社，2023.</w:t>
      </w:r>
    </w:p>
    <w:p w14:paraId="37908B82">
      <w:p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C318C68">
      <w:pPr>
        <w:pStyle w:val="3"/>
        <w:bidi w:val="0"/>
        <w:rPr>
          <w:rFonts w:hint="eastAsia"/>
        </w:rPr>
      </w:pPr>
      <w:bookmarkStart w:id="1866" w:name="_Toc16172"/>
      <w:bookmarkStart w:id="1867" w:name="_Toc15322"/>
      <w:r>
        <w:rPr>
          <w:rFonts w:hint="eastAsia"/>
          <w:lang w:val="en-US" w:eastAsia="zh-CN"/>
        </w:rPr>
        <w:t>4. 数字钟的PCB</w:t>
      </w:r>
      <w:r>
        <w:rPr>
          <w:rFonts w:hint="eastAsia"/>
        </w:rPr>
        <w:t>设计与</w:t>
      </w:r>
      <w:r>
        <w:rPr>
          <w:rFonts w:hint="eastAsia"/>
          <w:lang w:val="en-US" w:eastAsia="zh-CN"/>
        </w:rPr>
        <w:t>实现</w:t>
      </w:r>
      <w:bookmarkEnd w:id="1866"/>
      <w:bookmarkEnd w:id="1867"/>
    </w:p>
    <w:tbl>
      <w:tblPr>
        <w:tblStyle w:val="57"/>
        <w:tblW w:w="852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752C34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322344C">
            <w:pPr>
              <w:jc w:val="left"/>
              <w:outlineLvl w:val="0"/>
              <w:rPr>
                <w:rFonts w:hint="eastAsia" w:ascii="Calibri" w:hAnsi="Calibri" w:eastAsia="黑体" w:cs="Times New Roman"/>
                <w:szCs w:val="21"/>
                <w:lang w:eastAsia="zh-CN"/>
              </w:rPr>
            </w:pPr>
            <w:bookmarkStart w:id="1868" w:name="_Toc20543"/>
            <w:bookmarkStart w:id="1869" w:name="_Toc22748"/>
            <w:r>
              <w:rPr>
                <w:rFonts w:hint="eastAsia" w:ascii="Calibri" w:hAnsi="Calibri" w:eastAsia="黑体" w:cs="Times New Roman"/>
                <w:sz w:val="24"/>
              </w:rPr>
              <w:t>项目主题：</w:t>
            </w:r>
            <w:r>
              <w:rPr>
                <w:rFonts w:hint="eastAsia" w:ascii="Calibri" w:hAnsi="Calibri" w:eastAsia="黑体" w:cs="Times New Roman"/>
                <w:sz w:val="24"/>
                <w:lang w:val="en-US" w:eastAsia="zh-CN"/>
              </w:rPr>
              <w:t xml:space="preserve"> 数字钟的PCB</w:t>
            </w:r>
            <w:r>
              <w:rPr>
                <w:rFonts w:hint="eastAsia" w:ascii="Calibri" w:hAnsi="Calibri" w:eastAsia="黑体" w:cs="Times New Roman"/>
                <w:sz w:val="24"/>
              </w:rPr>
              <w:t>设计与</w:t>
            </w:r>
            <w:r>
              <w:rPr>
                <w:rFonts w:hint="eastAsia" w:ascii="Calibri" w:hAnsi="Calibri" w:eastAsia="黑体" w:cs="Times New Roman"/>
                <w:sz w:val="24"/>
                <w:lang w:val="en-US" w:eastAsia="zh-CN"/>
              </w:rPr>
              <w:t>实现</w:t>
            </w:r>
            <w:bookmarkEnd w:id="1868"/>
            <w:bookmarkEnd w:id="1869"/>
          </w:p>
        </w:tc>
      </w:tr>
      <w:tr w14:paraId="7F0331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378C7036">
            <w:pPr>
              <w:jc w:val="left"/>
              <w:rPr>
                <w:rFonts w:ascii="Calibri" w:hAnsi="Calibri" w:eastAsia="黑体" w:cs="Times New Roman"/>
                <w:sz w:val="24"/>
              </w:rPr>
            </w:pPr>
            <w:r>
              <w:rPr>
                <w:rFonts w:hint="eastAsia" w:ascii="Calibri" w:hAnsi="Calibri" w:eastAsia="黑体" w:cs="Times New Roman"/>
                <w:sz w:val="24"/>
              </w:rPr>
              <w:t>班    级：2</w:t>
            </w:r>
            <w:r>
              <w:rPr>
                <w:rFonts w:hint="eastAsia" w:ascii="Calibri" w:hAnsi="Calibri" w:eastAsia="黑体" w:cs="Times New Roman"/>
                <w:sz w:val="24"/>
                <w:lang w:val="en-US" w:eastAsia="zh-CN"/>
              </w:rPr>
              <w:t>3</w:t>
            </w:r>
            <w:r>
              <w:rPr>
                <w:rFonts w:hint="eastAsia" w:ascii="Calibri" w:hAnsi="Calibri" w:eastAsia="黑体" w:cs="Times New Roman"/>
                <w:sz w:val="24"/>
              </w:rPr>
              <w:t>物联网工程本科</w:t>
            </w:r>
            <w:r>
              <w:rPr>
                <w:rFonts w:hint="eastAsia" w:ascii="Calibri" w:hAnsi="Calibri" w:eastAsia="黑体" w:cs="Times New Roman"/>
                <w:sz w:val="24"/>
                <w:lang w:val="en-US" w:eastAsia="zh-CN"/>
              </w:rPr>
              <w:t>2</w:t>
            </w:r>
            <w:r>
              <w:rPr>
                <w:rFonts w:hint="eastAsia" w:ascii="Calibri" w:hAnsi="Calibri" w:eastAsia="黑体" w:cs="Times New Roman"/>
                <w:sz w:val="24"/>
              </w:rPr>
              <w:t>班</w:t>
            </w:r>
          </w:p>
        </w:tc>
      </w:tr>
      <w:tr w14:paraId="588E04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8522" w:type="dxa"/>
            <w:vAlign w:val="center"/>
          </w:tcPr>
          <w:p w14:paraId="40FF0322">
            <w:pPr>
              <w:jc w:val="left"/>
              <w:rPr>
                <w:rFonts w:hint="default" w:ascii="Calibri" w:hAnsi="Calibri" w:eastAsia="黑体" w:cs="Times New Roman"/>
                <w:szCs w:val="21"/>
                <w:lang w:val="en-US" w:eastAsia="zh-CN"/>
              </w:rPr>
            </w:pPr>
            <w:r>
              <w:rPr>
                <w:rFonts w:hint="eastAsia" w:ascii="Calibri" w:hAnsi="Calibri" w:eastAsia="黑体" w:cs="Times New Roman"/>
                <w:szCs w:val="21"/>
              </w:rPr>
              <w:t>学生姓名：程涛</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饶泽绍</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杨杨峥子</w:t>
            </w:r>
            <w:r>
              <w:rPr>
                <w:rFonts w:hint="eastAsia" w:ascii="Calibri" w:hAnsi="Calibri" w:eastAsia="黑体" w:cs="Times New Roman"/>
                <w:szCs w:val="21"/>
                <w:lang w:val="en-US" w:eastAsia="zh-CN"/>
              </w:rPr>
              <w:t xml:space="preserve"> 周旻昊 邹贵超 刘润鸿</w:t>
            </w:r>
            <w:r>
              <w:rPr>
                <w:rFonts w:hint="eastAsia" w:ascii="Calibri" w:hAnsi="Calibri" w:eastAsia="黑体" w:cs="Times New Roman"/>
                <w:szCs w:val="21"/>
              </w:rPr>
              <w:t xml:space="preserve"> </w:t>
            </w:r>
            <w:r>
              <w:rPr>
                <w:rFonts w:hint="eastAsia" w:ascii="Calibri" w:hAnsi="Calibri" w:eastAsia="黑体" w:cs="Times New Roman"/>
                <w:szCs w:val="21"/>
                <w:lang w:val="en-US" w:eastAsia="zh-CN"/>
              </w:rPr>
              <w:t xml:space="preserve">  </w:t>
            </w:r>
            <w:r>
              <w:rPr>
                <w:rFonts w:hint="eastAsia" w:ascii="Calibri" w:hAnsi="Calibri" w:eastAsia="黑体" w:cs="Times New Roman"/>
                <w:szCs w:val="21"/>
              </w:rPr>
              <w:t xml:space="preserve"> 指导教师：黄淑娟 </w:t>
            </w:r>
            <w:r>
              <w:rPr>
                <w:rFonts w:hint="eastAsia" w:ascii="Calibri" w:hAnsi="Calibri" w:eastAsia="黑体" w:cs="Times New Roman"/>
                <w:szCs w:val="21"/>
                <w:lang w:val="en-US" w:eastAsia="zh-CN"/>
              </w:rPr>
              <w:t>廖怀震</w:t>
            </w:r>
          </w:p>
        </w:tc>
      </w:tr>
    </w:tbl>
    <w:p w14:paraId="4B205EE3">
      <w:pPr>
        <w:keepNext/>
        <w:keepLines/>
        <w:widowControl w:val="0"/>
        <w:spacing w:line="440" w:lineRule="exact"/>
        <w:jc w:val="left"/>
        <w:outlineLvl w:val="9"/>
        <w:rPr>
          <w:rFonts w:ascii="宋体" w:hAnsi="宋体" w:eastAsia="宋体" w:cs="Times New Roman"/>
          <w:b/>
          <w:bCs/>
          <w:kern w:val="44"/>
          <w:sz w:val="28"/>
          <w:szCs w:val="44"/>
          <w:lang w:val="en-US" w:eastAsia="zh-CN" w:bidi="ar-SA"/>
        </w:rPr>
      </w:pPr>
      <w:bookmarkStart w:id="1870" w:name="_Toc12705"/>
      <w:r>
        <w:rPr>
          <w:rFonts w:hint="eastAsia" w:ascii="宋体" w:hAnsi="宋体" w:eastAsia="宋体" w:cs="Times New Roman"/>
          <w:b/>
          <w:bCs/>
          <w:kern w:val="44"/>
          <w:sz w:val="28"/>
          <w:szCs w:val="44"/>
          <w:lang w:val="en-US" w:eastAsia="zh-CN" w:bidi="ar-SA"/>
        </w:rPr>
        <w:t>1 项目概述</w:t>
      </w:r>
      <w:bookmarkEnd w:id="1870"/>
    </w:p>
    <w:p w14:paraId="5CC4D996">
      <w:pPr>
        <w:keepNext/>
        <w:keepLines/>
        <w:widowControl w:val="0"/>
        <w:spacing w:line="440" w:lineRule="exact"/>
        <w:ind w:firstLine="480" w:firstLineChars="200"/>
        <w:jc w:val="both"/>
        <w:outlineLvl w:val="9"/>
        <w:rPr>
          <w:rFonts w:ascii="宋体" w:hAnsi="宋体" w:eastAsia="宋体" w:cs="Times New Roman"/>
          <w:bCs/>
          <w:kern w:val="2"/>
          <w:sz w:val="24"/>
          <w:szCs w:val="24"/>
          <w:lang w:val="en-US" w:eastAsia="zh-CN" w:bidi="ar-SA"/>
        </w:rPr>
      </w:pPr>
      <w:bookmarkStart w:id="1871" w:name="_Toc216273368"/>
      <w:bookmarkStart w:id="1872" w:name="_Toc24258"/>
      <w:r>
        <w:rPr>
          <w:rFonts w:hint="eastAsia" w:ascii="宋体" w:hAnsi="宋体" w:eastAsia="宋体" w:cs="Times New Roman"/>
          <w:bCs/>
          <w:kern w:val="2"/>
          <w:sz w:val="24"/>
          <w:szCs w:val="24"/>
          <w:lang w:val="en-US" w:eastAsia="zh-CN" w:bidi="ar-SA"/>
        </w:rPr>
        <w:t>1.1 项目介绍</w:t>
      </w:r>
      <w:bookmarkEnd w:id="1871"/>
      <w:bookmarkEnd w:id="1872"/>
    </w:p>
    <w:p w14:paraId="7A158ACB">
      <w:pPr>
        <w:keepNext/>
        <w:keepLines/>
        <w:widowControl w:val="0"/>
        <w:spacing w:line="440" w:lineRule="exact"/>
        <w:ind w:firstLine="480" w:firstLineChars="200"/>
        <w:jc w:val="both"/>
        <w:outlineLvl w:val="9"/>
        <w:rPr>
          <w:rFonts w:ascii="宋体" w:hAnsi="宋体" w:eastAsia="宋体" w:cs="Times New Roman"/>
          <w:bCs/>
          <w:kern w:val="2"/>
          <w:sz w:val="24"/>
          <w:szCs w:val="32"/>
          <w:lang w:val="en-US" w:eastAsia="zh-CN" w:bidi="ar-SA"/>
        </w:rPr>
      </w:pPr>
      <w:bookmarkStart w:id="1873" w:name="_Toc30274"/>
      <w:bookmarkStart w:id="1874" w:name="_Toc216273369"/>
      <w:r>
        <w:rPr>
          <w:rFonts w:hint="eastAsia" w:ascii="宋体" w:hAnsi="宋体" w:eastAsia="宋体" w:cs="Times New Roman"/>
          <w:bCs w:val="0"/>
          <w:kern w:val="2"/>
          <w:sz w:val="24"/>
          <w:szCs w:val="24"/>
          <w:lang w:val="en-US" w:eastAsia="zh-CN" w:bidi="ar-SA"/>
        </w:rPr>
        <w:t>数字钟是一种利用电子技术实现时间显示的设备，相比传统机械钟，它具有更高的精度、更丰富的功能和更灵活的显示方式。本项目旨在开发一款基于单片机的数字钟系统，具备准确的时间显示、闹钟提醒、日期显示等功能，能够满足日常生活中对时间管理的基本需求。该数字钟可通过数码管或液晶显示屏展示时、分、秒及日期信息，用户可通过按键进行时间设置、闹钟设定等操作</w:t>
      </w:r>
      <w:r>
        <w:rPr>
          <w:rFonts w:hint="eastAsia" w:ascii="宋体" w:hAnsi="宋体" w:eastAsia="宋体" w:cs="Times New Roman"/>
          <w:bCs/>
          <w:kern w:val="2"/>
          <w:sz w:val="24"/>
          <w:szCs w:val="32"/>
          <w:lang w:val="en-US" w:eastAsia="zh-CN" w:bidi="ar-SA"/>
        </w:rPr>
        <w:t>。</w:t>
      </w:r>
      <w:bookmarkEnd w:id="1873"/>
    </w:p>
    <w:p w14:paraId="4E1FDCA4">
      <w:pPr>
        <w:keepNext/>
        <w:keepLines/>
        <w:widowControl w:val="0"/>
        <w:spacing w:line="440" w:lineRule="exact"/>
        <w:ind w:firstLine="480" w:firstLineChars="200"/>
        <w:jc w:val="both"/>
        <w:outlineLvl w:val="9"/>
        <w:rPr>
          <w:rFonts w:ascii="宋体" w:hAnsi="宋体" w:eastAsia="宋体" w:cs="Times New Roman"/>
          <w:bCs/>
          <w:kern w:val="2"/>
          <w:sz w:val="24"/>
          <w:szCs w:val="24"/>
          <w:lang w:val="en-US" w:eastAsia="zh-CN" w:bidi="ar-SA"/>
        </w:rPr>
      </w:pPr>
      <w:bookmarkStart w:id="1875" w:name="_Toc17292"/>
      <w:r>
        <w:rPr>
          <w:rFonts w:hint="eastAsia" w:ascii="宋体" w:hAnsi="宋体" w:eastAsia="宋体" w:cs="Times New Roman"/>
          <w:bCs/>
          <w:kern w:val="2"/>
          <w:sz w:val="24"/>
          <w:szCs w:val="24"/>
          <w:lang w:val="en-US" w:eastAsia="zh-CN" w:bidi="ar-SA"/>
        </w:rPr>
        <w:t>1.2 项目开发环境</w:t>
      </w:r>
      <w:bookmarkEnd w:id="1874"/>
      <w:bookmarkEnd w:id="1875"/>
    </w:p>
    <w:p w14:paraId="0BF099B8">
      <w:pPr>
        <w:rPr>
          <w:rFonts w:hint="eastAsia" w:ascii="Calibri" w:hAnsi="Calibri" w:eastAsia="宋体" w:cs="Times New Roman"/>
        </w:rPr>
      </w:pPr>
      <w:r>
        <w:rPr>
          <w:rFonts w:hint="eastAsia" w:ascii="Calibri" w:hAnsi="Calibri" w:eastAsia="宋体" w:cs="Times New Roman"/>
        </w:rPr>
        <w:drawing>
          <wp:inline distT="0" distB="0" distL="0" distR="0">
            <wp:extent cx="5274310" cy="3509645"/>
            <wp:effectExtent l="0" t="0" r="2540" b="14605"/>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718"/>
                    <pic:cNvPicPr>
                      <a:picLocks noChangeAspect="1"/>
                    </pic:cNvPicPr>
                  </pic:nvPicPr>
                  <pic:blipFill>
                    <a:blip r:embed="rId505">
                      <a:extLst>
                        <a:ext uri="{28A0092B-C50C-407E-A947-70E740481C1C}">
                          <a14:useLocalDpi xmlns:a14="http://schemas.microsoft.com/office/drawing/2010/main" val="0"/>
                        </a:ext>
                      </a:extLst>
                    </a:blip>
                    <a:stretch>
                      <a:fillRect/>
                    </a:stretch>
                  </pic:blipFill>
                  <pic:spPr>
                    <a:xfrm>
                      <a:off x="0" y="0"/>
                      <a:ext cx="5274310" cy="3509645"/>
                    </a:xfrm>
                    <a:prstGeom prst="rect">
                      <a:avLst/>
                    </a:prstGeom>
                  </pic:spPr>
                </pic:pic>
              </a:graphicData>
            </a:graphic>
          </wp:inline>
        </w:drawing>
      </w:r>
    </w:p>
    <w:p w14:paraId="6EC88E18">
      <w:pPr>
        <w:keepNext/>
        <w:keepLines/>
        <w:widowControl w:val="0"/>
        <w:spacing w:line="440" w:lineRule="exact"/>
        <w:ind w:firstLine="480" w:firstLineChars="200"/>
        <w:jc w:val="both"/>
        <w:outlineLvl w:val="9"/>
        <w:rPr>
          <w:rFonts w:ascii="宋体" w:hAnsi="宋体" w:eastAsia="宋体" w:cs="Times New Roman"/>
          <w:bCs/>
          <w:kern w:val="2"/>
          <w:sz w:val="24"/>
          <w:szCs w:val="32"/>
          <w:lang w:val="en-US" w:eastAsia="zh-CN" w:bidi="ar-SA"/>
        </w:rPr>
      </w:pPr>
      <w:bookmarkStart w:id="1876" w:name="_Toc3835"/>
      <w:bookmarkStart w:id="1877" w:name="_Toc216273370"/>
      <w:r>
        <w:rPr>
          <w:rFonts w:hint="eastAsia" w:ascii="宋体" w:hAnsi="宋体" w:eastAsia="宋体" w:cs="Times New Roman"/>
          <w:bCs/>
          <w:kern w:val="2"/>
          <w:sz w:val="24"/>
          <w:szCs w:val="32"/>
          <w:lang w:val="en-US" w:eastAsia="zh-CN" w:bidi="ar-SA"/>
        </w:rPr>
        <w:t>1.硬件平台：采用STC89C52单片机作为核心控制器，其具有低功耗、高性能、价格低廉等优点。外围电路包括数码管显示模块、按键输入模块、蜂鸣器报警模块、实时时钟模块DS1302等。</w:t>
      </w:r>
      <w:bookmarkEnd w:id="1876"/>
    </w:p>
    <w:p w14:paraId="1D34BAF5">
      <w:pPr>
        <w:keepNext/>
        <w:keepLines/>
        <w:widowControl w:val="0"/>
        <w:spacing w:line="440" w:lineRule="exact"/>
        <w:ind w:firstLine="480" w:firstLineChars="200"/>
        <w:jc w:val="both"/>
        <w:outlineLvl w:val="9"/>
        <w:rPr>
          <w:rFonts w:ascii="宋体" w:hAnsi="宋体" w:eastAsia="宋体" w:cs="Times New Roman"/>
          <w:bCs/>
          <w:kern w:val="2"/>
          <w:sz w:val="24"/>
          <w:szCs w:val="32"/>
          <w:lang w:val="en-US" w:eastAsia="zh-CN" w:bidi="ar-SA"/>
        </w:rPr>
      </w:pPr>
      <w:bookmarkStart w:id="1878" w:name="_Toc1720"/>
      <w:r>
        <w:rPr>
          <w:rFonts w:hint="eastAsia" w:ascii="宋体" w:hAnsi="宋体" w:eastAsia="宋体" w:cs="Times New Roman"/>
          <w:bCs/>
          <w:kern w:val="2"/>
          <w:sz w:val="24"/>
          <w:szCs w:val="32"/>
          <w:lang w:val="en-US" w:eastAsia="zh-CN" w:bidi="ar-SA"/>
        </w:rPr>
        <w:t>2.软件开发环境：使用Keil C51作为程序开发和编译工具，它支持C语言和汇编语言编程，能够方便地进行代码编写、调试和下载。同时，利用Proteus软件进行硬件电路的仿真设计和调试，验证系统的功能和性能。</w:t>
      </w:r>
      <w:bookmarkEnd w:id="1878"/>
    </w:p>
    <w:p w14:paraId="6849847F">
      <w:pPr>
        <w:keepNext/>
        <w:keepLines/>
        <w:widowControl w:val="0"/>
        <w:spacing w:line="440" w:lineRule="exact"/>
        <w:ind w:firstLine="480" w:firstLineChars="200"/>
        <w:jc w:val="left"/>
        <w:outlineLvl w:val="9"/>
        <w:rPr>
          <w:rFonts w:ascii="宋体" w:hAnsi="宋体" w:eastAsia="宋体" w:cs="Times New Roman"/>
          <w:bCs/>
          <w:kern w:val="2"/>
          <w:sz w:val="24"/>
          <w:szCs w:val="24"/>
          <w:lang w:val="en-US" w:eastAsia="zh-CN" w:bidi="ar-SA"/>
        </w:rPr>
      </w:pPr>
      <w:bookmarkStart w:id="1879" w:name="_Toc30096"/>
      <w:r>
        <w:rPr>
          <w:rFonts w:hint="eastAsia" w:ascii="宋体" w:hAnsi="宋体" w:eastAsia="宋体" w:cs="Times New Roman"/>
          <w:bCs/>
          <w:kern w:val="2"/>
          <w:sz w:val="24"/>
          <w:szCs w:val="24"/>
          <w:lang w:val="en-US" w:eastAsia="zh-CN" w:bidi="ar-SA"/>
        </w:rPr>
        <w:t>1.3 小组人员及分工</w:t>
      </w:r>
      <w:bookmarkEnd w:id="1877"/>
      <w:bookmarkEnd w:id="1879"/>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6429"/>
      </w:tblGrid>
      <w:tr w14:paraId="26873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0E73210F">
            <w:pPr>
              <w:spacing w:line="440" w:lineRule="exact"/>
              <w:jc w:val="center"/>
              <w:rPr>
                <w:rFonts w:ascii="宋体" w:hAnsi="宋体" w:eastAsia="宋体" w:cs="Times New Roman"/>
                <w:sz w:val="24"/>
              </w:rPr>
            </w:pPr>
            <w:r>
              <w:rPr>
                <w:rFonts w:hint="eastAsia" w:ascii="宋体" w:hAnsi="宋体" w:eastAsia="宋体" w:cs="Times New Roman"/>
                <w:sz w:val="24"/>
              </w:rPr>
              <w:t>姓名</w:t>
            </w:r>
          </w:p>
        </w:tc>
        <w:tc>
          <w:tcPr>
            <w:tcW w:w="6429" w:type="dxa"/>
          </w:tcPr>
          <w:p w14:paraId="07E3D707">
            <w:pPr>
              <w:spacing w:line="440" w:lineRule="exact"/>
              <w:jc w:val="center"/>
              <w:rPr>
                <w:rFonts w:ascii="宋体" w:hAnsi="宋体" w:eastAsia="宋体" w:cs="Times New Roman"/>
                <w:sz w:val="24"/>
              </w:rPr>
            </w:pPr>
            <w:r>
              <w:rPr>
                <w:rFonts w:hint="eastAsia" w:ascii="宋体" w:hAnsi="宋体" w:eastAsia="宋体" w:cs="Times New Roman"/>
                <w:sz w:val="24"/>
              </w:rPr>
              <w:t>分工</w:t>
            </w:r>
          </w:p>
        </w:tc>
      </w:tr>
      <w:tr w14:paraId="68D18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20C27A6A">
            <w:pPr>
              <w:spacing w:line="440" w:lineRule="exact"/>
              <w:jc w:val="center"/>
              <w:rPr>
                <w:rFonts w:ascii="宋体" w:hAnsi="宋体" w:eastAsia="宋体" w:cs="Times New Roman"/>
                <w:sz w:val="24"/>
              </w:rPr>
            </w:pPr>
            <w:r>
              <w:rPr>
                <w:rFonts w:hint="eastAsia" w:ascii="宋体" w:hAnsi="宋体" w:eastAsia="宋体" w:cs="Times New Roman"/>
                <w:sz w:val="24"/>
              </w:rPr>
              <w:t>程涛</w:t>
            </w:r>
          </w:p>
        </w:tc>
        <w:tc>
          <w:tcPr>
            <w:tcW w:w="6429" w:type="dxa"/>
          </w:tcPr>
          <w:p w14:paraId="4241E201">
            <w:pPr>
              <w:spacing w:line="440" w:lineRule="exact"/>
              <w:jc w:val="center"/>
              <w:rPr>
                <w:rFonts w:ascii="宋体" w:hAnsi="宋体" w:eastAsia="宋体" w:cs="Times New Roman"/>
                <w:sz w:val="24"/>
              </w:rPr>
            </w:pPr>
            <w:r>
              <w:rPr>
                <w:rFonts w:hint="eastAsia" w:ascii="宋体" w:hAnsi="宋体" w:eastAsia="宋体" w:cs="Times New Roman"/>
                <w:sz w:val="24"/>
              </w:rPr>
              <w:t>电路方案设计、原理图/PCB绘制</w:t>
            </w:r>
          </w:p>
        </w:tc>
      </w:tr>
      <w:tr w14:paraId="29F83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66055BBC">
            <w:pPr>
              <w:spacing w:line="440" w:lineRule="exact"/>
              <w:jc w:val="center"/>
              <w:rPr>
                <w:rFonts w:ascii="宋体" w:hAnsi="宋体" w:eastAsia="宋体" w:cs="Times New Roman"/>
                <w:sz w:val="24"/>
              </w:rPr>
            </w:pPr>
            <w:r>
              <w:rPr>
                <w:rFonts w:hint="eastAsia" w:ascii="宋体" w:hAnsi="宋体" w:eastAsia="宋体" w:cs="Times New Roman"/>
                <w:sz w:val="24"/>
              </w:rPr>
              <w:t>程涛</w:t>
            </w:r>
          </w:p>
        </w:tc>
        <w:tc>
          <w:tcPr>
            <w:tcW w:w="6429" w:type="dxa"/>
          </w:tcPr>
          <w:p w14:paraId="07FCF8B9">
            <w:pPr>
              <w:spacing w:line="440" w:lineRule="exact"/>
              <w:jc w:val="center"/>
              <w:rPr>
                <w:rFonts w:ascii="宋体" w:hAnsi="宋体" w:eastAsia="宋体" w:cs="Times New Roman"/>
                <w:sz w:val="24"/>
              </w:rPr>
            </w:pPr>
            <w:r>
              <w:rPr>
                <w:rFonts w:hint="eastAsia" w:ascii="宋体" w:hAnsi="宋体" w:eastAsia="宋体" w:cs="Times New Roman"/>
                <w:sz w:val="24"/>
              </w:rPr>
              <w:t>产品介绍</w:t>
            </w:r>
          </w:p>
        </w:tc>
      </w:tr>
      <w:tr w14:paraId="1A8FC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6E0FF316">
            <w:pPr>
              <w:spacing w:line="440" w:lineRule="exact"/>
              <w:jc w:val="center"/>
              <w:rPr>
                <w:rFonts w:ascii="宋体" w:hAnsi="宋体" w:eastAsia="宋体" w:cs="Times New Roman"/>
                <w:sz w:val="24"/>
              </w:rPr>
            </w:pPr>
            <w:r>
              <w:rPr>
                <w:rFonts w:hint="eastAsia" w:ascii="宋体" w:hAnsi="宋体" w:eastAsia="宋体" w:cs="Times New Roman"/>
                <w:sz w:val="24"/>
              </w:rPr>
              <w:t>饶泽绍</w:t>
            </w:r>
          </w:p>
        </w:tc>
        <w:tc>
          <w:tcPr>
            <w:tcW w:w="6429" w:type="dxa"/>
          </w:tcPr>
          <w:p w14:paraId="497E779D">
            <w:pPr>
              <w:spacing w:line="440" w:lineRule="exact"/>
              <w:jc w:val="center"/>
              <w:rPr>
                <w:rFonts w:ascii="宋体" w:hAnsi="宋体" w:eastAsia="宋体" w:cs="Times New Roman"/>
                <w:sz w:val="24"/>
              </w:rPr>
            </w:pPr>
            <w:r>
              <w:rPr>
                <w:rFonts w:hint="eastAsia" w:ascii="宋体" w:hAnsi="宋体" w:eastAsia="宋体" w:cs="Times New Roman"/>
                <w:sz w:val="24"/>
              </w:rPr>
              <w:t>论文撰写、方案优化</w:t>
            </w:r>
          </w:p>
        </w:tc>
      </w:tr>
      <w:tr w14:paraId="507EC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57BDB5FA">
            <w:pPr>
              <w:spacing w:line="440" w:lineRule="exact"/>
              <w:jc w:val="center"/>
              <w:rPr>
                <w:rFonts w:ascii="宋体" w:hAnsi="宋体" w:eastAsia="宋体" w:cs="Times New Roman"/>
                <w:sz w:val="24"/>
              </w:rPr>
            </w:pPr>
            <w:r>
              <w:rPr>
                <w:rFonts w:hint="eastAsia" w:ascii="宋体" w:hAnsi="宋体" w:eastAsia="宋体" w:cs="Times New Roman"/>
                <w:sz w:val="24"/>
              </w:rPr>
              <w:t>杨杨峥子</w:t>
            </w:r>
          </w:p>
        </w:tc>
        <w:tc>
          <w:tcPr>
            <w:tcW w:w="6429" w:type="dxa"/>
          </w:tcPr>
          <w:p w14:paraId="71F83C5B">
            <w:pPr>
              <w:spacing w:line="440" w:lineRule="exact"/>
              <w:jc w:val="center"/>
              <w:rPr>
                <w:rFonts w:ascii="宋体" w:hAnsi="宋体" w:eastAsia="宋体" w:cs="Times New Roman"/>
                <w:sz w:val="24"/>
              </w:rPr>
            </w:pPr>
            <w:r>
              <w:rPr>
                <w:rFonts w:hint="eastAsia" w:ascii="宋体" w:hAnsi="宋体" w:eastAsia="宋体" w:cs="Times New Roman"/>
                <w:sz w:val="24"/>
              </w:rPr>
              <w:t>学习体会撰写</w:t>
            </w:r>
          </w:p>
        </w:tc>
      </w:tr>
      <w:tr w14:paraId="549A1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7CE31A5D">
            <w:pPr>
              <w:spacing w:line="440" w:lineRule="exact"/>
              <w:jc w:val="center"/>
              <w:rPr>
                <w:rFonts w:ascii="宋体" w:hAnsi="宋体" w:eastAsia="宋体" w:cs="Times New Roman"/>
                <w:sz w:val="24"/>
              </w:rPr>
            </w:pPr>
            <w:r>
              <w:rPr>
                <w:rFonts w:hint="eastAsia" w:ascii="宋体" w:hAnsi="宋体" w:eastAsia="宋体" w:cs="Times New Roman"/>
                <w:sz w:val="24"/>
              </w:rPr>
              <w:t>邹贵超 刘润鸿</w:t>
            </w:r>
          </w:p>
        </w:tc>
        <w:tc>
          <w:tcPr>
            <w:tcW w:w="6429" w:type="dxa"/>
          </w:tcPr>
          <w:p w14:paraId="5A5FE49E">
            <w:pPr>
              <w:spacing w:line="440" w:lineRule="exact"/>
              <w:jc w:val="center"/>
              <w:rPr>
                <w:rFonts w:ascii="宋体" w:hAnsi="宋体" w:eastAsia="宋体" w:cs="Times New Roman"/>
                <w:sz w:val="24"/>
              </w:rPr>
            </w:pPr>
            <w:r>
              <w:rPr>
                <w:rFonts w:hint="eastAsia" w:ascii="宋体" w:hAnsi="宋体" w:eastAsia="宋体" w:cs="Times New Roman"/>
                <w:sz w:val="24"/>
              </w:rPr>
              <w:t>海报绘制</w:t>
            </w:r>
          </w:p>
        </w:tc>
      </w:tr>
      <w:tr w14:paraId="419A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93" w:type="dxa"/>
          </w:tcPr>
          <w:p w14:paraId="06382F5B">
            <w:pPr>
              <w:spacing w:line="440" w:lineRule="exact"/>
              <w:jc w:val="center"/>
              <w:rPr>
                <w:rFonts w:ascii="宋体" w:hAnsi="宋体" w:eastAsia="宋体" w:cs="Times New Roman"/>
                <w:sz w:val="24"/>
              </w:rPr>
            </w:pPr>
            <w:bookmarkStart w:id="1880" w:name="_Toc216273371"/>
            <w:r>
              <w:rPr>
                <w:rFonts w:hint="eastAsia" w:ascii="宋体" w:hAnsi="宋体" w:eastAsia="宋体" w:cs="Times New Roman"/>
                <w:sz w:val="24"/>
              </w:rPr>
              <w:t>周旻昊</w:t>
            </w:r>
          </w:p>
        </w:tc>
        <w:tc>
          <w:tcPr>
            <w:tcW w:w="6429" w:type="dxa"/>
          </w:tcPr>
          <w:p w14:paraId="33127A9A">
            <w:pPr>
              <w:spacing w:line="440" w:lineRule="exact"/>
              <w:jc w:val="center"/>
              <w:rPr>
                <w:rFonts w:ascii="宋体" w:hAnsi="宋体" w:eastAsia="宋体" w:cs="Times New Roman"/>
                <w:sz w:val="24"/>
              </w:rPr>
            </w:pPr>
            <w:r>
              <w:rPr>
                <w:rFonts w:hint="eastAsia" w:ascii="宋体" w:hAnsi="宋体" w:eastAsia="宋体" w:cs="Times New Roman"/>
                <w:sz w:val="24"/>
              </w:rPr>
              <w:t>学生简介</w:t>
            </w:r>
          </w:p>
        </w:tc>
      </w:tr>
    </w:tbl>
    <w:p w14:paraId="227EA48E">
      <w:pPr>
        <w:keepNext/>
        <w:keepLines/>
        <w:widowControl w:val="0"/>
        <w:spacing w:line="440" w:lineRule="exact"/>
        <w:jc w:val="left"/>
        <w:outlineLvl w:val="9"/>
        <w:rPr>
          <w:rFonts w:ascii="宋体" w:hAnsi="宋体" w:eastAsia="宋体" w:cs="Times New Roman"/>
          <w:b/>
          <w:bCs/>
          <w:kern w:val="44"/>
          <w:sz w:val="28"/>
          <w:szCs w:val="28"/>
          <w:lang w:val="en-US" w:eastAsia="zh-CN" w:bidi="ar-SA"/>
        </w:rPr>
      </w:pPr>
      <w:bookmarkStart w:id="1881" w:name="_Toc14925"/>
      <w:r>
        <w:rPr>
          <w:rFonts w:hint="eastAsia" w:ascii="宋体" w:hAnsi="宋体" w:eastAsia="宋体" w:cs="Times New Roman"/>
          <w:b/>
          <w:bCs/>
          <w:kern w:val="44"/>
          <w:sz w:val="28"/>
          <w:szCs w:val="28"/>
          <w:lang w:val="en-US" w:eastAsia="zh-CN" w:bidi="ar-SA"/>
        </w:rPr>
        <w:t>2 需求分析</w:t>
      </w:r>
      <w:bookmarkEnd w:id="1880"/>
      <w:bookmarkEnd w:id="1881"/>
    </w:p>
    <w:p w14:paraId="56BDA98F">
      <w:pPr>
        <w:keepNext/>
        <w:keepLines/>
        <w:widowControl w:val="0"/>
        <w:spacing w:line="440" w:lineRule="exact"/>
        <w:ind w:firstLine="480" w:firstLineChars="200"/>
        <w:jc w:val="both"/>
        <w:outlineLvl w:val="9"/>
        <w:rPr>
          <w:rFonts w:ascii="宋体" w:hAnsi="宋体" w:eastAsia="宋体" w:cs="Times New Roman"/>
          <w:bCs/>
          <w:kern w:val="2"/>
          <w:sz w:val="24"/>
          <w:szCs w:val="24"/>
          <w:lang w:val="en-US" w:eastAsia="zh-CN" w:bidi="ar-SA"/>
        </w:rPr>
      </w:pPr>
      <w:bookmarkStart w:id="1882" w:name="_Toc216273372"/>
      <w:bookmarkStart w:id="1883" w:name="_Toc15862"/>
      <w:r>
        <w:rPr>
          <w:rFonts w:hint="eastAsia" w:ascii="宋体" w:hAnsi="宋体" w:eastAsia="宋体" w:cs="Times New Roman"/>
          <w:bCs/>
          <w:kern w:val="2"/>
          <w:sz w:val="24"/>
          <w:szCs w:val="24"/>
          <w:lang w:val="en-US" w:eastAsia="zh-CN" w:bidi="ar-SA"/>
        </w:rPr>
        <w:t>2.1 系统需求分析</w:t>
      </w:r>
      <w:bookmarkEnd w:id="1882"/>
      <w:bookmarkEnd w:id="1883"/>
    </w:p>
    <w:p w14:paraId="5AA02467">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1.基本功能</w:t>
      </w:r>
    </w:p>
    <w:p w14:paraId="400FC646">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实现时、分、秒的精确显示，误差应在秒级以内。能够正确显示年、月、日信息。支持12小时和24小时制的切换。</w:t>
      </w:r>
    </w:p>
    <w:p w14:paraId="2349D59A">
      <w:pPr>
        <w:numPr>
          <w:ilvl w:val="0"/>
          <w:numId w:val="30"/>
        </w:numPr>
        <w:spacing w:line="440" w:lineRule="exact"/>
        <w:ind w:firstLine="480" w:firstLineChars="200"/>
        <w:rPr>
          <w:rFonts w:ascii="宋体" w:hAnsi="宋体" w:eastAsia="宋体" w:cs="Times New Roman"/>
          <w:sz w:val="24"/>
        </w:rPr>
      </w:pPr>
      <w:r>
        <w:rPr>
          <w:rFonts w:hint="eastAsia" w:ascii="宋体" w:hAnsi="宋体" w:eastAsia="宋体" w:cs="Times New Roman"/>
          <w:sz w:val="24"/>
        </w:rPr>
        <w:t>扩展功能</w:t>
      </w:r>
    </w:p>
    <w:p w14:paraId="74F12D41">
      <w:pPr>
        <w:spacing w:line="440" w:lineRule="exact"/>
        <w:rPr>
          <w:rFonts w:ascii="宋体" w:hAnsi="宋体" w:eastAsia="宋体" w:cs="Times New Roman"/>
          <w:sz w:val="24"/>
        </w:rPr>
      </w:pPr>
      <w:r>
        <w:rPr>
          <w:rFonts w:hint="eastAsia" w:ascii="宋体" w:hAnsi="宋体" w:eastAsia="宋体" w:cs="Times New Roman"/>
          <w:sz w:val="24"/>
        </w:rPr>
        <w:t>设置闹钟功能，可设定特定时间触发蜂鸣器报警。具备时间校准功能，允许用户通过按键对时间进行手动调整。在断电情况下，能通过备用电池维持实时时钟的正常运行，保证时间的连续性。</w:t>
      </w:r>
    </w:p>
    <w:p w14:paraId="7F291708">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2.2 可行性分析</w:t>
      </w:r>
    </w:p>
    <w:p w14:paraId="60B9D33C">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(1)技术可行性</w:t>
      </w:r>
    </w:p>
    <w:p w14:paraId="4433315A">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单片机技术已经非常成熟，STC89C52单片机具有丰富的I/O端口和定时器资源，能够满足数字钟的各项功能需求。实时时钟芯片DS1302具有低功耗、高精度的特点，可确保时间的准确显示。数码管显示和按键输入等外围电路技术也较为成熟，开发难度较低。因此，从技术角度分析，本项目是完全可行的。</w:t>
      </w:r>
    </w:p>
    <w:p w14:paraId="3C90F9EC">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(2)经济可行性</w:t>
      </w:r>
    </w:p>
    <w:p w14:paraId="696E0F8D">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本项目所需的硬件成本较低，单片机、数码管、按键、蜂鸣器等元件价格便宜，总成本可控制在几十元以内。软件开发主要依赖于开源的开发工具和资料，无需额外的高昂费用。因此，从经济角度考虑，项目具有较高的性价比，能够以较低的成本实现预期的功能。</w:t>
      </w:r>
    </w:p>
    <w:p w14:paraId="2C573B05">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(3)资源可行性</w:t>
      </w:r>
    </w:p>
    <w:p w14:paraId="1CAFE4B9">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开发团队具备单片机开发的相关知识和经验，能够熟练使用Keil C51和Proteus等开发工具。同时，网络上有大量的单片机开发资料和开源项目可供参考，能够为项目的开发提供有力的支持。因此，从资源角度分析，项目具备实施的条件。</w:t>
      </w:r>
    </w:p>
    <w:p w14:paraId="0119876E">
      <w:pPr>
        <w:spacing w:line="440" w:lineRule="exact"/>
        <w:rPr>
          <w:rFonts w:ascii="宋体" w:hAnsi="宋体" w:eastAsia="宋体" w:cs="Times New Roman"/>
          <w:sz w:val="24"/>
        </w:rPr>
      </w:pPr>
      <w:r>
        <w:rPr>
          <w:rFonts w:hint="eastAsia" w:ascii="宋体" w:hAnsi="宋体" w:eastAsia="宋体" w:cs="Times New Roman"/>
          <w:b/>
          <w:bCs/>
          <w:sz w:val="28"/>
          <w:szCs w:val="28"/>
        </w:rPr>
        <w:t>3系统设计</w:t>
      </w:r>
    </w:p>
    <w:p w14:paraId="3D4B7368">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3.1 系统结构设计</w:t>
      </w:r>
    </w:p>
    <w:p w14:paraId="7B310600">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数字钟系统主要由主控模块、显示模块、输入模块、报警模块和时钟模块组成。主控模块以STC89C52单片机为核心，负责整个系统的数据处理和控制。显示模块采用数码管或液晶显示屏，用于显示时间、日期等信息。输入模块通过按键实现用户的操作输入，如时间设置、闹钟设定等。报警模块由蜂鸣器组成，在闹钟时间到达时发出声音提示。时钟模块采用DS1302实时时钟芯片，为系统提供准确的时间基准。</w:t>
      </w:r>
    </w:p>
    <w:p w14:paraId="5FCEBD62">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3.2 系统功能模块设计</w:t>
      </w:r>
    </w:p>
    <w:p w14:paraId="00C93B4B">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1.主控模块：负责接收输入模块的信号，处理数据，并控制显示模块、报警模块和时钟模块的工作。通过定时器中断实现时间的精确计时。</w:t>
      </w:r>
    </w:p>
    <w:p w14:paraId="54DB09D2">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2.显示模块：根据主控模块发送的数据，将时间、日期等信息显示在数码管或液晶显示屏上。采用动态扫描方式显示数码管，以节省I/O端口资源。</w:t>
      </w:r>
    </w:p>
    <w:p w14:paraId="31685511">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3.输入模块：通过按键检测用户的操作，将按键信号转换为相应的控制指令发送给主控模块。按键包括设置键、加减键、模式切换键等。</w:t>
      </w:r>
    </w:p>
    <w:p w14:paraId="4CC29A8E">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4.报警模块：当闹钟时间到达时，主控模块控制蜂鸣器发出声音报警。通过控制I/O端口的电平高低来驱动蜂鸣器工作。</w:t>
      </w:r>
    </w:p>
    <w:p w14:paraId="4651916F">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5.时钟模块：DS1302实时时钟芯片与单片机通过SPI接口通信，提供准确的时间和日期信息。主控模块定期从DS1302读取时间数据，并更新显示模块。</w:t>
      </w:r>
    </w:p>
    <w:p w14:paraId="6345F1F8">
      <w:pPr>
        <w:spacing w:line="440" w:lineRule="exact"/>
        <w:ind w:firstLine="480" w:firstLineChars="200"/>
        <w:rPr>
          <w:rFonts w:hint="eastAsia" w:ascii="宋体" w:hAnsi="宋体" w:eastAsia="宋体" w:cs="Times New Roman"/>
          <w:sz w:val="24"/>
          <w:lang w:val="en-US" w:eastAsia="zh-CN"/>
        </w:rPr>
      </w:pPr>
      <w:r>
        <w:rPr>
          <w:rFonts w:hint="eastAsia" w:ascii="宋体" w:hAnsi="宋体" w:eastAsia="宋体" w:cs="Times New Roman"/>
          <w:sz w:val="24"/>
          <w:lang w:val="en-US" w:eastAsia="zh-CN"/>
        </w:rPr>
        <w:t>下图为该电路的原理图及PCB图。</w:t>
      </w:r>
    </w:p>
    <w:p w14:paraId="6929D18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Times New Roman"/>
          <w:sz w:val="24"/>
          <w:lang w:val="en-US" w:eastAsia="zh-CN"/>
        </w:rPr>
      </w:pPr>
      <w:r>
        <w:rPr>
          <w:rFonts w:hint="eastAsia" w:ascii="宋体" w:hAnsi="宋体" w:eastAsia="宋体" w:cs="Times New Roman"/>
          <w:sz w:val="24"/>
          <w:lang w:val="en-US" w:eastAsia="zh-CN"/>
        </w:rPr>
        <w:drawing>
          <wp:inline distT="0" distB="0" distL="114300" distR="114300">
            <wp:extent cx="4683125" cy="3116580"/>
            <wp:effectExtent l="0" t="0" r="3175" b="7620"/>
            <wp:docPr id="719" name="图片 7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719" descr="1"/>
                    <pic:cNvPicPr>
                      <a:picLocks noChangeAspect="1"/>
                    </pic:cNvPicPr>
                  </pic:nvPicPr>
                  <pic:blipFill>
                    <a:blip r:embed="rId505"/>
                    <a:stretch>
                      <a:fillRect/>
                    </a:stretch>
                  </pic:blipFill>
                  <pic:spPr>
                    <a:xfrm>
                      <a:off x="0" y="0"/>
                      <a:ext cx="4683125" cy="3116580"/>
                    </a:xfrm>
                    <a:prstGeom prst="rect">
                      <a:avLst/>
                    </a:prstGeom>
                  </pic:spPr>
                </pic:pic>
              </a:graphicData>
            </a:graphic>
          </wp:inline>
        </w:drawing>
      </w:r>
    </w:p>
    <w:p w14:paraId="69A6172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eastAsia="宋体" w:cs="Times New Roman"/>
          <w:sz w:val="24"/>
          <w:lang w:val="en-US" w:eastAsia="zh-CN"/>
        </w:rPr>
      </w:pPr>
      <w:r>
        <w:rPr>
          <w:rFonts w:ascii="宋体" w:hAnsi="宋体" w:eastAsia="宋体" w:cs="Times New Roman"/>
          <w:sz w:val="24"/>
        </w:rPr>
        <w:drawing>
          <wp:inline distT="0" distB="0" distL="114300" distR="114300">
            <wp:extent cx="4391660" cy="2292985"/>
            <wp:effectExtent l="0" t="0" r="8890" b="12065"/>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pic:cNvPicPr>
                      <a:picLocks noChangeAspect="1"/>
                    </pic:cNvPicPr>
                  </pic:nvPicPr>
                  <pic:blipFill>
                    <a:blip r:embed="rId506">
                      <a:extLst>
                        <a:ext uri="{28A0092B-C50C-407E-A947-70E740481C1C}">
                          <a14:useLocalDpi xmlns:a14="http://schemas.microsoft.com/office/drawing/2010/main" val="0"/>
                        </a:ext>
                      </a:extLst>
                    </a:blip>
                    <a:srcRect l="24296" t="21992" r="6261"/>
                    <a:stretch>
                      <a:fillRect/>
                    </a:stretch>
                  </pic:blipFill>
                  <pic:spPr>
                    <a:xfrm>
                      <a:off x="0" y="0"/>
                      <a:ext cx="4391660" cy="2292985"/>
                    </a:xfrm>
                    <a:prstGeom prst="rect">
                      <a:avLst/>
                    </a:prstGeom>
                  </pic:spPr>
                </pic:pic>
              </a:graphicData>
            </a:graphic>
          </wp:inline>
        </w:drawing>
      </w:r>
    </w:p>
    <w:p w14:paraId="3AB83267">
      <w:pPr>
        <w:spacing w:line="440" w:lineRule="exact"/>
        <w:rPr>
          <w:rFonts w:ascii="宋体" w:hAnsi="宋体" w:eastAsia="宋体" w:cs="Times New Roman"/>
          <w:b/>
          <w:bCs/>
          <w:sz w:val="28"/>
          <w:szCs w:val="28"/>
        </w:rPr>
      </w:pPr>
      <w:r>
        <w:rPr>
          <w:rFonts w:hint="eastAsia" w:ascii="宋体" w:hAnsi="宋体" w:eastAsia="宋体" w:cs="Times New Roman"/>
          <w:b/>
          <w:bCs/>
          <w:sz w:val="28"/>
          <w:szCs w:val="28"/>
        </w:rPr>
        <w:t>4 系统功能及使用说明</w:t>
      </w:r>
    </w:p>
    <w:p w14:paraId="0B8EE25A">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4.1系统功能</w:t>
      </w:r>
    </w:p>
    <w:p w14:paraId="4CB6FA78">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1.时间显示：实时显示当前的时、分、秒，支持12小时和24小时制的切换。</w:t>
      </w:r>
    </w:p>
    <w:p w14:paraId="07FFED51">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2.日期显示：显示当前的年、月、日信息。</w:t>
      </w:r>
    </w:p>
    <w:p w14:paraId="72082EBB">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3.闹钟设置：用户可通过按键设置闹钟时间，在设定时间到达时蜂鸣器报警。</w:t>
      </w:r>
    </w:p>
    <w:p w14:paraId="011F45CE">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4.时间校准：允许用户通过按键对时间进行手动调整，确保时间的准确性。</w:t>
      </w:r>
    </w:p>
    <w:p w14:paraId="68B0BADF">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5.断电保护：通过备用电池维持实时时钟的正常运行，保证断电后时间的连续性。</w:t>
      </w:r>
    </w:p>
    <w:p w14:paraId="17937A69">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4.2 使用说明</w:t>
      </w:r>
    </w:p>
    <w:p w14:paraId="4A5139EB">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1.开机：接通电源，系统自动进入时间显示界面。</w:t>
      </w:r>
    </w:p>
    <w:p w14:paraId="26FB81F5">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2.时间设置：按下设置键，进入时间设置模式。通过加减键调整时、分、秒的数值，调整完成后再次按下设置键保存设置。</w:t>
      </w:r>
    </w:p>
    <w:p w14:paraId="186ECBAF">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3.日期设置：按下模式切换键，切换到日期设置模式。通过加减键调整年、月、日的数值，调整完成后再次按下设置键保存设置。</w:t>
      </w:r>
    </w:p>
    <w:p w14:paraId="70987F4E">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4.闹钟设置：按下闹钟设置键，进入闹钟设置模式。通过加减键调整闹钟时间，调整完成后再次按下闹钟设置键保存设置。</w:t>
      </w:r>
    </w:p>
    <w:p w14:paraId="08CD4929">
      <w:pPr>
        <w:spacing w:line="440" w:lineRule="exact"/>
        <w:ind w:firstLine="480" w:firstLineChars="200"/>
        <w:rPr>
          <w:rFonts w:hint="eastAsia" w:ascii="宋体" w:hAnsi="宋体" w:eastAsia="宋体" w:cs="Times New Roman"/>
          <w:sz w:val="24"/>
        </w:rPr>
      </w:pPr>
      <w:r>
        <w:rPr>
          <w:rFonts w:hint="eastAsia" w:ascii="宋体" w:hAnsi="宋体" w:eastAsia="宋体" w:cs="Times New Roman"/>
          <w:sz w:val="24"/>
        </w:rPr>
        <w:t>5. 12小时/24小时制切换：按下模式切换键，可在12小时制和24小时制之间切换。</w:t>
      </w:r>
    </w:p>
    <w:p w14:paraId="11006D38">
      <w:pPr>
        <w:spacing w:line="440" w:lineRule="exact"/>
        <w:rPr>
          <w:rFonts w:hint="eastAsia" w:ascii="宋体" w:hAnsi="宋体" w:eastAsia="宋体" w:cs="Times New Roman"/>
          <w:sz w:val="24"/>
          <w:lang w:val="en-US" w:eastAsia="zh-CN"/>
        </w:rPr>
      </w:pPr>
      <w:r>
        <w:rPr>
          <w:rFonts w:hint="eastAsia" w:ascii="宋体" w:hAnsi="宋体" w:eastAsia="宋体" w:cs="Times New Roman"/>
          <w:b/>
          <w:bCs/>
          <w:sz w:val="28"/>
          <w:szCs w:val="28"/>
        </w:rPr>
        <w:t>5 总结</w:t>
      </w:r>
      <w:r>
        <w:rPr>
          <w:rFonts w:hint="eastAsia" w:ascii="宋体" w:hAnsi="宋体" w:eastAsia="宋体" w:cs="Times New Roman"/>
          <w:sz w:val="24"/>
          <w:lang w:val="en-US" w:eastAsia="zh-CN"/>
        </w:rPr>
        <w:t xml:space="preserve"> </w:t>
      </w:r>
    </w:p>
    <w:p w14:paraId="22035865">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本项目成功设计并实现了一款基于单片机的数字钟系统，具备时间显示、日期显示、闹钟设置、时间校准等基本功能，同时考虑了断电保护等扩展需求</w:t>
      </w:r>
      <w:r>
        <w:rPr>
          <w:rFonts w:hint="eastAsia" w:ascii="宋体" w:hAnsi="宋体" w:eastAsia="宋体" w:cs="Times New Roman"/>
          <w:sz w:val="24"/>
          <w:lang w:val="en-US" w:eastAsia="zh-CN"/>
        </w:rPr>
        <w:t>。</w:t>
      </w:r>
      <w:r>
        <w:rPr>
          <w:rFonts w:hint="eastAsia" w:ascii="宋体" w:hAnsi="宋体" w:eastAsia="宋体" w:cs="Times New Roman"/>
          <w:sz w:val="24"/>
        </w:rPr>
        <w:t>通过合理的硬件选型和软件设计，系统运行稳定，功能完善，满足了日常生活中对时间管理的需求。</w:t>
      </w:r>
    </w:p>
    <w:p w14:paraId="341E6C79">
      <w:pPr>
        <w:spacing w:line="440" w:lineRule="exact"/>
        <w:ind w:firstLine="480" w:firstLineChars="200"/>
        <w:rPr>
          <w:rFonts w:ascii="宋体" w:hAnsi="宋体" w:eastAsia="宋体" w:cs="Times New Roman"/>
          <w:sz w:val="24"/>
        </w:rPr>
      </w:pPr>
      <w:r>
        <w:rPr>
          <w:rFonts w:hint="eastAsia" w:ascii="宋体" w:hAnsi="宋体" w:eastAsia="宋体" w:cs="Times New Roman"/>
          <w:sz w:val="24"/>
        </w:rPr>
        <w:t>在项目开发过程中，我们遇到了一些技术难题，如数码管动态扫描的亮度控制、DS1302与单片机的通信调试等。通过查阅资料、参考开源项目和团队讨论，我们逐一解决了这些问题，积累了宝贵的开发经验。</w:t>
      </w:r>
    </w:p>
    <w:p w14:paraId="7F4F95E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Theme="minorEastAsia" w:hAnsiTheme="minorEastAsia" w:eastAsiaTheme="minorEastAsia"/>
          <w:sz w:val="24"/>
        </w:rPr>
      </w:pPr>
      <w:r>
        <w:rPr>
          <w:rFonts w:hint="eastAsia" w:ascii="宋体" w:hAnsi="宋体" w:eastAsia="宋体" w:cs="Times New Roman"/>
          <w:sz w:val="24"/>
        </w:rPr>
        <w:t>未来，我们可以进一步优化数字钟的功能，如增加温度显示、日历提醒、蓝牙通信等功能，使其更加智能化和人性化。同时，还可以尝试采用更低功耗的单片机和显示模块，提高系统的续航能力。</w:t>
      </w:r>
    </w:p>
    <w:p w14:paraId="07885110"/>
    <w:p w14:paraId="2D6E43BF">
      <w:pPr>
        <w:sectPr>
          <w:headerReference r:id="rId58" w:type="default"/>
          <w:footerReference r:id="rId5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B540562">
      <w:pPr>
        <w:spacing w:line="440" w:lineRule="exact"/>
        <w:jc w:val="center"/>
        <w:outlineLvl w:val="9"/>
        <w:rPr>
          <w:b/>
          <w:bCs/>
          <w:sz w:val="28"/>
          <w:szCs w:val="28"/>
        </w:rPr>
      </w:pPr>
      <w:bookmarkStart w:id="1884" w:name="_Toc14186"/>
      <w:bookmarkStart w:id="1885" w:name="_Toc12410"/>
      <w:bookmarkStart w:id="1886" w:name="_Toc27725"/>
      <w:r>
        <w:rPr>
          <w:rFonts w:hint="eastAsia"/>
          <w:b/>
          <w:bCs/>
          <w:sz w:val="28"/>
          <w:szCs w:val="28"/>
        </w:rPr>
        <w:t>参考文献</w:t>
      </w:r>
      <w:bookmarkEnd w:id="1884"/>
      <w:bookmarkEnd w:id="1885"/>
      <w:bookmarkEnd w:id="1886"/>
    </w:p>
    <w:p w14:paraId="3E3C0934">
      <w:pPr>
        <w:spacing w:line="440" w:lineRule="exact"/>
        <w:ind w:left="420" w:hanging="420" w:hangingChars="200"/>
        <w:rPr>
          <w:rFonts w:ascii="Times New Roman" w:hAnsi="Times New Roman"/>
          <w:szCs w:val="21"/>
        </w:rPr>
      </w:pPr>
      <w:r>
        <w:rPr>
          <w:rFonts w:ascii="Times New Roman" w:hAnsi="Times New Roman"/>
          <w:szCs w:val="21"/>
        </w:rPr>
        <w:t>[1] 张毅刚. 单片机原理及应用（第3版）. 高等教育出版社，2013.</w:t>
      </w:r>
    </w:p>
    <w:p w14:paraId="23471839">
      <w:pPr>
        <w:spacing w:line="440" w:lineRule="exact"/>
        <w:ind w:left="420" w:hanging="420" w:hangingChars="200"/>
        <w:rPr>
          <w:rFonts w:ascii="Times New Roman" w:hAnsi="Times New Roman"/>
          <w:szCs w:val="21"/>
        </w:rPr>
      </w:pPr>
      <w:r>
        <w:rPr>
          <w:rFonts w:ascii="Times New Roman" w:hAnsi="Times New Roman"/>
          <w:szCs w:val="21"/>
        </w:rPr>
        <w:t>[2] 王云亮. 单片机原理与应用技术. 电子工业出版社，2016.</w:t>
      </w:r>
    </w:p>
    <w:p w14:paraId="0E73594D">
      <w:pPr>
        <w:spacing w:line="440" w:lineRule="exact"/>
        <w:ind w:left="420" w:hanging="420" w:hangingChars="200"/>
        <w:rPr>
          <w:rFonts w:ascii="Times New Roman" w:hAnsi="Times New Roman"/>
          <w:szCs w:val="21"/>
        </w:rPr>
      </w:pPr>
      <w:r>
        <w:rPr>
          <w:rFonts w:ascii="Times New Roman" w:hAnsi="Times New Roman"/>
          <w:szCs w:val="21"/>
        </w:rPr>
        <w:t>[3]DS1302实时时钟芯片数据手册. Maxim Integrated Products, 2004.</w:t>
      </w:r>
    </w:p>
    <w:p w14:paraId="59F4561D">
      <w:pPr>
        <w:spacing w:line="440" w:lineRule="exact"/>
        <w:ind w:left="420" w:hanging="420" w:hangingChars="200"/>
        <w:rPr>
          <w:rFonts w:ascii="Times New Roman" w:hAnsi="Times New Roman"/>
          <w:szCs w:val="21"/>
        </w:rPr>
      </w:pPr>
      <w:r>
        <w:rPr>
          <w:rFonts w:ascii="Times New Roman" w:hAnsi="Times New Roman"/>
          <w:szCs w:val="21"/>
        </w:rPr>
        <w:t>[4] STC89C52单片机数据手册. 宏晶科技，2020.</w:t>
      </w:r>
    </w:p>
    <w:p w14:paraId="4323327E">
      <w:pPr>
        <w:spacing w:line="440" w:lineRule="exact"/>
        <w:ind w:left="420" w:hanging="420" w:hangingChars="200"/>
        <w:rPr>
          <w:rFonts w:ascii="Times New Roman" w:hAnsi="Times New Roman"/>
          <w:szCs w:val="21"/>
        </w:rPr>
      </w:pPr>
      <w:r>
        <w:rPr>
          <w:rFonts w:ascii="Times New Roman" w:hAnsi="Times New Roman"/>
          <w:szCs w:val="21"/>
        </w:rPr>
        <w:t>[5] Proteus电路仿真教程. 电子工业出版社，2018.</w:t>
      </w:r>
    </w:p>
    <w:p w14:paraId="1737BEA4">
      <w:pPr>
        <w:keepNext w:val="0"/>
        <w:keepLines w:val="0"/>
        <w:pageBreakBefore w:val="0"/>
        <w:widowControl w:val="0"/>
        <w:tabs>
          <w:tab w:val="left" w:pos="967"/>
        </w:tabs>
        <w:kinsoku/>
        <w:wordWrap/>
        <w:overflowPunct/>
        <w:topLinePunct w:val="0"/>
        <w:autoSpaceDE/>
        <w:autoSpaceDN/>
        <w:bidi w:val="0"/>
        <w:adjustRightInd/>
        <w:snapToGrid/>
        <w:spacing w:line="440" w:lineRule="exact"/>
        <w:ind w:left="420" w:hanging="420" w:hangingChars="200"/>
        <w:textAlignment w:val="auto"/>
        <w:rPr>
          <w:rFonts w:hint="default" w:ascii="Times New Roman" w:hAnsi="Times New Roman" w:cs="Times New Roman"/>
          <w:szCs w:val="21"/>
        </w:rPr>
      </w:pPr>
    </w:p>
    <w:p w14:paraId="4C76EEFF">
      <w:pPr>
        <w:pStyle w:val="10"/>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432D366">
      <w:pPr>
        <w:keepNext w:val="0"/>
        <w:keepLines w:val="0"/>
        <w:pageBreakBefore w:val="0"/>
        <w:widowControl w:val="0"/>
        <w:numPr>
          <w:ilvl w:val="0"/>
          <w:numId w:val="0"/>
        </w:numPr>
        <w:tabs>
          <w:tab w:val="left" w:pos="967"/>
        </w:tabs>
        <w:kinsoku/>
        <w:wordWrap/>
        <w:overflowPunct/>
        <w:topLinePunct w:val="0"/>
        <w:autoSpaceDE/>
        <w:autoSpaceDN/>
        <w:bidi w:val="0"/>
        <w:adjustRightInd/>
        <w:snapToGrid/>
        <w:spacing w:line="440" w:lineRule="exact"/>
        <w:textAlignment w:val="auto"/>
      </w:pPr>
    </w:p>
    <w:p w14:paraId="72EB7DA5">
      <w:pPr>
        <w:rPr>
          <w:rFonts w:hint="eastAsia"/>
        </w:rPr>
      </w:pPr>
    </w:p>
    <w:sectPr>
      <w:headerReference r:id="rId60" w:type="default"/>
      <w:footerReference r:id="rId61"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Segoe UI">
    <w:panose1 w:val="020B0502040204020203"/>
    <w:charset w:val="00"/>
    <w:family w:val="swiss"/>
    <w:pitch w:val="default"/>
    <w:sig w:usb0="E4002EFF" w:usb1="C000E47F" w:usb2="00000009" w:usb3="00000000" w:csb0="200001FF" w:csb1="00000000"/>
  </w:font>
  <w:font w:name="新宋体">
    <w:panose1 w:val="02010609030101010101"/>
    <w:charset w:val="86"/>
    <w:family w:val="modern"/>
    <w:pitch w:val="default"/>
    <w:sig w:usb0="00000203" w:usb1="288F0000" w:usb2="00000006" w:usb3="00000000" w:csb0="00040001" w:csb1="00000000"/>
  </w:font>
  <w:font w:name="Consolas">
    <w:panose1 w:val="020B0609020204030204"/>
    <w:charset w:val="00"/>
    <w:family w:val="auto"/>
    <w:pitch w:val="default"/>
    <w:sig w:usb0="E00006FF" w:usb1="0000FCFF" w:usb2="00000001" w:usb3="00000000" w:csb0="6000019F" w:csb1="DFD70000"/>
  </w:font>
  <w:font w:name="Cambria Math">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73941">
    <w:pPr>
      <w:pStyle w:val="22"/>
    </w:pPr>
    <w:r>
      <w:rPr>
        <w:sz w:val="18"/>
      </w:rPr>
      <mc:AlternateContent>
        <mc:Choice Requires="wps">
          <w:drawing>
            <wp:anchor distT="0" distB="0" distL="114300" distR="114300" simplePos="0" relativeHeight="251950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49A17F">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50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2A49A17F">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9F630">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3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733" name="文本框 7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E66B1A">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3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KoGgQ0AgAAZQQAAA4AAABkcnMvZTJvRG9jLnhtbK1UzY7TMBC+I/EO&#10;lu80aSuWqm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SqBoENAIAAGUEAAAOAAAAAAAAAAEAIAAAAB8BAABkcnMvZTJvRG9jLnhtbFBL&#10;BQYAAAAABgAGAFkBAADFBQAAAAA=&#10;">
              <v:fill on="f" focussize="0,0"/>
              <v:stroke on="f" weight="0.5pt"/>
              <v:imagedata o:title=""/>
              <o:lock v:ext="edit" aspectratio="f"/>
              <v:textbox inset="0mm,0mm,0mm,0mm" style="mso-fit-shape-to-text:t;">
                <w:txbxContent>
                  <w:p w14:paraId="2AE66B1A">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4B735E">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4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734" name="文本框 7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8E891E">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4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GRIWU1AgAAZQQAAA4AAABkcnMvZTJvRG9jLnhtbK1UzY7TMBC+I/EO&#10;lu80aReWqm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69ek2JZgolP//4&#10;fv756/zwjcRDSFRbP0Pk1iI2NO9Mg8YZzj0OI/OmcCp+wYnAD4FPF4FFEwiPl6aT6TSFi8M3bICf&#10;PF63zof3wigSjYw6VLAVlh03PnShQ0jMps26krKtotSkzuj11Z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AZEhZTUCAABlBAAADgAAAAAAAAABACAAAAAfAQAAZHJzL2Uyb0RvYy54bWxQ&#10;SwUGAAAAAAYABgBZAQAAxgUAAAAA&#10;">
              <v:fill on="f" focussize="0,0"/>
              <v:stroke on="f" weight="0.5pt"/>
              <v:imagedata o:title=""/>
              <o:lock v:ext="edit" aspectratio="f"/>
              <v:textbox inset="0mm,0mm,0mm,0mm" style="mso-fit-shape-to-text:t;">
                <w:txbxContent>
                  <w:p w14:paraId="548E891E">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3BFE83">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5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735" name="文本框 7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C00BFD">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5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ai2/+TUCAABlBAAADgAAAAAAAAABACAAAAAfAQAAZHJzL2Uyb0RvYy54bWxQ&#10;SwUGAAAAAAYABgBZAQAAxgUAAAAA&#10;">
              <v:fill on="f" focussize="0,0"/>
              <v:stroke on="f" weight="0.5pt"/>
              <v:imagedata o:title=""/>
              <o:lock v:ext="edit" aspectratio="f"/>
              <v:textbox inset="0mm,0mm,0mm,0mm" style="mso-fit-shape-to-text:t;">
                <w:txbxContent>
                  <w:p w14:paraId="14C00BFD">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091E2">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6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736" name="文本框 7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B12F6F">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6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W722HNAIAAGUEAAAOAAAAAAAAAAEAIAAAAB8BAABkcnMvZTJvRG9jLnhtbFBL&#10;BQYAAAAABgAGAFkBAADFBQAAAAA=&#10;">
              <v:fill on="f" focussize="0,0"/>
              <v:stroke on="f" weight="0.5pt"/>
              <v:imagedata o:title=""/>
              <o:lock v:ext="edit" aspectratio="f"/>
              <v:textbox inset="0mm,0mm,0mm,0mm" style="mso-fit-shape-to-text:t;">
                <w:txbxContent>
                  <w:p w14:paraId="21B12F6F">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017E8">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7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737" name="文本框 7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AC3CE6">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7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VPzGzUCAABlBAAADgAAAAAAAAABACAAAAAfAQAAZHJzL2Uyb0RvYy54bWxQ&#10;SwUGAAAAAAYABgBZAQAAxgUAAAAA&#10;">
              <v:fill on="f" focussize="0,0"/>
              <v:stroke on="f" weight="0.5pt"/>
              <v:imagedata o:title=""/>
              <o:lock v:ext="edit" aspectratio="f"/>
              <v:textbox inset="0mm,0mm,0mm,0mm" style="mso-fit-shape-to-text:t;">
                <w:txbxContent>
                  <w:p w14:paraId="0BAC3CE6">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23DB3">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8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738" name="文本框 7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98737E">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88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CcG0U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wnBtFNAIAAGUEAAAOAAAAAAAAAAEAIAAAAB8BAABkcnMvZTJvRG9jLnhtbFBL&#10;BQYAAAAABgAGAFkBAADFBQAAAAA=&#10;">
              <v:fill on="f" focussize="0,0"/>
              <v:stroke on="f" weight="0.5pt"/>
              <v:imagedata o:title=""/>
              <o:lock v:ext="edit" aspectratio="f"/>
              <v:textbox inset="0mm,0mm,0mm,0mm" style="mso-fit-shape-to-text:t;">
                <w:txbxContent>
                  <w:p w14:paraId="2198737E">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51511">
    <w:pPr>
      <w:pStyle w:val="22"/>
    </w:pPr>
    <w:r>
      <w:rPr>
        <w:sz w:val="18"/>
      </w:rPr>
      <mc:AlternateContent>
        <mc:Choice Requires="wps">
          <w:drawing>
            <wp:anchor distT="0" distB="0" distL="114300" distR="114300" simplePos="0" relativeHeight="251939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739" name="文本框 7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AAD6F1">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9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ghdk1AgAAZQQAAA4AAABkcnMvZTJvRG9jLnhtbK1UzY7TMBC+I/EO&#10;lu80aVcspW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65ekuJZgolP//4&#10;fv756/zwjcRDSFRbP0Pk1iI2NO9Mg8YZzj0OI/OmcCp+wYnAD4FPF4FFEwiPl6aT6TSFi8M3bICf&#10;PF63zof3wigSjYw6VLAVlh03PnShQ0jMps26krKtotSkzuj11e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2yCF2TUCAABlBAAADgAAAAAAAAABACAAAAAfAQAAZHJzL2Uyb0RvYy54bWxQ&#10;SwUGAAAAAAYABgBZAQAAxgUAAAAA&#10;">
              <v:fill on="f" focussize="0,0"/>
              <v:stroke on="f" weight="0.5pt"/>
              <v:imagedata o:title=""/>
              <o:lock v:ext="edit" aspectratio="f"/>
              <v:textbox inset="0mm,0mm,0mm,0mm" style="mso-fit-shape-to-text:t;">
                <w:txbxContent>
                  <w:p w14:paraId="5BAAD6F1">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5D5F8">
    <w:pPr>
      <w:pStyle w:val="22"/>
      <w:jc w:val="center"/>
    </w:pPr>
    <w:r>
      <w:rPr>
        <w:sz w:val="18"/>
      </w:rPr>
      <mc:AlternateContent>
        <mc:Choice Requires="wps">
          <w:drawing>
            <wp:anchor distT="0" distB="0" distL="114300" distR="114300" simplePos="0" relativeHeight="251940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40" name="文本框 7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35DD9F">
                          <w:pPr>
                            <w:pStyle w:val="22"/>
                          </w:pPr>
                          <w:r>
                            <w:fldChar w:fldCharType="begin"/>
                          </w:r>
                          <w:r>
                            <w:instrText xml:space="preserve"> PAGE  \* MERGEFORMAT </w:instrText>
                          </w:r>
                          <w:r>
                            <w:fldChar w:fldCharType="separate"/>
                          </w:r>
                          <w:r>
                            <w:t>495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0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TrxM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pk68TNAIAAGUEAAAOAAAAAAAAAAEAIAAAAB8BAABkcnMvZTJvRG9jLnhtbFBL&#10;BQYAAAAABgAGAFkBAADFBQAAAAA=&#10;">
              <v:fill on="f" focussize="0,0"/>
              <v:stroke on="f" weight="0.5pt"/>
              <v:imagedata o:title=""/>
              <o:lock v:ext="edit" aspectratio="f"/>
              <v:textbox inset="0mm,0mm,0mm,0mm" style="mso-fit-shape-to-text:t;">
                <w:txbxContent>
                  <w:p w14:paraId="7635DD9F">
                    <w:pPr>
                      <w:pStyle w:val="22"/>
                    </w:pPr>
                    <w:r>
                      <w:fldChar w:fldCharType="begin"/>
                    </w:r>
                    <w:r>
                      <w:instrText xml:space="preserve"> PAGE  \* MERGEFORMAT </w:instrText>
                    </w:r>
                    <w:r>
                      <w:fldChar w:fldCharType="separate"/>
                    </w:r>
                    <w:r>
                      <w:t>495</w:t>
                    </w:r>
                    <w:r>
                      <w:fldChar w:fldCharType="end"/>
                    </w:r>
                  </w:p>
                </w:txbxContent>
              </v:textbox>
            </v:shape>
          </w:pict>
        </mc:Fallback>
      </mc:AlternateContent>
    </w:r>
  </w:p>
  <w:p w14:paraId="023E4864">
    <w:pPr>
      <w:pStyle w:val="22"/>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A21BE8">
    <w:pPr>
      <w:pStyle w:val="22"/>
      <w:jc w:val="center"/>
    </w:pPr>
    <w:r>
      <w:rPr>
        <w:sz w:val="18"/>
      </w:rPr>
      <mc:AlternateContent>
        <mc:Choice Requires="wps">
          <w:drawing>
            <wp:anchor distT="0" distB="0" distL="114300" distR="114300" simplePos="0" relativeHeight="251941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41" name="文本框 7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1BD374">
                          <w:pPr>
                            <w:pStyle w:val="22"/>
                          </w:pPr>
                          <w:r>
                            <w:fldChar w:fldCharType="begin"/>
                          </w:r>
                          <w:r>
                            <w:instrText xml:space="preserve"> PAGE  \* MERGEFORMAT </w:instrText>
                          </w:r>
                          <w:r>
                            <w:fldChar w:fldCharType="separate"/>
                          </w:r>
                          <w:r>
                            <w:t>522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1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CLzGPNAIAAGUEAAAOAAAAAAAAAAEAIAAAAB8BAABkcnMvZTJvRG9jLnhtbFBL&#10;BQYAAAAABgAGAFkBAADFBQAAAAA=&#10;">
              <v:fill on="f" focussize="0,0"/>
              <v:stroke on="f" weight="0.5pt"/>
              <v:imagedata o:title=""/>
              <o:lock v:ext="edit" aspectratio="f"/>
              <v:textbox inset="0mm,0mm,0mm,0mm" style="mso-fit-shape-to-text:t;">
                <w:txbxContent>
                  <w:p w14:paraId="101BD374">
                    <w:pPr>
                      <w:pStyle w:val="22"/>
                    </w:pPr>
                    <w:r>
                      <w:fldChar w:fldCharType="begin"/>
                    </w:r>
                    <w:r>
                      <w:instrText xml:space="preserve"> PAGE  \* MERGEFORMAT </w:instrText>
                    </w:r>
                    <w:r>
                      <w:fldChar w:fldCharType="separate"/>
                    </w:r>
                    <w:r>
                      <w:t>522</w:t>
                    </w:r>
                    <w:r>
                      <w:fldChar w:fldCharType="end"/>
                    </w:r>
                  </w:p>
                </w:txbxContent>
              </v:textbox>
            </v:shape>
          </w:pict>
        </mc:Fallback>
      </mc:AlternateContent>
    </w:r>
  </w:p>
  <w:p w14:paraId="19D4E937">
    <w:pPr>
      <w:pStyle w:val="22"/>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4F297">
    <w:pPr>
      <w:pStyle w:val="22"/>
      <w:rPr>
        <w:lang w:val="en-US" w:eastAsia="zh-CN"/>
      </w:rPr>
    </w:pPr>
    <w:r>
      <w:rPr>
        <w:sz w:val="18"/>
      </w:rPr>
      <mc:AlternateContent>
        <mc:Choice Requires="wps">
          <w:drawing>
            <wp:anchor distT="0" distB="0" distL="114300" distR="114300" simplePos="0" relativeHeight="251942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42" name="文本框 7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4A438">
                          <w:pPr>
                            <w:pStyle w:val="22"/>
                          </w:pPr>
                          <w:r>
                            <w:fldChar w:fldCharType="begin"/>
                          </w:r>
                          <w:r>
                            <w:instrText xml:space="preserve"> PAGE  \* MERGEFORMAT </w:instrText>
                          </w:r>
                          <w:r>
                            <w:fldChar w:fldCharType="separate"/>
                          </w:r>
                          <w:r>
                            <w:t>533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29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7t4/E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7ePxNAIAAGUEAAAOAAAAAAAAAAEAIAAAAB8BAABkcnMvZTJvRG9jLnhtbFBL&#10;BQYAAAAABgAGAFkBAADFBQAAAAA=&#10;">
              <v:fill on="f" focussize="0,0"/>
              <v:stroke on="f" weight="0.5pt"/>
              <v:imagedata o:title=""/>
              <o:lock v:ext="edit" aspectratio="f"/>
              <v:textbox inset="0mm,0mm,0mm,0mm" style="mso-fit-shape-to-text:t;">
                <w:txbxContent>
                  <w:p w14:paraId="7B94A438">
                    <w:pPr>
                      <w:pStyle w:val="22"/>
                    </w:pPr>
                    <w:r>
                      <w:fldChar w:fldCharType="begin"/>
                    </w:r>
                    <w:r>
                      <w:instrText xml:space="preserve"> PAGE  \* MERGEFORMAT </w:instrText>
                    </w:r>
                    <w:r>
                      <w:fldChar w:fldCharType="separate"/>
                    </w:r>
                    <w:r>
                      <w:t>533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D25CB">
    <w:pPr>
      <w:pStyle w:val="22"/>
    </w:pPr>
    <w:r>
      <w:rPr>
        <w:sz w:val="18"/>
      </w:rPr>
      <mc:AlternateContent>
        <mc:Choice Requires="wps">
          <w:drawing>
            <wp:anchor distT="0" distB="0" distL="114300" distR="114300" simplePos="0" relativeHeight="251925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724" name="文本框 7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5BDA5C">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5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233b8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tt92/NAIAAGUEAAAOAAAAAAAAAAEAIAAAAB8BAABkcnMvZTJvRG9jLnhtbFBL&#10;BQYAAAAABgAGAFkBAADFBQAAAAA=&#10;">
              <v:fill on="f" focussize="0,0"/>
              <v:stroke on="f" weight="0.5pt"/>
              <v:imagedata o:title=""/>
              <o:lock v:ext="edit" aspectratio="f"/>
              <v:textbox inset="0mm,0mm,0mm,0mm" style="mso-fit-shape-to-text:t;">
                <w:txbxContent>
                  <w:p w14:paraId="6F5BDA5C">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B9077">
    <w:pPr>
      <w:pStyle w:val="22"/>
      <w:tabs>
        <w:tab w:val="clear" w:pos="8306"/>
      </w:tabs>
      <w:rPr>
        <w:rFonts w:hint="default"/>
        <w:lang w:val="en-US"/>
      </w:rPr>
    </w:pPr>
    <w:r>
      <w:rPr>
        <w:sz w:val="18"/>
      </w:rPr>
      <mc:AlternateContent>
        <mc:Choice Requires="wps">
          <w:drawing>
            <wp:anchor distT="0" distB="0" distL="114300" distR="114300" simplePos="0" relativeHeight="251943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43" name="文本框 7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47AE13">
                          <w:pPr>
                            <w:pStyle w:val="22"/>
                          </w:pPr>
                          <w:r>
                            <w:fldChar w:fldCharType="begin"/>
                          </w:r>
                          <w:r>
                            <w:instrText xml:space="preserve"> PAGE  \* MERGEFORMAT </w:instrText>
                          </w:r>
                          <w:r>
                            <w:fldChar w:fldCharType="separate"/>
                          </w:r>
                          <w:r>
                            <w:t>547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3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VRfW01AgAAZQQAAA4AAABkcnMvZTJvRG9jLnhtbK1UzY7TMBC+I/EO&#10;lu80aReWqm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59fUWJZgolP//4&#10;fv756/zwjcRDSFRbP0Pk1iI2NO9Mg8YZzj0OI/OmcCp+wYnAD4FPF4FFEwiPl6aT6TSFi8M3bICf&#10;PF63zof3wigSjYw6VLAVlh03PnShQ0jMps26krKtotSkzuj11Z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VVF9bTUCAABlBAAADgAAAAAAAAABACAAAAAfAQAAZHJzL2Uyb0RvYy54bWxQ&#10;SwUGAAAAAAYABgBZAQAAxgUAAAAA&#10;">
              <v:fill on="f" focussize="0,0"/>
              <v:stroke on="f" weight="0.5pt"/>
              <v:imagedata o:title=""/>
              <o:lock v:ext="edit" aspectratio="f"/>
              <v:textbox inset="0mm,0mm,0mm,0mm" style="mso-fit-shape-to-text:t;">
                <w:txbxContent>
                  <w:p w14:paraId="7047AE13">
                    <w:pPr>
                      <w:pStyle w:val="22"/>
                    </w:pPr>
                    <w:r>
                      <w:fldChar w:fldCharType="begin"/>
                    </w:r>
                    <w:r>
                      <w:instrText xml:space="preserve"> PAGE  \* MERGEFORMAT </w:instrText>
                    </w:r>
                    <w:r>
                      <w:fldChar w:fldCharType="separate"/>
                    </w:r>
                    <w:r>
                      <w:t>547</w:t>
                    </w:r>
                    <w:r>
                      <w:fldChar w:fldCharType="end"/>
                    </w:r>
                  </w:p>
                </w:txbxContent>
              </v:textbox>
            </v:shape>
          </w:pict>
        </mc:Fallback>
      </mc:AlternateContent>
    </w:r>
    <w:r>
      <w:rPr>
        <w:rFonts w:hint="eastAsia"/>
        <w:lang w:eastAsia="zh-CN"/>
      </w:rPr>
      <w:tab/>
    </w:r>
    <w:r>
      <w:rPr>
        <w:rFonts w:hint="eastAsia"/>
        <w:lang w:eastAsia="zh-CN"/>
      </w:rPr>
      <w:tab/>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3CDEFA">
    <w:pPr>
      <w:pStyle w:val="22"/>
      <w:jc w:val="center"/>
    </w:pPr>
    <w:r>
      <w:rPr>
        <w:sz w:val="18"/>
      </w:rPr>
      <mc:AlternateContent>
        <mc:Choice Requires="wps">
          <w:drawing>
            <wp:anchor distT="0" distB="0" distL="114300" distR="114300" simplePos="0" relativeHeight="251944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44" name="文本框 7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2EDFB5">
                          <w:pPr>
                            <w:pStyle w:val="22"/>
                          </w:pPr>
                          <w:r>
                            <w:fldChar w:fldCharType="begin"/>
                          </w:r>
                          <w:r>
                            <w:instrText xml:space="preserve"> PAGE  \* MERGEFORMAT </w:instrText>
                          </w:r>
                          <w:r>
                            <w:fldChar w:fldCharType="separate"/>
                          </w:r>
                          <w:r>
                            <w:t>559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4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ZoRgw1AgAAZQQAAA4AAABkcnMvZTJvRG9jLnhtbK1UzY7TMBC+I/EO&#10;lu80aVmWqm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69uqJEM4WSn398&#10;P//8dX74RuIhJKqtnyFyaxEbmnemQeMM5x6HkXlTOBW/4ETgh8Cni8CiCYTHS9PJdJrCxeEbNsBP&#10;Hq9b58N7YRSJRkYdKtgKy44bH7rQISRm02ZdSdlWUWpSZ/T69Z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xmhGDDUCAABlBAAADgAAAAAAAAABACAAAAAfAQAAZHJzL2Uyb0RvYy54bWxQ&#10;SwUGAAAAAAYABgBZAQAAxgUAAAAA&#10;">
              <v:fill on="f" focussize="0,0"/>
              <v:stroke on="f" weight="0.5pt"/>
              <v:imagedata o:title=""/>
              <o:lock v:ext="edit" aspectratio="f"/>
              <v:textbox inset="0mm,0mm,0mm,0mm" style="mso-fit-shape-to-text:t;">
                <w:txbxContent>
                  <w:p w14:paraId="642EDFB5">
                    <w:pPr>
                      <w:pStyle w:val="22"/>
                    </w:pPr>
                    <w:r>
                      <w:fldChar w:fldCharType="begin"/>
                    </w:r>
                    <w:r>
                      <w:instrText xml:space="preserve"> PAGE  \* MERGEFORMAT </w:instrText>
                    </w:r>
                    <w:r>
                      <w:fldChar w:fldCharType="separate"/>
                    </w:r>
                    <w:r>
                      <w:t>559</w:t>
                    </w:r>
                    <w:r>
                      <w:fldChar w:fldCharType="end"/>
                    </w:r>
                  </w:p>
                </w:txbxContent>
              </v:textbox>
            </v:shape>
          </w:pict>
        </mc:Fallback>
      </mc:AlternateContent>
    </w:r>
  </w:p>
  <w:p w14:paraId="47C50674">
    <w:pPr>
      <w:pStyle w:val="22"/>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D3906">
    <w:pPr>
      <w:pStyle w:val="22"/>
    </w:pPr>
    <w:r>
      <w:rPr>
        <w:sz w:val="18"/>
      </w:rPr>
      <mc:AlternateContent>
        <mc:Choice Requires="wps">
          <w:drawing>
            <wp:anchor distT="0" distB="0" distL="114300" distR="114300" simplePos="0" relativeHeight="251945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745" name="文本框 7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72723C">
                          <w:pPr>
                            <w:pStyle w:val="22"/>
                          </w:pPr>
                          <w:r>
                            <w:fldChar w:fldCharType="begin"/>
                          </w:r>
                          <w:r>
                            <w:instrText xml:space="preserve"> PAGE  \* MERGEFORMAT </w:instrText>
                          </w:r>
                          <w:r>
                            <w:fldChar w:fldCharType="separate"/>
                          </w:r>
                          <w:r>
                            <w:t>567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5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rdTYkDUCAABlBAAADgAAAAAAAAABACAAAAAfAQAAZHJzL2Uyb0RvYy54bWxQ&#10;SwUGAAAAAAYABgBZAQAAxgUAAAAA&#10;">
              <v:fill on="f" focussize="0,0"/>
              <v:stroke on="f" weight="0.5pt"/>
              <v:imagedata o:title=""/>
              <o:lock v:ext="edit" aspectratio="f"/>
              <v:textbox inset="0mm,0mm,0mm,0mm" style="mso-fit-shape-to-text:t;">
                <w:txbxContent>
                  <w:p w14:paraId="4472723C">
                    <w:pPr>
                      <w:pStyle w:val="22"/>
                    </w:pPr>
                    <w:r>
                      <w:fldChar w:fldCharType="begin"/>
                    </w:r>
                    <w:r>
                      <w:instrText xml:space="preserve"> PAGE  \* MERGEFORMAT </w:instrText>
                    </w:r>
                    <w:r>
                      <w:fldChar w:fldCharType="separate"/>
                    </w:r>
                    <w:r>
                      <w:t>567</w:t>
                    </w:r>
                    <w:r>
                      <w:fldChar w:fldCharType="end"/>
                    </w:r>
                  </w:p>
                </w:txbxContent>
              </v:textbox>
            </v:shape>
          </w:pict>
        </mc:Fallback>
      </mc:AlternateContent>
    </w:r>
    <w:r>
      <w:rPr>
        <w:sz w:val="18"/>
      </w:rPr>
      <mc:AlternateContent>
        <mc:Choice Requires="wps">
          <w:drawing>
            <wp:anchor distT="0" distB="0" distL="114300" distR="114300" simplePos="0" relativeHeight="251882496" behindDoc="0" locked="0" layoutInCell="1" allowOverlap="1">
              <wp:simplePos x="0" y="0"/>
              <wp:positionH relativeFrom="margin">
                <wp:align>center</wp:align>
              </wp:positionH>
              <wp:positionV relativeFrom="paragraph">
                <wp:posOffset>0</wp:posOffset>
              </wp:positionV>
              <wp:extent cx="1828800" cy="1828800"/>
              <wp:effectExtent l="0" t="0" r="0" b="0"/>
              <wp:wrapNone/>
              <wp:docPr id="687" name="文本框 6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C0914B">
                          <w:pPr>
                            <w:pStyle w:val="22"/>
                            <w:rPr>
                              <w:rFonts w:hint="eastAsia" w:eastAsia="宋体"/>
                              <w:lang w:eastAsia="zh-CN"/>
                            </w:rPr>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8824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7utE86AgAAcw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O7rRPOgIAAHMEAAAOAAAAAAAAAAEAIAAAAB8BAABkcnMvZTJvRG9j&#10;LnhtbFBLBQYAAAAABgAGAFkBAADLBQAAAAA=&#10;">
              <v:fill on="f" focussize="0,0"/>
              <v:stroke on="f" weight="0.5pt"/>
              <v:imagedata o:title=""/>
              <o:lock v:ext="edit" aspectratio="f"/>
              <v:textbox inset="0mm,0mm,0mm,0mm" style="mso-fit-shape-to-text:t;">
                <w:txbxContent>
                  <w:p w14:paraId="50C0914B">
                    <w:pPr>
                      <w:pStyle w:val="22"/>
                      <w:rPr>
                        <w:rFonts w:hint="eastAsia" w:eastAsia="宋体"/>
                        <w:lang w:eastAsia="zh-CN"/>
                      </w:rPr>
                    </w:pP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FDF79">
    <w:pPr>
      <w:pStyle w:val="22"/>
      <w:jc w:val="center"/>
      <w:rPr>
        <w:rFonts w:hint="eastAsia"/>
      </w:rPr>
    </w:pPr>
    <w:r>
      <w:rPr>
        <w:sz w:val="18"/>
      </w:rPr>
      <mc:AlternateContent>
        <mc:Choice Requires="wps">
          <w:drawing>
            <wp:anchor distT="0" distB="0" distL="114300" distR="114300" simplePos="0" relativeHeight="251947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746" name="文本框 7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F90CAD">
                          <w:pPr>
                            <w:pStyle w:val="22"/>
                          </w:pPr>
                          <w:r>
                            <w:fldChar w:fldCharType="begin"/>
                          </w:r>
                          <w:r>
                            <w:instrText xml:space="preserve"> PAGE  \* MERGEFORMAT </w:instrText>
                          </w:r>
                          <w:r>
                            <w:fldChar w:fldCharType="separate"/>
                          </w:r>
                          <w:r>
                            <w:t>592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7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RFgruNAIAAGUEAAAOAAAAAAAAAAEAIAAAAB8BAABkcnMvZTJvRG9jLnhtbFBL&#10;BQYAAAAABgAGAFkBAADFBQAAAAA=&#10;">
              <v:fill on="f" focussize="0,0"/>
              <v:stroke on="f" weight="0.5pt"/>
              <v:imagedata o:title=""/>
              <o:lock v:ext="edit" aspectratio="f"/>
              <v:textbox inset="0mm,0mm,0mm,0mm" style="mso-fit-shape-to-text:t;">
                <w:txbxContent>
                  <w:p w14:paraId="5AF90CAD">
                    <w:pPr>
                      <w:pStyle w:val="22"/>
                    </w:pPr>
                    <w:r>
                      <w:fldChar w:fldCharType="begin"/>
                    </w:r>
                    <w:r>
                      <w:instrText xml:space="preserve"> PAGE  \* MERGEFORMAT </w:instrText>
                    </w:r>
                    <w:r>
                      <w:fldChar w:fldCharType="separate"/>
                    </w:r>
                    <w:r>
                      <w:t>592</w:t>
                    </w:r>
                    <w:r>
                      <w:fldChar w:fldCharType="end"/>
                    </w:r>
                  </w:p>
                </w:txbxContent>
              </v:textbox>
            </v:shape>
          </w:pict>
        </mc:Fallback>
      </mc:AlternateContent>
    </w:r>
  </w:p>
  <w:p w14:paraId="24931ECF">
    <w:pPr>
      <w:pStyle w:val="22"/>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CF6DC">
    <w:pPr>
      <w:pStyle w:val="22"/>
      <w:jc w:val="center"/>
    </w:pPr>
    <w:r>
      <w:rPr>
        <w:sz w:val="18"/>
      </w:rPr>
      <mc:AlternateContent>
        <mc:Choice Requires="wps">
          <w:drawing>
            <wp:anchor distT="0" distB="0" distL="114300" distR="114300" simplePos="0" relativeHeight="251948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747" name="文本框 7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08A3BC">
                          <w:pPr>
                            <w:pStyle w:val="22"/>
                          </w:pPr>
                          <w:r>
                            <w:fldChar w:fldCharType="begin"/>
                          </w:r>
                          <w:r>
                            <w:instrText xml:space="preserve"> PAGE  \* MERGEFORMAT </w:instrText>
                          </w:r>
                          <w:r>
                            <w:fldChar w:fldCharType="separate"/>
                          </w:r>
                          <w:r>
                            <w:t>631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8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OqqUcjUCAABlBAAADgAAAAAAAAABACAAAAAfAQAAZHJzL2Uyb0RvYy54bWxQ&#10;SwUGAAAAAAYABgBZAQAAxgUAAAAA&#10;">
              <v:fill on="f" focussize="0,0"/>
              <v:stroke on="f" weight="0.5pt"/>
              <v:imagedata o:title=""/>
              <o:lock v:ext="edit" aspectratio="f"/>
              <v:textbox inset="0mm,0mm,0mm,0mm" style="mso-fit-shape-to-text:t;">
                <w:txbxContent>
                  <w:p w14:paraId="0D08A3BC">
                    <w:pPr>
                      <w:pStyle w:val="22"/>
                    </w:pPr>
                    <w:r>
                      <w:fldChar w:fldCharType="begin"/>
                    </w:r>
                    <w:r>
                      <w:instrText xml:space="preserve"> PAGE  \* MERGEFORMAT </w:instrText>
                    </w:r>
                    <w:r>
                      <w:fldChar w:fldCharType="separate"/>
                    </w:r>
                    <w:r>
                      <w:t>631</w:t>
                    </w:r>
                    <w:r>
                      <w:fldChar w:fldCharType="end"/>
                    </w:r>
                  </w:p>
                </w:txbxContent>
              </v:textbox>
            </v:shape>
          </w:pict>
        </mc:Fallback>
      </mc:AlternateContent>
    </w:r>
  </w:p>
  <w:p w14:paraId="3F1742DE">
    <w:pPr>
      <w:pStyle w:val="22"/>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C912D">
    <w:pPr>
      <w:pStyle w:val="22"/>
      <w:jc w:val="center"/>
    </w:pPr>
    <w:r>
      <w:rPr>
        <w:sz w:val="18"/>
      </w:rPr>
      <mc:AlternateContent>
        <mc:Choice Requires="wps">
          <w:drawing>
            <wp:anchor distT="0" distB="0" distL="114300" distR="114300" simplePos="0" relativeHeight="251949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48" name="文本框 7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A56890">
                          <w:pPr>
                            <w:pStyle w:val="22"/>
                          </w:pPr>
                          <w:r>
                            <w:fldChar w:fldCharType="begin"/>
                          </w:r>
                          <w:r>
                            <w:instrText xml:space="preserve"> PAGE  \* MERGEFORMAT </w:instrText>
                          </w:r>
                          <w:r>
                            <w:fldChar w:fldCharType="separate"/>
                          </w:r>
                          <w:r>
                            <w:t>632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49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dlfCw0AgAAZQ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3ZXwsNAIAAGUEAAAOAAAAAAAAAAEAIAAAAB8BAABkcnMvZTJvRG9jLnhtbFBL&#10;BQYAAAAABgAGAFkBAADFBQAAAAA=&#10;">
              <v:fill on="f" focussize="0,0"/>
              <v:stroke on="f" weight="0.5pt"/>
              <v:imagedata o:title=""/>
              <o:lock v:ext="edit" aspectratio="f"/>
              <v:textbox inset="0mm,0mm,0mm,0mm" style="mso-fit-shape-to-text:t;">
                <w:txbxContent>
                  <w:p w14:paraId="4BA56890">
                    <w:pPr>
                      <w:pStyle w:val="22"/>
                    </w:pPr>
                    <w:r>
                      <w:fldChar w:fldCharType="begin"/>
                    </w:r>
                    <w:r>
                      <w:instrText xml:space="preserve"> PAGE  \* MERGEFORMAT </w:instrText>
                    </w:r>
                    <w:r>
                      <w:fldChar w:fldCharType="separate"/>
                    </w:r>
                    <w:r>
                      <w:t>632</w:t>
                    </w:r>
                    <w:r>
                      <w:fldChar w:fldCharType="end"/>
                    </w:r>
                  </w:p>
                </w:txbxContent>
              </v:textbox>
            </v:shape>
          </w:pict>
        </mc:Fallback>
      </mc:AlternateContent>
    </w:r>
  </w:p>
  <w:p w14:paraId="4CD67397">
    <w:pPr>
      <w:pStyle w:val="22"/>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CD890F">
    <w:pPr>
      <w:pStyle w:val="22"/>
      <w:jc w:val="both"/>
    </w:pPr>
    <w:r>
      <w:rPr>
        <w:sz w:val="18"/>
      </w:rPr>
      <mc:AlternateContent>
        <mc:Choice Requires="wps">
          <w:drawing>
            <wp:anchor distT="0" distB="0" distL="114300" distR="114300" simplePos="0" relativeHeight="251922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DF7524">
                          <w:pPr>
                            <w:pStyle w:val="22"/>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2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62DF7524">
                    <w:pPr>
                      <w:pStyle w:val="22"/>
                    </w:pPr>
                    <w:r>
                      <w:fldChar w:fldCharType="begin"/>
                    </w:r>
                    <w:r>
                      <w:instrText xml:space="preserve"> PAGE  \* MERGEFORMAT </w:instrText>
                    </w:r>
                    <w:r>
                      <w:fldChar w:fldCharType="separate"/>
                    </w:r>
                    <w:r>
                      <w:t>11</w:t>
                    </w:r>
                    <w:r>
                      <w:fldChar w:fldCharType="end"/>
                    </w:r>
                  </w:p>
                </w:txbxContent>
              </v:textbox>
            </v:shape>
          </w:pict>
        </mc:Fallback>
      </mc:AlternateContent>
    </w:r>
  </w:p>
  <w:p w14:paraId="08804701">
    <w:pPr>
      <w:pStyle w:val="22"/>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54051">
    <w:pPr>
      <w:pStyle w:val="22"/>
    </w:pPr>
    <w:r>
      <w:rPr>
        <w:sz w:val="18"/>
      </w:rPr>
      <mc:AlternateContent>
        <mc:Choice Requires="wps">
          <w:drawing>
            <wp:anchor distT="0" distB="0" distL="114300" distR="114300" simplePos="0" relativeHeight="251923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1" name="文本框 7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E178D7">
                          <w:pPr>
                            <w:pStyle w:val="2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3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nwqjw0AgAAZQ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p8Ko8NAIAAGUEAAAOAAAAAAAAAAEAIAAAAB8BAABkcnMvZTJvRG9jLnhtbFBL&#10;BQYAAAAABgAGAFkBAADFBQAAAAA=&#10;">
              <v:fill on="f" focussize="0,0"/>
              <v:stroke on="f" weight="0.5pt"/>
              <v:imagedata o:title=""/>
              <o:lock v:ext="edit" aspectratio="f"/>
              <v:textbox inset="0mm,0mm,0mm,0mm" style="mso-fit-shape-to-text:t;">
                <w:txbxContent>
                  <w:p w14:paraId="42E178D7">
                    <w:pPr>
                      <w:pStyle w:val="2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34ACD">
    <w:pPr>
      <w:pStyle w:val="22"/>
      <w:jc w:val="center"/>
    </w:pPr>
    <w:r>
      <w:rPr>
        <w:sz w:val="18"/>
      </w:rPr>
      <mc:AlternateContent>
        <mc:Choice Requires="wps">
          <w:drawing>
            <wp:anchor distT="0" distB="0" distL="114300" distR="114300" simplePos="0" relativeHeight="251923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2" name="文本框 7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8CA202">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3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yeEI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VMnhCNAIAAGUEAAAOAAAAAAAAAAEAIAAAAB8BAABkcnMvZTJvRG9jLnhtbFBL&#10;BQYAAAAABgAGAFkBAADFBQAAAAA=&#10;">
              <v:fill on="f" focussize="0,0"/>
              <v:stroke on="f" weight="0.5pt"/>
              <v:imagedata o:title=""/>
              <o:lock v:ext="edit" aspectratio="f"/>
              <v:textbox inset="0mm,0mm,0mm,0mm" style="mso-fit-shape-to-text:t;">
                <w:txbxContent>
                  <w:p w14:paraId="5A8CA202">
                    <w:pPr>
                      <w:pStyle w:val="22"/>
                    </w:pPr>
                    <w:r>
                      <w:fldChar w:fldCharType="begin"/>
                    </w:r>
                    <w:r>
                      <w:instrText xml:space="preserve"> PAGE  \* MERGEFORMAT </w:instrText>
                    </w:r>
                    <w:r>
                      <w:fldChar w:fldCharType="separate"/>
                    </w:r>
                    <w:r>
                      <w:t>1</w:t>
                    </w:r>
                    <w:r>
                      <w:fldChar w:fldCharType="end"/>
                    </w:r>
                  </w:p>
                </w:txbxContent>
              </v:textbox>
            </v:shape>
          </w:pict>
        </mc:Fallback>
      </mc:AlternateContent>
    </w:r>
    <w:sdt>
      <w:sdtPr>
        <w:id w:val="147465851"/>
        <w:showingPlcHdr/>
      </w:sdtPr>
      <w:sdtContent>
        <w:r>
          <w:rPr>
            <w:rFonts w:hint="eastAsia"/>
            <w:lang w:eastAsia="zh-CN"/>
          </w:rPr>
          <w:t xml:space="preserve">     </w:t>
        </w:r>
      </w:sdtContent>
    </w:sdt>
  </w:p>
  <w:p w14:paraId="73415FD8">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BDE6CE">
    <w:pPr>
      <w:pStyle w:val="22"/>
    </w:pPr>
    <w:r>
      <w:rPr>
        <w:sz w:val="18"/>
      </w:rPr>
      <mc:AlternateContent>
        <mc:Choice Requires="wps">
          <w:drawing>
            <wp:anchor distT="0" distB="0" distL="114300" distR="114300" simplePos="0" relativeHeight="251926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26" name="文本框 7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6BD15E">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6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rJkV00AgAAZQQAAA4AAABkcnMvZTJvRG9jLnhtbK1UzY7TMBC+I/EO&#10;lu80aRGl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beT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6yZFdNAIAAGUEAAAOAAAAAAAAAAEAIAAAAB8BAABkcnMvZTJvRG9jLnhtbFBL&#10;BQYAAAAABgAGAFkBAADFBQAAAAA=&#10;">
              <v:fill on="f" focussize="0,0"/>
              <v:stroke on="f" weight="0.5pt"/>
              <v:imagedata o:title=""/>
              <o:lock v:ext="edit" aspectratio="f"/>
              <v:textbox inset="0mm,0mm,0mm,0mm" style="mso-fit-shape-to-text:t;">
                <w:txbxContent>
                  <w:p w14:paraId="0F6BD15E">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226DA">
    <w:pPr>
      <w:tabs>
        <w:tab w:val="center" w:pos="4153"/>
        <w:tab w:val="right" w:pos="8306"/>
      </w:tabs>
      <w:snapToGrid w:val="0"/>
      <w:spacing w:line="440" w:lineRule="exact"/>
      <w:ind w:firstLine="360" w:firstLineChars="200"/>
      <w:jc w:val="left"/>
      <w:rPr>
        <w:rFonts w:ascii="Calibri" w:hAnsi="Calibri" w:eastAsia="宋体" w:cs="Times New Roman"/>
        <w:sz w:val="18"/>
        <w:szCs w:val="18"/>
      </w:rPr>
    </w:pPr>
    <w:r>
      <w:rPr>
        <w:sz w:val="18"/>
      </w:rPr>
      <mc:AlternateContent>
        <mc:Choice Requires="wps">
          <w:drawing>
            <wp:anchor distT="0" distB="0" distL="114300" distR="114300" simplePos="0" relativeHeight="251927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727" name="文本框 7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E26335">
                          <w:pPr>
                            <w:pStyle w:val="22"/>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7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kXUPwTUCAABlBAAADgAAAAAAAAABACAAAAAfAQAAZHJzL2Uyb0RvYy54bWxQ&#10;SwUGAAAAAAYABgBZAQAAxgUAAAAA&#10;">
              <v:fill on="f" focussize="0,0"/>
              <v:stroke on="f" weight="0.5pt"/>
              <v:imagedata o:title=""/>
              <o:lock v:ext="edit" aspectratio="f"/>
              <v:textbox inset="0mm,0mm,0mm,0mm" style="mso-fit-shape-to-text:t;">
                <w:txbxContent>
                  <w:p w14:paraId="41E26335">
                    <w:pPr>
                      <w:pStyle w:val="22"/>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F2A641">
    <w:pPr>
      <w:pStyle w:val="22"/>
    </w:pPr>
    <w:r>
      <w:rPr>
        <w:sz w:val="18"/>
      </w:rPr>
      <mc:AlternateContent>
        <mc:Choice Requires="wps">
          <w:drawing>
            <wp:anchor distT="0" distB="0" distL="114300" distR="114300" simplePos="0" relativeHeight="251928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8" name="文本框 7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85680B">
                          <w:pPr>
                            <w:pStyle w:val="22"/>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8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y65580AgAAZQ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cuuefNAIAAGUEAAAOAAAAAAAAAAEAIAAAAB8BAABkcnMvZTJvRG9jLnhtbFBL&#10;BQYAAAAABgAGAFkBAADFBQAAAAA=&#10;">
              <v:fill on="f" focussize="0,0"/>
              <v:stroke on="f" weight="0.5pt"/>
              <v:imagedata o:title=""/>
              <o:lock v:ext="edit" aspectratio="f"/>
              <v:textbox inset="0mm,0mm,0mm,0mm" style="mso-fit-shape-to-text:t;">
                <w:txbxContent>
                  <w:p w14:paraId="2385680B">
                    <w:pPr>
                      <w:pStyle w:val="22"/>
                    </w:pPr>
                    <w:r>
                      <w:fldChar w:fldCharType="begin"/>
                    </w:r>
                    <w:r>
                      <w:instrText xml:space="preserve"> PAGE  \* MERGEFORMAT </w:instrText>
                    </w:r>
                    <w:r>
                      <w:fldChar w:fldCharType="separate"/>
                    </w:r>
                    <w:r>
                      <w:t>80</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E4DAA2">
    <w:pPr>
      <w:pStyle w:val="22"/>
    </w:pPr>
    <w:r>
      <w:rPr>
        <w:sz w:val="18"/>
      </w:rPr>
      <mc:AlternateContent>
        <mc:Choice Requires="wps">
          <w:drawing>
            <wp:anchor distT="0" distB="0" distL="114300" distR="114300" simplePos="0" relativeHeight="251929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729" name="文本框 7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69BC59">
                          <w:pPr>
                            <w:pStyle w:val="22"/>
                          </w:pPr>
                          <w:r>
                            <w:fldChar w:fldCharType="begin"/>
                          </w:r>
                          <w:r>
                            <w:instrText xml:space="preserve"> PAGE  \* MERGEFORMAT </w:instrText>
                          </w:r>
                          <w:r>
                            <w:fldChar w:fldCharType="separate"/>
                          </w:r>
                          <w:r>
                            <w:t>163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29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cGeQM0AgAAZQQAAA4AAABkcnMvZTJvRG9jLnhtbK1UzY7TMBC+I/EO&#10;lu80aRFL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3BnkDNAIAAGUEAAAOAAAAAAAAAAEAIAAAAB8BAABkcnMvZTJvRG9jLnhtbFBL&#10;BQYAAAAABgAGAFkBAADFBQAAAAA=&#10;">
              <v:fill on="f" focussize="0,0"/>
              <v:stroke on="f" weight="0.5pt"/>
              <v:imagedata o:title=""/>
              <o:lock v:ext="edit" aspectratio="f"/>
              <v:textbox inset="0mm,0mm,0mm,0mm" style="mso-fit-shape-to-text:t;">
                <w:txbxContent>
                  <w:p w14:paraId="1169BC59">
                    <w:pPr>
                      <w:pStyle w:val="22"/>
                    </w:pPr>
                    <w:r>
                      <w:fldChar w:fldCharType="begin"/>
                    </w:r>
                    <w:r>
                      <w:instrText xml:space="preserve"> PAGE  \* MERGEFORMAT </w:instrText>
                    </w:r>
                    <w:r>
                      <w:fldChar w:fldCharType="separate"/>
                    </w:r>
                    <w:r>
                      <w:t>163</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F6938">
    <w:pPr>
      <w:pStyle w:val="22"/>
      <w:jc w:val="center"/>
    </w:pPr>
    <w:r>
      <w:rPr>
        <w:sz w:val="18"/>
      </w:rPr>
      <mc:AlternateContent>
        <mc:Choice Requires="wps">
          <w:drawing>
            <wp:anchor distT="0" distB="0" distL="114300" distR="114300" simplePos="0" relativeHeight="251930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30" name="文本框 7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28AE45">
                          <w:pPr>
                            <w:pStyle w:val="22"/>
                          </w:pPr>
                          <w:r>
                            <w:fldChar w:fldCharType="begin"/>
                          </w:r>
                          <w:r>
                            <w:instrText xml:space="preserve"> PAGE  \* MERGEFORMAT </w:instrText>
                          </w:r>
                          <w:r>
                            <w:fldChar w:fldCharType="separate"/>
                          </w:r>
                          <w:r>
                            <w:t>265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0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5qyHo0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uash6NAIAAGUEAAAOAAAAAAAAAAEAIAAAAB8BAABkcnMvZTJvRG9jLnhtbFBL&#10;BQYAAAAABgAGAFkBAADFBQAAAAA=&#10;">
              <v:fill on="f" focussize="0,0"/>
              <v:stroke on="f" weight="0.5pt"/>
              <v:imagedata o:title=""/>
              <o:lock v:ext="edit" aspectratio="f"/>
              <v:textbox inset="0mm,0mm,0mm,0mm" style="mso-fit-shape-to-text:t;">
                <w:txbxContent>
                  <w:p w14:paraId="1828AE45">
                    <w:pPr>
                      <w:pStyle w:val="22"/>
                    </w:pPr>
                    <w:r>
                      <w:fldChar w:fldCharType="begin"/>
                    </w:r>
                    <w:r>
                      <w:instrText xml:space="preserve"> PAGE  \* MERGEFORMAT </w:instrText>
                    </w:r>
                    <w:r>
                      <w:fldChar w:fldCharType="separate"/>
                    </w:r>
                    <w:r>
                      <w:t>265</w:t>
                    </w:r>
                    <w:r>
                      <w:fldChar w:fldCharType="end"/>
                    </w:r>
                  </w:p>
                </w:txbxContent>
              </v:textbox>
            </v:shape>
          </w:pict>
        </mc:Fallback>
      </mc:AlternateContent>
    </w:r>
  </w:p>
  <w:p w14:paraId="619983AE">
    <w:pPr>
      <w:pStyle w:val="22"/>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DE6ED">
    <w:pPr>
      <w:pStyle w:val="22"/>
    </w:pPr>
    <w:r>
      <w:rPr>
        <w:sz w:val="18"/>
      </w:rPr>
      <mc:AlternateContent>
        <mc:Choice Requires="wps">
          <w:drawing>
            <wp:anchor distT="0" distB="0" distL="114300" distR="114300" simplePos="0" relativeHeight="251931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731" name="文本框 7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17D405">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1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F1lbmNAIAAGUEAAAOAAAAAAAAAAEAIAAAAB8BAABkcnMvZTJvRG9jLnhtbFBL&#10;BQYAAAAABgAGAFkBAADFBQAAAAA=&#10;">
              <v:fill on="f" focussize="0,0"/>
              <v:stroke on="f" weight="0.5pt"/>
              <v:imagedata o:title=""/>
              <o:lock v:ext="edit" aspectratio="f"/>
              <v:textbox inset="0mm,0mm,0mm,0mm" style="mso-fit-shape-to-text:t;">
                <w:txbxContent>
                  <w:p w14:paraId="1C17D405">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16AA8">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932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732" name="文本框 7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D0F90B">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932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kUhJg1AgAAZQ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SVju0AAAAAUBAAAPAAAAAAAAAAEAIAAAACIAAABkcnMvZG93bnJldi54bWxQSwEC&#10;FAAUAAAACACHTuJA+RSEmDUCAABlBAAADgAAAAAAAAABACAAAAAfAQAAZHJzL2Uyb0RvYy54bWxQ&#10;SwUGAAAAAAYABgBZAQAAxgUAAAAA&#10;">
              <v:fill on="f" focussize="0,0"/>
              <v:stroke on="f" weight="0.5pt"/>
              <v:imagedata o:title=""/>
              <o:lock v:ext="edit" aspectratio="f"/>
              <v:textbox inset="0mm,0mm,0mm,0mm" style="mso-fit-shape-to-text:t;">
                <w:txbxContent>
                  <w:p w14:paraId="58D0F90B">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CD5CDA">
    <w:pPr>
      <w:pStyle w:val="23"/>
      <w:pBdr>
        <w:bottom w:val="single" w:color="auto" w:sz="4" w:space="1"/>
      </w:pBdr>
      <w:rPr>
        <w:sz w:val="24"/>
        <w:szCs w:val="24"/>
      </w:rPr>
    </w:pPr>
    <w:r>
      <w:rPr>
        <w:rFonts w:hint="eastAsia"/>
        <w:sz w:val="24"/>
        <w:szCs w:val="24"/>
      </w:rPr>
      <w:t>服装大数据产业学院</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99BDC">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773D52F2">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7F995">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42E9837A">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DEB25">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2629D131">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4C55F">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14247875">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FE1A0">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2AF35F62">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5A6EA8">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237373ED">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224FF">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703B205D">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015EE451">
    <w:pPr>
      <w:pStyle w:val="23"/>
      <w:pBdr>
        <w:bottom w:val="none" w:color="auto" w:sz="0" w:space="1"/>
      </w:pBd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091BE">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47F198F7">
    <w:pPr>
      <w:pStyle w:val="23"/>
      <w:pBdr>
        <w:bottom w:val="none" w:color="auto" w:sz="0" w:space="1"/>
      </w:pBdr>
      <w:tabs>
        <w:tab w:val="left" w:pos="2382"/>
      </w:tabs>
      <w:jc w:val="left"/>
      <w:rPr>
        <w:lang w:val="en-US" w:eastAsia="zh-CN"/>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A5C35">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04C388D6">
    <w:pPr>
      <w:pStyle w:val="23"/>
      <w:pBdr>
        <w:bottom w:val="none" w:color="auto" w:sz="0" w:space="1"/>
      </w:pBdr>
      <w:jc w:val="both"/>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18F5EB">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pPr>
    <w:r>
      <w:rPr>
        <w:rFonts w:hint="eastAsia" w:ascii="Calibri" w:hAnsi="Calibri" w:eastAsia="宋体" w:cs="Times New Roman"/>
        <w:kern w:val="2"/>
        <w:sz w:val="24"/>
        <w:szCs w:val="24"/>
        <w:lang w:val="en-US" w:eastAsia="zh-CN" w:bidi="ar-SA"/>
      </w:rPr>
      <w:t>服装大数据产业学院产教融合项目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38A4F">
    <w:pPr>
      <w:pStyle w:val="23"/>
      <w:pBdr>
        <w:bottom w:val="single" w:color="auto" w:sz="4" w:space="1"/>
      </w:pBdr>
      <w:rPr>
        <w:sz w:val="24"/>
        <w:szCs w:val="24"/>
      </w:rPr>
    </w:pPr>
    <w:r>
      <w:rPr>
        <w:rFonts w:hint="eastAsia"/>
        <w:sz w:val="24"/>
        <w:szCs w:val="24"/>
      </w:rPr>
      <w:t>服装大数据产业学院产教融合项目</w:t>
    </w:r>
  </w:p>
  <w:p w14:paraId="6D16BF53">
    <w:pPr>
      <w:pStyle w:val="23"/>
      <w:pBdr>
        <w:bottom w:val="none" w:color="auto" w:sz="0" w:space="1"/>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E7458">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69022319">
    <w:pPr>
      <w:pStyle w:val="23"/>
      <w:pBdr>
        <w:bottom w:val="none" w:color="auto" w:sz="0" w:space="1"/>
      </w:pBdr>
      <w:tabs>
        <w:tab w:val="left" w:pos="6488"/>
      </w:tabs>
      <w:jc w:val="left"/>
      <w:rPr>
        <w:rFonts w:hint="eastAsia" w:eastAsiaTheme="minorEastAsia"/>
        <w:lang w:eastAsia="zh-CN"/>
      </w:rPr>
    </w:pPr>
  </w:p>
  <w:p w14:paraId="49123ACB">
    <w:pPr>
      <w:pStyle w:val="23"/>
      <w:pBdr>
        <w:bottom w:val="none" w:color="auto" w:sz="0" w:space="1"/>
      </w:pBdr>
      <w:rPr>
        <w:lang w:val="en-US" w:eastAsia="zh-CN"/>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1E50A">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15980EB7">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22935EB1">
    <w:pPr>
      <w:pStyle w:val="23"/>
      <w:pBdr>
        <w:bottom w:val="none" w:color="auto" w:sz="0" w:space="1"/>
      </w:pBd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8060F">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2A599272">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7746A3B9">
    <w:pPr>
      <w:pStyle w:val="23"/>
      <w:pBdr>
        <w:bottom w:val="none" w:color="auto" w:sz="0" w:space="1"/>
      </w:pBd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F9765F">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18"/>
        <w:szCs w:val="18"/>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1ABD7F8B">
    <w:pPr>
      <w:pStyle w:val="23"/>
      <w:pBdr>
        <w:bottom w:val="none" w:color="auto" w:sz="0" w:space="1"/>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CD70">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1ECA1FAE">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141BC0FB">
    <w:pPr>
      <w:pStyle w:val="23"/>
      <w:pBdr>
        <w:bottom w:val="none" w:color="auto" w:sz="0" w:space="1"/>
      </w:pBdr>
      <w:jc w:val="both"/>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61D6F">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2320391E">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5437A8AB">
    <w:pPr>
      <w:pStyle w:val="23"/>
      <w:pBdr>
        <w:bottom w:val="none" w:color="auto" w:sz="0" w:space="1"/>
      </w:pBd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5D155B">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1C06C2AF">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32657379">
    <w:pPr>
      <w:pStyle w:val="23"/>
      <w:pBdr>
        <w:bottom w:val="none" w:color="auto" w:sz="0" w:space="1"/>
      </w:pBd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D343FB">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784F25BD">
    <w:pPr>
      <w:widowControl w:val="0"/>
      <w:pBdr>
        <w:bottom w:val="none" w:color="auto" w:sz="0" w:space="1"/>
      </w:pBdr>
      <w:tabs>
        <w:tab w:val="center" w:pos="4153"/>
        <w:tab w:val="right" w:pos="8306"/>
      </w:tabs>
      <w:snapToGrid w:val="0"/>
      <w:jc w:val="center"/>
      <w:rPr>
        <w:rFonts w:hint="default" w:ascii="Calibri" w:hAnsi="Calibri" w:eastAsia="宋体" w:cs="Times New Roman"/>
        <w:kern w:val="2"/>
        <w:sz w:val="18"/>
        <w:szCs w:val="18"/>
        <w:lang w:val="en-US" w:eastAsia="zh-CN" w:bidi="ar-SA"/>
      </w:rPr>
    </w:pPr>
  </w:p>
  <w:p w14:paraId="7BD1F269">
    <w:pPr>
      <w:pStyle w:val="23"/>
      <w:pBdr>
        <w:bottom w:val="none" w:color="auto" w:sz="0" w:space="1"/>
      </w:pBd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EBD18">
    <w:pPr>
      <w:pStyle w:val="23"/>
      <w:pBdr>
        <w:bottom w:val="single" w:color="auto" w:sz="4" w:space="1"/>
      </w:pBdr>
      <w:jc w:val="center"/>
      <w:rPr>
        <w:rFonts w:hint="default" w:eastAsiaTheme="minorEastAsia"/>
        <w:sz w:val="24"/>
        <w:szCs w:val="24"/>
        <w:lang w:val="en-US" w:eastAsia="zh-CN"/>
      </w:rPr>
    </w:pPr>
    <w:r>
      <w:rPr>
        <w:rFonts w:hint="eastAsia"/>
        <w:sz w:val="24"/>
        <w:szCs w:val="24"/>
        <w:lang w:val="en-US" w:eastAsia="zh-CN"/>
      </w:rPr>
      <w:t>服装大数据产业学院</w:t>
    </w:r>
  </w:p>
  <w:p w14:paraId="51863811">
    <w:pPr>
      <w:pStyle w:val="23"/>
      <w:pBdr>
        <w:bottom w:val="none" w:color="auto" w:sz="0" w:space="1"/>
      </w:pBd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6143C">
    <w:pPr>
      <w:pStyle w:val="23"/>
      <w:pBdr>
        <w:bottom w:val="single" w:color="auto" w:sz="4" w:space="1"/>
      </w:pBdr>
      <w:jc w:val="center"/>
      <w:rPr>
        <w:rFonts w:hint="default" w:eastAsiaTheme="minorEastAsia"/>
        <w:sz w:val="24"/>
        <w:szCs w:val="24"/>
        <w:lang w:val="en-US" w:eastAsia="zh-CN"/>
      </w:rPr>
    </w:pPr>
    <w:r>
      <w:rPr>
        <w:rFonts w:hint="eastAsia"/>
        <w:sz w:val="24"/>
        <w:szCs w:val="24"/>
        <w:lang w:val="en-US" w:eastAsia="zh-CN"/>
      </w:rPr>
      <w:t>服装大数据产业学院</w:t>
    </w:r>
  </w:p>
  <w:p w14:paraId="21B248D7">
    <w:pPr>
      <w:pStyle w:val="2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D282E9">
    <w:pPr>
      <w:pStyle w:val="23"/>
      <w:pBdr>
        <w:bottom w:val="single" w:color="auto" w:sz="4" w:space="1"/>
      </w:pBdr>
    </w:pPr>
    <w:r>
      <w:rPr>
        <w:rFonts w:hint="eastAsia"/>
        <w:sz w:val="24"/>
        <w:szCs w:val="24"/>
      </w:rPr>
      <w:t>服装大数据产业学院产教融合项目</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80BAAE">
    <w:pPr>
      <w:pStyle w:val="23"/>
      <w:pBdr>
        <w:bottom w:val="single" w:color="auto" w:sz="4" w:space="1"/>
      </w:pBdr>
      <w:jc w:val="center"/>
      <w:rPr>
        <w:rFonts w:hint="default" w:eastAsiaTheme="minorEastAsia"/>
        <w:sz w:val="24"/>
        <w:szCs w:val="24"/>
        <w:lang w:val="en-US" w:eastAsia="zh-CN"/>
      </w:rPr>
    </w:pPr>
    <w:r>
      <w:rPr>
        <w:rFonts w:hint="eastAsia"/>
        <w:sz w:val="24"/>
        <w:szCs w:val="24"/>
        <w:lang w:val="en-US" w:eastAsia="zh-CN"/>
      </w:rPr>
      <w:t>服装大数据产业学院</w:t>
    </w:r>
  </w:p>
  <w:p w14:paraId="49C13EEB">
    <w:pPr>
      <w:pStyle w:val="23"/>
      <w:pBdr>
        <w:bottom w:val="none" w:color="auto" w:sz="0" w:space="1"/>
      </w:pBd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BD667">
    <w:pPr>
      <w:pStyle w:val="23"/>
      <w:pBdr>
        <w:bottom w:val="single" w:color="auto" w:sz="4" w:space="1"/>
      </w:pBdr>
      <w:jc w:val="center"/>
      <w:rPr>
        <w:rFonts w:hint="default" w:eastAsiaTheme="minorEastAsia"/>
        <w:sz w:val="24"/>
        <w:szCs w:val="24"/>
        <w:lang w:val="en-US" w:eastAsia="zh-CN"/>
      </w:rPr>
    </w:pPr>
    <w:r>
      <w:rPr>
        <w:rFonts w:hint="eastAsia"/>
        <w:sz w:val="24"/>
        <w:szCs w:val="24"/>
        <w:lang w:val="en-US" w:eastAsia="zh-CN"/>
      </w:rPr>
      <w:t>服装大数据产业学院</w:t>
    </w:r>
  </w:p>
  <w:p w14:paraId="3EE7F05B">
    <w:pPr>
      <w:pStyle w:val="23"/>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32BAF3">
    <w:pPr>
      <w:pBdr>
        <w:bottom w:val="single" w:color="auto" w:sz="4" w:space="1"/>
      </w:pBdr>
      <w:tabs>
        <w:tab w:val="center" w:pos="4153"/>
        <w:tab w:val="right" w:pos="8306"/>
      </w:tabs>
      <w:snapToGrid w:val="0"/>
      <w:spacing w:line="440" w:lineRule="exact"/>
      <w:ind w:firstLine="480" w:firstLineChars="200"/>
      <w:jc w:val="center"/>
      <w:rPr>
        <w:rFonts w:ascii="Calibri" w:hAnsi="Calibri" w:eastAsia="宋体" w:cs="Times New Roman"/>
        <w:sz w:val="24"/>
      </w:rPr>
    </w:pPr>
    <w:r>
      <w:rPr>
        <w:rFonts w:hint="eastAsia" w:ascii="Calibri" w:hAnsi="Calibri" w:eastAsia="宋体" w:cs="Times New Roman"/>
        <w:sz w:val="24"/>
      </w:rPr>
      <w:t>服装大数据产业学院产教融合项目</w:t>
    </w:r>
  </w:p>
  <w:p w14:paraId="5CB90858">
    <w:pPr>
      <w:pBdr>
        <w:bottom w:val="none" w:color="auto" w:sz="0" w:space="1"/>
      </w:pBdr>
      <w:tabs>
        <w:tab w:val="center" w:pos="4153"/>
        <w:tab w:val="right" w:pos="8306"/>
      </w:tabs>
      <w:snapToGrid w:val="0"/>
      <w:spacing w:line="440" w:lineRule="exact"/>
      <w:ind w:firstLine="420" w:firstLineChars="200"/>
      <w:jc w:val="center"/>
      <w:rPr>
        <w:rFonts w:ascii="Calibri" w:hAnsi="Calibri" w:eastAsia="宋体" w:cs="Times New Roman"/>
        <w:szCs w:val="2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34A1A">
    <w:pPr>
      <w:pStyle w:val="23"/>
      <w:pBdr>
        <w:bottom w:val="single" w:color="auto" w:sz="4" w:space="1"/>
      </w:pBdr>
      <w:rPr>
        <w:rFonts w:eastAsia="宋体"/>
        <w:sz w:val="24"/>
        <w:szCs w:val="24"/>
      </w:rPr>
    </w:pPr>
    <w:r>
      <w:rPr>
        <w:rFonts w:hint="eastAsia"/>
        <w:sz w:val="24"/>
        <w:szCs w:val="24"/>
      </w:rPr>
      <w:t>服装大数据产业学院产教融合项目</w:t>
    </w:r>
  </w:p>
  <w:p w14:paraId="797C66EF">
    <w:pPr>
      <w:pStyle w:val="23"/>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699009">
    <w:pPr>
      <w:pStyle w:val="23"/>
      <w:pBdr>
        <w:bottom w:val="single" w:color="auto" w:sz="4" w:space="1"/>
      </w:pBdr>
      <w:rPr>
        <w:sz w:val="24"/>
        <w:szCs w:val="24"/>
      </w:rPr>
    </w:pPr>
    <w:r>
      <w:rPr>
        <w:rFonts w:hint="eastAsia"/>
        <w:sz w:val="24"/>
        <w:szCs w:val="24"/>
      </w:rPr>
      <w:t>服装大数据产业学院产教融合项目</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BF460">
    <w:pPr>
      <w:pStyle w:val="23"/>
      <w:pBdr>
        <w:bottom w:val="single" w:color="auto" w:sz="4" w:space="1"/>
      </w:pBdr>
    </w:pPr>
    <w:r>
      <w:rPr>
        <w:rFonts w:hint="eastAsia"/>
        <w:sz w:val="24"/>
        <w:szCs w:val="24"/>
      </w:rPr>
      <w:t>服装大数据产业学院</w:t>
    </w:r>
  </w:p>
  <w:p w14:paraId="6A8F54B5">
    <w:pPr>
      <w:pStyle w:val="23"/>
      <w:pBdr>
        <w:bottom w:val="none" w:color="auto" w:sz="0" w:space="1"/>
      </w:pBdr>
      <w:jc w:val="both"/>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A17724">
    <w:pPr>
      <w:pStyle w:val="23"/>
      <w:pBdr>
        <w:top w:val="none" w:color="auto" w:sz="0" w:space="0"/>
        <w:left w:val="none" w:color="auto" w:sz="0" w:space="0"/>
        <w:bottom w:val="single" w:color="auto" w:sz="4" w:space="1"/>
        <w:right w:val="none" w:color="auto" w:sz="0" w:space="0"/>
        <w:between w:val="none" w:color="auto" w:sz="0" w:space="0"/>
      </w:pBdr>
      <w:rPr>
        <w:rFonts w:hint="default" w:eastAsia="宋体"/>
        <w:sz w:val="24"/>
        <w:szCs w:val="24"/>
        <w:lang w:val="en-US" w:eastAsia="zh-CN"/>
      </w:rPr>
    </w:pPr>
    <w:r>
      <w:rPr>
        <w:rFonts w:hint="eastAsia"/>
        <w:sz w:val="24"/>
        <w:szCs w:val="24"/>
        <w:lang w:val="en-US" w:eastAsia="zh-CN"/>
      </w:rPr>
      <w:t>服装大数据产业学院产教融合项目</w:t>
    </w:r>
  </w:p>
  <w:p w14:paraId="6664E498">
    <w:pPr>
      <w:pStyle w:val="23"/>
      <w:pBdr>
        <w:bottom w:val="none" w:color="auto" w:sz="0" w:space="1"/>
      </w:pBdr>
      <w:rPr>
        <w:rFonts w:hint="default"/>
        <w:lang w:val="en-US" w:eastAsia="zh-C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6DED9">
    <w:pPr>
      <w:widowControl w:val="0"/>
      <w:pBdr>
        <w:top w:val="none" w:color="auto" w:sz="0" w:space="0"/>
        <w:left w:val="none" w:color="auto" w:sz="0" w:space="0"/>
        <w:bottom w:val="single" w:color="auto" w:sz="4" w:space="1"/>
        <w:right w:val="none" w:color="auto" w:sz="0" w:space="0"/>
        <w:between w:val="none" w:color="auto" w:sz="0" w:space="0"/>
      </w:pBdr>
      <w:tabs>
        <w:tab w:val="center" w:pos="4153"/>
        <w:tab w:val="right" w:pos="8306"/>
      </w:tabs>
      <w:snapToGrid w:val="0"/>
      <w:jc w:val="center"/>
      <w:rPr>
        <w:rFonts w:hint="default"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服装大数据产业学院产教融合项目</w:t>
    </w:r>
  </w:p>
  <w:p w14:paraId="0080B439">
    <w:pPr>
      <w:widowControl w:val="0"/>
      <w:pBdr>
        <w:bottom w:val="none" w:color="auto" w:sz="0" w:space="1"/>
      </w:pBdr>
      <w:tabs>
        <w:tab w:val="center" w:pos="4153"/>
        <w:tab w:val="right" w:pos="8306"/>
      </w:tabs>
      <w:snapToGrid w:val="0"/>
      <w:jc w:val="left"/>
      <w:rPr>
        <w:rFonts w:hint="default" w:ascii="Calibri" w:hAnsi="Calibri" w:eastAsia="宋体" w:cs="Times New Roman"/>
        <w:kern w:val="2"/>
        <w:sz w:val="18"/>
        <w:szCs w:val="18"/>
        <w:lang w:val="en-US" w:eastAsia="zh-CN" w:bidi="ar-SA"/>
      </w:rPr>
    </w:pPr>
  </w:p>
  <w:p w14:paraId="122E71CE">
    <w:pPr>
      <w:widowControl w:val="0"/>
      <w:pBdr>
        <w:bottom w:val="none" w:color="auto" w:sz="0" w:space="1"/>
      </w:pBdr>
      <w:tabs>
        <w:tab w:val="center" w:pos="4153"/>
        <w:tab w:val="right" w:pos="8306"/>
      </w:tabs>
      <w:snapToGrid w:val="0"/>
      <w:jc w:val="left"/>
      <w:rPr>
        <w:rFonts w:hint="eastAsia" w:ascii="宋体" w:hAnsi="宋体" w:eastAsia="宋体" w:cs="宋体"/>
        <w:kern w:val="2"/>
        <w:sz w:val="13"/>
        <w:szCs w:val="13"/>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2D4697"/>
    <w:multiLevelType w:val="singleLevel"/>
    <w:tmpl w:val="802D4697"/>
    <w:lvl w:ilvl="0" w:tentative="0">
      <w:start w:val="1"/>
      <w:numFmt w:val="decimal"/>
      <w:suff w:val="space"/>
      <w:lvlText w:val="%1."/>
      <w:lvlJc w:val="left"/>
    </w:lvl>
  </w:abstractNum>
  <w:abstractNum w:abstractNumId="1">
    <w:nsid w:val="91DAB462"/>
    <w:multiLevelType w:val="singleLevel"/>
    <w:tmpl w:val="91DAB462"/>
    <w:lvl w:ilvl="0" w:tentative="0">
      <w:start w:val="1"/>
      <w:numFmt w:val="decimal"/>
      <w:suff w:val="nothing"/>
      <w:lvlText w:val="（%1）"/>
      <w:lvlJc w:val="left"/>
    </w:lvl>
  </w:abstractNum>
  <w:abstractNum w:abstractNumId="2">
    <w:nsid w:val="AFF3D62A"/>
    <w:multiLevelType w:val="singleLevel"/>
    <w:tmpl w:val="AFF3D62A"/>
    <w:lvl w:ilvl="0" w:tentative="0">
      <w:start w:val="1"/>
      <w:numFmt w:val="decimal"/>
      <w:suff w:val="space"/>
      <w:lvlText w:val="%1."/>
      <w:lvlJc w:val="left"/>
    </w:lvl>
  </w:abstractNum>
  <w:abstractNum w:abstractNumId="3">
    <w:nsid w:val="B530194D"/>
    <w:multiLevelType w:val="singleLevel"/>
    <w:tmpl w:val="B530194D"/>
    <w:lvl w:ilvl="0" w:tentative="0">
      <w:start w:val="1"/>
      <w:numFmt w:val="decimal"/>
      <w:lvlText w:val="(%1)"/>
      <w:lvlJc w:val="left"/>
      <w:pPr>
        <w:tabs>
          <w:tab w:val="left" w:pos="420"/>
        </w:tabs>
        <w:ind w:left="425" w:hanging="425"/>
      </w:pPr>
      <w:rPr>
        <w:rFonts w:hint="default"/>
      </w:rPr>
    </w:lvl>
  </w:abstractNum>
  <w:abstractNum w:abstractNumId="4">
    <w:nsid w:val="BD147FDC"/>
    <w:multiLevelType w:val="singleLevel"/>
    <w:tmpl w:val="BD147FDC"/>
    <w:lvl w:ilvl="0" w:tentative="0">
      <w:start w:val="2"/>
      <w:numFmt w:val="decimal"/>
      <w:suff w:val="nothing"/>
      <w:lvlText w:val="（%1）"/>
      <w:lvlJc w:val="left"/>
    </w:lvl>
  </w:abstractNum>
  <w:abstractNum w:abstractNumId="5">
    <w:nsid w:val="C010BB63"/>
    <w:multiLevelType w:val="singleLevel"/>
    <w:tmpl w:val="C010BB63"/>
    <w:lvl w:ilvl="0" w:tentative="0">
      <w:start w:val="1"/>
      <w:numFmt w:val="decimal"/>
      <w:suff w:val="space"/>
      <w:lvlText w:val="%1."/>
      <w:lvlJc w:val="left"/>
    </w:lvl>
  </w:abstractNum>
  <w:abstractNum w:abstractNumId="6">
    <w:nsid w:val="CD935F4F"/>
    <w:multiLevelType w:val="singleLevel"/>
    <w:tmpl w:val="CD935F4F"/>
    <w:lvl w:ilvl="0" w:tentative="0">
      <w:start w:val="3"/>
      <w:numFmt w:val="decimal"/>
      <w:suff w:val="nothing"/>
      <w:lvlText w:val="(%1)"/>
      <w:lvlJc w:val="left"/>
    </w:lvl>
  </w:abstractNum>
  <w:abstractNum w:abstractNumId="7">
    <w:nsid w:val="D12FECFB"/>
    <w:multiLevelType w:val="singleLevel"/>
    <w:tmpl w:val="D12FECFB"/>
    <w:lvl w:ilvl="0" w:tentative="0">
      <w:start w:val="1"/>
      <w:numFmt w:val="decimal"/>
      <w:suff w:val="space"/>
      <w:lvlText w:val="%1."/>
      <w:lvlJc w:val="left"/>
    </w:lvl>
  </w:abstractNum>
  <w:abstractNum w:abstractNumId="8">
    <w:nsid w:val="D4B4D578"/>
    <w:multiLevelType w:val="multilevel"/>
    <w:tmpl w:val="D4B4D578"/>
    <w:lvl w:ilvl="0" w:tentative="0">
      <w:start w:val="1"/>
      <w:numFmt w:val="decimal"/>
      <w:suff w:val="space"/>
      <w:lvlText w:val="%1"/>
      <w:lvlJc w:val="left"/>
      <w:pPr>
        <w:ind w:left="0" w:firstLine="0"/>
      </w:pPr>
      <w:rPr>
        <w:rFonts w:hint="default"/>
      </w:r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9">
    <w:nsid w:val="D6C51117"/>
    <w:multiLevelType w:val="singleLevel"/>
    <w:tmpl w:val="D6C51117"/>
    <w:lvl w:ilvl="0" w:tentative="0">
      <w:start w:val="1"/>
      <w:numFmt w:val="decimal"/>
      <w:lvlText w:val="[%1]"/>
      <w:lvlJc w:val="left"/>
      <w:pPr>
        <w:tabs>
          <w:tab w:val="left" w:pos="312"/>
        </w:tabs>
      </w:pPr>
    </w:lvl>
  </w:abstractNum>
  <w:abstractNum w:abstractNumId="10">
    <w:nsid w:val="E3538E15"/>
    <w:multiLevelType w:val="singleLevel"/>
    <w:tmpl w:val="E3538E15"/>
    <w:lvl w:ilvl="0" w:tentative="0">
      <w:start w:val="1"/>
      <w:numFmt w:val="decimal"/>
      <w:lvlText w:val="(%1)"/>
      <w:lvlJc w:val="left"/>
      <w:pPr>
        <w:ind w:left="425" w:hanging="425"/>
      </w:pPr>
      <w:rPr>
        <w:rFonts w:hint="default"/>
      </w:rPr>
    </w:lvl>
  </w:abstractNum>
  <w:abstractNum w:abstractNumId="11">
    <w:nsid w:val="E4DA83E0"/>
    <w:multiLevelType w:val="singleLevel"/>
    <w:tmpl w:val="E4DA83E0"/>
    <w:lvl w:ilvl="0" w:tentative="0">
      <w:start w:val="1"/>
      <w:numFmt w:val="decimal"/>
      <w:suff w:val="nothing"/>
      <w:lvlText w:val="%1、"/>
      <w:lvlJc w:val="left"/>
    </w:lvl>
  </w:abstractNum>
  <w:abstractNum w:abstractNumId="12">
    <w:nsid w:val="F07190B9"/>
    <w:multiLevelType w:val="singleLevel"/>
    <w:tmpl w:val="F07190B9"/>
    <w:lvl w:ilvl="0" w:tentative="0">
      <w:start w:val="1"/>
      <w:numFmt w:val="decimal"/>
      <w:suff w:val="nothing"/>
      <w:lvlText w:val="（%1）"/>
      <w:lvlJc w:val="left"/>
    </w:lvl>
  </w:abstractNum>
  <w:abstractNum w:abstractNumId="13">
    <w:nsid w:val="FA994E94"/>
    <w:multiLevelType w:val="singleLevel"/>
    <w:tmpl w:val="FA994E94"/>
    <w:lvl w:ilvl="0" w:tentative="0">
      <w:start w:val="1"/>
      <w:numFmt w:val="decimal"/>
      <w:suff w:val="space"/>
      <w:lvlText w:val="%1."/>
      <w:lvlJc w:val="left"/>
    </w:lvl>
  </w:abstractNum>
  <w:abstractNum w:abstractNumId="14">
    <w:nsid w:val="13F5CBE9"/>
    <w:multiLevelType w:val="singleLevel"/>
    <w:tmpl w:val="13F5CBE9"/>
    <w:lvl w:ilvl="0" w:tentative="0">
      <w:start w:val="1"/>
      <w:numFmt w:val="decimal"/>
      <w:suff w:val="nothing"/>
      <w:lvlText w:val="%1、"/>
      <w:lvlJc w:val="left"/>
    </w:lvl>
  </w:abstractNum>
  <w:abstractNum w:abstractNumId="15">
    <w:nsid w:val="274CEBCD"/>
    <w:multiLevelType w:val="singleLevel"/>
    <w:tmpl w:val="274CEBCD"/>
    <w:lvl w:ilvl="0" w:tentative="0">
      <w:start w:val="3"/>
      <w:numFmt w:val="decimal"/>
      <w:suff w:val="nothing"/>
      <w:lvlText w:val="（%1）"/>
      <w:lvlJc w:val="left"/>
    </w:lvl>
  </w:abstractNum>
  <w:abstractNum w:abstractNumId="16">
    <w:nsid w:val="2F836A30"/>
    <w:multiLevelType w:val="multilevel"/>
    <w:tmpl w:val="2F836A30"/>
    <w:lvl w:ilvl="0" w:tentative="0">
      <w:start w:val="1"/>
      <w:numFmt w:val="decimal"/>
      <w:lvlText w:val="%1"/>
      <w:lvlJc w:val="left"/>
      <w:pPr>
        <w:ind w:left="480" w:hanging="480"/>
      </w:pPr>
      <w:rPr>
        <w:rFonts w:hint="default"/>
      </w:rPr>
    </w:lvl>
    <w:lvl w:ilvl="1" w:tentative="0">
      <w:start w:val="1"/>
      <w:numFmt w:val="decimal"/>
      <w:lvlText w:val="%1.%2"/>
      <w:lvlJc w:val="left"/>
      <w:pPr>
        <w:ind w:left="960" w:hanging="480"/>
      </w:pPr>
      <w:rPr>
        <w:rFonts w:hint="default"/>
      </w:rPr>
    </w:lvl>
    <w:lvl w:ilvl="2" w:tentative="0">
      <w:start w:val="1"/>
      <w:numFmt w:val="decimal"/>
      <w:lvlText w:val="%1.%2.%3"/>
      <w:lvlJc w:val="left"/>
      <w:pPr>
        <w:ind w:left="1680" w:hanging="720"/>
      </w:pPr>
      <w:rPr>
        <w:rFonts w:hint="default"/>
      </w:rPr>
    </w:lvl>
    <w:lvl w:ilvl="3" w:tentative="0">
      <w:start w:val="1"/>
      <w:numFmt w:val="decimal"/>
      <w:lvlText w:val="%1.%2.%3.%4"/>
      <w:lvlJc w:val="left"/>
      <w:pPr>
        <w:ind w:left="2160" w:hanging="720"/>
      </w:pPr>
      <w:rPr>
        <w:rFonts w:hint="default"/>
      </w:rPr>
    </w:lvl>
    <w:lvl w:ilvl="4" w:tentative="0">
      <w:start w:val="1"/>
      <w:numFmt w:val="decimal"/>
      <w:lvlText w:val="%1.%2.%3.%4.%5"/>
      <w:lvlJc w:val="left"/>
      <w:pPr>
        <w:ind w:left="3000" w:hanging="1080"/>
      </w:pPr>
      <w:rPr>
        <w:rFonts w:hint="default"/>
      </w:rPr>
    </w:lvl>
    <w:lvl w:ilvl="5" w:tentative="0">
      <w:start w:val="1"/>
      <w:numFmt w:val="decimal"/>
      <w:lvlText w:val="%1.%2.%3.%4.%5.%6"/>
      <w:lvlJc w:val="left"/>
      <w:pPr>
        <w:ind w:left="3480" w:hanging="1080"/>
      </w:pPr>
      <w:rPr>
        <w:rFonts w:hint="default"/>
      </w:rPr>
    </w:lvl>
    <w:lvl w:ilvl="6" w:tentative="0">
      <w:start w:val="1"/>
      <w:numFmt w:val="decimal"/>
      <w:lvlText w:val="%1.%2.%3.%4.%5.%6.%7"/>
      <w:lvlJc w:val="left"/>
      <w:pPr>
        <w:ind w:left="4320" w:hanging="1440"/>
      </w:pPr>
      <w:rPr>
        <w:rFonts w:hint="default"/>
      </w:rPr>
    </w:lvl>
    <w:lvl w:ilvl="7" w:tentative="0">
      <w:start w:val="1"/>
      <w:numFmt w:val="decimal"/>
      <w:lvlText w:val="%1.%2.%3.%4.%5.%6.%7.%8"/>
      <w:lvlJc w:val="left"/>
      <w:pPr>
        <w:ind w:left="4800" w:hanging="1440"/>
      </w:pPr>
      <w:rPr>
        <w:rFonts w:hint="default"/>
      </w:rPr>
    </w:lvl>
    <w:lvl w:ilvl="8" w:tentative="0">
      <w:start w:val="1"/>
      <w:numFmt w:val="decimal"/>
      <w:lvlText w:val="%1.%2.%3.%4.%5.%6.%7.%8.%9"/>
      <w:lvlJc w:val="left"/>
      <w:pPr>
        <w:ind w:left="5640" w:hanging="1800"/>
      </w:pPr>
      <w:rPr>
        <w:rFonts w:hint="default"/>
      </w:rPr>
    </w:lvl>
  </w:abstractNum>
  <w:abstractNum w:abstractNumId="17">
    <w:nsid w:val="33EA16E1"/>
    <w:multiLevelType w:val="singleLevel"/>
    <w:tmpl w:val="33EA16E1"/>
    <w:lvl w:ilvl="0" w:tentative="0">
      <w:start w:val="1"/>
      <w:numFmt w:val="decimal"/>
      <w:suff w:val="space"/>
      <w:lvlText w:val="%1."/>
      <w:lvlJc w:val="left"/>
      <w:pPr>
        <w:ind w:left="525" w:leftChars="0" w:firstLine="0" w:firstLineChars="0"/>
      </w:pPr>
    </w:lvl>
  </w:abstractNum>
  <w:abstractNum w:abstractNumId="18">
    <w:nsid w:val="3A16FA1F"/>
    <w:multiLevelType w:val="singleLevel"/>
    <w:tmpl w:val="3A16FA1F"/>
    <w:lvl w:ilvl="0" w:tentative="0">
      <w:start w:val="2"/>
      <w:numFmt w:val="decimal"/>
      <w:lvlText w:val="%1."/>
      <w:lvlJc w:val="left"/>
      <w:pPr>
        <w:tabs>
          <w:tab w:val="left" w:pos="312"/>
        </w:tabs>
      </w:pPr>
    </w:lvl>
  </w:abstractNum>
  <w:abstractNum w:abstractNumId="19">
    <w:nsid w:val="3D844EAE"/>
    <w:multiLevelType w:val="singleLevel"/>
    <w:tmpl w:val="3D844EAE"/>
    <w:lvl w:ilvl="0" w:tentative="0">
      <w:start w:val="5"/>
      <w:numFmt w:val="decimal"/>
      <w:suff w:val="nothing"/>
      <w:lvlText w:val="(%1)"/>
      <w:lvlJc w:val="left"/>
    </w:lvl>
  </w:abstractNum>
  <w:abstractNum w:abstractNumId="20">
    <w:nsid w:val="4809687E"/>
    <w:multiLevelType w:val="singleLevel"/>
    <w:tmpl w:val="4809687E"/>
    <w:lvl w:ilvl="0" w:tentative="0">
      <w:start w:val="1"/>
      <w:numFmt w:val="decimal"/>
      <w:lvlText w:val="%1."/>
      <w:lvlJc w:val="left"/>
      <w:pPr>
        <w:tabs>
          <w:tab w:val="left" w:pos="312"/>
        </w:tabs>
      </w:pPr>
    </w:lvl>
  </w:abstractNum>
  <w:abstractNum w:abstractNumId="21">
    <w:nsid w:val="49F9BEC1"/>
    <w:multiLevelType w:val="singleLevel"/>
    <w:tmpl w:val="49F9BEC1"/>
    <w:lvl w:ilvl="0" w:tentative="0">
      <w:start w:val="1"/>
      <w:numFmt w:val="decimal"/>
      <w:suff w:val="nothing"/>
      <w:lvlText w:val="%1、"/>
      <w:lvlJc w:val="left"/>
    </w:lvl>
  </w:abstractNum>
  <w:abstractNum w:abstractNumId="22">
    <w:nsid w:val="54F2F784"/>
    <w:multiLevelType w:val="singleLevel"/>
    <w:tmpl w:val="54F2F784"/>
    <w:lvl w:ilvl="0" w:tentative="0">
      <w:start w:val="1"/>
      <w:numFmt w:val="decimal"/>
      <w:lvlText w:val="(%1)"/>
      <w:lvlJc w:val="left"/>
      <w:pPr>
        <w:ind w:left="425" w:hanging="425"/>
      </w:pPr>
      <w:rPr>
        <w:rFonts w:hint="default"/>
      </w:rPr>
    </w:lvl>
  </w:abstractNum>
  <w:abstractNum w:abstractNumId="23">
    <w:nsid w:val="559D1C10"/>
    <w:multiLevelType w:val="singleLevel"/>
    <w:tmpl w:val="559D1C10"/>
    <w:lvl w:ilvl="0" w:tentative="0">
      <w:start w:val="1"/>
      <w:numFmt w:val="decimal"/>
      <w:lvlText w:val="[%1]"/>
      <w:lvlJc w:val="left"/>
      <w:pPr>
        <w:tabs>
          <w:tab w:val="left" w:pos="0"/>
        </w:tabs>
        <w:ind w:left="0" w:leftChars="0" w:firstLine="0" w:firstLineChars="0"/>
      </w:pPr>
      <w:rPr>
        <w:rFonts w:hint="default"/>
      </w:rPr>
    </w:lvl>
  </w:abstractNum>
  <w:abstractNum w:abstractNumId="24">
    <w:nsid w:val="5651E846"/>
    <w:multiLevelType w:val="singleLevel"/>
    <w:tmpl w:val="5651E846"/>
    <w:lvl w:ilvl="0" w:tentative="0">
      <w:start w:val="2"/>
      <w:numFmt w:val="decimalFullWidth"/>
      <w:suff w:val="nothing"/>
      <w:lvlText w:val="（%1）"/>
      <w:lvlJc w:val="left"/>
      <w:rPr>
        <w:rFonts w:hint="eastAsia"/>
      </w:rPr>
    </w:lvl>
  </w:abstractNum>
  <w:abstractNum w:abstractNumId="25">
    <w:nsid w:val="6F37AB9C"/>
    <w:multiLevelType w:val="singleLevel"/>
    <w:tmpl w:val="6F37AB9C"/>
    <w:lvl w:ilvl="0" w:tentative="0">
      <w:start w:val="1"/>
      <w:numFmt w:val="decimal"/>
      <w:lvlText w:val="%1."/>
      <w:lvlJc w:val="left"/>
      <w:pPr>
        <w:tabs>
          <w:tab w:val="left" w:pos="312"/>
        </w:tabs>
      </w:pPr>
      <w:rPr>
        <w:rFonts w:hint="default" w:ascii="Times New Roman" w:hAnsi="Times New Roman" w:cs="Times New Roman"/>
      </w:rPr>
    </w:lvl>
  </w:abstractNum>
  <w:abstractNum w:abstractNumId="26">
    <w:nsid w:val="72779E11"/>
    <w:multiLevelType w:val="singleLevel"/>
    <w:tmpl w:val="72779E11"/>
    <w:lvl w:ilvl="0" w:tentative="0">
      <w:start w:val="1"/>
      <w:numFmt w:val="decimal"/>
      <w:suff w:val="space"/>
      <w:lvlText w:val="%1."/>
      <w:lvlJc w:val="left"/>
    </w:lvl>
  </w:abstractNum>
  <w:abstractNum w:abstractNumId="27">
    <w:nsid w:val="77A6E8C9"/>
    <w:multiLevelType w:val="singleLevel"/>
    <w:tmpl w:val="77A6E8C9"/>
    <w:lvl w:ilvl="0" w:tentative="0">
      <w:start w:val="1"/>
      <w:numFmt w:val="decimal"/>
      <w:suff w:val="space"/>
      <w:lvlText w:val="%1."/>
      <w:lvlJc w:val="left"/>
    </w:lvl>
  </w:abstractNum>
  <w:abstractNum w:abstractNumId="28">
    <w:nsid w:val="7BC79378"/>
    <w:multiLevelType w:val="singleLevel"/>
    <w:tmpl w:val="7BC79378"/>
    <w:lvl w:ilvl="0" w:tentative="0">
      <w:start w:val="2"/>
      <w:numFmt w:val="decimal"/>
      <w:suff w:val="nothing"/>
      <w:lvlText w:val="（%1）"/>
      <w:lvlJc w:val="left"/>
    </w:lvl>
  </w:abstractNum>
  <w:abstractNum w:abstractNumId="29">
    <w:nsid w:val="7D0709CC"/>
    <w:multiLevelType w:val="singleLevel"/>
    <w:tmpl w:val="7D0709CC"/>
    <w:lvl w:ilvl="0" w:tentative="0">
      <w:start w:val="7"/>
      <w:numFmt w:val="decimal"/>
      <w:suff w:val="nothing"/>
      <w:lvlText w:val="(%1)"/>
      <w:lvlJc w:val="left"/>
      <w:pPr>
        <w:ind w:left="360"/>
      </w:pPr>
    </w:lvl>
  </w:abstractNum>
  <w:num w:numId="1">
    <w:abstractNumId w:val="12"/>
  </w:num>
  <w:num w:numId="2">
    <w:abstractNumId w:val="4"/>
  </w:num>
  <w:num w:numId="3">
    <w:abstractNumId w:val="10"/>
  </w:num>
  <w:num w:numId="4">
    <w:abstractNumId w:val="24"/>
  </w:num>
  <w:num w:numId="5">
    <w:abstractNumId w:val="8"/>
  </w:num>
  <w:num w:numId="6">
    <w:abstractNumId w:val="20"/>
  </w:num>
  <w:num w:numId="7">
    <w:abstractNumId w:val="6"/>
  </w:num>
  <w:num w:numId="8">
    <w:abstractNumId w:val="19"/>
  </w:num>
  <w:num w:numId="9">
    <w:abstractNumId w:val="29"/>
  </w:num>
  <w:num w:numId="10">
    <w:abstractNumId w:val="28"/>
  </w:num>
  <w:num w:numId="11">
    <w:abstractNumId w:val="25"/>
  </w:num>
  <w:num w:numId="12">
    <w:abstractNumId w:val="21"/>
  </w:num>
  <w:num w:numId="13">
    <w:abstractNumId w:val="14"/>
  </w:num>
  <w:num w:numId="14">
    <w:abstractNumId w:val="11"/>
  </w:num>
  <w:num w:numId="15">
    <w:abstractNumId w:val="9"/>
  </w:num>
  <w:num w:numId="16">
    <w:abstractNumId w:val="3"/>
  </w:num>
  <w:num w:numId="17">
    <w:abstractNumId w:val="22"/>
  </w:num>
  <w:num w:numId="18">
    <w:abstractNumId w:val="16"/>
  </w:num>
  <w:num w:numId="19">
    <w:abstractNumId w:val="1"/>
  </w:num>
  <w:num w:numId="20">
    <w:abstractNumId w:val="2"/>
  </w:num>
  <w:num w:numId="21">
    <w:abstractNumId w:val="27"/>
  </w:num>
  <w:num w:numId="22">
    <w:abstractNumId w:val="13"/>
  </w:num>
  <w:num w:numId="23">
    <w:abstractNumId w:val="26"/>
  </w:num>
  <w:num w:numId="24">
    <w:abstractNumId w:val="15"/>
  </w:num>
  <w:num w:numId="25">
    <w:abstractNumId w:val="17"/>
  </w:num>
  <w:num w:numId="26">
    <w:abstractNumId w:val="0"/>
  </w:num>
  <w:num w:numId="27">
    <w:abstractNumId w:val="5"/>
  </w:num>
  <w:num w:numId="28">
    <w:abstractNumId w:val="7"/>
  </w:num>
  <w:num w:numId="29">
    <w:abstractNumId w:val="23"/>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FkNThjZjJmYmJkN2UyYmJmYjVmMjc4NTdiZWFlNmEifQ=="/>
  </w:docVars>
  <w:rsids>
    <w:rsidRoot w:val="612C11A4"/>
    <w:rsid w:val="000646AA"/>
    <w:rsid w:val="00154C81"/>
    <w:rsid w:val="00262D4C"/>
    <w:rsid w:val="002D6049"/>
    <w:rsid w:val="005C3401"/>
    <w:rsid w:val="006E570A"/>
    <w:rsid w:val="0097141F"/>
    <w:rsid w:val="00A929E0"/>
    <w:rsid w:val="00BF5E35"/>
    <w:rsid w:val="02706E37"/>
    <w:rsid w:val="061B11E8"/>
    <w:rsid w:val="082A74C0"/>
    <w:rsid w:val="0C0D2733"/>
    <w:rsid w:val="0C920FC3"/>
    <w:rsid w:val="0EB70019"/>
    <w:rsid w:val="0F641F85"/>
    <w:rsid w:val="1224037E"/>
    <w:rsid w:val="126963CB"/>
    <w:rsid w:val="14BF5DD2"/>
    <w:rsid w:val="15514E37"/>
    <w:rsid w:val="1BBE0154"/>
    <w:rsid w:val="1E730572"/>
    <w:rsid w:val="25EA0FA8"/>
    <w:rsid w:val="26F91E7B"/>
    <w:rsid w:val="273177E2"/>
    <w:rsid w:val="2DA441FC"/>
    <w:rsid w:val="321A2620"/>
    <w:rsid w:val="328C4750"/>
    <w:rsid w:val="32FB3683"/>
    <w:rsid w:val="35457A02"/>
    <w:rsid w:val="38507FCD"/>
    <w:rsid w:val="38BB5D8F"/>
    <w:rsid w:val="3B5E2A01"/>
    <w:rsid w:val="3B840EDD"/>
    <w:rsid w:val="3C1F03E3"/>
    <w:rsid w:val="3C6E5E43"/>
    <w:rsid w:val="3CBD0327"/>
    <w:rsid w:val="3E500740"/>
    <w:rsid w:val="449F6478"/>
    <w:rsid w:val="4686172B"/>
    <w:rsid w:val="47481A4E"/>
    <w:rsid w:val="489A1407"/>
    <w:rsid w:val="4C052F5A"/>
    <w:rsid w:val="4C3F7E97"/>
    <w:rsid w:val="4E6B5865"/>
    <w:rsid w:val="5075243A"/>
    <w:rsid w:val="51D31E21"/>
    <w:rsid w:val="525A5DF9"/>
    <w:rsid w:val="53963229"/>
    <w:rsid w:val="569A0728"/>
    <w:rsid w:val="579812D8"/>
    <w:rsid w:val="5A1D13B0"/>
    <w:rsid w:val="5ACC0FF2"/>
    <w:rsid w:val="5B444C7C"/>
    <w:rsid w:val="5D7E0FB5"/>
    <w:rsid w:val="5E6A153A"/>
    <w:rsid w:val="5EE75C9D"/>
    <w:rsid w:val="612C11A4"/>
    <w:rsid w:val="622C166B"/>
    <w:rsid w:val="62E418BB"/>
    <w:rsid w:val="64085ECF"/>
    <w:rsid w:val="64194B79"/>
    <w:rsid w:val="641C5084"/>
    <w:rsid w:val="663F641D"/>
    <w:rsid w:val="69B3785D"/>
    <w:rsid w:val="6A3A57CE"/>
    <w:rsid w:val="6CDE040B"/>
    <w:rsid w:val="6EAD3A25"/>
    <w:rsid w:val="6F1E7F02"/>
    <w:rsid w:val="7116244D"/>
    <w:rsid w:val="726A345E"/>
    <w:rsid w:val="72BB5114"/>
    <w:rsid w:val="748B7C18"/>
    <w:rsid w:val="7614285D"/>
    <w:rsid w:val="7A1D31A5"/>
    <w:rsid w:val="7F2D42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99" w:semiHidden="0" w:name="header"/>
    <w:lsdException w:qFormat="1"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qFormat="1" w:unhideWhenUsed="0" w:uiPriority="99" w:semiHidden="0" w:name="endnote reference"/>
    <w:lsdException w:qFormat="1" w:unhideWhenUsed="0"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45"/>
    <w:qFormat/>
    <w:uiPriority w:val="9"/>
    <w:pPr>
      <w:keepNext/>
      <w:keepLines/>
      <w:pageBreakBefore/>
      <w:spacing w:line="440" w:lineRule="exact"/>
      <w:jc w:val="center"/>
      <w:outlineLvl w:val="0"/>
    </w:pPr>
    <w:rPr>
      <w:b/>
      <w:bCs/>
      <w:kern w:val="44"/>
      <w:sz w:val="32"/>
      <w:szCs w:val="44"/>
    </w:rPr>
  </w:style>
  <w:style w:type="paragraph" w:styleId="3">
    <w:name w:val="heading 2"/>
    <w:basedOn w:val="1"/>
    <w:next w:val="1"/>
    <w:link w:val="168"/>
    <w:unhideWhenUsed/>
    <w:qFormat/>
    <w:uiPriority w:val="0"/>
    <w:pPr>
      <w:keepNext/>
      <w:keepLines/>
      <w:spacing w:line="200" w:lineRule="exact"/>
      <w:outlineLvl w:val="1"/>
    </w:pPr>
    <w:rPr>
      <w:rFonts w:eastAsia="宋体" w:asciiTheme="majorAscii" w:hAnsiTheme="majorAscii" w:cstheme="majorBidi"/>
      <w:bCs/>
      <w:color w:val="FFFFFF" w:themeColor="background1"/>
      <w:sz w:val="15"/>
      <w:szCs w:val="32"/>
      <w14:textFill>
        <w14:solidFill>
          <w14:schemeClr w14:val="bg1"/>
        </w14:solidFill>
      </w14:textFill>
    </w:rPr>
  </w:style>
  <w:style w:type="paragraph" w:styleId="4">
    <w:name w:val="heading 3"/>
    <w:basedOn w:val="3"/>
    <w:next w:val="1"/>
    <w:link w:val="46"/>
    <w:unhideWhenUsed/>
    <w:qFormat/>
    <w:uiPriority w:val="0"/>
    <w:pPr>
      <w:keepNext/>
      <w:keepLines/>
      <w:spacing w:line="440" w:lineRule="exact"/>
      <w:ind w:firstLine="0" w:firstLineChars="0"/>
      <w:outlineLvl w:val="2"/>
    </w:pPr>
    <w:rPr>
      <w:rFonts w:eastAsia="宋体" w:asciiTheme="minorAscii" w:hAnsiTheme="minorAscii"/>
      <w:b/>
      <w:sz w:val="28"/>
      <w:szCs w:val="32"/>
    </w:rPr>
  </w:style>
  <w:style w:type="paragraph" w:styleId="5">
    <w:name w:val="heading 4"/>
    <w:basedOn w:val="1"/>
    <w:next w:val="1"/>
    <w:link w:val="47"/>
    <w:unhideWhenUsed/>
    <w:qFormat/>
    <w:uiPriority w:val="0"/>
    <w:pPr>
      <w:keepNext/>
      <w:keepLines/>
      <w:spacing w:line="440" w:lineRule="exact"/>
      <w:ind w:firstLine="420" w:firstLineChars="200"/>
      <w:outlineLvl w:val="3"/>
    </w:pPr>
    <w:rPr>
      <w:rFonts w:eastAsia="宋体" w:asciiTheme="majorAscii" w:hAnsiTheme="majorAscii" w:cstheme="majorBidi"/>
      <w:bCs/>
      <w:sz w:val="24"/>
      <w:szCs w:val="28"/>
    </w:rPr>
  </w:style>
  <w:style w:type="paragraph" w:styleId="6">
    <w:name w:val="heading 5"/>
    <w:basedOn w:val="1"/>
    <w:next w:val="1"/>
    <w:link w:val="48"/>
    <w:semiHidden/>
    <w:unhideWhenUsed/>
    <w:qFormat/>
    <w:uiPriority w:val="0"/>
    <w:pPr>
      <w:keepNext/>
      <w:keepLines/>
      <w:spacing w:before="280" w:after="290" w:line="376" w:lineRule="auto"/>
      <w:outlineLvl w:val="4"/>
    </w:pPr>
    <w:rPr>
      <w:rFonts w:ascii="Calibri" w:hAnsi="Calibri" w:eastAsia="宋体" w:cs="Times New Roman"/>
      <w:b/>
      <w:bCs/>
      <w:sz w:val="28"/>
      <w:szCs w:val="28"/>
    </w:rPr>
  </w:style>
  <w:style w:type="paragraph" w:styleId="7">
    <w:name w:val="heading 6"/>
    <w:basedOn w:val="1"/>
    <w:next w:val="1"/>
    <w:link w:val="49"/>
    <w:unhideWhenUsed/>
    <w:qFormat/>
    <w:uiPriority w:val="0"/>
    <w:pPr>
      <w:keepNext/>
      <w:keepLines/>
      <w:spacing w:before="240" w:after="64" w:line="320" w:lineRule="auto"/>
      <w:outlineLvl w:val="5"/>
    </w:pPr>
    <w:rPr>
      <w:rFonts w:ascii="Calibri Light" w:hAnsi="Calibri Light" w:eastAsia="宋体" w:cs="Times New Roman"/>
      <w:b/>
      <w:bCs/>
      <w:sz w:val="24"/>
    </w:rPr>
  </w:style>
  <w:style w:type="paragraph" w:styleId="8">
    <w:name w:val="heading 7"/>
    <w:basedOn w:val="1"/>
    <w:next w:val="1"/>
    <w:link w:val="50"/>
    <w:unhideWhenUsed/>
    <w:qFormat/>
    <w:uiPriority w:val="0"/>
    <w:pPr>
      <w:keepNext/>
      <w:keepLines/>
      <w:spacing w:before="240" w:after="64" w:line="320" w:lineRule="auto"/>
      <w:outlineLvl w:val="6"/>
    </w:pPr>
    <w:rPr>
      <w:rFonts w:ascii="Calibri" w:hAnsi="Calibri" w:eastAsia="宋体" w:cs="Times New Roman"/>
      <w:b/>
      <w:bCs/>
      <w:sz w:val="24"/>
    </w:rPr>
  </w:style>
  <w:style w:type="paragraph" w:styleId="9">
    <w:name w:val="heading 8"/>
    <w:basedOn w:val="1"/>
    <w:next w:val="1"/>
    <w:link w:val="51"/>
    <w:unhideWhenUsed/>
    <w:qFormat/>
    <w:uiPriority w:val="0"/>
    <w:pPr>
      <w:keepNext/>
      <w:keepLines/>
      <w:spacing w:before="240" w:after="64" w:line="317" w:lineRule="auto"/>
      <w:outlineLvl w:val="7"/>
    </w:pPr>
    <w:rPr>
      <w:rFonts w:ascii="Arial" w:hAnsi="Arial" w:eastAsia="黑体" w:cs="Times New Roman"/>
      <w:sz w:val="24"/>
    </w:rPr>
  </w:style>
  <w:style w:type="paragraph" w:styleId="10">
    <w:name w:val="heading 9"/>
    <w:basedOn w:val="1"/>
    <w:next w:val="1"/>
    <w:link w:val="44"/>
    <w:unhideWhenUsed/>
    <w:qFormat/>
    <w:uiPriority w:val="0"/>
    <w:pPr>
      <w:keepNext/>
      <w:keepLines/>
      <w:tabs>
        <w:tab w:val="left" w:pos="1584"/>
      </w:tabs>
      <w:spacing w:before="240" w:after="64" w:line="320" w:lineRule="auto"/>
      <w:ind w:left="1584" w:hanging="1584"/>
      <w:outlineLvl w:val="8"/>
    </w:pPr>
    <w:rPr>
      <w:rFonts w:ascii="Arial" w:hAnsi="Arial" w:eastAsia="黑体"/>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0"/>
    <w:pPr>
      <w:spacing w:after="160" w:line="278" w:lineRule="auto"/>
      <w:ind w:left="2520" w:leftChars="1200"/>
      <w:jc w:val="left"/>
    </w:pPr>
    <w:rPr>
      <w:sz w:val="22"/>
      <w14:ligatures w14:val="standardContextual"/>
    </w:rPr>
  </w:style>
  <w:style w:type="paragraph" w:styleId="12">
    <w:name w:val="Normal Indent"/>
    <w:basedOn w:val="1"/>
    <w:qFormat/>
    <w:uiPriority w:val="0"/>
    <w:pPr>
      <w:ind w:firstLine="420" w:firstLineChars="200"/>
    </w:pPr>
    <w:rPr>
      <w:rFonts w:ascii="Calibri" w:hAnsi="Calibri" w:eastAsia="宋体" w:cs="Times New Roman"/>
    </w:rPr>
  </w:style>
  <w:style w:type="paragraph" w:styleId="13">
    <w:name w:val="caption"/>
    <w:basedOn w:val="1"/>
    <w:next w:val="1"/>
    <w:unhideWhenUsed/>
    <w:qFormat/>
    <w:uiPriority w:val="0"/>
    <w:pPr>
      <w:jc w:val="center"/>
    </w:pPr>
    <w:rPr>
      <w:rFonts w:eastAsia="宋体" w:asciiTheme="majorHAnsi" w:hAnsiTheme="majorHAnsi" w:cstheme="majorBidi"/>
      <w:sz w:val="21"/>
      <w:lang w:val="en-US" w:eastAsia="zh-CN" w:bidi="ar-SA"/>
    </w:rPr>
  </w:style>
  <w:style w:type="paragraph" w:styleId="14">
    <w:name w:val="annotation text"/>
    <w:basedOn w:val="1"/>
    <w:link w:val="59"/>
    <w:unhideWhenUsed/>
    <w:qFormat/>
    <w:uiPriority w:val="99"/>
    <w:pPr>
      <w:jc w:val="left"/>
    </w:pPr>
    <w:rPr>
      <w:rFonts w:ascii="Calibri" w:hAnsi="Calibri" w:eastAsia="宋体" w:cs="Times New Roman"/>
    </w:rPr>
  </w:style>
  <w:style w:type="paragraph" w:styleId="15">
    <w:name w:val="Body Text"/>
    <w:basedOn w:val="1"/>
    <w:link w:val="60"/>
    <w:qFormat/>
    <w:uiPriority w:val="0"/>
    <w:pPr>
      <w:spacing w:after="120"/>
    </w:pPr>
    <w:rPr>
      <w:rFonts w:ascii="Calibri" w:hAnsi="Calibri" w:eastAsia="宋体" w:cs="Times New Roman"/>
    </w:rPr>
  </w:style>
  <w:style w:type="paragraph" w:styleId="16">
    <w:name w:val="toc 5"/>
    <w:basedOn w:val="1"/>
    <w:next w:val="1"/>
    <w:autoRedefine/>
    <w:qFormat/>
    <w:uiPriority w:val="0"/>
    <w:pPr>
      <w:spacing w:after="160" w:line="278" w:lineRule="auto"/>
      <w:ind w:left="1680" w:leftChars="800"/>
      <w:jc w:val="left"/>
    </w:pPr>
    <w:rPr>
      <w:sz w:val="22"/>
      <w14:ligatures w14:val="standardContextual"/>
    </w:rPr>
  </w:style>
  <w:style w:type="paragraph" w:styleId="17">
    <w:name w:val="toc 3"/>
    <w:basedOn w:val="1"/>
    <w:next w:val="1"/>
    <w:qFormat/>
    <w:uiPriority w:val="39"/>
    <w:pPr>
      <w:ind w:left="840" w:leftChars="400"/>
    </w:pPr>
    <w:rPr>
      <w:rFonts w:ascii="Calibri" w:hAnsi="Calibri" w:eastAsia="宋体" w:cs="Times New Roman"/>
    </w:rPr>
  </w:style>
  <w:style w:type="paragraph" w:styleId="18">
    <w:name w:val="toc 8"/>
    <w:basedOn w:val="1"/>
    <w:next w:val="1"/>
    <w:autoRedefine/>
    <w:qFormat/>
    <w:uiPriority w:val="0"/>
    <w:pPr>
      <w:spacing w:after="160" w:line="278" w:lineRule="auto"/>
      <w:ind w:left="2940" w:leftChars="1400"/>
      <w:jc w:val="left"/>
    </w:pPr>
    <w:rPr>
      <w:sz w:val="22"/>
      <w14:ligatures w14:val="standardContextual"/>
    </w:rPr>
  </w:style>
  <w:style w:type="paragraph" w:styleId="19">
    <w:name w:val="Date"/>
    <w:basedOn w:val="1"/>
    <w:next w:val="1"/>
    <w:link w:val="145"/>
    <w:qFormat/>
    <w:uiPriority w:val="0"/>
    <w:pPr>
      <w:ind w:left="100" w:leftChars="2500"/>
    </w:pPr>
    <w:rPr>
      <w:rFonts w:ascii="Calibri" w:hAnsi="Calibri" w:eastAsia="宋体" w:cs="Times New Roman"/>
    </w:rPr>
  </w:style>
  <w:style w:type="paragraph" w:styleId="20">
    <w:name w:val="endnote text"/>
    <w:basedOn w:val="1"/>
    <w:link w:val="61"/>
    <w:qFormat/>
    <w:uiPriority w:val="99"/>
    <w:pPr>
      <w:snapToGrid w:val="0"/>
      <w:jc w:val="left"/>
    </w:pPr>
    <w:rPr>
      <w:rFonts w:ascii="Calibri" w:hAnsi="Calibri" w:eastAsia="宋体" w:cs="Times New Roman"/>
    </w:rPr>
  </w:style>
  <w:style w:type="paragraph" w:styleId="21">
    <w:name w:val="Balloon Text"/>
    <w:basedOn w:val="1"/>
    <w:link w:val="62"/>
    <w:qFormat/>
    <w:uiPriority w:val="0"/>
    <w:rPr>
      <w:rFonts w:ascii="Calibri" w:hAnsi="Calibri" w:eastAsia="宋体" w:cs="Times New Roman"/>
      <w:sz w:val="18"/>
      <w:szCs w:val="18"/>
    </w:rPr>
  </w:style>
  <w:style w:type="paragraph" w:styleId="22">
    <w:name w:val="footer"/>
    <w:basedOn w:val="1"/>
    <w:link w:val="52"/>
    <w:unhideWhenUsed/>
    <w:qFormat/>
    <w:uiPriority w:val="99"/>
    <w:pPr>
      <w:tabs>
        <w:tab w:val="center" w:pos="4153"/>
        <w:tab w:val="right" w:pos="8306"/>
      </w:tabs>
      <w:snapToGrid w:val="0"/>
      <w:jc w:val="left"/>
    </w:pPr>
    <w:rPr>
      <w:sz w:val="18"/>
      <w:szCs w:val="18"/>
    </w:rPr>
  </w:style>
  <w:style w:type="paragraph" w:styleId="23">
    <w:name w:val="header"/>
    <w:basedOn w:val="1"/>
    <w:link w:val="53"/>
    <w:unhideWhenUsed/>
    <w:qFormat/>
    <w:uiPriority w:val="99"/>
    <w:pPr>
      <w:pBdr>
        <w:bottom w:val="single" w:color="auto" w:sz="6" w:space="1"/>
      </w:pBdr>
      <w:tabs>
        <w:tab w:val="center" w:pos="4153"/>
        <w:tab w:val="right" w:pos="8306"/>
      </w:tabs>
      <w:snapToGrid w:val="0"/>
      <w:jc w:val="center"/>
    </w:pPr>
    <w:rPr>
      <w:sz w:val="18"/>
      <w:szCs w:val="18"/>
    </w:rPr>
  </w:style>
  <w:style w:type="paragraph" w:styleId="24">
    <w:name w:val="toc 1"/>
    <w:basedOn w:val="1"/>
    <w:next w:val="1"/>
    <w:link w:val="54"/>
    <w:unhideWhenUsed/>
    <w:qFormat/>
    <w:uiPriority w:val="39"/>
    <w:pPr>
      <w:tabs>
        <w:tab w:val="right" w:leader="dot" w:pos="8296"/>
      </w:tabs>
    </w:pPr>
  </w:style>
  <w:style w:type="paragraph" w:styleId="25">
    <w:name w:val="toc 4"/>
    <w:basedOn w:val="1"/>
    <w:next w:val="1"/>
    <w:autoRedefine/>
    <w:qFormat/>
    <w:uiPriority w:val="0"/>
    <w:pPr>
      <w:spacing w:after="160" w:line="278" w:lineRule="auto"/>
      <w:ind w:left="1260" w:leftChars="600"/>
      <w:jc w:val="left"/>
    </w:pPr>
    <w:rPr>
      <w:sz w:val="22"/>
      <w14:ligatures w14:val="standardContextual"/>
    </w:rPr>
  </w:style>
  <w:style w:type="paragraph" w:styleId="26">
    <w:name w:val="Subtitle"/>
    <w:basedOn w:val="1"/>
    <w:next w:val="1"/>
    <w:link w:val="63"/>
    <w:qFormat/>
    <w:uiPriority w:val="0"/>
    <w:pPr>
      <w:spacing w:before="240" w:after="60" w:line="312" w:lineRule="auto"/>
      <w:jc w:val="center"/>
      <w:outlineLvl w:val="1"/>
    </w:pPr>
    <w:rPr>
      <w:rFonts w:ascii="Calibri" w:hAnsi="Calibri" w:eastAsia="宋体" w:cs="Times New Roman"/>
      <w:b/>
      <w:bCs/>
      <w:kern w:val="28"/>
      <w:sz w:val="32"/>
      <w:szCs w:val="32"/>
    </w:rPr>
  </w:style>
  <w:style w:type="paragraph" w:styleId="27">
    <w:name w:val="footnote text"/>
    <w:basedOn w:val="1"/>
    <w:link w:val="64"/>
    <w:qFormat/>
    <w:uiPriority w:val="0"/>
    <w:pPr>
      <w:snapToGrid w:val="0"/>
      <w:jc w:val="left"/>
    </w:pPr>
    <w:rPr>
      <w:rFonts w:ascii="Calibri" w:hAnsi="Calibri" w:eastAsia="宋体" w:cs="Times New Roman"/>
      <w:sz w:val="18"/>
    </w:rPr>
  </w:style>
  <w:style w:type="paragraph" w:styleId="28">
    <w:name w:val="toc 6"/>
    <w:basedOn w:val="1"/>
    <w:next w:val="1"/>
    <w:autoRedefine/>
    <w:qFormat/>
    <w:uiPriority w:val="0"/>
    <w:pPr>
      <w:spacing w:after="160" w:line="278" w:lineRule="auto"/>
      <w:ind w:left="2100" w:leftChars="1000"/>
      <w:jc w:val="left"/>
    </w:pPr>
    <w:rPr>
      <w:sz w:val="22"/>
      <w14:ligatures w14:val="standardContextual"/>
    </w:rPr>
  </w:style>
  <w:style w:type="paragraph" w:styleId="29">
    <w:name w:val="Body Text Indent 3"/>
    <w:basedOn w:val="1"/>
    <w:link w:val="65"/>
    <w:qFormat/>
    <w:uiPriority w:val="0"/>
    <w:pPr>
      <w:spacing w:line="360" w:lineRule="auto"/>
      <w:ind w:firstLine="480" w:firstLineChars="200"/>
    </w:pPr>
    <w:rPr>
      <w:rFonts w:ascii="Calibri" w:hAnsi="Calibri" w:eastAsia="宋体" w:cs="Times New Roman"/>
      <w:sz w:val="24"/>
    </w:rPr>
  </w:style>
  <w:style w:type="paragraph" w:styleId="30">
    <w:name w:val="toc 2"/>
    <w:basedOn w:val="1"/>
    <w:next w:val="1"/>
    <w:link w:val="55"/>
    <w:qFormat/>
    <w:uiPriority w:val="39"/>
    <w:pPr>
      <w:ind w:left="420" w:leftChars="200"/>
    </w:pPr>
  </w:style>
  <w:style w:type="paragraph" w:styleId="31">
    <w:name w:val="toc 9"/>
    <w:basedOn w:val="1"/>
    <w:next w:val="1"/>
    <w:autoRedefine/>
    <w:qFormat/>
    <w:uiPriority w:val="0"/>
    <w:pPr>
      <w:spacing w:after="160" w:line="278" w:lineRule="auto"/>
      <w:ind w:left="3360" w:leftChars="1600"/>
      <w:jc w:val="left"/>
    </w:pPr>
    <w:rPr>
      <w:sz w:val="22"/>
      <w14:ligatures w14:val="standardContextual"/>
    </w:rPr>
  </w:style>
  <w:style w:type="paragraph" w:styleId="32">
    <w:name w:val="Normal (Web)"/>
    <w:basedOn w:val="1"/>
    <w:qFormat/>
    <w:uiPriority w:val="0"/>
    <w:pPr>
      <w:spacing w:beforeAutospacing="1" w:afterAutospacing="1"/>
      <w:jc w:val="left"/>
    </w:pPr>
    <w:rPr>
      <w:kern w:val="0"/>
      <w:sz w:val="24"/>
    </w:rPr>
  </w:style>
  <w:style w:type="paragraph" w:styleId="33">
    <w:name w:val="Title"/>
    <w:basedOn w:val="1"/>
    <w:next w:val="1"/>
    <w:link w:val="66"/>
    <w:qFormat/>
    <w:uiPriority w:val="0"/>
    <w:pPr>
      <w:spacing w:before="240" w:after="60"/>
      <w:jc w:val="center"/>
      <w:outlineLvl w:val="0"/>
    </w:pPr>
    <w:rPr>
      <w:rFonts w:ascii="Calibri Light" w:hAnsi="Calibri Light" w:eastAsia="宋体" w:cs="Times New Roman"/>
      <w:b/>
      <w:bCs/>
      <w:sz w:val="32"/>
      <w:szCs w:val="32"/>
    </w:rPr>
  </w:style>
  <w:style w:type="paragraph" w:styleId="34">
    <w:name w:val="annotation subject"/>
    <w:basedOn w:val="14"/>
    <w:next w:val="14"/>
    <w:link w:val="67"/>
    <w:qFormat/>
    <w:uiPriority w:val="0"/>
    <w:rPr>
      <w:b/>
      <w:bCs/>
    </w:rPr>
  </w:style>
  <w:style w:type="table" w:styleId="36">
    <w:name w:val="Table Grid"/>
    <w:basedOn w:val="3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Strong"/>
    <w:basedOn w:val="37"/>
    <w:qFormat/>
    <w:uiPriority w:val="22"/>
    <w:rPr>
      <w:b/>
      <w:bCs/>
    </w:rPr>
  </w:style>
  <w:style w:type="character" w:styleId="39">
    <w:name w:val="endnote reference"/>
    <w:basedOn w:val="37"/>
    <w:qFormat/>
    <w:uiPriority w:val="99"/>
    <w:rPr>
      <w:vertAlign w:val="superscript"/>
    </w:rPr>
  </w:style>
  <w:style w:type="character" w:styleId="40">
    <w:name w:val="Hyperlink"/>
    <w:basedOn w:val="37"/>
    <w:unhideWhenUsed/>
    <w:qFormat/>
    <w:uiPriority w:val="99"/>
    <w:rPr>
      <w:color w:val="0026E5" w:themeColor="hyperlink"/>
      <w:u w:val="single"/>
      <w14:textFill>
        <w14:solidFill>
          <w14:schemeClr w14:val="hlink"/>
        </w14:solidFill>
      </w14:textFill>
    </w:rPr>
  </w:style>
  <w:style w:type="character" w:styleId="41">
    <w:name w:val="annotation reference"/>
    <w:basedOn w:val="37"/>
    <w:qFormat/>
    <w:uiPriority w:val="0"/>
    <w:rPr>
      <w:sz w:val="21"/>
      <w:szCs w:val="21"/>
    </w:rPr>
  </w:style>
  <w:style w:type="character" w:styleId="42">
    <w:name w:val="footnote reference"/>
    <w:basedOn w:val="37"/>
    <w:qFormat/>
    <w:uiPriority w:val="0"/>
    <w:rPr>
      <w:vertAlign w:val="superscript"/>
    </w:rPr>
  </w:style>
  <w:style w:type="character" w:customStyle="1" w:styleId="43">
    <w:name w:val="标题 2 字符"/>
    <w:basedOn w:val="37"/>
    <w:link w:val="3"/>
    <w:qFormat/>
    <w:uiPriority w:val="0"/>
    <w:rPr>
      <w:rFonts w:eastAsia="宋体" w:asciiTheme="majorAscii" w:hAnsiTheme="majorAscii" w:cstheme="majorBidi"/>
      <w:bCs/>
      <w:kern w:val="2"/>
      <w:sz w:val="15"/>
      <w:szCs w:val="32"/>
    </w:rPr>
  </w:style>
  <w:style w:type="character" w:customStyle="1" w:styleId="44">
    <w:name w:val="标题 9 字符"/>
    <w:basedOn w:val="37"/>
    <w:link w:val="10"/>
    <w:qFormat/>
    <w:uiPriority w:val="0"/>
    <w:rPr>
      <w:rFonts w:ascii="Arial" w:hAnsi="Arial" w:eastAsia="黑体"/>
    </w:rPr>
  </w:style>
  <w:style w:type="character" w:customStyle="1" w:styleId="45">
    <w:name w:val="标题 1 字符"/>
    <w:basedOn w:val="37"/>
    <w:link w:val="2"/>
    <w:qFormat/>
    <w:uiPriority w:val="9"/>
    <w:rPr>
      <w:b/>
      <w:bCs/>
      <w:kern w:val="44"/>
      <w:sz w:val="32"/>
      <w:szCs w:val="44"/>
    </w:rPr>
  </w:style>
  <w:style w:type="character" w:customStyle="1" w:styleId="46">
    <w:name w:val="标题 3 字符"/>
    <w:basedOn w:val="37"/>
    <w:link w:val="4"/>
    <w:qFormat/>
    <w:uiPriority w:val="0"/>
    <w:rPr>
      <w:rFonts w:eastAsia="宋体" w:asciiTheme="minorAscii" w:hAnsiTheme="minorAscii"/>
      <w:b/>
      <w:bCs/>
      <w:kern w:val="2"/>
      <w:sz w:val="28"/>
      <w:szCs w:val="32"/>
    </w:rPr>
  </w:style>
  <w:style w:type="character" w:customStyle="1" w:styleId="47">
    <w:name w:val="标题 4 字符"/>
    <w:basedOn w:val="37"/>
    <w:link w:val="5"/>
    <w:qFormat/>
    <w:uiPriority w:val="0"/>
    <w:rPr>
      <w:rFonts w:eastAsia="宋体" w:asciiTheme="majorAscii" w:hAnsiTheme="majorAscii" w:cstheme="majorBidi"/>
      <w:bCs/>
      <w:kern w:val="2"/>
      <w:sz w:val="24"/>
      <w:szCs w:val="28"/>
    </w:rPr>
  </w:style>
  <w:style w:type="character" w:customStyle="1" w:styleId="48">
    <w:name w:val="标题 5 字符"/>
    <w:basedOn w:val="37"/>
    <w:link w:val="6"/>
    <w:semiHidden/>
    <w:qFormat/>
    <w:uiPriority w:val="0"/>
    <w:rPr>
      <w:rFonts w:ascii="Calibri" w:hAnsi="Calibri" w:eastAsia="宋体" w:cs="Times New Roman"/>
      <w:b/>
      <w:bCs/>
      <w:kern w:val="2"/>
      <w:sz w:val="28"/>
      <w:szCs w:val="28"/>
    </w:rPr>
  </w:style>
  <w:style w:type="character" w:customStyle="1" w:styleId="49">
    <w:name w:val="标题 6 字符"/>
    <w:basedOn w:val="37"/>
    <w:link w:val="7"/>
    <w:qFormat/>
    <w:uiPriority w:val="0"/>
    <w:rPr>
      <w:rFonts w:ascii="Calibri Light" w:hAnsi="Calibri Light" w:eastAsia="宋体" w:cs="Times New Roman"/>
      <w:b/>
      <w:bCs/>
      <w:kern w:val="2"/>
      <w:sz w:val="24"/>
      <w:szCs w:val="24"/>
    </w:rPr>
  </w:style>
  <w:style w:type="character" w:customStyle="1" w:styleId="50">
    <w:name w:val="标题 7 字符"/>
    <w:basedOn w:val="37"/>
    <w:link w:val="8"/>
    <w:qFormat/>
    <w:uiPriority w:val="0"/>
    <w:rPr>
      <w:rFonts w:ascii="Calibri" w:hAnsi="Calibri" w:eastAsia="宋体" w:cs="Times New Roman"/>
      <w:b/>
      <w:bCs/>
      <w:kern w:val="2"/>
      <w:sz w:val="24"/>
      <w:szCs w:val="24"/>
    </w:rPr>
  </w:style>
  <w:style w:type="character" w:customStyle="1" w:styleId="51">
    <w:name w:val="标题 8 字符"/>
    <w:basedOn w:val="37"/>
    <w:link w:val="9"/>
    <w:qFormat/>
    <w:uiPriority w:val="0"/>
    <w:rPr>
      <w:rFonts w:ascii="Arial" w:hAnsi="Arial" w:eastAsia="黑体" w:cs="Times New Roman"/>
      <w:kern w:val="2"/>
      <w:sz w:val="24"/>
      <w:szCs w:val="24"/>
    </w:rPr>
  </w:style>
  <w:style w:type="character" w:customStyle="1" w:styleId="52">
    <w:name w:val="页脚 字符"/>
    <w:basedOn w:val="37"/>
    <w:link w:val="22"/>
    <w:qFormat/>
    <w:uiPriority w:val="99"/>
    <w:rPr>
      <w:kern w:val="2"/>
      <w:sz w:val="18"/>
      <w:szCs w:val="18"/>
    </w:rPr>
  </w:style>
  <w:style w:type="character" w:customStyle="1" w:styleId="53">
    <w:name w:val="页眉 字符"/>
    <w:basedOn w:val="37"/>
    <w:link w:val="23"/>
    <w:qFormat/>
    <w:uiPriority w:val="99"/>
    <w:rPr>
      <w:kern w:val="2"/>
      <w:sz w:val="18"/>
      <w:szCs w:val="18"/>
    </w:rPr>
  </w:style>
  <w:style w:type="character" w:customStyle="1" w:styleId="54">
    <w:name w:val="目录 1 字符"/>
    <w:link w:val="24"/>
    <w:qFormat/>
    <w:uiPriority w:val="39"/>
    <w:rPr>
      <w:kern w:val="2"/>
      <w:sz w:val="21"/>
      <w:szCs w:val="24"/>
    </w:rPr>
  </w:style>
  <w:style w:type="character" w:customStyle="1" w:styleId="55">
    <w:name w:val="目录 2 字符"/>
    <w:basedOn w:val="37"/>
    <w:link w:val="30"/>
    <w:qFormat/>
    <w:uiPriority w:val="39"/>
    <w:rPr>
      <w:kern w:val="2"/>
      <w:sz w:val="21"/>
      <w:szCs w:val="24"/>
    </w:rPr>
  </w:style>
  <w:style w:type="paragraph" w:customStyle="1" w:styleId="56">
    <w:name w:val="_Style 2"/>
    <w:basedOn w:val="1"/>
    <w:next w:val="1"/>
    <w:qFormat/>
    <w:uiPriority w:val="99"/>
  </w:style>
  <w:style w:type="table" w:customStyle="1" w:styleId="57">
    <w:name w:val="网格型1"/>
    <w:basedOn w:val="35"/>
    <w:autoRedefine/>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8">
    <w:name w:val="is-blur"/>
    <w:basedOn w:val="1"/>
    <w:qFormat/>
    <w:uiPriority w:val="0"/>
    <w:pPr>
      <w:widowControl/>
      <w:spacing w:before="100" w:beforeAutospacing="1" w:after="100" w:afterAutospacing="1"/>
      <w:jc w:val="left"/>
    </w:pPr>
    <w:rPr>
      <w:rFonts w:ascii="宋体" w:hAnsi="宋体" w:cs="宋体"/>
      <w:kern w:val="0"/>
      <w:sz w:val="24"/>
    </w:rPr>
  </w:style>
  <w:style w:type="character" w:customStyle="1" w:styleId="59">
    <w:name w:val="批注文字 字符"/>
    <w:basedOn w:val="37"/>
    <w:link w:val="14"/>
    <w:qFormat/>
    <w:uiPriority w:val="99"/>
    <w:rPr>
      <w:rFonts w:ascii="Calibri" w:hAnsi="Calibri" w:eastAsia="宋体" w:cs="Times New Roman"/>
      <w:kern w:val="2"/>
      <w:sz w:val="21"/>
      <w:szCs w:val="24"/>
    </w:rPr>
  </w:style>
  <w:style w:type="character" w:customStyle="1" w:styleId="60">
    <w:name w:val="正文文本 字符"/>
    <w:basedOn w:val="37"/>
    <w:link w:val="15"/>
    <w:qFormat/>
    <w:uiPriority w:val="0"/>
    <w:rPr>
      <w:rFonts w:ascii="Calibri" w:hAnsi="Calibri" w:eastAsia="宋体" w:cs="Times New Roman"/>
      <w:kern w:val="2"/>
      <w:sz w:val="21"/>
      <w:szCs w:val="24"/>
    </w:rPr>
  </w:style>
  <w:style w:type="character" w:customStyle="1" w:styleId="61">
    <w:name w:val="尾注文本 字符"/>
    <w:basedOn w:val="37"/>
    <w:link w:val="20"/>
    <w:qFormat/>
    <w:uiPriority w:val="99"/>
    <w:rPr>
      <w:rFonts w:ascii="Calibri" w:hAnsi="Calibri" w:eastAsia="宋体" w:cs="Times New Roman"/>
      <w:kern w:val="2"/>
      <w:sz w:val="21"/>
      <w:szCs w:val="24"/>
    </w:rPr>
  </w:style>
  <w:style w:type="character" w:customStyle="1" w:styleId="62">
    <w:name w:val="批注框文本 字符"/>
    <w:basedOn w:val="37"/>
    <w:link w:val="21"/>
    <w:qFormat/>
    <w:uiPriority w:val="0"/>
    <w:rPr>
      <w:rFonts w:ascii="Calibri" w:hAnsi="Calibri" w:eastAsia="宋体" w:cs="Times New Roman"/>
      <w:kern w:val="2"/>
      <w:sz w:val="18"/>
      <w:szCs w:val="18"/>
    </w:rPr>
  </w:style>
  <w:style w:type="character" w:customStyle="1" w:styleId="63">
    <w:name w:val="副标题 字符"/>
    <w:basedOn w:val="37"/>
    <w:link w:val="26"/>
    <w:qFormat/>
    <w:uiPriority w:val="0"/>
    <w:rPr>
      <w:rFonts w:ascii="Calibri" w:hAnsi="Calibri" w:eastAsia="宋体" w:cs="Times New Roman"/>
      <w:b/>
      <w:bCs/>
      <w:kern w:val="28"/>
      <w:sz w:val="32"/>
      <w:szCs w:val="32"/>
    </w:rPr>
  </w:style>
  <w:style w:type="character" w:customStyle="1" w:styleId="64">
    <w:name w:val="脚注文本 字符"/>
    <w:basedOn w:val="37"/>
    <w:link w:val="27"/>
    <w:qFormat/>
    <w:uiPriority w:val="0"/>
    <w:rPr>
      <w:rFonts w:ascii="Calibri" w:hAnsi="Calibri" w:eastAsia="宋体" w:cs="Times New Roman"/>
      <w:kern w:val="2"/>
      <w:sz w:val="18"/>
      <w:szCs w:val="24"/>
    </w:rPr>
  </w:style>
  <w:style w:type="character" w:customStyle="1" w:styleId="65">
    <w:name w:val="正文文本缩进 3 字符"/>
    <w:basedOn w:val="37"/>
    <w:link w:val="29"/>
    <w:qFormat/>
    <w:uiPriority w:val="0"/>
    <w:rPr>
      <w:rFonts w:ascii="Calibri" w:hAnsi="Calibri" w:eastAsia="宋体" w:cs="Times New Roman"/>
      <w:kern w:val="2"/>
      <w:sz w:val="24"/>
      <w:szCs w:val="24"/>
    </w:rPr>
  </w:style>
  <w:style w:type="character" w:customStyle="1" w:styleId="66">
    <w:name w:val="标题 字符"/>
    <w:basedOn w:val="37"/>
    <w:link w:val="33"/>
    <w:qFormat/>
    <w:uiPriority w:val="0"/>
    <w:rPr>
      <w:rFonts w:ascii="Calibri Light" w:hAnsi="Calibri Light" w:eastAsia="宋体" w:cs="Times New Roman"/>
      <w:b/>
      <w:bCs/>
      <w:kern w:val="2"/>
      <w:sz w:val="32"/>
      <w:szCs w:val="32"/>
    </w:rPr>
  </w:style>
  <w:style w:type="character" w:customStyle="1" w:styleId="67">
    <w:name w:val="批注主题 字符"/>
    <w:basedOn w:val="59"/>
    <w:link w:val="34"/>
    <w:qFormat/>
    <w:uiPriority w:val="0"/>
    <w:rPr>
      <w:rFonts w:ascii="Calibri" w:hAnsi="Calibri" w:eastAsia="宋体" w:cs="Times New Roman"/>
      <w:b/>
      <w:bCs/>
      <w:kern w:val="2"/>
      <w:sz w:val="21"/>
      <w:szCs w:val="24"/>
    </w:rPr>
  </w:style>
  <w:style w:type="paragraph" w:customStyle="1" w:styleId="68">
    <w:name w:val="标题 61"/>
    <w:basedOn w:val="1"/>
    <w:next w:val="1"/>
    <w:unhideWhenUsed/>
    <w:qFormat/>
    <w:uiPriority w:val="0"/>
    <w:pPr>
      <w:keepNext/>
      <w:keepLines/>
      <w:spacing w:before="240" w:after="64" w:line="320" w:lineRule="auto"/>
      <w:outlineLvl w:val="5"/>
    </w:pPr>
    <w:rPr>
      <w:rFonts w:ascii="Calibri Light" w:hAnsi="Calibri Light" w:eastAsia="宋体" w:cs="Times New Roman"/>
      <w:b/>
      <w:bCs/>
      <w:sz w:val="24"/>
    </w:rPr>
  </w:style>
  <w:style w:type="paragraph" w:customStyle="1" w:styleId="69">
    <w:name w:val="论文正文"/>
    <w:basedOn w:val="12"/>
    <w:qFormat/>
    <w:uiPriority w:val="0"/>
    <w:pPr>
      <w:tabs>
        <w:tab w:val="left" w:pos="377"/>
      </w:tabs>
      <w:ind w:firstLine="200"/>
    </w:pPr>
    <w:rPr>
      <w:rFonts w:ascii="Times New Roman" w:hAnsi="Times New Roman"/>
      <w:bCs/>
      <w:sz w:val="24"/>
      <w:szCs w:val="32"/>
    </w:rPr>
  </w:style>
  <w:style w:type="paragraph" w:customStyle="1" w:styleId="70">
    <w:name w:val="引文目录标题1"/>
    <w:basedOn w:val="1"/>
    <w:next w:val="1"/>
    <w:qFormat/>
    <w:uiPriority w:val="0"/>
    <w:pPr>
      <w:spacing w:before="120"/>
    </w:pPr>
    <w:rPr>
      <w:rFonts w:ascii="Calibri Light" w:hAnsi="Calibri Light" w:eastAsia="宋体" w:cs="Times New Roman"/>
      <w:sz w:val="24"/>
    </w:rPr>
  </w:style>
  <w:style w:type="paragraph" w:customStyle="1" w:styleId="71">
    <w:name w:val="副标题1"/>
    <w:basedOn w:val="1"/>
    <w:next w:val="1"/>
    <w:qFormat/>
    <w:uiPriority w:val="0"/>
    <w:pPr>
      <w:spacing w:before="240" w:after="60" w:line="312" w:lineRule="auto"/>
      <w:jc w:val="center"/>
      <w:outlineLvl w:val="1"/>
    </w:pPr>
    <w:rPr>
      <w:b/>
      <w:bCs/>
      <w:kern w:val="28"/>
      <w:sz w:val="32"/>
      <w:szCs w:val="32"/>
    </w:rPr>
  </w:style>
  <w:style w:type="paragraph" w:customStyle="1" w:styleId="72">
    <w:name w:val="标题1"/>
    <w:basedOn w:val="1"/>
    <w:next w:val="1"/>
    <w:qFormat/>
    <w:uiPriority w:val="0"/>
    <w:pPr>
      <w:spacing w:before="240" w:after="60"/>
      <w:jc w:val="center"/>
      <w:outlineLvl w:val="0"/>
    </w:pPr>
    <w:rPr>
      <w:rFonts w:ascii="Calibri Light" w:hAnsi="Calibri Light" w:eastAsia="宋体" w:cs="Times New Roman"/>
      <w:b/>
      <w:bCs/>
      <w:sz w:val="32"/>
      <w:szCs w:val="32"/>
    </w:rPr>
  </w:style>
  <w:style w:type="table" w:customStyle="1" w:styleId="73">
    <w:name w:val="网格型2"/>
    <w:basedOn w:val="35"/>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74">
    <w:name w:val="List Paragraph"/>
    <w:basedOn w:val="1"/>
    <w:qFormat/>
    <w:uiPriority w:val="99"/>
    <w:pPr>
      <w:ind w:firstLine="420" w:firstLineChars="200"/>
    </w:pPr>
    <w:rPr>
      <w:rFonts w:ascii="Calibri" w:hAnsi="Calibri" w:eastAsia="宋体" w:cs="Times New Roman"/>
    </w:rPr>
  </w:style>
  <w:style w:type="character" w:customStyle="1" w:styleId="75">
    <w:name w:val="words-blog"/>
    <w:basedOn w:val="37"/>
    <w:qFormat/>
    <w:uiPriority w:val="0"/>
  </w:style>
  <w:style w:type="character" w:customStyle="1" w:styleId="76">
    <w:name w:val="不明显强调1"/>
    <w:basedOn w:val="37"/>
    <w:qFormat/>
    <w:uiPriority w:val="19"/>
    <w:rPr>
      <w:i/>
      <w:iCs/>
      <w:color w:val="404040"/>
    </w:rPr>
  </w:style>
  <w:style w:type="character" w:customStyle="1" w:styleId="77">
    <w:name w:val="明显强调1"/>
    <w:basedOn w:val="37"/>
    <w:qFormat/>
    <w:uiPriority w:val="21"/>
    <w:rPr>
      <w:i/>
      <w:iCs/>
      <w:color w:val="5B9BD5"/>
    </w:rPr>
  </w:style>
  <w:style w:type="character" w:customStyle="1" w:styleId="78">
    <w:name w:val="不明显参考1"/>
    <w:basedOn w:val="37"/>
    <w:qFormat/>
    <w:uiPriority w:val="31"/>
    <w:rPr>
      <w:smallCaps/>
      <w:color w:val="595959"/>
    </w:rPr>
  </w:style>
  <w:style w:type="table" w:customStyle="1" w:styleId="79">
    <w:name w:val="无格式表格 51"/>
    <w:basedOn w:val="35"/>
    <w:qFormat/>
    <w:uiPriority w:val="45"/>
    <w:rPr>
      <w:rFonts w:ascii="Times New Roman" w:hAnsi="Times New Roman" w:eastAsia="宋体" w:cs="Times New Roman"/>
    </w:rPr>
    <w:tblStylePr w:type="firstRow">
      <w:rPr>
        <w:rFonts w:ascii="Calibri Light" w:hAnsi="Calibri Light" w:eastAsia="宋体" w:cs="Times New Roman"/>
        <w:i/>
        <w:iCs/>
        <w:sz w:val="26"/>
      </w:rPr>
      <w:tcPr>
        <w:tcBorders>
          <w:bottom w:val="single" w:color="7F7F7F" w:sz="4" w:space="0"/>
        </w:tcBorders>
        <w:shd w:val="clear" w:color="auto" w:fill="FFFFFF"/>
      </w:tcPr>
    </w:tblStylePr>
    <w:tblStylePr w:type="lastRow">
      <w:rPr>
        <w:rFonts w:ascii="Calibri Light" w:hAnsi="Calibri Light" w:eastAsia="宋体" w:cs="Times New Roman"/>
        <w:i/>
        <w:iCs/>
        <w:sz w:val="26"/>
      </w:rPr>
      <w:tcPr>
        <w:tcBorders>
          <w:top w:val="single" w:color="7F7F7F" w:sz="4" w:space="0"/>
        </w:tcBorders>
        <w:shd w:val="clear" w:color="auto" w:fill="FFFFFF"/>
      </w:tcPr>
    </w:tblStylePr>
    <w:tblStylePr w:type="firstCol">
      <w:pPr>
        <w:jc w:val="right"/>
      </w:pPr>
      <w:rPr>
        <w:rFonts w:ascii="Calibri Light" w:hAnsi="Calibri Light" w:eastAsia="宋体" w:cs="Times New Roman"/>
        <w:i/>
        <w:iCs/>
        <w:sz w:val="26"/>
      </w:rPr>
      <w:tcPr>
        <w:tcBorders>
          <w:right w:val="single" w:color="7F7F7F" w:sz="4" w:space="0"/>
        </w:tcBorders>
        <w:shd w:val="clear" w:color="auto" w:fill="FFFFFF"/>
      </w:tcPr>
    </w:tblStylePr>
    <w:tblStylePr w:type="lastCol">
      <w:rPr>
        <w:rFonts w:ascii="Calibri Light" w:hAnsi="Calibri Light" w:eastAsia="宋体" w:cs="Times New Roman"/>
        <w:i/>
        <w:iCs/>
        <w:sz w:val="26"/>
      </w:rPr>
      <w:tcPr>
        <w:tcBorders>
          <w:left w:val="single" w:color="7F7F7F" w:sz="4" w:space="0"/>
        </w:tcBorders>
        <w:shd w:val="clear" w:color="auto" w:fill="FFFFFF"/>
      </w:tcPr>
    </w:tblStylePr>
    <w:tblStylePr w:type="band1Vert">
      <w:tcPr>
        <w:shd w:val="clear" w:color="auto" w:fill="F2F2F2"/>
      </w:tcPr>
    </w:tblStylePr>
    <w:tblStylePr w:type="band1Horz">
      <w:tcPr>
        <w:shd w:val="clear" w:color="auto" w:fill="F2F2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table" w:customStyle="1" w:styleId="80">
    <w:name w:val="网格表 31"/>
    <w:basedOn w:val="35"/>
    <w:qFormat/>
    <w:uiPriority w:val="48"/>
    <w:rPr>
      <w:rFonts w:ascii="Times New Roman" w:hAnsi="Times New Roman" w:eastAsia="宋体" w:cs="Times New Roman"/>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top w:val="nil"/>
          <w:left w:val="nil"/>
          <w:right w:val="nil"/>
          <w:insideH w:val="nil"/>
          <w:insideV w:val="nil"/>
        </w:tcBorders>
        <w:shd w:val="clear" w:color="auto" w:fill="FFFFFF"/>
      </w:tcPr>
    </w:tblStylePr>
    <w:tblStylePr w:type="lastRow">
      <w:rPr>
        <w:b/>
        <w:bCs/>
      </w:rPr>
      <w:tcPr>
        <w:tcBorders>
          <w:left w:val="nil"/>
          <w:bottom w:val="nil"/>
          <w:right w:val="nil"/>
          <w:insideH w:val="nil"/>
          <w:insideV w:val="nil"/>
        </w:tcBorders>
        <w:shd w:val="clear" w:color="auto" w:fill="FFFFFF"/>
      </w:tcPr>
    </w:tblStylePr>
    <w:tblStylePr w:type="firstCol">
      <w:pPr>
        <w:jc w:val="right"/>
      </w:pPr>
      <w:rPr>
        <w:i/>
        <w:iCs/>
      </w:rPr>
      <w:tcPr>
        <w:tcBorders>
          <w:top w:val="nil"/>
          <w:left w:val="nil"/>
          <w:bottom w:val="nil"/>
          <w:insideH w:val="nil"/>
          <w:insideV w:val="nil"/>
        </w:tcBorders>
        <w:shd w:val="clear" w:color="auto" w:fill="FFFFFF"/>
      </w:tcPr>
    </w:tblStylePr>
    <w:tblStylePr w:type="lastCol">
      <w:rPr>
        <w:i/>
        <w:iCs/>
      </w:rPr>
      <w:tcPr>
        <w:tcBorders>
          <w:top w:val="nil"/>
          <w:bottom w:val="nil"/>
          <w:right w:val="nil"/>
          <w:insideH w:val="nil"/>
          <w:insideV w:val="nil"/>
        </w:tcBorders>
        <w:shd w:val="clear" w:color="auto" w:fill="FFFFFF"/>
      </w:tcPr>
    </w:tblStylePr>
    <w:tblStylePr w:type="band1Vert">
      <w:tcPr>
        <w:shd w:val="clear" w:color="auto" w:fill="CCCCCC"/>
      </w:tcPr>
    </w:tblStylePr>
    <w:tblStylePr w:type="band1Horz">
      <w:tcPr>
        <w:shd w:val="clear" w:color="auto" w:fill="CCCCCC"/>
      </w:tcPr>
    </w:tblStylePr>
    <w:tblStylePr w:type="neCell">
      <w:tcPr>
        <w:tcBorders>
          <w:bottom w:val="single" w:color="666666" w:sz="4" w:space="0"/>
        </w:tcBorders>
      </w:tcPr>
    </w:tblStylePr>
    <w:tblStylePr w:type="nwCell">
      <w:tcPr>
        <w:tcBorders>
          <w:bottom w:val="single" w:color="666666" w:sz="4" w:space="0"/>
        </w:tcBorders>
      </w:tcPr>
    </w:tblStylePr>
    <w:tblStylePr w:type="seCell">
      <w:tcPr>
        <w:tcBorders>
          <w:top w:val="single" w:color="666666" w:sz="4" w:space="0"/>
        </w:tcBorders>
      </w:tcPr>
    </w:tblStylePr>
    <w:tblStylePr w:type="swCell">
      <w:tcPr>
        <w:tcBorders>
          <w:top w:val="single" w:color="666666" w:sz="4" w:space="0"/>
        </w:tcBorders>
      </w:tcPr>
    </w:tblStylePr>
  </w:style>
  <w:style w:type="table" w:customStyle="1" w:styleId="81">
    <w:name w:val="网格表 3 - 着色 11"/>
    <w:basedOn w:val="35"/>
    <w:qFormat/>
    <w:uiPriority w:val="48"/>
    <w:rPr>
      <w:rFonts w:ascii="Times New Roman" w:hAnsi="Times New Roman" w:eastAsia="宋体" w:cs="Times New Roman"/>
    </w:rPr>
    <w:tblPr>
      <w:tblBorders>
        <w:top w:val="single" w:color="9CC2E5" w:sz="4" w:space="0"/>
        <w:left w:val="single" w:color="9CC2E5" w:sz="4" w:space="0"/>
        <w:bottom w:val="single" w:color="9CC2E5" w:sz="4" w:space="0"/>
        <w:right w:val="single" w:color="9CC2E5" w:sz="4" w:space="0"/>
        <w:insideH w:val="single" w:color="9CC2E5" w:sz="4" w:space="0"/>
        <w:insideV w:val="single" w:color="9CC2E5" w:sz="4" w:space="0"/>
      </w:tblBorders>
    </w:tblPr>
    <w:tblStylePr w:type="firstRow">
      <w:rPr>
        <w:b/>
        <w:bCs/>
      </w:rPr>
      <w:tcPr>
        <w:tcBorders>
          <w:top w:val="nil"/>
          <w:left w:val="nil"/>
          <w:right w:val="nil"/>
          <w:insideH w:val="nil"/>
          <w:insideV w:val="nil"/>
        </w:tcBorders>
        <w:shd w:val="clear" w:color="auto" w:fill="FFFFFF"/>
      </w:tcPr>
    </w:tblStylePr>
    <w:tblStylePr w:type="lastRow">
      <w:rPr>
        <w:b/>
        <w:bCs/>
      </w:rPr>
      <w:tcPr>
        <w:tcBorders>
          <w:left w:val="nil"/>
          <w:bottom w:val="nil"/>
          <w:right w:val="nil"/>
          <w:insideH w:val="nil"/>
          <w:insideV w:val="nil"/>
        </w:tcBorders>
        <w:shd w:val="clear" w:color="auto" w:fill="FFFFFF"/>
      </w:tcPr>
    </w:tblStylePr>
    <w:tblStylePr w:type="firstCol">
      <w:pPr>
        <w:jc w:val="right"/>
      </w:pPr>
      <w:rPr>
        <w:i/>
        <w:iCs/>
      </w:rPr>
      <w:tcPr>
        <w:tcBorders>
          <w:top w:val="nil"/>
          <w:left w:val="nil"/>
          <w:bottom w:val="nil"/>
          <w:insideH w:val="nil"/>
          <w:insideV w:val="nil"/>
        </w:tcBorders>
        <w:shd w:val="clear" w:color="auto" w:fill="FFFFFF"/>
      </w:tcPr>
    </w:tblStylePr>
    <w:tblStylePr w:type="lastCol">
      <w:rPr>
        <w:i/>
        <w:iCs/>
      </w:rPr>
      <w:tcPr>
        <w:tcBorders>
          <w:top w:val="nil"/>
          <w:bottom w:val="nil"/>
          <w:right w:val="nil"/>
          <w:insideH w:val="nil"/>
          <w:insideV w:val="nil"/>
        </w:tcBorders>
        <w:shd w:val="clear" w:color="auto" w:fill="FFFFFF"/>
      </w:tcPr>
    </w:tblStylePr>
    <w:tblStylePr w:type="band1Vert">
      <w:tcPr>
        <w:shd w:val="clear" w:color="auto" w:fill="DEEAF6"/>
      </w:tcPr>
    </w:tblStylePr>
    <w:tblStylePr w:type="band1Horz">
      <w:tcPr>
        <w:shd w:val="clear" w:color="auto" w:fill="DEEAF6"/>
      </w:tcPr>
    </w:tblStylePr>
    <w:tblStylePr w:type="neCell">
      <w:tcPr>
        <w:tcBorders>
          <w:bottom w:val="single" w:color="9CC2E5" w:sz="4" w:space="0"/>
        </w:tcBorders>
      </w:tcPr>
    </w:tblStylePr>
    <w:tblStylePr w:type="nwCell">
      <w:tcPr>
        <w:tcBorders>
          <w:bottom w:val="single" w:color="9CC2E5" w:sz="4" w:space="0"/>
        </w:tcBorders>
      </w:tcPr>
    </w:tblStylePr>
    <w:tblStylePr w:type="seCell">
      <w:tcPr>
        <w:tcBorders>
          <w:top w:val="single" w:color="9CC2E5" w:sz="4" w:space="0"/>
        </w:tcBorders>
      </w:tcPr>
    </w:tblStylePr>
    <w:tblStylePr w:type="swCell">
      <w:tcPr>
        <w:tcBorders>
          <w:top w:val="single" w:color="9CC2E5" w:sz="4" w:space="0"/>
        </w:tcBorders>
      </w:tcPr>
    </w:tblStylePr>
  </w:style>
  <w:style w:type="table" w:customStyle="1" w:styleId="82">
    <w:name w:val="网格表 5 深色 - 着色 31"/>
    <w:basedOn w:val="35"/>
    <w:qFormat/>
    <w:uiPriority w:val="50"/>
    <w:rPr>
      <w:rFonts w:ascii="Times New Roman" w:hAnsi="Times New Roman" w:eastAsia="宋体" w:cs="Times New Roman"/>
    </w:rPr>
    <w:tblP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DEDED"/>
    </w:tcPr>
    <w:tblStylePr w:type="firstRow">
      <w:rPr>
        <w:b/>
        <w:bCs/>
        <w:color w:val="FFFFFF"/>
      </w:rPr>
      <w:tcPr>
        <w:tcBorders>
          <w:top w:val="single" w:color="FFFFFF" w:sz="4" w:space="0"/>
          <w:left w:val="single" w:color="FFFFFF" w:sz="4" w:space="0"/>
          <w:right w:val="single" w:color="FFFFFF" w:sz="4" w:space="0"/>
          <w:insideH w:val="nil"/>
          <w:insideV w:val="nil"/>
        </w:tcBorders>
        <w:shd w:val="clear" w:color="auto" w:fill="A5A5A5"/>
      </w:tcPr>
    </w:tblStylePr>
    <w:tblStylePr w:type="lastRow">
      <w:rPr>
        <w:b/>
        <w:bCs/>
        <w:color w:val="FFFFFF"/>
      </w:rPr>
      <w:tcPr>
        <w:tcBorders>
          <w:left w:val="single" w:color="FFFFFF" w:sz="4" w:space="0"/>
          <w:bottom w:val="single" w:color="FFFFFF" w:sz="4" w:space="0"/>
          <w:right w:val="single" w:color="FFFFFF" w:sz="4" w:space="0"/>
          <w:insideH w:val="nil"/>
          <w:insideV w:val="nil"/>
        </w:tcBorders>
        <w:shd w:val="clear" w:color="auto" w:fill="A5A5A5"/>
      </w:tcPr>
    </w:tblStylePr>
    <w:tblStylePr w:type="firstCol">
      <w:rPr>
        <w:b/>
        <w:bCs/>
        <w:color w:val="FFFFFF"/>
      </w:rPr>
      <w:tcPr>
        <w:tcBorders>
          <w:top w:val="single" w:color="FFFFFF" w:sz="4" w:space="0"/>
          <w:left w:val="single" w:color="FFFFFF" w:sz="4" w:space="0"/>
          <w:bottom w:val="single" w:color="FFFFFF" w:sz="4" w:space="0"/>
          <w:insideV w:val="nil"/>
        </w:tcBorders>
        <w:shd w:val="clear" w:color="auto" w:fill="A5A5A5"/>
      </w:tcPr>
    </w:tblStylePr>
    <w:tblStylePr w:type="lastCol">
      <w:rPr>
        <w:b/>
        <w:bCs/>
        <w:color w:val="FFFFFF"/>
      </w:rPr>
      <w:tcPr>
        <w:tcBorders>
          <w:top w:val="single" w:color="FFFFFF" w:sz="4" w:space="0"/>
          <w:bottom w:val="single" w:color="FFFFFF" w:sz="4" w:space="0"/>
          <w:right w:val="single" w:color="FFFFFF" w:sz="4" w:space="0"/>
          <w:insideV w:val="nil"/>
        </w:tcBorders>
        <w:shd w:val="clear" w:color="auto" w:fill="A5A5A5"/>
      </w:tcPr>
    </w:tblStylePr>
    <w:tblStylePr w:type="band1Vert">
      <w:tcPr>
        <w:shd w:val="clear" w:color="auto" w:fill="DBDBDB"/>
      </w:tcPr>
    </w:tblStylePr>
    <w:tblStylePr w:type="band1Horz">
      <w:tcPr>
        <w:shd w:val="clear" w:color="auto" w:fill="DBDBDB"/>
      </w:tcPr>
    </w:tblStylePr>
  </w:style>
  <w:style w:type="paragraph" w:customStyle="1" w:styleId="83">
    <w:name w:val="TOC 标题1"/>
    <w:basedOn w:val="2"/>
    <w:next w:val="1"/>
    <w:unhideWhenUsed/>
    <w:qFormat/>
    <w:uiPriority w:val="39"/>
    <w:pPr>
      <w:pageBreakBefore w:val="0"/>
      <w:widowControl/>
      <w:spacing w:before="240" w:line="259" w:lineRule="auto"/>
      <w:jc w:val="left"/>
      <w:outlineLvl w:val="9"/>
    </w:pPr>
    <w:rPr>
      <w:rFonts w:ascii="Calibri Light" w:hAnsi="Calibri Light" w:eastAsia="宋体" w:cs="Times New Roman"/>
      <w:b w:val="0"/>
      <w:bCs w:val="0"/>
      <w:color w:val="2E74B5"/>
      <w:kern w:val="0"/>
      <w:sz w:val="28"/>
      <w:szCs w:val="32"/>
    </w:rPr>
  </w:style>
  <w:style w:type="character" w:customStyle="1" w:styleId="84">
    <w:name w:val="katex-mathml"/>
    <w:basedOn w:val="37"/>
    <w:qFormat/>
    <w:uiPriority w:val="0"/>
  </w:style>
  <w:style w:type="character" w:customStyle="1" w:styleId="85">
    <w:name w:val="mord"/>
    <w:basedOn w:val="37"/>
    <w:qFormat/>
    <w:uiPriority w:val="0"/>
  </w:style>
  <w:style w:type="paragraph" w:customStyle="1" w:styleId="86">
    <w:name w:val="WPSOffice手动目录 1"/>
    <w:qFormat/>
    <w:uiPriority w:val="0"/>
    <w:rPr>
      <w:rFonts w:ascii="Times New Roman" w:hAnsi="Times New Roman" w:eastAsia="宋体" w:cs="Times New Roman"/>
      <w:lang w:val="en-US" w:eastAsia="zh-CN" w:bidi="ar-SA"/>
    </w:rPr>
  </w:style>
  <w:style w:type="paragraph" w:customStyle="1" w:styleId="87">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88">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89">
    <w:name w:val="acbfdd8b-e11b-4d36-88ff-6049b138f862"/>
    <w:basedOn w:val="1"/>
    <w:link w:val="90"/>
    <w:qFormat/>
    <w:uiPriority w:val="0"/>
    <w:pPr>
      <w:adjustRightInd w:val="0"/>
      <w:spacing w:line="288" w:lineRule="auto"/>
      <w:jc w:val="left"/>
    </w:pPr>
    <w:rPr>
      <w:rFonts w:ascii="微软雅黑" w:hAnsi="微软雅黑" w:eastAsia="微软雅黑" w:cs="Times New Roman"/>
      <w:color w:val="000000"/>
      <w:sz w:val="22"/>
      <w:szCs w:val="52"/>
    </w:rPr>
  </w:style>
  <w:style w:type="character" w:customStyle="1" w:styleId="90">
    <w:name w:val="acbfdd8b-e11b-4d36-88ff-6049b138f862 字符"/>
    <w:basedOn w:val="37"/>
    <w:link w:val="89"/>
    <w:qFormat/>
    <w:uiPriority w:val="0"/>
    <w:rPr>
      <w:rFonts w:ascii="微软雅黑" w:hAnsi="微软雅黑" w:eastAsia="微软雅黑" w:cs="Times New Roman"/>
      <w:color w:val="000000"/>
      <w:kern w:val="2"/>
      <w:sz w:val="22"/>
      <w:szCs w:val="52"/>
    </w:rPr>
  </w:style>
  <w:style w:type="character" w:customStyle="1" w:styleId="91">
    <w:name w:val="标题 6 字符1"/>
    <w:basedOn w:val="37"/>
    <w:semiHidden/>
    <w:qFormat/>
    <w:uiPriority w:val="0"/>
    <w:rPr>
      <w:rFonts w:asciiTheme="majorHAnsi" w:hAnsiTheme="majorHAnsi" w:eastAsiaTheme="majorEastAsia" w:cstheme="majorBidi"/>
      <w:b/>
      <w:bCs/>
      <w:kern w:val="2"/>
      <w:sz w:val="24"/>
      <w:szCs w:val="24"/>
    </w:rPr>
  </w:style>
  <w:style w:type="character" w:customStyle="1" w:styleId="92">
    <w:name w:val="副标题 字符1"/>
    <w:basedOn w:val="37"/>
    <w:qFormat/>
    <w:uiPriority w:val="0"/>
    <w:rPr>
      <w:b/>
      <w:bCs/>
      <w:kern w:val="28"/>
      <w:sz w:val="32"/>
      <w:szCs w:val="32"/>
    </w:rPr>
  </w:style>
  <w:style w:type="character" w:customStyle="1" w:styleId="93">
    <w:name w:val="标题 字符1"/>
    <w:basedOn w:val="37"/>
    <w:qFormat/>
    <w:uiPriority w:val="0"/>
    <w:rPr>
      <w:rFonts w:asciiTheme="majorHAnsi" w:hAnsiTheme="majorHAnsi" w:eastAsiaTheme="majorEastAsia" w:cstheme="majorBidi"/>
      <w:b/>
      <w:bCs/>
      <w:kern w:val="2"/>
      <w:sz w:val="32"/>
      <w:szCs w:val="32"/>
    </w:rPr>
  </w:style>
  <w:style w:type="table" w:customStyle="1" w:styleId="94">
    <w:name w:val="无格式表格 11"/>
    <w:basedOn w:val="35"/>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95">
    <w:name w:val="网格型3"/>
    <w:basedOn w:val="35"/>
    <w:autoRedefine/>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
    <w:name w:val="论文表格"/>
    <w:basedOn w:val="35"/>
    <w:autoRedefine/>
    <w:qFormat/>
    <w:uiPriority w:val="99"/>
    <w:rPr>
      <w:rFonts w:ascii="Times New Roman" w:hAnsi="Times New Roman" w:eastAsia="宋体" w:cs="Times New Roman"/>
    </w:rPr>
    <w:tblPr>
      <w:tblBorders>
        <w:top w:val="single" w:color="auto" w:sz="12" w:space="0"/>
        <w:bottom w:val="single" w:color="auto" w:sz="12" w:space="0"/>
      </w:tblBorders>
    </w:tblPr>
    <w:tblStylePr w:type="firstRow">
      <w:pPr>
        <w:jc w:val="center"/>
      </w:pPr>
      <w:tblPr>
        <w:jc w:val="center"/>
      </w:tblPr>
      <w:trPr>
        <w:jc w:val="center"/>
      </w:trPr>
      <w:tcPr>
        <w:tcBorders>
          <w:bottom w:val="single" w:color="auto" w:sz="4" w:space="0"/>
        </w:tcBorders>
        <w:vAlign w:val="center"/>
      </w:tcPr>
    </w:tblStylePr>
  </w:style>
  <w:style w:type="paragraph" w:customStyle="1" w:styleId="97">
    <w:name w:val="TOC 标题2"/>
    <w:basedOn w:val="2"/>
    <w:next w:val="1"/>
    <w:unhideWhenUsed/>
    <w:qFormat/>
    <w:uiPriority w:val="39"/>
    <w:pPr>
      <w:pageBreakBefore w:val="0"/>
      <w:widowControl/>
      <w:spacing w:before="240" w:line="259" w:lineRule="auto"/>
      <w:jc w:val="left"/>
      <w:outlineLvl w:val="9"/>
    </w:pPr>
    <w:rPr>
      <w:rFonts w:asciiTheme="majorHAnsi" w:hAnsiTheme="majorHAnsi" w:eastAsiaTheme="majorEastAsia" w:cstheme="majorBidi"/>
      <w:b w:val="0"/>
      <w:bCs w:val="0"/>
      <w:color w:val="2E54A1" w:themeColor="accent1" w:themeShade="BF"/>
      <w:kern w:val="0"/>
      <w:szCs w:val="32"/>
    </w:rPr>
  </w:style>
  <w:style w:type="character" w:customStyle="1" w:styleId="98">
    <w:name w:val="未处理的提及1"/>
    <w:basedOn w:val="37"/>
    <w:semiHidden/>
    <w:unhideWhenUsed/>
    <w:qFormat/>
    <w:uiPriority w:val="99"/>
    <w:rPr>
      <w:color w:val="605E5C"/>
      <w:shd w:val="clear" w:color="auto" w:fill="E1DFDD"/>
    </w:rPr>
  </w:style>
  <w:style w:type="table" w:customStyle="1" w:styleId="99">
    <w:name w:val="网格型4"/>
    <w:basedOn w:val="35"/>
    <w:autoRedefine/>
    <w:qFormat/>
    <w:uiPriority w:val="5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
    <w:name w:val="Table"/>
    <w:semiHidden/>
    <w:unhideWhenUsed/>
    <w:qFormat/>
    <w:uiPriority w:val="0"/>
    <w:rPr>
      <w:rFonts w:ascii="Times New Roman" w:hAnsi="Times New Roman" w:eastAsia="宋体" w:cs="Times New Roman"/>
    </w:rPr>
    <w:tblPr>
      <w:tblCellMar>
        <w:top w:w="0" w:type="dxa"/>
        <w:left w:w="108" w:type="dxa"/>
        <w:bottom w:w="0" w:type="dxa"/>
        <w:right w:w="108" w:type="dxa"/>
      </w:tblCellMar>
    </w:tblPr>
    <w:tblStylePr w:type="firstRow">
      <w:tcPr>
        <w:tcBorders>
          <w:bottom w:val="single" w:color="auto" w:sz="0" w:space="0"/>
        </w:tcBorders>
        <w:vAlign w:val="bottom"/>
      </w:tcPr>
    </w:tblStylePr>
  </w:style>
  <w:style w:type="paragraph" w:customStyle="1" w:styleId="101">
    <w:name w:val="Compact"/>
    <w:basedOn w:val="15"/>
    <w:qFormat/>
    <w:uiPriority w:val="0"/>
    <w:pPr>
      <w:spacing w:before="36" w:after="36"/>
    </w:pPr>
  </w:style>
  <w:style w:type="paragraph" w:customStyle="1" w:styleId="102">
    <w:name w:val="Source Code"/>
    <w:basedOn w:val="1"/>
    <w:link w:val="103"/>
    <w:qFormat/>
    <w:uiPriority w:val="0"/>
    <w:pPr>
      <w:wordWrap w:val="0"/>
    </w:pPr>
    <w:rPr>
      <w:rFonts w:ascii="Calibri" w:hAnsi="Calibri" w:eastAsia="宋体" w:cs="Times New Roman"/>
    </w:rPr>
  </w:style>
  <w:style w:type="character" w:customStyle="1" w:styleId="103">
    <w:name w:val="Verbatim Char"/>
    <w:basedOn w:val="60"/>
    <w:link w:val="102"/>
    <w:qFormat/>
    <w:uiPriority w:val="0"/>
    <w:rPr>
      <w:rFonts w:ascii="Calibri" w:hAnsi="Calibri" w:eastAsia="宋体" w:cs="Times New Roman"/>
      <w:kern w:val="2"/>
      <w:sz w:val="21"/>
      <w:szCs w:val="24"/>
    </w:rPr>
  </w:style>
  <w:style w:type="character" w:customStyle="1" w:styleId="104">
    <w:name w:val="StringTok"/>
    <w:basedOn w:val="103"/>
    <w:qFormat/>
    <w:uiPriority w:val="0"/>
    <w:rPr>
      <w:rFonts w:ascii="Calibri" w:hAnsi="Calibri" w:eastAsia="宋体" w:cs="Times New Roman"/>
      <w:color w:val="4070A0"/>
      <w:kern w:val="2"/>
      <w:sz w:val="21"/>
      <w:szCs w:val="24"/>
    </w:rPr>
  </w:style>
  <w:style w:type="character" w:customStyle="1" w:styleId="105">
    <w:name w:val="NormalTok"/>
    <w:basedOn w:val="103"/>
    <w:qFormat/>
    <w:uiPriority w:val="0"/>
    <w:rPr>
      <w:rFonts w:ascii="Calibri" w:hAnsi="Calibri" w:eastAsia="宋体" w:cs="Times New Roman"/>
      <w:kern w:val="2"/>
      <w:sz w:val="21"/>
      <w:szCs w:val="24"/>
    </w:rPr>
  </w:style>
  <w:style w:type="character" w:customStyle="1" w:styleId="106">
    <w:name w:val="OperatorTok"/>
    <w:basedOn w:val="103"/>
    <w:qFormat/>
    <w:uiPriority w:val="0"/>
    <w:rPr>
      <w:rFonts w:ascii="Calibri" w:hAnsi="Calibri" w:eastAsia="宋体" w:cs="Times New Roman"/>
      <w:color w:val="666666"/>
      <w:kern w:val="2"/>
      <w:sz w:val="21"/>
      <w:szCs w:val="24"/>
    </w:rPr>
  </w:style>
  <w:style w:type="paragraph" w:customStyle="1" w:styleId="107">
    <w:name w:val="公式居中"/>
    <w:basedOn w:val="1"/>
    <w:qFormat/>
    <w:uiPriority w:val="0"/>
    <w:pPr>
      <w:widowControl/>
      <w:tabs>
        <w:tab w:val="center" w:pos="4150"/>
        <w:tab w:val="right" w:pos="8300"/>
      </w:tabs>
      <w:spacing w:beforeAutospacing="1" w:afterAutospacing="1"/>
    </w:pPr>
    <w:rPr>
      <w:rFonts w:eastAsia="宋体" w:cs="Times New Roman"/>
      <w:sz w:val="24"/>
    </w:rPr>
  </w:style>
  <w:style w:type="paragraph" w:customStyle="1" w:styleId="108">
    <w:name w:val="71e7dc79-1ff7-45e8-997d-0ebda3762b91"/>
    <w:basedOn w:val="3"/>
    <w:next w:val="89"/>
    <w:qFormat/>
    <w:uiPriority w:val="0"/>
    <w:pPr>
      <w:adjustRightInd w:val="0"/>
      <w:spacing w:before="0" w:after="0" w:line="288" w:lineRule="auto"/>
      <w:jc w:val="left"/>
    </w:pPr>
    <w:rPr>
      <w:rFonts w:ascii="微软雅黑" w:hAnsi="微软雅黑" w:eastAsia="微软雅黑"/>
      <w:color w:val="000000"/>
      <w:sz w:val="28"/>
    </w:rPr>
  </w:style>
  <w:style w:type="paragraph" w:customStyle="1" w:styleId="109">
    <w:name w:val="21bc9c4b-6a32-43e5-beaa-fd2d792c5735"/>
    <w:basedOn w:val="2"/>
    <w:next w:val="89"/>
    <w:qFormat/>
    <w:uiPriority w:val="0"/>
    <w:pPr>
      <w:adjustRightInd w:val="0"/>
      <w:spacing w:line="288" w:lineRule="auto"/>
      <w:jc w:val="left"/>
    </w:pPr>
    <w:rPr>
      <w:rFonts w:ascii="微软雅黑" w:hAnsi="微软雅黑" w:eastAsia="微软雅黑"/>
      <w:color w:val="000000"/>
    </w:rPr>
  </w:style>
  <w:style w:type="paragraph" w:customStyle="1" w:styleId="110">
    <w:name w:val="b63ee27f-4cf3-414c-9275-d88e3f90795e"/>
    <w:basedOn w:val="4"/>
    <w:next w:val="89"/>
    <w:qFormat/>
    <w:uiPriority w:val="0"/>
    <w:pPr>
      <w:adjustRightInd w:val="0"/>
      <w:spacing w:before="0" w:after="0" w:line="288" w:lineRule="auto"/>
      <w:jc w:val="left"/>
    </w:pPr>
    <w:rPr>
      <w:rFonts w:ascii="微软雅黑" w:hAnsi="微软雅黑" w:eastAsia="微软雅黑"/>
      <w:bCs w:val="0"/>
      <w:color w:val="000000"/>
      <w:sz w:val="26"/>
      <w:szCs w:val="28"/>
    </w:rPr>
  </w:style>
  <w:style w:type="paragraph" w:customStyle="1" w:styleId="111">
    <w:name w:val="样式1"/>
    <w:basedOn w:val="1"/>
    <w:next w:val="1"/>
    <w:link w:val="112"/>
    <w:qFormat/>
    <w:uiPriority w:val="0"/>
    <w:pPr>
      <w:spacing w:line="440" w:lineRule="exact"/>
      <w:ind w:firstLine="1040" w:firstLineChars="200"/>
    </w:pPr>
    <w:rPr>
      <w:rFonts w:ascii="Calibri" w:hAnsi="Calibri" w:eastAsia="黑体" w:cs="Times New Roman"/>
      <w:b/>
      <w:sz w:val="24"/>
    </w:rPr>
  </w:style>
  <w:style w:type="character" w:customStyle="1" w:styleId="112">
    <w:name w:val="样式1 字符"/>
    <w:basedOn w:val="54"/>
    <w:link w:val="111"/>
    <w:qFormat/>
    <w:uiPriority w:val="0"/>
    <w:rPr>
      <w:rFonts w:ascii="Calibri" w:hAnsi="Calibri" w:eastAsia="黑体" w:cs="Times New Roman"/>
      <w:b/>
      <w:kern w:val="2"/>
      <w:sz w:val="24"/>
      <w:szCs w:val="24"/>
    </w:rPr>
  </w:style>
  <w:style w:type="paragraph" w:customStyle="1" w:styleId="113">
    <w:name w:val="_Style 13"/>
    <w:qFormat/>
    <w:uiPriority w:val="0"/>
    <w:pPr>
      <w:spacing w:before="120" w:after="120" w:line="288" w:lineRule="auto"/>
    </w:pPr>
    <w:rPr>
      <w:rFonts w:ascii="Arial" w:hAnsi="Arial" w:eastAsia="等线" w:cs="Arial"/>
      <w:sz w:val="22"/>
      <w:szCs w:val="22"/>
      <w:lang w:val="en-US" w:eastAsia="zh-CN" w:bidi="ar-SA"/>
    </w:rPr>
  </w:style>
  <w:style w:type="paragraph" w:customStyle="1" w:styleId="114">
    <w:name w:val="正文11"/>
    <w:basedOn w:val="1"/>
    <w:link w:val="115"/>
    <w:qFormat/>
    <w:uiPriority w:val="0"/>
    <w:pPr>
      <w:spacing w:line="440" w:lineRule="exact"/>
      <w:ind w:firstLine="420"/>
    </w:pPr>
    <w:rPr>
      <w:rFonts w:ascii="宋体" w:hAnsi="宋体" w:eastAsia="宋体" w:cs="宋体"/>
      <w:sz w:val="24"/>
    </w:rPr>
  </w:style>
  <w:style w:type="character" w:customStyle="1" w:styleId="115">
    <w:name w:val="正文11 字符"/>
    <w:basedOn w:val="37"/>
    <w:link w:val="114"/>
    <w:qFormat/>
    <w:uiPriority w:val="0"/>
    <w:rPr>
      <w:rFonts w:ascii="宋体" w:hAnsi="宋体" w:eastAsia="宋体" w:cs="宋体"/>
      <w:kern w:val="2"/>
      <w:sz w:val="24"/>
      <w:szCs w:val="24"/>
    </w:rPr>
  </w:style>
  <w:style w:type="paragraph" w:customStyle="1" w:styleId="116">
    <w:name w:val="正文一"/>
    <w:basedOn w:val="1"/>
    <w:link w:val="117"/>
    <w:qFormat/>
    <w:uiPriority w:val="0"/>
    <w:pPr>
      <w:spacing w:line="440" w:lineRule="exact"/>
      <w:ind w:firstLine="420"/>
    </w:pPr>
    <w:rPr>
      <w:rFonts w:ascii="宋体" w:hAnsi="宋体" w:eastAsia="宋体" w:cs="宋体"/>
      <w:sz w:val="24"/>
    </w:rPr>
  </w:style>
  <w:style w:type="character" w:customStyle="1" w:styleId="117">
    <w:name w:val="正文一 字符"/>
    <w:basedOn w:val="37"/>
    <w:link w:val="116"/>
    <w:qFormat/>
    <w:uiPriority w:val="0"/>
    <w:rPr>
      <w:rFonts w:ascii="宋体" w:hAnsi="宋体" w:eastAsia="宋体" w:cs="宋体"/>
      <w:kern w:val="2"/>
      <w:sz w:val="24"/>
      <w:szCs w:val="24"/>
    </w:rPr>
  </w:style>
  <w:style w:type="paragraph" w:customStyle="1" w:styleId="118">
    <w:name w:val="样式二"/>
    <w:basedOn w:val="1"/>
    <w:link w:val="119"/>
    <w:qFormat/>
    <w:uiPriority w:val="0"/>
    <w:pPr>
      <w:spacing w:line="440" w:lineRule="exact"/>
      <w:ind w:firstLine="480" w:firstLineChars="200"/>
    </w:pPr>
    <w:rPr>
      <w:rFonts w:ascii="宋体" w:hAnsi="宋体" w:eastAsia="宋体" w:cs="宋体"/>
      <w:sz w:val="24"/>
    </w:rPr>
  </w:style>
  <w:style w:type="character" w:customStyle="1" w:styleId="119">
    <w:name w:val="样式二 字符"/>
    <w:basedOn w:val="37"/>
    <w:link w:val="118"/>
    <w:qFormat/>
    <w:uiPriority w:val="0"/>
    <w:rPr>
      <w:rFonts w:ascii="宋体" w:hAnsi="宋体" w:eastAsia="宋体" w:cs="宋体"/>
      <w:kern w:val="2"/>
      <w:sz w:val="24"/>
      <w:szCs w:val="24"/>
    </w:rPr>
  </w:style>
  <w:style w:type="paragraph" w:customStyle="1" w:styleId="120">
    <w:name w:val="居中"/>
    <w:basedOn w:val="118"/>
    <w:link w:val="121"/>
    <w:qFormat/>
    <w:uiPriority w:val="0"/>
    <w:pPr>
      <w:ind w:firstLine="0" w:firstLineChars="0"/>
      <w:jc w:val="center"/>
    </w:pPr>
  </w:style>
  <w:style w:type="character" w:customStyle="1" w:styleId="121">
    <w:name w:val="居中 字符"/>
    <w:basedOn w:val="119"/>
    <w:link w:val="120"/>
    <w:qFormat/>
    <w:uiPriority w:val="0"/>
    <w:rPr>
      <w:rFonts w:ascii="宋体" w:hAnsi="宋体" w:eastAsia="宋体" w:cs="宋体"/>
      <w:kern w:val="2"/>
      <w:sz w:val="24"/>
      <w:szCs w:val="24"/>
    </w:rPr>
  </w:style>
  <w:style w:type="paragraph" w:customStyle="1" w:styleId="122">
    <w:name w:val="图表文字"/>
    <w:basedOn w:val="1"/>
    <w:link w:val="123"/>
    <w:qFormat/>
    <w:uiPriority w:val="0"/>
    <w:pPr>
      <w:spacing w:line="440" w:lineRule="exact"/>
      <w:ind w:firstLine="480" w:firstLineChars="200"/>
      <w:jc w:val="center"/>
    </w:pPr>
    <w:rPr>
      <w:rFonts w:ascii="宋体" w:hAnsi="宋体" w:eastAsia="宋体" w:cs="宋体"/>
      <w:sz w:val="24"/>
    </w:rPr>
  </w:style>
  <w:style w:type="character" w:customStyle="1" w:styleId="123">
    <w:name w:val="图表文字 字符"/>
    <w:basedOn w:val="37"/>
    <w:link w:val="122"/>
    <w:qFormat/>
    <w:uiPriority w:val="0"/>
    <w:rPr>
      <w:rFonts w:ascii="宋体" w:hAnsi="宋体" w:eastAsia="宋体" w:cs="宋体"/>
      <w:kern w:val="2"/>
      <w:sz w:val="24"/>
      <w:szCs w:val="24"/>
    </w:rPr>
  </w:style>
  <w:style w:type="paragraph" w:customStyle="1" w:styleId="124">
    <w:name w:val="2级标题"/>
    <w:basedOn w:val="1"/>
    <w:next w:val="1"/>
    <w:qFormat/>
    <w:uiPriority w:val="0"/>
    <w:pPr>
      <w:spacing w:before="320" w:after="120" w:line="288" w:lineRule="auto"/>
      <w:outlineLvl w:val="1"/>
    </w:pPr>
    <w:rPr>
      <w:rFonts w:asciiTheme="majorHAnsi" w:hAnsiTheme="majorHAnsi" w:eastAsiaTheme="majorEastAsia" w:cstheme="majorEastAsia"/>
      <w:sz w:val="24"/>
    </w:rPr>
  </w:style>
  <w:style w:type="paragraph" w:customStyle="1" w:styleId="125">
    <w:name w:val="3级标题"/>
    <w:basedOn w:val="1"/>
    <w:next w:val="1"/>
    <w:link w:val="126"/>
    <w:qFormat/>
    <w:uiPriority w:val="0"/>
    <w:pPr>
      <w:spacing w:before="300" w:after="120" w:line="288" w:lineRule="auto"/>
      <w:outlineLvl w:val="2"/>
    </w:pPr>
    <w:rPr>
      <w:rFonts w:asciiTheme="majorHAnsi" w:hAnsiTheme="majorHAnsi" w:eastAsiaTheme="majorEastAsia" w:cstheme="majorEastAsia"/>
      <w:sz w:val="24"/>
    </w:rPr>
  </w:style>
  <w:style w:type="character" w:customStyle="1" w:styleId="126">
    <w:name w:val="3级标题 字符"/>
    <w:basedOn w:val="37"/>
    <w:link w:val="125"/>
    <w:qFormat/>
    <w:uiPriority w:val="0"/>
    <w:rPr>
      <w:rFonts w:asciiTheme="majorHAnsi" w:hAnsiTheme="majorHAnsi" w:eastAsiaTheme="majorEastAsia" w:cstheme="majorEastAsia"/>
      <w:kern w:val="2"/>
      <w:sz w:val="24"/>
      <w:szCs w:val="24"/>
    </w:rPr>
  </w:style>
  <w:style w:type="paragraph" w:customStyle="1" w:styleId="127">
    <w:name w:val="33级标题"/>
    <w:basedOn w:val="125"/>
    <w:link w:val="128"/>
    <w:qFormat/>
    <w:uiPriority w:val="0"/>
  </w:style>
  <w:style w:type="character" w:customStyle="1" w:styleId="128">
    <w:name w:val="33级标题 字符"/>
    <w:basedOn w:val="126"/>
    <w:link w:val="127"/>
    <w:qFormat/>
    <w:uiPriority w:val="0"/>
    <w:rPr>
      <w:rFonts w:asciiTheme="majorHAnsi" w:hAnsiTheme="majorHAnsi" w:eastAsiaTheme="majorEastAsia" w:cstheme="majorEastAsia"/>
      <w:kern w:val="2"/>
      <w:sz w:val="24"/>
      <w:szCs w:val="24"/>
    </w:rPr>
  </w:style>
  <w:style w:type="paragraph" w:customStyle="1" w:styleId="129">
    <w:name w:val="产教融合"/>
    <w:basedOn w:val="1"/>
    <w:qFormat/>
    <w:uiPriority w:val="0"/>
    <w:pPr>
      <w:spacing w:line="440" w:lineRule="exact"/>
      <w:ind w:firstLine="480" w:firstLineChars="200"/>
    </w:pPr>
    <w:rPr>
      <w:rFonts w:eastAsia="宋体" w:cstheme="minorEastAsia"/>
      <w:sz w:val="24"/>
      <w:shd w:val="clear" w:color="auto" w:fill="FFFFFF"/>
    </w:rPr>
  </w:style>
  <w:style w:type="paragraph" w:customStyle="1" w:styleId="130">
    <w:name w:val="产教融合正文"/>
    <w:basedOn w:val="1"/>
    <w:qFormat/>
    <w:uiPriority w:val="0"/>
    <w:pPr>
      <w:spacing w:line="440" w:lineRule="exact"/>
      <w:ind w:firstLine="480" w:firstLineChars="200"/>
    </w:pPr>
    <w:rPr>
      <w:rFonts w:hint="eastAsia" w:ascii="Calibri" w:hAnsi="Calibri" w:eastAsia="宋体" w:cs="Times New Roman"/>
      <w:sz w:val="24"/>
    </w:rPr>
  </w:style>
  <w:style w:type="paragraph" w:customStyle="1" w:styleId="131">
    <w:name w:val="产教2"/>
    <w:basedOn w:val="1"/>
    <w:qFormat/>
    <w:uiPriority w:val="0"/>
    <w:pPr>
      <w:jc w:val="center"/>
    </w:pPr>
    <w:rPr>
      <w:rFonts w:eastAsia="宋体" w:cstheme="minorEastAsia"/>
    </w:rPr>
  </w:style>
  <w:style w:type="paragraph" w:customStyle="1" w:styleId="132">
    <w:name w:val="表格"/>
    <w:basedOn w:val="1"/>
    <w:qFormat/>
    <w:uiPriority w:val="0"/>
    <w:pPr>
      <w:spacing w:before="120" w:after="120" w:line="440" w:lineRule="exact"/>
      <w:jc w:val="center"/>
    </w:pPr>
    <w:rPr>
      <w:rFonts w:ascii="Arial" w:hAnsi="Arial" w:eastAsia="宋体" w:cs="Arial"/>
      <w:sz w:val="24"/>
    </w:rPr>
  </w:style>
  <w:style w:type="paragraph" w:customStyle="1" w:styleId="133">
    <w:name w:val="二级标题"/>
    <w:basedOn w:val="1"/>
    <w:qFormat/>
    <w:uiPriority w:val="0"/>
    <w:pPr>
      <w:widowControl/>
      <w:spacing w:line="440" w:lineRule="exact"/>
      <w:ind w:firstLine="480" w:firstLineChars="200"/>
      <w:jc w:val="left"/>
    </w:pPr>
    <w:rPr>
      <w:rFonts w:hint="eastAsia" w:ascii="宋体" w:hAnsi="宋体" w:cs="宋体"/>
      <w:color w:val="000000"/>
      <w:kern w:val="0"/>
      <w:sz w:val="24"/>
    </w:rPr>
  </w:style>
  <w:style w:type="paragraph" w:customStyle="1" w:styleId="134">
    <w:name w:val="正文内容"/>
    <w:basedOn w:val="1"/>
    <w:qFormat/>
    <w:uiPriority w:val="0"/>
    <w:pPr>
      <w:widowControl/>
      <w:spacing w:line="440" w:lineRule="exact"/>
      <w:ind w:firstLine="480" w:firstLineChars="200"/>
      <w:jc w:val="left"/>
    </w:pPr>
    <w:rPr>
      <w:rFonts w:hint="eastAsia" w:ascii="宋体" w:hAnsi="宋体" w:cs="宋体"/>
      <w:color w:val="000000"/>
      <w:kern w:val="0"/>
      <w:sz w:val="24"/>
    </w:rPr>
  </w:style>
  <w:style w:type="paragraph" w:customStyle="1" w:styleId="135">
    <w:name w:val="正文格式"/>
    <w:basedOn w:val="74"/>
    <w:link w:val="136"/>
    <w:autoRedefine/>
    <w:qFormat/>
    <w:uiPriority w:val="0"/>
    <w:pPr>
      <w:ind w:firstLine="0" w:firstLineChars="0"/>
      <w:jc w:val="center"/>
    </w:pPr>
    <w:rPr>
      <w:rFonts w:ascii="宋体" w:hAnsi="宋体" w:cs="宋体"/>
      <w:szCs w:val="21"/>
    </w:rPr>
  </w:style>
  <w:style w:type="character" w:customStyle="1" w:styleId="136">
    <w:name w:val="正文格式 字符"/>
    <w:basedOn w:val="37"/>
    <w:link w:val="135"/>
    <w:qFormat/>
    <w:uiPriority w:val="0"/>
    <w:rPr>
      <w:rFonts w:ascii="宋体" w:hAnsi="宋体" w:eastAsia="宋体" w:cs="宋体"/>
      <w:kern w:val="2"/>
      <w:sz w:val="21"/>
      <w:szCs w:val="21"/>
    </w:rPr>
  </w:style>
  <w:style w:type="paragraph" w:customStyle="1" w:styleId="137">
    <w:name w:val="表描述"/>
    <w:basedOn w:val="135"/>
    <w:link w:val="138"/>
    <w:autoRedefine/>
    <w:qFormat/>
    <w:uiPriority w:val="0"/>
  </w:style>
  <w:style w:type="character" w:customStyle="1" w:styleId="138">
    <w:name w:val="表描述 字符"/>
    <w:basedOn w:val="136"/>
    <w:link w:val="137"/>
    <w:qFormat/>
    <w:uiPriority w:val="0"/>
    <w:rPr>
      <w:rFonts w:ascii="宋体" w:hAnsi="宋体" w:eastAsia="宋体" w:cs="宋体"/>
      <w:kern w:val="2"/>
      <w:sz w:val="21"/>
      <w:szCs w:val="21"/>
    </w:rPr>
  </w:style>
  <w:style w:type="paragraph" w:customStyle="1" w:styleId="139">
    <w:name w:val="课程设计二级标题"/>
    <w:basedOn w:val="1"/>
    <w:next w:val="140"/>
    <w:link w:val="142"/>
    <w:autoRedefine/>
    <w:qFormat/>
    <w:uiPriority w:val="0"/>
    <w:pPr>
      <w:spacing w:line="440" w:lineRule="exact"/>
      <w:ind w:firstLine="480" w:firstLineChars="200"/>
      <w:outlineLvl w:val="1"/>
    </w:pPr>
    <w:rPr>
      <w:rFonts w:ascii="Times New Roman" w:hAnsi="Times New Roman" w:eastAsia="宋体" w:cs="宋体"/>
      <w:sz w:val="24"/>
    </w:rPr>
  </w:style>
  <w:style w:type="paragraph" w:customStyle="1" w:styleId="140">
    <w:name w:val="课程设计正文"/>
    <w:basedOn w:val="1"/>
    <w:link w:val="141"/>
    <w:qFormat/>
    <w:uiPriority w:val="0"/>
    <w:pPr>
      <w:spacing w:line="440" w:lineRule="exact"/>
      <w:ind w:firstLine="200" w:firstLineChars="200"/>
    </w:pPr>
    <w:rPr>
      <w:rFonts w:ascii="Times New Roman" w:hAnsi="Times New Roman" w:eastAsia="宋体" w:cs="Times New Roman"/>
      <w:sz w:val="24"/>
    </w:rPr>
  </w:style>
  <w:style w:type="character" w:customStyle="1" w:styleId="141">
    <w:name w:val="课程设计正文 字符"/>
    <w:basedOn w:val="37"/>
    <w:link w:val="140"/>
    <w:qFormat/>
    <w:uiPriority w:val="0"/>
    <w:rPr>
      <w:rFonts w:ascii="Times New Roman" w:hAnsi="Times New Roman" w:eastAsia="宋体" w:cs="Times New Roman"/>
      <w:kern w:val="2"/>
      <w:sz w:val="24"/>
      <w:szCs w:val="24"/>
    </w:rPr>
  </w:style>
  <w:style w:type="character" w:customStyle="1" w:styleId="142">
    <w:name w:val="课程设计二级标题 字符"/>
    <w:basedOn w:val="37"/>
    <w:link w:val="139"/>
    <w:qFormat/>
    <w:uiPriority w:val="0"/>
    <w:rPr>
      <w:rFonts w:ascii="Times New Roman" w:hAnsi="Times New Roman" w:eastAsia="宋体" w:cs="宋体"/>
      <w:kern w:val="2"/>
      <w:sz w:val="24"/>
      <w:szCs w:val="24"/>
    </w:rPr>
  </w:style>
  <w:style w:type="paragraph" w:customStyle="1" w:styleId="143">
    <w:name w:val="课程设计三级标题"/>
    <w:basedOn w:val="139"/>
    <w:next w:val="140"/>
    <w:link w:val="144"/>
    <w:qFormat/>
    <w:uiPriority w:val="0"/>
    <w:pPr>
      <w:outlineLvl w:val="2"/>
    </w:pPr>
  </w:style>
  <w:style w:type="character" w:customStyle="1" w:styleId="144">
    <w:name w:val="三级标题1 字符"/>
    <w:link w:val="143"/>
    <w:qFormat/>
    <w:uiPriority w:val="0"/>
    <w:rPr>
      <w:rFonts w:ascii="Times New Roman" w:hAnsi="Times New Roman" w:eastAsia="宋体" w:cs="宋体"/>
      <w:kern w:val="2"/>
      <w:sz w:val="24"/>
      <w:szCs w:val="24"/>
    </w:rPr>
  </w:style>
  <w:style w:type="character" w:customStyle="1" w:styleId="145">
    <w:name w:val="日期 字符"/>
    <w:basedOn w:val="37"/>
    <w:link w:val="19"/>
    <w:qFormat/>
    <w:uiPriority w:val="0"/>
    <w:rPr>
      <w:rFonts w:ascii="Calibri" w:hAnsi="Calibri" w:eastAsia="宋体" w:cs="Times New Roman"/>
      <w:kern w:val="2"/>
      <w:sz w:val="21"/>
      <w:szCs w:val="24"/>
    </w:rPr>
  </w:style>
  <w:style w:type="paragraph" w:customStyle="1" w:styleId="146">
    <w:name w:val="图编号"/>
    <w:basedOn w:val="1"/>
    <w:link w:val="147"/>
    <w:qFormat/>
    <w:uiPriority w:val="0"/>
    <w:pPr>
      <w:jc w:val="center"/>
    </w:pPr>
    <w:rPr>
      <w:rFonts w:ascii="宋体" w:hAnsi="宋体" w:eastAsia="宋体" w:cs="Times New Roman"/>
      <w:color w:val="000000"/>
    </w:rPr>
  </w:style>
  <w:style w:type="character" w:customStyle="1" w:styleId="147">
    <w:name w:val="图编号 字符"/>
    <w:basedOn w:val="37"/>
    <w:link w:val="146"/>
    <w:qFormat/>
    <w:uiPriority w:val="0"/>
    <w:rPr>
      <w:rFonts w:ascii="宋体" w:hAnsi="宋体" w:eastAsia="宋体" w:cs="Times New Roman"/>
      <w:color w:val="000000"/>
      <w:kern w:val="2"/>
      <w:sz w:val="21"/>
      <w:szCs w:val="24"/>
    </w:rPr>
  </w:style>
  <w:style w:type="paragraph" w:customStyle="1" w:styleId="148">
    <w:name w:val="表格内容"/>
    <w:basedOn w:val="1"/>
    <w:autoRedefine/>
    <w:qFormat/>
    <w:uiPriority w:val="0"/>
    <w:pPr>
      <w:jc w:val="center"/>
    </w:pPr>
    <w:rPr>
      <w:rFonts w:ascii="宋体" w:hAnsi="宋体" w:eastAsia="宋体" w:cs="Verdana"/>
      <w:bCs/>
      <w:kern w:val="0"/>
      <w:szCs w:val="21"/>
    </w:rPr>
  </w:style>
  <w:style w:type="paragraph" w:customStyle="1" w:styleId="149">
    <w:name w:val="参考文献"/>
    <w:basedOn w:val="1"/>
    <w:qFormat/>
    <w:uiPriority w:val="0"/>
    <w:pPr>
      <w:spacing w:line="440" w:lineRule="exact"/>
      <w:outlineLvl w:val="0"/>
    </w:pPr>
    <w:rPr>
      <w:rFonts w:hint="eastAsia" w:ascii="Calibri" w:hAnsi="Calibri" w:eastAsia="宋体" w:cs="Times New Roman"/>
      <w:b/>
      <w:bCs/>
      <w:sz w:val="28"/>
      <w:szCs w:val="28"/>
    </w:rPr>
  </w:style>
  <w:style w:type="paragraph" w:customStyle="1" w:styleId="150">
    <w:name w:val="参考文献条目"/>
    <w:basedOn w:val="1"/>
    <w:qFormat/>
    <w:uiPriority w:val="0"/>
    <w:pPr>
      <w:tabs>
        <w:tab w:val="left" w:pos="967"/>
      </w:tabs>
      <w:spacing w:line="400" w:lineRule="exact"/>
      <w:ind w:left="640" w:hanging="640" w:hangingChars="200"/>
    </w:pPr>
    <w:rPr>
      <w:rFonts w:hint="eastAsia" w:ascii="Times New Roman" w:hAnsi="Times New Roman" w:eastAsia="宋体" w:cs="宋体"/>
      <w:szCs w:val="21"/>
    </w:rPr>
  </w:style>
  <w:style w:type="paragraph" w:customStyle="1" w:styleId="151">
    <w:name w:val="课程设计一级标题"/>
    <w:basedOn w:val="1"/>
    <w:link w:val="152"/>
    <w:qFormat/>
    <w:uiPriority w:val="0"/>
    <w:pPr>
      <w:spacing w:line="440" w:lineRule="exact"/>
      <w:outlineLvl w:val="0"/>
    </w:pPr>
    <w:rPr>
      <w:rFonts w:ascii="Calibri" w:hAnsi="Calibri" w:eastAsia="宋体" w:cs="Times New Roman"/>
      <w:b/>
      <w:bCs/>
      <w:sz w:val="28"/>
      <w:szCs w:val="28"/>
    </w:rPr>
  </w:style>
  <w:style w:type="character" w:customStyle="1" w:styleId="152">
    <w:name w:val="课程设计一级标题 Char"/>
    <w:link w:val="151"/>
    <w:qFormat/>
    <w:uiPriority w:val="0"/>
    <w:rPr>
      <w:rFonts w:ascii="Calibri" w:hAnsi="Calibri" w:eastAsia="宋体" w:cs="Times New Roman"/>
      <w:b/>
      <w:bCs/>
      <w:kern w:val="2"/>
      <w:sz w:val="28"/>
      <w:szCs w:val="28"/>
    </w:rPr>
  </w:style>
  <w:style w:type="paragraph" w:customStyle="1" w:styleId="153">
    <w:name w:val="正文1"/>
    <w:basedOn w:val="1"/>
    <w:qFormat/>
    <w:uiPriority w:val="0"/>
    <w:pPr>
      <w:widowControl/>
      <w:spacing w:line="400" w:lineRule="exact"/>
      <w:ind w:firstLine="946" w:firstLineChars="200"/>
    </w:pPr>
    <w:rPr>
      <w:rFonts w:ascii="Times New Roman" w:hAnsi="Times New Roman" w:eastAsia="宋体" w:cs="Times New Roman"/>
      <w:color w:val="333333"/>
      <w:szCs w:val="16"/>
    </w:rPr>
  </w:style>
  <w:style w:type="paragraph" w:customStyle="1" w:styleId="154">
    <w:name w:val="表格字体"/>
    <w:basedOn w:val="1"/>
    <w:qFormat/>
    <w:uiPriority w:val="0"/>
    <w:pPr>
      <w:widowControl/>
      <w:jc w:val="center"/>
    </w:pPr>
    <w:rPr>
      <w:rFonts w:ascii="Times New Roman" w:hAnsi="Times New Roman" w:eastAsia="宋体" w:cs="Times New Roman"/>
      <w:bCs/>
      <w:kern w:val="0"/>
      <w:sz w:val="24"/>
    </w:rPr>
  </w:style>
  <w:style w:type="paragraph" w:customStyle="1" w:styleId="155">
    <w:name w:val="代码"/>
    <w:basedOn w:val="1"/>
    <w:qFormat/>
    <w:uiPriority w:val="0"/>
    <w:pPr>
      <w:widowControl/>
      <w:pBdr>
        <w:top w:val="single" w:color="E7EAED" w:sz="4" w:space="4"/>
        <w:left w:val="single" w:color="E7EAED" w:sz="4" w:space="2"/>
        <w:bottom w:val="single" w:color="E7EAED" w:sz="4" w:space="3"/>
        <w:right w:val="single" w:color="E7EAED" w:sz="4" w:space="2"/>
      </w:pBdr>
      <w:shd w:val="clear" w:color="auto" w:fill="F8F8F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Times New Roman" w:hAnsi="Times New Roman" w:eastAsia="宋体" w:cs="Times New Roman"/>
      <w:color w:val="000000" w:themeColor="text1"/>
      <w:kern w:val="0"/>
      <w:sz w:val="18"/>
      <w:szCs w:val="18"/>
      <w:shd w:val="clear" w:color="auto" w:fill="F8F8F8"/>
      <w14:textFill>
        <w14:solidFill>
          <w14:schemeClr w14:val="tx1"/>
        </w14:solidFill>
      </w14:textFill>
    </w:rPr>
  </w:style>
  <w:style w:type="character" w:customStyle="1" w:styleId="156">
    <w:name w:val="正文 Char"/>
    <w:qFormat/>
    <w:uiPriority w:val="0"/>
    <w:rPr>
      <w:rFonts w:ascii="Calibri" w:hAnsi="Calibri" w:eastAsia="宋体" w:cs="Times New Roman"/>
      <w:kern w:val="2"/>
      <w:sz w:val="21"/>
      <w:szCs w:val="24"/>
      <w:lang w:val="en-US" w:eastAsia="zh-CN" w:bidi="ar-SA"/>
    </w:rPr>
  </w:style>
  <w:style w:type="paragraph" w:customStyle="1" w:styleId="157">
    <w:name w:val="论文+正文"/>
    <w:basedOn w:val="1"/>
    <w:qFormat/>
    <w:uiPriority w:val="0"/>
    <w:pPr>
      <w:spacing w:line="360" w:lineRule="auto"/>
    </w:pPr>
    <w:rPr>
      <w:rFonts w:ascii="Times New Roman" w:hAnsi="Times New Roman" w:eastAsia="宋体" w:cs="Times New Roman"/>
      <w:sz w:val="24"/>
    </w:rPr>
  </w:style>
  <w:style w:type="paragraph" w:customStyle="1" w:styleId="158">
    <w:name w:val="样式2"/>
    <w:basedOn w:val="30"/>
    <w:link w:val="159"/>
    <w:autoRedefine/>
    <w:qFormat/>
    <w:uiPriority w:val="0"/>
    <w:pPr>
      <w:tabs>
        <w:tab w:val="left" w:pos="1050"/>
        <w:tab w:val="right" w:leader="dot" w:pos="8296"/>
      </w:tabs>
      <w:spacing w:line="440" w:lineRule="exact"/>
    </w:pPr>
    <w:rPr>
      <w:sz w:val="24"/>
    </w:rPr>
  </w:style>
  <w:style w:type="character" w:customStyle="1" w:styleId="159">
    <w:name w:val="样式2 字符"/>
    <w:basedOn w:val="55"/>
    <w:link w:val="158"/>
    <w:qFormat/>
    <w:uiPriority w:val="0"/>
    <w:rPr>
      <w:kern w:val="2"/>
      <w:sz w:val="24"/>
      <w:szCs w:val="24"/>
    </w:rPr>
  </w:style>
  <w:style w:type="paragraph" w:customStyle="1" w:styleId="160">
    <w:name w:val="样式3"/>
    <w:basedOn w:val="30"/>
    <w:link w:val="161"/>
    <w:qFormat/>
    <w:uiPriority w:val="0"/>
    <w:pPr>
      <w:tabs>
        <w:tab w:val="left" w:pos="1050"/>
        <w:tab w:val="right" w:leader="dot" w:pos="8296"/>
      </w:tabs>
      <w:spacing w:line="440" w:lineRule="exact"/>
      <w:ind w:left="200"/>
    </w:pPr>
    <w:rPr>
      <w:rFonts w:eastAsia="宋体" w:cs="Times New Roman" w:asciiTheme="majorEastAsia" w:hAnsiTheme="majorEastAsia"/>
      <w:sz w:val="24"/>
    </w:rPr>
  </w:style>
  <w:style w:type="character" w:customStyle="1" w:styleId="161">
    <w:name w:val="样式3 字符"/>
    <w:basedOn w:val="55"/>
    <w:link w:val="160"/>
    <w:qFormat/>
    <w:uiPriority w:val="0"/>
    <w:rPr>
      <w:rFonts w:eastAsia="宋体" w:cs="Times New Roman" w:asciiTheme="majorEastAsia" w:hAnsiTheme="majorEastAsia"/>
      <w:kern w:val="2"/>
      <w:sz w:val="24"/>
      <w:szCs w:val="24"/>
    </w:rPr>
  </w:style>
  <w:style w:type="paragraph" w:customStyle="1" w:styleId="162">
    <w:name w:val="表名"/>
    <w:basedOn w:val="1"/>
    <w:qFormat/>
    <w:uiPriority w:val="0"/>
    <w:pPr>
      <w:tabs>
        <w:tab w:val="left" w:pos="2607"/>
      </w:tabs>
      <w:jc w:val="center"/>
    </w:pPr>
    <w:rPr>
      <w:rFonts w:hint="eastAsia" w:ascii="宋体" w:hAnsi="宋体" w:eastAsia="宋体" w:cs="宋体"/>
      <w:color w:val="000000"/>
      <w:szCs w:val="21"/>
    </w:rPr>
  </w:style>
  <w:style w:type="paragraph" w:customStyle="1" w:styleId="163">
    <w:name w:val="图名"/>
    <w:basedOn w:val="1"/>
    <w:link w:val="164"/>
    <w:qFormat/>
    <w:uiPriority w:val="0"/>
    <w:pPr>
      <w:jc w:val="center"/>
    </w:pPr>
    <w:rPr>
      <w:rFonts w:hint="eastAsia" w:ascii="宋体" w:hAnsi="宋体" w:eastAsia="宋体" w:cs="宋体"/>
      <w:szCs w:val="21"/>
    </w:rPr>
  </w:style>
  <w:style w:type="character" w:customStyle="1" w:styleId="164">
    <w:name w:val="图名 Char"/>
    <w:link w:val="163"/>
    <w:qFormat/>
    <w:uiPriority w:val="0"/>
    <w:rPr>
      <w:rFonts w:hint="eastAsia" w:ascii="宋体" w:hAnsi="宋体" w:eastAsia="宋体" w:cs="宋体"/>
      <w:szCs w:val="21"/>
    </w:rPr>
  </w:style>
  <w:style w:type="character" w:customStyle="1" w:styleId="165">
    <w:name w:val="font21"/>
    <w:basedOn w:val="37"/>
    <w:qFormat/>
    <w:uiPriority w:val="0"/>
    <w:rPr>
      <w:rFonts w:ascii="Calibri" w:hAnsi="Calibri" w:cs="Calibri"/>
      <w:color w:val="000000"/>
      <w:sz w:val="15"/>
      <w:szCs w:val="15"/>
      <w:u w:val="none"/>
    </w:rPr>
  </w:style>
  <w:style w:type="character" w:customStyle="1" w:styleId="166">
    <w:name w:val="font11"/>
    <w:basedOn w:val="37"/>
    <w:qFormat/>
    <w:uiPriority w:val="0"/>
    <w:rPr>
      <w:rFonts w:hint="eastAsia" w:ascii="宋体" w:hAnsi="宋体" w:eastAsia="宋体" w:cs="宋体"/>
      <w:color w:val="000000"/>
      <w:sz w:val="15"/>
      <w:szCs w:val="15"/>
      <w:u w:val="none"/>
    </w:rPr>
  </w:style>
  <w:style w:type="paragraph" w:customStyle="1" w:styleId="167">
    <w:name w:val="普通文本1"/>
    <w:basedOn w:val="1"/>
    <w:uiPriority w:val="0"/>
    <w:pPr>
      <w:spacing w:line="440" w:lineRule="exact"/>
      <w:ind w:firstLine="480" w:firstLineChars="200"/>
    </w:pPr>
    <w:rPr>
      <w:rFonts w:hint="eastAsia" w:ascii="宋体" w:hAnsi="宋体" w:cs="宋体"/>
      <w:sz w:val="24"/>
      <w:lang w:bidi="ar"/>
    </w:rPr>
  </w:style>
  <w:style w:type="character" w:customStyle="1" w:styleId="168">
    <w:name w:val="标题 2 Char"/>
    <w:link w:val="3"/>
    <w:qFormat/>
    <w:uiPriority w:val="0"/>
    <w:rPr>
      <w:rFonts w:hint="eastAsia" w:eastAsia="宋体" w:cs="宋体" w:asciiTheme="majorAscii" w:hAnsiTheme="majorAscii"/>
      <w:bCs/>
      <w:color w:val="FFFFFF" w:themeColor="background1"/>
      <w:kern w:val="0"/>
      <w:sz w:val="30"/>
      <w:szCs w:val="36"/>
      <w:lang w:bidi="ar"/>
      <w14:textFill>
        <w14:solidFill>
          <w14:schemeClr w14:val="bg1"/>
        </w14:solidFill>
      </w14:textFill>
    </w:rPr>
  </w:style>
  <w:style w:type="paragraph" w:customStyle="1" w:styleId="169">
    <w:name w:val="内容块-16-a"/>
    <w:next w:val="1"/>
    <w:qFormat/>
    <w:uiPriority w:val="0"/>
    <w:pPr>
      <w:widowControl w:val="0"/>
      <w:pBdr>
        <w:top w:val="single" w:color="F5F7FC" w:themeColor="accent1" w:themeTint="0D" w:sz="4" w:space="10"/>
        <w:left w:val="single" w:color="F5F7FC" w:themeColor="accent1" w:themeTint="0D" w:sz="4" w:space="17"/>
        <w:bottom w:val="single" w:color="F5F7FC" w:themeColor="accent1" w:themeTint="0D" w:sz="4" w:space="10"/>
        <w:right w:val="single" w:color="F5F7FC" w:themeColor="accent1" w:themeTint="0D" w:sz="4" w:space="17"/>
      </w:pBdr>
      <w:shd w:val="clear" w:color="auto" w:fill="F5F7FC" w:themeFill="accent1" w:themeFillTint="0D"/>
      <w:ind w:left="357" w:right="357"/>
      <w:jc w:val="both"/>
      <w:textAlignment w:val="center"/>
    </w:pPr>
    <w:rPr>
      <w:rFonts w:asciiTheme="minorHAnsi" w:hAnsiTheme="minorHAnsi" w:eastAsiaTheme="minorEastAsia" w:cstheme="minorBidi"/>
      <w:kern w:val="2"/>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37.jpeg"/><Relationship Id="rId98" Type="http://schemas.openxmlformats.org/officeDocument/2006/relationships/image" Target="media/image36.jpeg"/><Relationship Id="rId97" Type="http://schemas.openxmlformats.org/officeDocument/2006/relationships/image" Target="media/image35.jpeg"/><Relationship Id="rId96" Type="http://schemas.openxmlformats.org/officeDocument/2006/relationships/image" Target="media/image34.jpeg"/><Relationship Id="rId95" Type="http://schemas.openxmlformats.org/officeDocument/2006/relationships/image" Target="media/image33.png"/><Relationship Id="rId94" Type="http://schemas.openxmlformats.org/officeDocument/2006/relationships/image" Target="media/image32.jpeg"/><Relationship Id="rId93" Type="http://schemas.openxmlformats.org/officeDocument/2006/relationships/image" Target="media/image31.jpeg"/><Relationship Id="rId92" Type="http://schemas.openxmlformats.org/officeDocument/2006/relationships/image" Target="media/image30.jpeg"/><Relationship Id="rId91" Type="http://schemas.openxmlformats.org/officeDocument/2006/relationships/image" Target="media/image29.jpeg"/><Relationship Id="rId90" Type="http://schemas.openxmlformats.org/officeDocument/2006/relationships/image" Target="media/image28.jpeg"/><Relationship Id="rId9" Type="http://schemas.openxmlformats.org/officeDocument/2006/relationships/header" Target="header4.xml"/><Relationship Id="rId89" Type="http://schemas.openxmlformats.org/officeDocument/2006/relationships/image" Target="media/image27.jpeg"/><Relationship Id="rId88" Type="http://schemas.openxmlformats.org/officeDocument/2006/relationships/image" Target="media/image26.jpeg"/><Relationship Id="rId87" Type="http://schemas.openxmlformats.org/officeDocument/2006/relationships/image" Target="media/image25.jpeg"/><Relationship Id="rId86" Type="http://schemas.openxmlformats.org/officeDocument/2006/relationships/image" Target="media/image24.png"/><Relationship Id="rId85" Type="http://schemas.openxmlformats.org/officeDocument/2006/relationships/image" Target="media/image23.png"/><Relationship Id="rId84" Type="http://schemas.openxmlformats.org/officeDocument/2006/relationships/image" Target="media/image22.png"/><Relationship Id="rId83" Type="http://schemas.openxmlformats.org/officeDocument/2006/relationships/image" Target="media/image21.png"/><Relationship Id="rId82" Type="http://schemas.openxmlformats.org/officeDocument/2006/relationships/image" Target="media/image20.jpeg"/><Relationship Id="rId81" Type="http://schemas.openxmlformats.org/officeDocument/2006/relationships/image" Target="media/image19.jpeg"/><Relationship Id="rId80" Type="http://schemas.openxmlformats.org/officeDocument/2006/relationships/image" Target="media/image18.png"/><Relationship Id="rId8" Type="http://schemas.openxmlformats.org/officeDocument/2006/relationships/footer" Target="footer3.xml"/><Relationship Id="rId79" Type="http://schemas.openxmlformats.org/officeDocument/2006/relationships/image" Target="media/image17.png"/><Relationship Id="rId78" Type="http://schemas.openxmlformats.org/officeDocument/2006/relationships/image" Target="media/image16.png"/><Relationship Id="rId77" Type="http://schemas.openxmlformats.org/officeDocument/2006/relationships/image" Target="media/image15.png"/><Relationship Id="rId76" Type="http://schemas.openxmlformats.org/officeDocument/2006/relationships/image" Target="media/image14.png"/><Relationship Id="rId75" Type="http://schemas.openxmlformats.org/officeDocument/2006/relationships/image" Target="media/image13.png"/><Relationship Id="rId74" Type="http://schemas.openxmlformats.org/officeDocument/2006/relationships/image" Target="media/image12.png"/><Relationship Id="rId73" Type="http://schemas.openxmlformats.org/officeDocument/2006/relationships/image" Target="media/image11.png"/><Relationship Id="rId72" Type="http://schemas.openxmlformats.org/officeDocument/2006/relationships/image" Target="media/image10.png"/><Relationship Id="rId71" Type="http://schemas.openxmlformats.org/officeDocument/2006/relationships/image" Target="media/image9.png"/><Relationship Id="rId70" Type="http://schemas.openxmlformats.org/officeDocument/2006/relationships/image" Target="media/image8.png"/><Relationship Id="rId7" Type="http://schemas.openxmlformats.org/officeDocument/2006/relationships/header" Target="header3.xml"/><Relationship Id="rId69" Type="http://schemas.openxmlformats.org/officeDocument/2006/relationships/image" Target="media/image7.png"/><Relationship Id="rId68" Type="http://schemas.openxmlformats.org/officeDocument/2006/relationships/image" Target="media/image6.jpeg"/><Relationship Id="rId67" Type="http://schemas.openxmlformats.org/officeDocument/2006/relationships/image" Target="media/image5.jpeg"/><Relationship Id="rId66" Type="http://schemas.openxmlformats.org/officeDocument/2006/relationships/image" Target="media/image4.png"/><Relationship Id="rId65" Type="http://schemas.openxmlformats.org/officeDocument/2006/relationships/image" Target="media/image3.png"/><Relationship Id="rId64" Type="http://schemas.openxmlformats.org/officeDocument/2006/relationships/image" Target="media/image2.jpeg"/><Relationship Id="rId63" Type="http://schemas.openxmlformats.org/officeDocument/2006/relationships/image" Target="media/image1.GIF"/><Relationship Id="rId62" Type="http://schemas.openxmlformats.org/officeDocument/2006/relationships/theme" Target="theme/theme1.xml"/><Relationship Id="rId61" Type="http://schemas.openxmlformats.org/officeDocument/2006/relationships/footer" Target="footer28.xml"/><Relationship Id="rId60" Type="http://schemas.openxmlformats.org/officeDocument/2006/relationships/header" Target="header31.xml"/><Relationship Id="rId6" Type="http://schemas.openxmlformats.org/officeDocument/2006/relationships/footer" Target="footer2.xml"/><Relationship Id="rId59" Type="http://schemas.openxmlformats.org/officeDocument/2006/relationships/footer" Target="footer27.xml"/><Relationship Id="rId58" Type="http://schemas.openxmlformats.org/officeDocument/2006/relationships/header" Target="header30.xml"/><Relationship Id="rId57" Type="http://schemas.openxmlformats.org/officeDocument/2006/relationships/header" Target="header29.xml"/><Relationship Id="rId56" Type="http://schemas.openxmlformats.org/officeDocument/2006/relationships/footer" Target="footer26.xml"/><Relationship Id="rId55" Type="http://schemas.openxmlformats.org/officeDocument/2006/relationships/header" Target="header28.xml"/><Relationship Id="rId54" Type="http://schemas.openxmlformats.org/officeDocument/2006/relationships/footer" Target="footer25.xml"/><Relationship Id="rId53" Type="http://schemas.openxmlformats.org/officeDocument/2006/relationships/header" Target="header27.xml"/><Relationship Id="rId52" Type="http://schemas.openxmlformats.org/officeDocument/2006/relationships/footer" Target="footer24.xml"/><Relationship Id="rId51" Type="http://schemas.openxmlformats.org/officeDocument/2006/relationships/header" Target="header26.xml"/><Relationship Id="rId509" Type="http://schemas.openxmlformats.org/officeDocument/2006/relationships/fontTable" Target="fontTable.xml"/><Relationship Id="rId508" Type="http://schemas.openxmlformats.org/officeDocument/2006/relationships/numbering" Target="numbering.xml"/><Relationship Id="rId507" Type="http://schemas.openxmlformats.org/officeDocument/2006/relationships/customXml" Target="../customXml/item1.xml"/><Relationship Id="rId506" Type="http://schemas.openxmlformats.org/officeDocument/2006/relationships/image" Target="media/image438.jpeg"/><Relationship Id="rId505" Type="http://schemas.openxmlformats.org/officeDocument/2006/relationships/image" Target="media/image437.png"/><Relationship Id="rId504" Type="http://schemas.openxmlformats.org/officeDocument/2006/relationships/image" Target="media/image436.png"/><Relationship Id="rId503" Type="http://schemas.openxmlformats.org/officeDocument/2006/relationships/image" Target="media/image435.png"/><Relationship Id="rId502" Type="http://schemas.openxmlformats.org/officeDocument/2006/relationships/image" Target="media/image434.png"/><Relationship Id="rId501" Type="http://schemas.openxmlformats.org/officeDocument/2006/relationships/image" Target="media/image433.png"/><Relationship Id="rId500" Type="http://schemas.openxmlformats.org/officeDocument/2006/relationships/image" Target="media/image432.png"/><Relationship Id="rId50" Type="http://schemas.openxmlformats.org/officeDocument/2006/relationships/header" Target="header25.xml"/><Relationship Id="rId5" Type="http://schemas.openxmlformats.org/officeDocument/2006/relationships/header" Target="header2.xml"/><Relationship Id="rId499" Type="http://schemas.openxmlformats.org/officeDocument/2006/relationships/image" Target="media/image431.jpeg"/><Relationship Id="rId498" Type="http://schemas.openxmlformats.org/officeDocument/2006/relationships/image" Target="media/image430.png"/><Relationship Id="rId497" Type="http://schemas.openxmlformats.org/officeDocument/2006/relationships/image" Target="media/image429.png"/><Relationship Id="rId496" Type="http://schemas.openxmlformats.org/officeDocument/2006/relationships/image" Target="media/image428.png"/><Relationship Id="rId495" Type="http://schemas.openxmlformats.org/officeDocument/2006/relationships/image" Target="media/image427.png"/><Relationship Id="rId494" Type="http://schemas.openxmlformats.org/officeDocument/2006/relationships/image" Target="media/image426.png"/><Relationship Id="rId493" Type="http://schemas.openxmlformats.org/officeDocument/2006/relationships/image" Target="media/image425.png"/><Relationship Id="rId492" Type="http://schemas.openxmlformats.org/officeDocument/2006/relationships/image" Target="media/image424.png"/><Relationship Id="rId491" Type="http://schemas.openxmlformats.org/officeDocument/2006/relationships/image" Target="media/image423.png"/><Relationship Id="rId490" Type="http://schemas.openxmlformats.org/officeDocument/2006/relationships/image" Target="media/image422.png"/><Relationship Id="rId49" Type="http://schemas.openxmlformats.org/officeDocument/2006/relationships/footer" Target="footer23.xml"/><Relationship Id="rId489" Type="http://schemas.openxmlformats.org/officeDocument/2006/relationships/image" Target="media/image421.png"/><Relationship Id="rId488" Type="http://schemas.openxmlformats.org/officeDocument/2006/relationships/image" Target="media/image420.png"/><Relationship Id="rId487" Type="http://schemas.openxmlformats.org/officeDocument/2006/relationships/image" Target="media/image419.png"/><Relationship Id="rId486" Type="http://schemas.openxmlformats.org/officeDocument/2006/relationships/image" Target="media/image418.jpeg"/><Relationship Id="rId485" Type="http://schemas.openxmlformats.org/officeDocument/2006/relationships/image" Target="media/image417.png"/><Relationship Id="rId484" Type="http://schemas.openxmlformats.org/officeDocument/2006/relationships/image" Target="media/image416.png"/><Relationship Id="rId483" Type="http://schemas.openxmlformats.org/officeDocument/2006/relationships/image" Target="media/image415.jpeg"/><Relationship Id="rId482" Type="http://schemas.openxmlformats.org/officeDocument/2006/relationships/image" Target="media/image414.jpeg"/><Relationship Id="rId481" Type="http://schemas.openxmlformats.org/officeDocument/2006/relationships/image" Target="media/image413.jpeg"/><Relationship Id="rId480" Type="http://schemas.openxmlformats.org/officeDocument/2006/relationships/image" Target="media/image412.jpeg"/><Relationship Id="rId48" Type="http://schemas.openxmlformats.org/officeDocument/2006/relationships/header" Target="header24.xml"/><Relationship Id="rId479" Type="http://schemas.openxmlformats.org/officeDocument/2006/relationships/image" Target="media/image411.jpeg"/><Relationship Id="rId478" Type="http://schemas.openxmlformats.org/officeDocument/2006/relationships/image" Target="media/image410.jpeg"/><Relationship Id="rId477" Type="http://schemas.openxmlformats.org/officeDocument/2006/relationships/image" Target="media/image409.jpeg"/><Relationship Id="rId476" Type="http://schemas.openxmlformats.org/officeDocument/2006/relationships/image" Target="media/image408.png"/><Relationship Id="rId475" Type="http://schemas.openxmlformats.org/officeDocument/2006/relationships/image" Target="media/image407.png"/><Relationship Id="rId474" Type="http://schemas.openxmlformats.org/officeDocument/2006/relationships/image" Target="media/image406.png"/><Relationship Id="rId473" Type="http://schemas.openxmlformats.org/officeDocument/2006/relationships/image" Target="media/image405.png"/><Relationship Id="rId472" Type="http://schemas.openxmlformats.org/officeDocument/2006/relationships/image" Target="media/image404.GIF"/><Relationship Id="rId471" Type="http://schemas.openxmlformats.org/officeDocument/2006/relationships/image" Target="media/image403.png"/><Relationship Id="rId470" Type="http://schemas.openxmlformats.org/officeDocument/2006/relationships/image" Target="media/image402.png"/><Relationship Id="rId47" Type="http://schemas.openxmlformats.org/officeDocument/2006/relationships/footer" Target="footer22.xml"/><Relationship Id="rId469" Type="http://schemas.openxmlformats.org/officeDocument/2006/relationships/image" Target="media/image401.png"/><Relationship Id="rId468" Type="http://schemas.openxmlformats.org/officeDocument/2006/relationships/image" Target="media/image400.png"/><Relationship Id="rId467" Type="http://schemas.openxmlformats.org/officeDocument/2006/relationships/image" Target="media/image399.png"/><Relationship Id="rId466" Type="http://schemas.openxmlformats.org/officeDocument/2006/relationships/image" Target="media/image398.png"/><Relationship Id="rId465" Type="http://schemas.openxmlformats.org/officeDocument/2006/relationships/image" Target="media/image397.png"/><Relationship Id="rId464" Type="http://schemas.openxmlformats.org/officeDocument/2006/relationships/image" Target="media/image396.png"/><Relationship Id="rId463" Type="http://schemas.openxmlformats.org/officeDocument/2006/relationships/image" Target="media/image395.png"/><Relationship Id="rId462" Type="http://schemas.openxmlformats.org/officeDocument/2006/relationships/image" Target="media/image394.png"/><Relationship Id="rId461" Type="http://schemas.openxmlformats.org/officeDocument/2006/relationships/image" Target="media/image393.png"/><Relationship Id="rId460" Type="http://schemas.openxmlformats.org/officeDocument/2006/relationships/image" Target="media/image392.png"/><Relationship Id="rId46" Type="http://schemas.openxmlformats.org/officeDocument/2006/relationships/header" Target="header23.xml"/><Relationship Id="rId459" Type="http://schemas.openxmlformats.org/officeDocument/2006/relationships/image" Target="media/image391.png"/><Relationship Id="rId458" Type="http://schemas.openxmlformats.org/officeDocument/2006/relationships/image" Target="media/image390.png"/><Relationship Id="rId457" Type="http://schemas.openxmlformats.org/officeDocument/2006/relationships/image" Target="media/image389.png"/><Relationship Id="rId456" Type="http://schemas.openxmlformats.org/officeDocument/2006/relationships/image" Target="media/image388.png"/><Relationship Id="rId455" Type="http://schemas.openxmlformats.org/officeDocument/2006/relationships/image" Target="media/image387.png"/><Relationship Id="rId454" Type="http://schemas.openxmlformats.org/officeDocument/2006/relationships/image" Target="media/image386.png"/><Relationship Id="rId453" Type="http://schemas.openxmlformats.org/officeDocument/2006/relationships/image" Target="media/image385.png"/><Relationship Id="rId452" Type="http://schemas.openxmlformats.org/officeDocument/2006/relationships/image" Target="media/image384.png"/><Relationship Id="rId451" Type="http://schemas.openxmlformats.org/officeDocument/2006/relationships/image" Target="media/image383.png"/><Relationship Id="rId450" Type="http://schemas.openxmlformats.org/officeDocument/2006/relationships/image" Target="media/image382.png"/><Relationship Id="rId45" Type="http://schemas.openxmlformats.org/officeDocument/2006/relationships/footer" Target="footer21.xml"/><Relationship Id="rId449" Type="http://schemas.openxmlformats.org/officeDocument/2006/relationships/image" Target="media/image381.png"/><Relationship Id="rId448" Type="http://schemas.openxmlformats.org/officeDocument/2006/relationships/image" Target="media/image380.png"/><Relationship Id="rId447" Type="http://schemas.openxmlformats.org/officeDocument/2006/relationships/image" Target="media/image379.png"/><Relationship Id="rId446" Type="http://schemas.openxmlformats.org/officeDocument/2006/relationships/image" Target="media/image378.png"/><Relationship Id="rId445" Type="http://schemas.openxmlformats.org/officeDocument/2006/relationships/image" Target="media/image377.png"/><Relationship Id="rId444" Type="http://schemas.openxmlformats.org/officeDocument/2006/relationships/image" Target="media/image376.png"/><Relationship Id="rId443" Type="http://schemas.openxmlformats.org/officeDocument/2006/relationships/image" Target="media/image375.png"/><Relationship Id="rId442" Type="http://schemas.openxmlformats.org/officeDocument/2006/relationships/image" Target="media/image374.png"/><Relationship Id="rId441" Type="http://schemas.openxmlformats.org/officeDocument/2006/relationships/image" Target="media/image373.png"/><Relationship Id="rId440" Type="http://schemas.openxmlformats.org/officeDocument/2006/relationships/image" Target="media/image372.png"/><Relationship Id="rId44" Type="http://schemas.openxmlformats.org/officeDocument/2006/relationships/header" Target="header22.xml"/><Relationship Id="rId439" Type="http://schemas.openxmlformats.org/officeDocument/2006/relationships/image" Target="media/image371.png"/><Relationship Id="rId438" Type="http://schemas.openxmlformats.org/officeDocument/2006/relationships/image" Target="media/image370.png"/><Relationship Id="rId437" Type="http://schemas.openxmlformats.org/officeDocument/2006/relationships/image" Target="media/image369.png"/><Relationship Id="rId436" Type="http://schemas.openxmlformats.org/officeDocument/2006/relationships/image" Target="media/image368.jpeg"/><Relationship Id="rId435" Type="http://schemas.openxmlformats.org/officeDocument/2006/relationships/image" Target="media/image367.jpeg"/><Relationship Id="rId434" Type="http://schemas.openxmlformats.org/officeDocument/2006/relationships/image" Target="media/image366.png"/><Relationship Id="rId433" Type="http://schemas.openxmlformats.org/officeDocument/2006/relationships/image" Target="media/image365.png"/><Relationship Id="rId432" Type="http://schemas.openxmlformats.org/officeDocument/2006/relationships/image" Target="media/image364.png"/><Relationship Id="rId431" Type="http://schemas.openxmlformats.org/officeDocument/2006/relationships/image" Target="media/image363.png"/><Relationship Id="rId430" Type="http://schemas.openxmlformats.org/officeDocument/2006/relationships/image" Target="media/image362.png"/><Relationship Id="rId43" Type="http://schemas.openxmlformats.org/officeDocument/2006/relationships/footer" Target="footer20.xml"/><Relationship Id="rId429" Type="http://schemas.openxmlformats.org/officeDocument/2006/relationships/image" Target="media/image361.png"/><Relationship Id="rId428" Type="http://schemas.openxmlformats.org/officeDocument/2006/relationships/image" Target="media/image360.png"/><Relationship Id="rId427" Type="http://schemas.openxmlformats.org/officeDocument/2006/relationships/image" Target="media/image359.png"/><Relationship Id="rId426" Type="http://schemas.openxmlformats.org/officeDocument/2006/relationships/image" Target="media/image358.png"/><Relationship Id="rId425" Type="http://schemas.openxmlformats.org/officeDocument/2006/relationships/image" Target="media/image357.png"/><Relationship Id="rId424" Type="http://schemas.openxmlformats.org/officeDocument/2006/relationships/image" Target="media/image356.png"/><Relationship Id="rId423" Type="http://schemas.openxmlformats.org/officeDocument/2006/relationships/image" Target="media/image355.png"/><Relationship Id="rId422" Type="http://schemas.openxmlformats.org/officeDocument/2006/relationships/image" Target="media/image354.png"/><Relationship Id="rId421" Type="http://schemas.openxmlformats.org/officeDocument/2006/relationships/image" Target="media/image353.png"/><Relationship Id="rId420" Type="http://schemas.openxmlformats.org/officeDocument/2006/relationships/image" Target="media/image352.png"/><Relationship Id="rId42" Type="http://schemas.openxmlformats.org/officeDocument/2006/relationships/header" Target="header21.xml"/><Relationship Id="rId419" Type="http://schemas.openxmlformats.org/officeDocument/2006/relationships/image" Target="media/image351.png"/><Relationship Id="rId418" Type="http://schemas.openxmlformats.org/officeDocument/2006/relationships/image" Target="media/image350.png"/><Relationship Id="rId417" Type="http://schemas.openxmlformats.org/officeDocument/2006/relationships/image" Target="media/image349.png"/><Relationship Id="rId416" Type="http://schemas.openxmlformats.org/officeDocument/2006/relationships/image" Target="media/image348.png"/><Relationship Id="rId415" Type="http://schemas.openxmlformats.org/officeDocument/2006/relationships/image" Target="media/image347.png"/><Relationship Id="rId414" Type="http://schemas.openxmlformats.org/officeDocument/2006/relationships/image" Target="media/image346.png"/><Relationship Id="rId413" Type="http://schemas.openxmlformats.org/officeDocument/2006/relationships/image" Target="media/image345.png"/><Relationship Id="rId412" Type="http://schemas.openxmlformats.org/officeDocument/2006/relationships/image" Target="media/image344.png"/><Relationship Id="rId411" Type="http://schemas.openxmlformats.org/officeDocument/2006/relationships/image" Target="media/image343.png"/><Relationship Id="rId410" Type="http://schemas.openxmlformats.org/officeDocument/2006/relationships/image" Target="media/image342.png"/><Relationship Id="rId41" Type="http://schemas.openxmlformats.org/officeDocument/2006/relationships/footer" Target="footer19.xml"/><Relationship Id="rId409" Type="http://schemas.openxmlformats.org/officeDocument/2006/relationships/image" Target="media/image341.png"/><Relationship Id="rId408" Type="http://schemas.openxmlformats.org/officeDocument/2006/relationships/image" Target="media/image340.png"/><Relationship Id="rId407" Type="http://schemas.openxmlformats.org/officeDocument/2006/relationships/image" Target="media/image339.png"/><Relationship Id="rId406" Type="http://schemas.openxmlformats.org/officeDocument/2006/relationships/image" Target="media/image338.png"/><Relationship Id="rId405" Type="http://schemas.openxmlformats.org/officeDocument/2006/relationships/image" Target="media/image337.png"/><Relationship Id="rId404" Type="http://schemas.openxmlformats.org/officeDocument/2006/relationships/image" Target="media/image336.png"/><Relationship Id="rId403" Type="http://schemas.openxmlformats.org/officeDocument/2006/relationships/image" Target="media/image335.png"/><Relationship Id="rId402" Type="http://schemas.openxmlformats.org/officeDocument/2006/relationships/image" Target="media/image334.png"/><Relationship Id="rId401" Type="http://schemas.openxmlformats.org/officeDocument/2006/relationships/image" Target="media/image333.png"/><Relationship Id="rId400" Type="http://schemas.openxmlformats.org/officeDocument/2006/relationships/image" Target="media/image332.jpeg"/><Relationship Id="rId40" Type="http://schemas.openxmlformats.org/officeDocument/2006/relationships/header" Target="header20.xml"/><Relationship Id="rId4" Type="http://schemas.openxmlformats.org/officeDocument/2006/relationships/footer" Target="footer1.xml"/><Relationship Id="rId399" Type="http://schemas.openxmlformats.org/officeDocument/2006/relationships/image" Target="media/image331.png"/><Relationship Id="rId398" Type="http://schemas.openxmlformats.org/officeDocument/2006/relationships/image" Target="media/image330.jpeg"/><Relationship Id="rId397" Type="http://schemas.openxmlformats.org/officeDocument/2006/relationships/image" Target="media/image329.jpeg"/><Relationship Id="rId396" Type="http://schemas.openxmlformats.org/officeDocument/2006/relationships/image" Target="media/image328.jpeg"/><Relationship Id="rId395" Type="http://schemas.openxmlformats.org/officeDocument/2006/relationships/image" Target="media/image327.jpeg"/><Relationship Id="rId394" Type="http://schemas.openxmlformats.org/officeDocument/2006/relationships/image" Target="media/image326.jpeg"/><Relationship Id="rId393" Type="http://schemas.openxmlformats.org/officeDocument/2006/relationships/image" Target="media/image325.jpeg"/><Relationship Id="rId392" Type="http://schemas.openxmlformats.org/officeDocument/2006/relationships/image" Target="media/image324.jpeg"/><Relationship Id="rId391" Type="http://schemas.openxmlformats.org/officeDocument/2006/relationships/image" Target="media/image323.jpeg"/><Relationship Id="rId390" Type="http://schemas.openxmlformats.org/officeDocument/2006/relationships/image" Target="media/image322.png"/><Relationship Id="rId39" Type="http://schemas.openxmlformats.org/officeDocument/2006/relationships/footer" Target="footer18.xml"/><Relationship Id="rId389" Type="http://schemas.openxmlformats.org/officeDocument/2006/relationships/image" Target="media/image321.png"/><Relationship Id="rId388" Type="http://schemas.openxmlformats.org/officeDocument/2006/relationships/image" Target="media/image320.png"/><Relationship Id="rId387" Type="http://schemas.openxmlformats.org/officeDocument/2006/relationships/image" Target="media/image319.png"/><Relationship Id="rId386" Type="http://schemas.openxmlformats.org/officeDocument/2006/relationships/image" Target="media/image318.png"/><Relationship Id="rId385" Type="http://schemas.openxmlformats.org/officeDocument/2006/relationships/image" Target="media/image317.png"/><Relationship Id="rId384" Type="http://schemas.openxmlformats.org/officeDocument/2006/relationships/image" Target="media/image316.png"/><Relationship Id="rId383" Type="http://schemas.openxmlformats.org/officeDocument/2006/relationships/image" Target="media/image315.png"/><Relationship Id="rId382" Type="http://schemas.openxmlformats.org/officeDocument/2006/relationships/image" Target="media/image314.png"/><Relationship Id="rId381" Type="http://schemas.openxmlformats.org/officeDocument/2006/relationships/image" Target="media/image313.png"/><Relationship Id="rId380" Type="http://schemas.openxmlformats.org/officeDocument/2006/relationships/image" Target="media/image312.png"/><Relationship Id="rId38" Type="http://schemas.openxmlformats.org/officeDocument/2006/relationships/header" Target="header19.xml"/><Relationship Id="rId379" Type="http://schemas.openxmlformats.org/officeDocument/2006/relationships/image" Target="media/image311.png"/><Relationship Id="rId378" Type="http://schemas.openxmlformats.org/officeDocument/2006/relationships/image" Target="media/image310.png"/><Relationship Id="rId377" Type="http://schemas.openxmlformats.org/officeDocument/2006/relationships/image" Target="media/image309.png"/><Relationship Id="rId376" Type="http://schemas.openxmlformats.org/officeDocument/2006/relationships/image" Target="media/image308.png"/><Relationship Id="rId375" Type="http://schemas.openxmlformats.org/officeDocument/2006/relationships/image" Target="media/image307.png"/><Relationship Id="rId374" Type="http://schemas.openxmlformats.org/officeDocument/2006/relationships/image" Target="media/image306.png"/><Relationship Id="rId373" Type="http://schemas.openxmlformats.org/officeDocument/2006/relationships/image" Target="media/image305.png"/><Relationship Id="rId372" Type="http://schemas.openxmlformats.org/officeDocument/2006/relationships/image" Target="media/image304.png"/><Relationship Id="rId371" Type="http://schemas.openxmlformats.org/officeDocument/2006/relationships/image" Target="media/image303.png"/><Relationship Id="rId370" Type="http://schemas.openxmlformats.org/officeDocument/2006/relationships/image" Target="media/image302.png"/><Relationship Id="rId37" Type="http://schemas.openxmlformats.org/officeDocument/2006/relationships/header" Target="header18.xml"/><Relationship Id="rId369" Type="http://schemas.openxmlformats.org/officeDocument/2006/relationships/image" Target="media/image301.png"/><Relationship Id="rId368" Type="http://schemas.openxmlformats.org/officeDocument/2006/relationships/image" Target="media/image300.png"/><Relationship Id="rId367" Type="http://schemas.openxmlformats.org/officeDocument/2006/relationships/image" Target="media/image299.png"/><Relationship Id="rId366" Type="http://schemas.openxmlformats.org/officeDocument/2006/relationships/image" Target="media/image298.png"/><Relationship Id="rId365" Type="http://schemas.openxmlformats.org/officeDocument/2006/relationships/image" Target="media/image297.png"/><Relationship Id="rId364" Type="http://schemas.openxmlformats.org/officeDocument/2006/relationships/image" Target="media/image296.png"/><Relationship Id="rId363" Type="http://schemas.openxmlformats.org/officeDocument/2006/relationships/image" Target="media/image295.png"/><Relationship Id="rId362" Type="http://schemas.openxmlformats.org/officeDocument/2006/relationships/image" Target="media/image294.png"/><Relationship Id="rId361" Type="http://schemas.openxmlformats.org/officeDocument/2006/relationships/chart" Target="charts/chart6.xml"/><Relationship Id="rId360" Type="http://schemas.openxmlformats.org/officeDocument/2006/relationships/chart" Target="charts/chart5.xml"/><Relationship Id="rId36" Type="http://schemas.openxmlformats.org/officeDocument/2006/relationships/footer" Target="footer17.xml"/><Relationship Id="rId359" Type="http://schemas.openxmlformats.org/officeDocument/2006/relationships/chart" Target="charts/chart4.xml"/><Relationship Id="rId358" Type="http://schemas.openxmlformats.org/officeDocument/2006/relationships/chart" Target="charts/chart3.xml"/><Relationship Id="rId357" Type="http://schemas.openxmlformats.org/officeDocument/2006/relationships/chart" Target="charts/chart2.xml"/><Relationship Id="rId356" Type="http://schemas.openxmlformats.org/officeDocument/2006/relationships/chart" Target="charts/chart1.xml"/><Relationship Id="rId355" Type="http://schemas.openxmlformats.org/officeDocument/2006/relationships/image" Target="media/image293.svg"/><Relationship Id="rId354" Type="http://schemas.openxmlformats.org/officeDocument/2006/relationships/image" Target="media/image292.png"/><Relationship Id="rId353" Type="http://schemas.openxmlformats.org/officeDocument/2006/relationships/image" Target="media/image291.png"/><Relationship Id="rId352" Type="http://schemas.openxmlformats.org/officeDocument/2006/relationships/image" Target="media/image290.png"/><Relationship Id="rId351" Type="http://schemas.openxmlformats.org/officeDocument/2006/relationships/image" Target="media/image289.png"/><Relationship Id="rId350" Type="http://schemas.openxmlformats.org/officeDocument/2006/relationships/image" Target="media/image288.png"/><Relationship Id="rId35" Type="http://schemas.openxmlformats.org/officeDocument/2006/relationships/header" Target="header17.xml"/><Relationship Id="rId349" Type="http://schemas.openxmlformats.org/officeDocument/2006/relationships/image" Target="media/image287.png"/><Relationship Id="rId348" Type="http://schemas.openxmlformats.org/officeDocument/2006/relationships/image" Target="media/image286.png"/><Relationship Id="rId347" Type="http://schemas.openxmlformats.org/officeDocument/2006/relationships/image" Target="media/image285.png"/><Relationship Id="rId346" Type="http://schemas.openxmlformats.org/officeDocument/2006/relationships/image" Target="media/image284.png"/><Relationship Id="rId345" Type="http://schemas.openxmlformats.org/officeDocument/2006/relationships/image" Target="media/image283.png"/><Relationship Id="rId344" Type="http://schemas.openxmlformats.org/officeDocument/2006/relationships/image" Target="media/image282.png"/><Relationship Id="rId343" Type="http://schemas.openxmlformats.org/officeDocument/2006/relationships/image" Target="media/image281.png"/><Relationship Id="rId342" Type="http://schemas.openxmlformats.org/officeDocument/2006/relationships/image" Target="media/image280.png"/><Relationship Id="rId341" Type="http://schemas.openxmlformats.org/officeDocument/2006/relationships/image" Target="media/image279.png"/><Relationship Id="rId340" Type="http://schemas.openxmlformats.org/officeDocument/2006/relationships/image" Target="media/image278.png"/><Relationship Id="rId34" Type="http://schemas.openxmlformats.org/officeDocument/2006/relationships/footer" Target="footer16.xml"/><Relationship Id="rId339" Type="http://schemas.openxmlformats.org/officeDocument/2006/relationships/image" Target="media/image277.png"/><Relationship Id="rId338" Type="http://schemas.openxmlformats.org/officeDocument/2006/relationships/image" Target="media/image276.png"/><Relationship Id="rId337" Type="http://schemas.openxmlformats.org/officeDocument/2006/relationships/image" Target="media/image275.png"/><Relationship Id="rId336" Type="http://schemas.openxmlformats.org/officeDocument/2006/relationships/image" Target="media/image274.png"/><Relationship Id="rId335" Type="http://schemas.openxmlformats.org/officeDocument/2006/relationships/image" Target="media/image273.png"/><Relationship Id="rId334" Type="http://schemas.openxmlformats.org/officeDocument/2006/relationships/image" Target="media/image272.png"/><Relationship Id="rId333" Type="http://schemas.openxmlformats.org/officeDocument/2006/relationships/image" Target="media/image271.png"/><Relationship Id="rId332" Type="http://schemas.openxmlformats.org/officeDocument/2006/relationships/image" Target="media/image270.png"/><Relationship Id="rId331" Type="http://schemas.openxmlformats.org/officeDocument/2006/relationships/image" Target="media/image269.png"/><Relationship Id="rId330" Type="http://schemas.openxmlformats.org/officeDocument/2006/relationships/image" Target="media/image268.png"/><Relationship Id="rId33" Type="http://schemas.openxmlformats.org/officeDocument/2006/relationships/header" Target="header16.xml"/><Relationship Id="rId329" Type="http://schemas.openxmlformats.org/officeDocument/2006/relationships/image" Target="media/image267.png"/><Relationship Id="rId328" Type="http://schemas.openxmlformats.org/officeDocument/2006/relationships/image" Target="media/image266.png"/><Relationship Id="rId327" Type="http://schemas.openxmlformats.org/officeDocument/2006/relationships/image" Target="media/image265.png"/><Relationship Id="rId326" Type="http://schemas.openxmlformats.org/officeDocument/2006/relationships/image" Target="media/image264.png"/><Relationship Id="rId325" Type="http://schemas.openxmlformats.org/officeDocument/2006/relationships/image" Target="media/image263.jpeg"/><Relationship Id="rId324" Type="http://schemas.openxmlformats.org/officeDocument/2006/relationships/image" Target="media/image262.png"/><Relationship Id="rId323" Type="http://schemas.openxmlformats.org/officeDocument/2006/relationships/image" Target="media/image261.png"/><Relationship Id="rId322" Type="http://schemas.openxmlformats.org/officeDocument/2006/relationships/image" Target="media/image260.png"/><Relationship Id="rId321" Type="http://schemas.openxmlformats.org/officeDocument/2006/relationships/image" Target="media/image259.png"/><Relationship Id="rId320" Type="http://schemas.openxmlformats.org/officeDocument/2006/relationships/image" Target="media/image258.png"/><Relationship Id="rId32" Type="http://schemas.openxmlformats.org/officeDocument/2006/relationships/footer" Target="footer15.xml"/><Relationship Id="rId319" Type="http://schemas.openxmlformats.org/officeDocument/2006/relationships/image" Target="media/image257.png"/><Relationship Id="rId318" Type="http://schemas.openxmlformats.org/officeDocument/2006/relationships/image" Target="media/image256.png"/><Relationship Id="rId317" Type="http://schemas.openxmlformats.org/officeDocument/2006/relationships/image" Target="media/image255.png"/><Relationship Id="rId316" Type="http://schemas.openxmlformats.org/officeDocument/2006/relationships/image" Target="media/image254.png"/><Relationship Id="rId315" Type="http://schemas.openxmlformats.org/officeDocument/2006/relationships/image" Target="media/image253.png"/><Relationship Id="rId314" Type="http://schemas.openxmlformats.org/officeDocument/2006/relationships/image" Target="media/image252.png"/><Relationship Id="rId313" Type="http://schemas.openxmlformats.org/officeDocument/2006/relationships/image" Target="media/image251.png"/><Relationship Id="rId312" Type="http://schemas.openxmlformats.org/officeDocument/2006/relationships/image" Target="media/image250.png"/><Relationship Id="rId311" Type="http://schemas.openxmlformats.org/officeDocument/2006/relationships/image" Target="media/image249.png"/><Relationship Id="rId310" Type="http://schemas.openxmlformats.org/officeDocument/2006/relationships/image" Target="media/image248.png"/><Relationship Id="rId31" Type="http://schemas.openxmlformats.org/officeDocument/2006/relationships/header" Target="header15.xml"/><Relationship Id="rId309" Type="http://schemas.openxmlformats.org/officeDocument/2006/relationships/image" Target="media/image247.png"/><Relationship Id="rId308" Type="http://schemas.openxmlformats.org/officeDocument/2006/relationships/image" Target="media/image246.png"/><Relationship Id="rId307" Type="http://schemas.openxmlformats.org/officeDocument/2006/relationships/image" Target="media/image245.png"/><Relationship Id="rId306" Type="http://schemas.openxmlformats.org/officeDocument/2006/relationships/image" Target="media/image244.png"/><Relationship Id="rId305" Type="http://schemas.openxmlformats.org/officeDocument/2006/relationships/image" Target="media/image243.png"/><Relationship Id="rId304" Type="http://schemas.openxmlformats.org/officeDocument/2006/relationships/image" Target="media/image242.png"/><Relationship Id="rId303" Type="http://schemas.openxmlformats.org/officeDocument/2006/relationships/image" Target="media/image241.png"/><Relationship Id="rId302" Type="http://schemas.openxmlformats.org/officeDocument/2006/relationships/image" Target="media/image240.png"/><Relationship Id="rId301" Type="http://schemas.openxmlformats.org/officeDocument/2006/relationships/image" Target="media/image239.png"/><Relationship Id="rId300" Type="http://schemas.openxmlformats.org/officeDocument/2006/relationships/image" Target="media/image238.png"/><Relationship Id="rId30" Type="http://schemas.openxmlformats.org/officeDocument/2006/relationships/footer" Target="footer14.xml"/><Relationship Id="rId3" Type="http://schemas.openxmlformats.org/officeDocument/2006/relationships/header" Target="header1.xml"/><Relationship Id="rId299" Type="http://schemas.openxmlformats.org/officeDocument/2006/relationships/image" Target="media/image237.png"/><Relationship Id="rId298" Type="http://schemas.openxmlformats.org/officeDocument/2006/relationships/image" Target="media/image236.png"/><Relationship Id="rId297" Type="http://schemas.openxmlformats.org/officeDocument/2006/relationships/image" Target="media/image235.png"/><Relationship Id="rId296" Type="http://schemas.openxmlformats.org/officeDocument/2006/relationships/image" Target="media/image234.png"/><Relationship Id="rId295" Type="http://schemas.openxmlformats.org/officeDocument/2006/relationships/image" Target="media/image233.png"/><Relationship Id="rId294" Type="http://schemas.openxmlformats.org/officeDocument/2006/relationships/image" Target="media/image232.png"/><Relationship Id="rId293" Type="http://schemas.openxmlformats.org/officeDocument/2006/relationships/image" Target="media/image231.png"/><Relationship Id="rId292" Type="http://schemas.openxmlformats.org/officeDocument/2006/relationships/image" Target="media/image230.png"/><Relationship Id="rId291" Type="http://schemas.openxmlformats.org/officeDocument/2006/relationships/image" Target="media/image229.png"/><Relationship Id="rId290" Type="http://schemas.openxmlformats.org/officeDocument/2006/relationships/image" Target="media/image228.png"/><Relationship Id="rId29" Type="http://schemas.openxmlformats.org/officeDocument/2006/relationships/header" Target="header14.xml"/><Relationship Id="rId289" Type="http://schemas.openxmlformats.org/officeDocument/2006/relationships/image" Target="media/image227.GIF"/><Relationship Id="rId288" Type="http://schemas.openxmlformats.org/officeDocument/2006/relationships/image" Target="media/image226.GIF"/><Relationship Id="rId287" Type="http://schemas.openxmlformats.org/officeDocument/2006/relationships/image" Target="media/image225.png"/><Relationship Id="rId286" Type="http://schemas.openxmlformats.org/officeDocument/2006/relationships/image" Target="media/image224.png"/><Relationship Id="rId285" Type="http://schemas.openxmlformats.org/officeDocument/2006/relationships/image" Target="media/image223.png"/><Relationship Id="rId284" Type="http://schemas.openxmlformats.org/officeDocument/2006/relationships/image" Target="media/image222.png"/><Relationship Id="rId283" Type="http://schemas.openxmlformats.org/officeDocument/2006/relationships/image" Target="media/image221.png"/><Relationship Id="rId282" Type="http://schemas.openxmlformats.org/officeDocument/2006/relationships/image" Target="media/image220.png"/><Relationship Id="rId281" Type="http://schemas.openxmlformats.org/officeDocument/2006/relationships/image" Target="media/image219.png"/><Relationship Id="rId280" Type="http://schemas.openxmlformats.org/officeDocument/2006/relationships/image" Target="media/image218.png"/><Relationship Id="rId28" Type="http://schemas.openxmlformats.org/officeDocument/2006/relationships/footer" Target="footer13.xml"/><Relationship Id="rId279" Type="http://schemas.openxmlformats.org/officeDocument/2006/relationships/image" Target="media/image217.png"/><Relationship Id="rId278" Type="http://schemas.openxmlformats.org/officeDocument/2006/relationships/image" Target="media/image216.png"/><Relationship Id="rId277" Type="http://schemas.openxmlformats.org/officeDocument/2006/relationships/image" Target="media/image215.png"/><Relationship Id="rId276" Type="http://schemas.openxmlformats.org/officeDocument/2006/relationships/image" Target="media/image214.png"/><Relationship Id="rId275" Type="http://schemas.openxmlformats.org/officeDocument/2006/relationships/image" Target="media/image213.png"/><Relationship Id="rId274" Type="http://schemas.openxmlformats.org/officeDocument/2006/relationships/image" Target="media/image212.png"/><Relationship Id="rId273" Type="http://schemas.openxmlformats.org/officeDocument/2006/relationships/image" Target="media/image211.png"/><Relationship Id="rId272" Type="http://schemas.openxmlformats.org/officeDocument/2006/relationships/image" Target="media/image210.png"/><Relationship Id="rId271" Type="http://schemas.openxmlformats.org/officeDocument/2006/relationships/image" Target="media/image209.png"/><Relationship Id="rId270" Type="http://schemas.openxmlformats.org/officeDocument/2006/relationships/image" Target="media/image208.png"/><Relationship Id="rId27" Type="http://schemas.openxmlformats.org/officeDocument/2006/relationships/header" Target="header13.xml"/><Relationship Id="rId269" Type="http://schemas.openxmlformats.org/officeDocument/2006/relationships/image" Target="media/image207.png"/><Relationship Id="rId268" Type="http://schemas.openxmlformats.org/officeDocument/2006/relationships/image" Target="media/image206.png"/><Relationship Id="rId267" Type="http://schemas.openxmlformats.org/officeDocument/2006/relationships/image" Target="media/image205.png"/><Relationship Id="rId266" Type="http://schemas.openxmlformats.org/officeDocument/2006/relationships/image" Target="media/image204.png"/><Relationship Id="rId265" Type="http://schemas.openxmlformats.org/officeDocument/2006/relationships/image" Target="media/image203.png"/><Relationship Id="rId264" Type="http://schemas.openxmlformats.org/officeDocument/2006/relationships/image" Target="media/image202.png"/><Relationship Id="rId263" Type="http://schemas.openxmlformats.org/officeDocument/2006/relationships/image" Target="media/image201.png"/><Relationship Id="rId262" Type="http://schemas.openxmlformats.org/officeDocument/2006/relationships/image" Target="media/image200.png"/><Relationship Id="rId261" Type="http://schemas.openxmlformats.org/officeDocument/2006/relationships/image" Target="media/image199.png"/><Relationship Id="rId260" Type="http://schemas.openxmlformats.org/officeDocument/2006/relationships/image" Target="media/image198.png"/><Relationship Id="rId26" Type="http://schemas.openxmlformats.org/officeDocument/2006/relationships/footer" Target="footer12.xml"/><Relationship Id="rId259" Type="http://schemas.openxmlformats.org/officeDocument/2006/relationships/image" Target="media/image197.png"/><Relationship Id="rId258" Type="http://schemas.openxmlformats.org/officeDocument/2006/relationships/image" Target="media/image196.png"/><Relationship Id="rId257" Type="http://schemas.openxmlformats.org/officeDocument/2006/relationships/image" Target="media/image195.png"/><Relationship Id="rId256" Type="http://schemas.openxmlformats.org/officeDocument/2006/relationships/image" Target="media/image194.png"/><Relationship Id="rId255" Type="http://schemas.openxmlformats.org/officeDocument/2006/relationships/image" Target="media/image193.png"/><Relationship Id="rId254" Type="http://schemas.openxmlformats.org/officeDocument/2006/relationships/image" Target="media/image192.png"/><Relationship Id="rId253" Type="http://schemas.openxmlformats.org/officeDocument/2006/relationships/image" Target="media/image191.png"/><Relationship Id="rId252" Type="http://schemas.openxmlformats.org/officeDocument/2006/relationships/image" Target="media/image190.png"/><Relationship Id="rId251" Type="http://schemas.openxmlformats.org/officeDocument/2006/relationships/image" Target="media/image189.png"/><Relationship Id="rId250" Type="http://schemas.openxmlformats.org/officeDocument/2006/relationships/image" Target="media/image188.jpeg"/><Relationship Id="rId25" Type="http://schemas.openxmlformats.org/officeDocument/2006/relationships/header" Target="header12.xml"/><Relationship Id="rId249" Type="http://schemas.openxmlformats.org/officeDocument/2006/relationships/image" Target="media/image187.png"/><Relationship Id="rId248" Type="http://schemas.openxmlformats.org/officeDocument/2006/relationships/image" Target="media/image186.png"/><Relationship Id="rId247" Type="http://schemas.openxmlformats.org/officeDocument/2006/relationships/image" Target="media/image185.png"/><Relationship Id="rId246" Type="http://schemas.openxmlformats.org/officeDocument/2006/relationships/image" Target="media/image184.png"/><Relationship Id="rId245" Type="http://schemas.openxmlformats.org/officeDocument/2006/relationships/image" Target="media/image183.png"/><Relationship Id="rId244" Type="http://schemas.openxmlformats.org/officeDocument/2006/relationships/image" Target="media/image182.png"/><Relationship Id="rId243" Type="http://schemas.openxmlformats.org/officeDocument/2006/relationships/image" Target="media/image181.png"/><Relationship Id="rId242" Type="http://schemas.openxmlformats.org/officeDocument/2006/relationships/image" Target="media/image180.png"/><Relationship Id="rId241" Type="http://schemas.openxmlformats.org/officeDocument/2006/relationships/image" Target="media/image179.png"/><Relationship Id="rId240" Type="http://schemas.openxmlformats.org/officeDocument/2006/relationships/image" Target="media/image178.png"/><Relationship Id="rId24" Type="http://schemas.openxmlformats.org/officeDocument/2006/relationships/footer" Target="footer11.xml"/><Relationship Id="rId239" Type="http://schemas.openxmlformats.org/officeDocument/2006/relationships/image" Target="media/image177.png"/><Relationship Id="rId238" Type="http://schemas.openxmlformats.org/officeDocument/2006/relationships/image" Target="media/image176.png"/><Relationship Id="rId237" Type="http://schemas.openxmlformats.org/officeDocument/2006/relationships/image" Target="media/image175.jpeg"/><Relationship Id="rId236" Type="http://schemas.openxmlformats.org/officeDocument/2006/relationships/image" Target="media/image174.png"/><Relationship Id="rId235" Type="http://schemas.openxmlformats.org/officeDocument/2006/relationships/image" Target="media/image173.png"/><Relationship Id="rId234" Type="http://schemas.openxmlformats.org/officeDocument/2006/relationships/image" Target="media/image172.png"/><Relationship Id="rId233" Type="http://schemas.openxmlformats.org/officeDocument/2006/relationships/image" Target="media/image171.jpeg"/><Relationship Id="rId232" Type="http://schemas.openxmlformats.org/officeDocument/2006/relationships/image" Target="media/image170.png"/><Relationship Id="rId231" Type="http://schemas.openxmlformats.org/officeDocument/2006/relationships/image" Target="media/image169.png"/><Relationship Id="rId230" Type="http://schemas.openxmlformats.org/officeDocument/2006/relationships/image" Target="media/image168.png"/><Relationship Id="rId23" Type="http://schemas.openxmlformats.org/officeDocument/2006/relationships/header" Target="header11.xml"/><Relationship Id="rId229" Type="http://schemas.openxmlformats.org/officeDocument/2006/relationships/image" Target="media/image167.png"/><Relationship Id="rId228" Type="http://schemas.openxmlformats.org/officeDocument/2006/relationships/image" Target="media/image166.png"/><Relationship Id="rId227" Type="http://schemas.openxmlformats.org/officeDocument/2006/relationships/image" Target="media/image165.jpeg"/><Relationship Id="rId226" Type="http://schemas.openxmlformats.org/officeDocument/2006/relationships/image" Target="media/image164.png"/><Relationship Id="rId225" Type="http://schemas.openxmlformats.org/officeDocument/2006/relationships/image" Target="media/image163.png"/><Relationship Id="rId224" Type="http://schemas.openxmlformats.org/officeDocument/2006/relationships/image" Target="media/image162.png"/><Relationship Id="rId223" Type="http://schemas.openxmlformats.org/officeDocument/2006/relationships/image" Target="media/image161.png"/><Relationship Id="rId222" Type="http://schemas.openxmlformats.org/officeDocument/2006/relationships/image" Target="media/image160.png"/><Relationship Id="rId221" Type="http://schemas.openxmlformats.org/officeDocument/2006/relationships/image" Target="media/image159.png"/><Relationship Id="rId220" Type="http://schemas.openxmlformats.org/officeDocument/2006/relationships/image" Target="media/image158.png"/><Relationship Id="rId22" Type="http://schemas.openxmlformats.org/officeDocument/2006/relationships/footer" Target="footer10.xml"/><Relationship Id="rId219" Type="http://schemas.openxmlformats.org/officeDocument/2006/relationships/image" Target="media/image157.png"/><Relationship Id="rId218" Type="http://schemas.openxmlformats.org/officeDocument/2006/relationships/image" Target="media/image156.png"/><Relationship Id="rId217" Type="http://schemas.openxmlformats.org/officeDocument/2006/relationships/image" Target="media/image155.png"/><Relationship Id="rId216" Type="http://schemas.openxmlformats.org/officeDocument/2006/relationships/image" Target="media/image154.png"/><Relationship Id="rId215" Type="http://schemas.openxmlformats.org/officeDocument/2006/relationships/image" Target="media/image153.png"/><Relationship Id="rId214" Type="http://schemas.openxmlformats.org/officeDocument/2006/relationships/image" Target="media/image152.png"/><Relationship Id="rId213" Type="http://schemas.openxmlformats.org/officeDocument/2006/relationships/image" Target="media/image151.png"/><Relationship Id="rId212" Type="http://schemas.openxmlformats.org/officeDocument/2006/relationships/image" Target="media/image150.png"/><Relationship Id="rId211" Type="http://schemas.openxmlformats.org/officeDocument/2006/relationships/image" Target="media/image149.png"/><Relationship Id="rId210" Type="http://schemas.openxmlformats.org/officeDocument/2006/relationships/image" Target="media/image148.png"/><Relationship Id="rId21" Type="http://schemas.openxmlformats.org/officeDocument/2006/relationships/header" Target="header10.xml"/><Relationship Id="rId209" Type="http://schemas.openxmlformats.org/officeDocument/2006/relationships/image" Target="media/image147.png"/><Relationship Id="rId208" Type="http://schemas.openxmlformats.org/officeDocument/2006/relationships/image" Target="media/image146.png"/><Relationship Id="rId207" Type="http://schemas.openxmlformats.org/officeDocument/2006/relationships/image" Target="media/image145.png"/><Relationship Id="rId206" Type="http://schemas.openxmlformats.org/officeDocument/2006/relationships/image" Target="media/image144.png"/><Relationship Id="rId205" Type="http://schemas.openxmlformats.org/officeDocument/2006/relationships/image" Target="media/image143.png"/><Relationship Id="rId204" Type="http://schemas.openxmlformats.org/officeDocument/2006/relationships/image" Target="media/image142.png"/><Relationship Id="rId203" Type="http://schemas.openxmlformats.org/officeDocument/2006/relationships/image" Target="media/image141.png"/><Relationship Id="rId202" Type="http://schemas.openxmlformats.org/officeDocument/2006/relationships/image" Target="media/image140.png"/><Relationship Id="rId201" Type="http://schemas.openxmlformats.org/officeDocument/2006/relationships/image" Target="media/image139.png"/><Relationship Id="rId200" Type="http://schemas.openxmlformats.org/officeDocument/2006/relationships/image" Target="media/image138.png"/><Relationship Id="rId20" Type="http://schemas.openxmlformats.org/officeDocument/2006/relationships/footer" Target="footer9.xml"/><Relationship Id="rId2" Type="http://schemas.openxmlformats.org/officeDocument/2006/relationships/settings" Target="settings.xml"/><Relationship Id="rId199" Type="http://schemas.openxmlformats.org/officeDocument/2006/relationships/image" Target="media/image137.png"/><Relationship Id="rId198" Type="http://schemas.openxmlformats.org/officeDocument/2006/relationships/image" Target="media/image136.png"/><Relationship Id="rId197" Type="http://schemas.openxmlformats.org/officeDocument/2006/relationships/image" Target="media/image135.png"/><Relationship Id="rId196" Type="http://schemas.openxmlformats.org/officeDocument/2006/relationships/image" Target="media/image134.png"/><Relationship Id="rId195" Type="http://schemas.openxmlformats.org/officeDocument/2006/relationships/image" Target="media/image133.png"/><Relationship Id="rId194" Type="http://schemas.openxmlformats.org/officeDocument/2006/relationships/image" Target="media/image132.png"/><Relationship Id="rId193" Type="http://schemas.openxmlformats.org/officeDocument/2006/relationships/image" Target="media/image131.png"/><Relationship Id="rId192" Type="http://schemas.openxmlformats.org/officeDocument/2006/relationships/image" Target="media/image130.png"/><Relationship Id="rId191" Type="http://schemas.openxmlformats.org/officeDocument/2006/relationships/image" Target="media/image129.png"/><Relationship Id="rId190" Type="http://schemas.openxmlformats.org/officeDocument/2006/relationships/image" Target="media/image128.png"/><Relationship Id="rId19" Type="http://schemas.openxmlformats.org/officeDocument/2006/relationships/header" Target="header9.xml"/><Relationship Id="rId189" Type="http://schemas.openxmlformats.org/officeDocument/2006/relationships/image" Target="media/image127.png"/><Relationship Id="rId188" Type="http://schemas.openxmlformats.org/officeDocument/2006/relationships/image" Target="media/image126.png"/><Relationship Id="rId187" Type="http://schemas.openxmlformats.org/officeDocument/2006/relationships/image" Target="media/image125.png"/><Relationship Id="rId186" Type="http://schemas.openxmlformats.org/officeDocument/2006/relationships/image" Target="media/image124.png"/><Relationship Id="rId185" Type="http://schemas.openxmlformats.org/officeDocument/2006/relationships/image" Target="media/image123.png"/><Relationship Id="rId184" Type="http://schemas.openxmlformats.org/officeDocument/2006/relationships/image" Target="media/image122.png"/><Relationship Id="rId183" Type="http://schemas.openxmlformats.org/officeDocument/2006/relationships/image" Target="media/image121.png"/><Relationship Id="rId182" Type="http://schemas.openxmlformats.org/officeDocument/2006/relationships/image" Target="media/image120.png"/><Relationship Id="rId181" Type="http://schemas.openxmlformats.org/officeDocument/2006/relationships/image" Target="media/image119.png"/><Relationship Id="rId180" Type="http://schemas.openxmlformats.org/officeDocument/2006/relationships/image" Target="media/image118.png"/><Relationship Id="rId18" Type="http://schemas.openxmlformats.org/officeDocument/2006/relationships/footer" Target="footer8.xml"/><Relationship Id="rId179" Type="http://schemas.openxmlformats.org/officeDocument/2006/relationships/image" Target="media/image117.png"/><Relationship Id="rId178" Type="http://schemas.openxmlformats.org/officeDocument/2006/relationships/image" Target="media/image116.png"/><Relationship Id="rId177" Type="http://schemas.openxmlformats.org/officeDocument/2006/relationships/image" Target="media/image115.png"/><Relationship Id="rId176" Type="http://schemas.openxmlformats.org/officeDocument/2006/relationships/image" Target="media/image114.png"/><Relationship Id="rId175" Type="http://schemas.openxmlformats.org/officeDocument/2006/relationships/image" Target="media/image113.png"/><Relationship Id="rId174" Type="http://schemas.openxmlformats.org/officeDocument/2006/relationships/image" Target="media/image112.png"/><Relationship Id="rId173" Type="http://schemas.openxmlformats.org/officeDocument/2006/relationships/image" Target="media/image111.png"/><Relationship Id="rId172" Type="http://schemas.openxmlformats.org/officeDocument/2006/relationships/image" Target="media/image110.png"/><Relationship Id="rId171" Type="http://schemas.openxmlformats.org/officeDocument/2006/relationships/image" Target="media/image109.png"/><Relationship Id="rId170" Type="http://schemas.openxmlformats.org/officeDocument/2006/relationships/image" Target="media/image108.png"/><Relationship Id="rId17" Type="http://schemas.openxmlformats.org/officeDocument/2006/relationships/header" Target="header8.xml"/><Relationship Id="rId169" Type="http://schemas.openxmlformats.org/officeDocument/2006/relationships/image" Target="media/image107.png"/><Relationship Id="rId168" Type="http://schemas.openxmlformats.org/officeDocument/2006/relationships/image" Target="media/image106.png"/><Relationship Id="rId167" Type="http://schemas.openxmlformats.org/officeDocument/2006/relationships/image" Target="media/image105.png"/><Relationship Id="rId166" Type="http://schemas.openxmlformats.org/officeDocument/2006/relationships/image" Target="media/image104.png"/><Relationship Id="rId165" Type="http://schemas.openxmlformats.org/officeDocument/2006/relationships/image" Target="media/image103.png"/><Relationship Id="rId164" Type="http://schemas.openxmlformats.org/officeDocument/2006/relationships/image" Target="media/image102.png"/><Relationship Id="rId163" Type="http://schemas.openxmlformats.org/officeDocument/2006/relationships/image" Target="media/image101.png"/><Relationship Id="rId162" Type="http://schemas.openxmlformats.org/officeDocument/2006/relationships/image" Target="media/image100.png"/><Relationship Id="rId161" Type="http://schemas.openxmlformats.org/officeDocument/2006/relationships/image" Target="media/image99.png"/><Relationship Id="rId160" Type="http://schemas.openxmlformats.org/officeDocument/2006/relationships/image" Target="media/image98.png"/><Relationship Id="rId16" Type="http://schemas.openxmlformats.org/officeDocument/2006/relationships/footer" Target="footer7.xml"/><Relationship Id="rId159" Type="http://schemas.openxmlformats.org/officeDocument/2006/relationships/image" Target="media/image97.png"/><Relationship Id="rId158" Type="http://schemas.openxmlformats.org/officeDocument/2006/relationships/image" Target="media/image96.png"/><Relationship Id="rId157" Type="http://schemas.openxmlformats.org/officeDocument/2006/relationships/image" Target="media/image95.png"/><Relationship Id="rId156" Type="http://schemas.openxmlformats.org/officeDocument/2006/relationships/image" Target="media/image94.png"/><Relationship Id="rId155" Type="http://schemas.openxmlformats.org/officeDocument/2006/relationships/image" Target="media/image93.png"/><Relationship Id="rId154" Type="http://schemas.openxmlformats.org/officeDocument/2006/relationships/image" Target="media/image92.png"/><Relationship Id="rId153" Type="http://schemas.openxmlformats.org/officeDocument/2006/relationships/image" Target="media/image91.png"/><Relationship Id="rId152" Type="http://schemas.openxmlformats.org/officeDocument/2006/relationships/image" Target="media/image90.png"/><Relationship Id="rId151" Type="http://schemas.openxmlformats.org/officeDocument/2006/relationships/image" Target="media/image89.png"/><Relationship Id="rId150" Type="http://schemas.openxmlformats.org/officeDocument/2006/relationships/image" Target="media/image88.png"/><Relationship Id="rId15" Type="http://schemas.openxmlformats.org/officeDocument/2006/relationships/footer" Target="footer6.xml"/><Relationship Id="rId149" Type="http://schemas.openxmlformats.org/officeDocument/2006/relationships/image" Target="media/image87.png"/><Relationship Id="rId148" Type="http://schemas.openxmlformats.org/officeDocument/2006/relationships/image" Target="media/image86.png"/><Relationship Id="rId147" Type="http://schemas.openxmlformats.org/officeDocument/2006/relationships/image" Target="media/image85.png"/><Relationship Id="rId146" Type="http://schemas.openxmlformats.org/officeDocument/2006/relationships/image" Target="media/image84.png"/><Relationship Id="rId145" Type="http://schemas.openxmlformats.org/officeDocument/2006/relationships/image" Target="media/image83.png"/><Relationship Id="rId144" Type="http://schemas.openxmlformats.org/officeDocument/2006/relationships/image" Target="media/image82.png"/><Relationship Id="rId143" Type="http://schemas.openxmlformats.org/officeDocument/2006/relationships/image" Target="media/image81.png"/><Relationship Id="rId142" Type="http://schemas.openxmlformats.org/officeDocument/2006/relationships/image" Target="media/image80.png"/><Relationship Id="rId141" Type="http://schemas.openxmlformats.org/officeDocument/2006/relationships/image" Target="media/image79.png"/><Relationship Id="rId140" Type="http://schemas.openxmlformats.org/officeDocument/2006/relationships/image" Target="media/image78.jpeg"/><Relationship Id="rId14" Type="http://schemas.openxmlformats.org/officeDocument/2006/relationships/header" Target="header7.xml"/><Relationship Id="rId139" Type="http://schemas.openxmlformats.org/officeDocument/2006/relationships/image" Target="media/image77.jpeg"/><Relationship Id="rId138" Type="http://schemas.openxmlformats.org/officeDocument/2006/relationships/image" Target="media/image76.jpeg"/><Relationship Id="rId137" Type="http://schemas.openxmlformats.org/officeDocument/2006/relationships/image" Target="media/image75.png"/><Relationship Id="rId136" Type="http://schemas.openxmlformats.org/officeDocument/2006/relationships/image" Target="media/image74.png"/><Relationship Id="rId135" Type="http://schemas.openxmlformats.org/officeDocument/2006/relationships/image" Target="media/image73.png"/><Relationship Id="rId134" Type="http://schemas.openxmlformats.org/officeDocument/2006/relationships/image" Target="media/image72.png"/><Relationship Id="rId133" Type="http://schemas.openxmlformats.org/officeDocument/2006/relationships/image" Target="media/image71.png"/><Relationship Id="rId132" Type="http://schemas.openxmlformats.org/officeDocument/2006/relationships/image" Target="media/image70.png"/><Relationship Id="rId131" Type="http://schemas.openxmlformats.org/officeDocument/2006/relationships/image" Target="media/image69.png"/><Relationship Id="rId130" Type="http://schemas.openxmlformats.org/officeDocument/2006/relationships/image" Target="media/image68.png"/><Relationship Id="rId13" Type="http://schemas.openxmlformats.org/officeDocument/2006/relationships/header" Target="header6.xml"/><Relationship Id="rId129" Type="http://schemas.openxmlformats.org/officeDocument/2006/relationships/image" Target="media/image67.jpeg"/><Relationship Id="rId128" Type="http://schemas.openxmlformats.org/officeDocument/2006/relationships/image" Target="media/image66.jpeg"/><Relationship Id="rId127" Type="http://schemas.openxmlformats.org/officeDocument/2006/relationships/image" Target="media/image65.jpeg"/><Relationship Id="rId126" Type="http://schemas.openxmlformats.org/officeDocument/2006/relationships/image" Target="media/image64.jpeg"/><Relationship Id="rId125" Type="http://schemas.openxmlformats.org/officeDocument/2006/relationships/image" Target="media/image63.jpeg"/><Relationship Id="rId124" Type="http://schemas.openxmlformats.org/officeDocument/2006/relationships/image" Target="media/image62.jpeg"/><Relationship Id="rId123" Type="http://schemas.openxmlformats.org/officeDocument/2006/relationships/image" Target="media/image61.jpeg"/><Relationship Id="rId122" Type="http://schemas.openxmlformats.org/officeDocument/2006/relationships/image" Target="media/image60.jpeg"/><Relationship Id="rId121" Type="http://schemas.openxmlformats.org/officeDocument/2006/relationships/image" Target="media/image59.jpeg"/><Relationship Id="rId120" Type="http://schemas.openxmlformats.org/officeDocument/2006/relationships/image" Target="media/image58.jpeg"/><Relationship Id="rId12" Type="http://schemas.openxmlformats.org/officeDocument/2006/relationships/footer" Target="footer5.xml"/><Relationship Id="rId119" Type="http://schemas.openxmlformats.org/officeDocument/2006/relationships/image" Target="media/image57.jpeg"/><Relationship Id="rId118" Type="http://schemas.openxmlformats.org/officeDocument/2006/relationships/image" Target="media/image56.png"/><Relationship Id="rId117" Type="http://schemas.openxmlformats.org/officeDocument/2006/relationships/image" Target="media/image55.png"/><Relationship Id="rId116" Type="http://schemas.openxmlformats.org/officeDocument/2006/relationships/image" Target="media/image54.png"/><Relationship Id="rId115" Type="http://schemas.openxmlformats.org/officeDocument/2006/relationships/image" Target="media/image53.png"/><Relationship Id="rId114" Type="http://schemas.openxmlformats.org/officeDocument/2006/relationships/image" Target="media/image52.png"/><Relationship Id="rId113" Type="http://schemas.openxmlformats.org/officeDocument/2006/relationships/image" Target="media/image51.png"/><Relationship Id="rId112" Type="http://schemas.openxmlformats.org/officeDocument/2006/relationships/image" Target="media/image50.png"/><Relationship Id="rId111" Type="http://schemas.openxmlformats.org/officeDocument/2006/relationships/image" Target="media/image49.png"/><Relationship Id="rId110" Type="http://schemas.openxmlformats.org/officeDocument/2006/relationships/image" Target="media/image48.png"/><Relationship Id="rId11" Type="http://schemas.openxmlformats.org/officeDocument/2006/relationships/header" Target="header5.xml"/><Relationship Id="rId109" Type="http://schemas.openxmlformats.org/officeDocument/2006/relationships/image" Target="media/image47.png"/><Relationship Id="rId108" Type="http://schemas.openxmlformats.org/officeDocument/2006/relationships/image" Target="media/image46.png"/><Relationship Id="rId107" Type="http://schemas.openxmlformats.org/officeDocument/2006/relationships/image" Target="media/image45.png"/><Relationship Id="rId106" Type="http://schemas.openxmlformats.org/officeDocument/2006/relationships/image" Target="media/image44.png"/><Relationship Id="rId105" Type="http://schemas.openxmlformats.org/officeDocument/2006/relationships/image" Target="media/image43.png"/><Relationship Id="rId104" Type="http://schemas.openxmlformats.org/officeDocument/2006/relationships/image" Target="media/image42.png"/><Relationship Id="rId103" Type="http://schemas.openxmlformats.org/officeDocument/2006/relationships/image" Target="media/image41.jpeg"/><Relationship Id="rId102" Type="http://schemas.openxmlformats.org/officeDocument/2006/relationships/image" Target="media/image40.png"/><Relationship Id="rId101" Type="http://schemas.openxmlformats.org/officeDocument/2006/relationships/image" Target="media/image39.png"/><Relationship Id="rId100" Type="http://schemas.openxmlformats.org/officeDocument/2006/relationships/image" Target="media/image38.jpeg"/><Relationship Id="rId10" Type="http://schemas.openxmlformats.org/officeDocument/2006/relationships/footer" Target="footer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3.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4.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_rels/chart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4.xlsx"/></Relationships>
</file>

<file path=word/charts/_rels/chart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barChart>
        <c:barDir val="col"/>
        <c:grouping val="clustered"/>
        <c:varyColors val="0"/>
        <c:ser>
          <c:idx val="0"/>
          <c:order val="0"/>
          <c:tx>
            <c:strRef>
              <c:f>Sheet1!$B$1</c:f>
              <c:strCache>
                <c:ptCount val="1"/>
                <c:pt idx="0">
                  <c:v>门店数</c:v>
                </c:pt>
              </c:strCache>
            </c:strRef>
          </c:tx>
          <c:spPr>
            <a:gradFill>
              <a:gsLst>
                <a:gs pos="0">
                  <a:schemeClr val="accent1">
                    <a:lumMod val="40000"/>
                    <a:lumOff val="60000"/>
                  </a:schemeClr>
                </a:gs>
                <a:gs pos="90000">
                  <a:schemeClr val="accent1"/>
                </a:gs>
              </a:gsLst>
              <a:lin ang="5400000" scaled="0"/>
            </a:gradFill>
            <a:ln>
              <a:gradFill>
                <a:gsLst>
                  <a:gs pos="0">
                    <a:schemeClr val="accent1"/>
                  </a:gs>
                  <a:gs pos="100000">
                    <a:schemeClr val="accent1">
                      <a:lumMod val="75000"/>
                    </a:schemeClr>
                  </a:gs>
                </a:gsLst>
                <a:lin ang="5400000" scaled="1"/>
              </a:gradFill>
            </a:ln>
            <a:effectLst>
              <a:outerShdw blurRad="76200" dist="25400" dir="2700000" algn="tl" rotWithShape="0">
                <a:schemeClr val="accent1">
                  <a:lumMod val="50000"/>
                  <a:alpha val="30000"/>
                </a:schemeClr>
              </a:outerShdw>
            </a:effectLst>
          </c:spPr>
          <c:invertIfNegative val="0"/>
          <c:dLbls>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0</c:v>
                </c:pt>
                <c:pt idx="1">
                  <c:v>1</c:v>
                </c:pt>
                <c:pt idx="2">
                  <c:v>2</c:v>
                </c:pt>
                <c:pt idx="3">
                  <c:v>3</c:v>
                </c:pt>
                <c:pt idx="4">
                  <c:v>4</c:v>
                </c:pt>
                <c:pt idx="5">
                  <c:v>5</c:v>
                </c:pt>
              </c:numCache>
            </c:numRef>
          </c:cat>
          <c:val>
            <c:numRef>
              <c:f>Sheet1!$B$2:$B$7</c:f>
              <c:numCache>
                <c:formatCode>General</c:formatCode>
                <c:ptCount val="6"/>
                <c:pt idx="0">
                  <c:v>15</c:v>
                </c:pt>
                <c:pt idx="1">
                  <c:v>166</c:v>
                </c:pt>
                <c:pt idx="2">
                  <c:v>224</c:v>
                </c:pt>
                <c:pt idx="3">
                  <c:v>921</c:v>
                </c:pt>
                <c:pt idx="4">
                  <c:v>2318</c:v>
                </c:pt>
                <c:pt idx="5">
                  <c:v>14034</c:v>
                </c:pt>
              </c:numCache>
            </c:numRef>
          </c:val>
        </c:ser>
        <c:dLbls>
          <c:showLegendKey val="0"/>
          <c:showVal val="1"/>
          <c:showCatName val="0"/>
          <c:showSerName val="0"/>
          <c:showPercent val="0"/>
          <c:showBubbleSize val="0"/>
        </c:dLbls>
        <c:gapWidth val="246"/>
        <c:overlap val="-28"/>
        <c:axId val="2094734554"/>
        <c:axId val="2094734552"/>
      </c:barChart>
      <c:catAx>
        <c:axId val="2094734554"/>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l"/>
        <c:majorGridlines>
          <c:spPr>
            <a:ln w="9525" cap="flat" cmpd="sng" algn="ctr">
              <a:solidFill>
                <a:schemeClr val="lt1">
                  <a:lumMod val="90200"/>
                </a:schemeClr>
              </a:solidFill>
              <a:round/>
            </a:ln>
            <a:effectLst/>
          </c:spPr>
        </c:majorGridlines>
        <c:numFmt formatCode="General" sourceLinked="0"/>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span"/>
    <c:showDLblsOverMax val="0"/>
    <c:extLst>
      <c:ext uri="{0b15fc19-7d7d-44ad-8c2d-2c3a37ce22c3}">
        <chartProps xmlns="https://web.wps.cn/et/2018/main" chartId="{f7851b39-57b5-4d1e-9984-c75752ff3a44}"/>
      </c:ext>
    </c:extLst>
  </c:chart>
  <c:spPr>
    <a:noFill/>
    <a:ln w="9525" cap="flat" cmpd="sng" algn="ctr">
      <a:no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barChart>
        <c:barDir val="bar"/>
        <c:grouping val="clustered"/>
        <c:varyColors val="0"/>
        <c:ser>
          <c:idx val="0"/>
          <c:order val="0"/>
          <c:tx>
            <c:strRef>
              <c:f>Sheet1!$B$1</c:f>
              <c:strCache>
                <c:ptCount val="1"/>
                <c:pt idx="0">
                  <c:v>门店数</c:v>
                </c:pt>
              </c:strCache>
            </c:strRef>
          </c:tx>
          <c:spPr>
            <a:gradFill>
              <a:gsLst>
                <a:gs pos="0">
                  <a:schemeClr val="accent1">
                    <a:lumMod val="40000"/>
                    <a:lumOff val="60000"/>
                  </a:schemeClr>
                </a:gs>
                <a:gs pos="90000">
                  <a:schemeClr val="accent1"/>
                </a:gs>
              </a:gsLst>
              <a:lin ang="10800000" scaled="0"/>
            </a:gradFill>
            <a:ln>
              <a:gradFill>
                <a:gsLst>
                  <a:gs pos="0">
                    <a:schemeClr val="accent1"/>
                  </a:gs>
                  <a:gs pos="100000">
                    <a:schemeClr val="accent1">
                      <a:lumMod val="75000"/>
                    </a:schemeClr>
                  </a:gs>
                </a:gsLst>
                <a:lin ang="10800000" scaled="0"/>
              </a:gradFill>
            </a:ln>
            <a:effectLst>
              <a:outerShdw blurRad="76200" dist="25400" dir="2700000" algn="tl" rotWithShape="0">
                <a:schemeClr val="accent1">
                  <a:lumMod val="50000"/>
                  <a:alpha val="30000"/>
                </a:schemeClr>
              </a:outerShdw>
            </a:effectLst>
          </c:spPr>
          <c:invertIfNegative val="0"/>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Sheet1!$A$2:$A$11</c:f>
              <c:strCache>
                <c:ptCount val="10"/>
                <c:pt idx="0">
                  <c:v>Restaurant/Cafe/Canteen</c:v>
                </c:pt>
                <c:pt idx="1">
                  <c:v>Retailers - other</c:v>
                </c:pt>
                <c:pt idx="2">
                  <c:v>Other catering premises</c:v>
                </c:pt>
                <c:pt idx="3">
                  <c:v>Takeaway/sandwich shop</c:v>
                </c:pt>
                <c:pt idx="4">
                  <c:v>Pub/bar/nightclub</c:v>
                </c:pt>
                <c:pt idx="5">
                  <c:v>Caring Premises</c:v>
                </c:pt>
                <c:pt idx="6">
                  <c:v>School/college/university</c:v>
                </c:pt>
                <c:pt idx="7">
                  <c:v>Mobile caterer</c:v>
                </c:pt>
                <c:pt idx="8">
                  <c:v>Retailers - supermarkets/hypermarkets</c:v>
                </c:pt>
                <c:pt idx="9">
                  <c:v>Hotel/bed &amp; breakfast/guest house</c:v>
                </c:pt>
              </c:strCache>
            </c:strRef>
          </c:cat>
          <c:val>
            <c:numRef>
              <c:f>Sheet1!$B$2:$B$11</c:f>
              <c:numCache>
                <c:formatCode>General</c:formatCode>
                <c:ptCount val="10"/>
                <c:pt idx="0">
                  <c:v>5394</c:v>
                </c:pt>
                <c:pt idx="1">
                  <c:v>4706</c:v>
                </c:pt>
                <c:pt idx="2">
                  <c:v>2484</c:v>
                </c:pt>
                <c:pt idx="3">
                  <c:v>2317</c:v>
                </c:pt>
                <c:pt idx="4">
                  <c:v>1917</c:v>
                </c:pt>
                <c:pt idx="5">
                  <c:v>1749</c:v>
                </c:pt>
                <c:pt idx="6">
                  <c:v>1311</c:v>
                </c:pt>
                <c:pt idx="7">
                  <c:v>1106</c:v>
                </c:pt>
                <c:pt idx="8">
                  <c:v>654</c:v>
                </c:pt>
                <c:pt idx="9">
                  <c:v>608</c:v>
                </c:pt>
              </c:numCache>
            </c:numRef>
          </c:val>
        </c:ser>
        <c:dLbls>
          <c:showLegendKey val="0"/>
          <c:showVal val="0"/>
          <c:showCatName val="0"/>
          <c:showSerName val="0"/>
          <c:showPercent val="0"/>
          <c:showBubbleSize val="0"/>
        </c:dLbls>
        <c:gapWidth val="140"/>
        <c:overlap val="-40"/>
        <c:axId val="2094734554"/>
        <c:axId val="2094734552"/>
      </c:barChart>
      <c:catAx>
        <c:axId val="2094734554"/>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b"/>
        <c:majorGridlines>
          <c:spPr>
            <a:ln w="9525" cap="flat" cmpd="sng" algn="ctr">
              <a:solidFill>
                <a:schemeClr val="lt1">
                  <a:lumMod val="90200"/>
                </a:schemeClr>
              </a:solidFill>
              <a:round/>
            </a:ln>
            <a:effectLst/>
          </c:spPr>
        </c:majorGridlines>
        <c:numFmt formatCode="General" sourceLinked="0"/>
        <c:majorTickMark val="out"/>
        <c:minorTickMark val="none"/>
        <c:tickLblPos val="low"/>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span"/>
    <c:showDLblsOverMax val="0"/>
    <c:extLst>
      <c:ext uri="{0b15fc19-7d7d-44ad-8c2d-2c3a37ce22c3}">
        <chartProps xmlns="https://web.wps.cn/et/2018/main" chartId="{3a4f3dad-6d43-46f5-89ca-de246af7e0a1}"/>
      </c:ext>
    </c:extLst>
  </c:chart>
  <c:spPr>
    <a:noFill/>
    <a:ln w="9525" cap="flat" cmpd="sng" algn="ctr">
      <a:no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barChart>
        <c:barDir val="bar"/>
        <c:grouping val="clustered"/>
        <c:varyColors val="0"/>
        <c:ser>
          <c:idx val="0"/>
          <c:order val="0"/>
          <c:tx>
            <c:strRef>
              <c:f>Sheet1!$B$1</c:f>
              <c:strCache>
                <c:ptCount val="1"/>
                <c:pt idx="0">
                  <c:v>低评级占比(%)</c:v>
                </c:pt>
              </c:strCache>
            </c:strRef>
          </c:tx>
          <c:spPr>
            <a:gradFill>
              <a:gsLst>
                <a:gs pos="0">
                  <a:schemeClr val="accent1">
                    <a:lumMod val="40000"/>
                    <a:lumOff val="60000"/>
                  </a:schemeClr>
                </a:gs>
                <a:gs pos="90000">
                  <a:schemeClr val="accent1"/>
                </a:gs>
              </a:gsLst>
              <a:lin ang="10800000" scaled="0"/>
            </a:gradFill>
            <a:ln>
              <a:gradFill>
                <a:gsLst>
                  <a:gs pos="0">
                    <a:schemeClr val="accent1"/>
                  </a:gs>
                  <a:gs pos="100000">
                    <a:schemeClr val="accent1">
                      <a:lumMod val="75000"/>
                    </a:schemeClr>
                  </a:gs>
                </a:gsLst>
                <a:lin ang="10800000" scaled="0"/>
              </a:gradFill>
            </a:ln>
            <a:effectLst>
              <a:outerShdw blurRad="76200" dist="25400" dir="2700000" algn="tl" rotWithShape="0">
                <a:schemeClr val="accent1">
                  <a:lumMod val="50000"/>
                  <a:alpha val="30000"/>
                </a:schemeClr>
              </a:outerShdw>
            </a:effectLst>
          </c:spPr>
          <c:invertIfNegative val="0"/>
          <c:dLbls>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Sheet1!$A$2:$A$11</c:f>
              <c:strCache>
                <c:ptCount val="10"/>
                <c:pt idx="0">
                  <c:v>Greenwich</c:v>
                </c:pt>
                <c:pt idx="1">
                  <c:v>Coventry</c:v>
                </c:pt>
                <c:pt idx="2">
                  <c:v>Aberdeen City</c:v>
                </c:pt>
                <c:pt idx="3">
                  <c:v>West Suffolk</c:v>
                </c:pt>
                <c:pt idx="4">
                  <c:v>Northumberland</c:v>
                </c:pt>
                <c:pt idx="5">
                  <c:v>Cheshire West and Chester</c:v>
                </c:pt>
                <c:pt idx="6">
                  <c:v>East Devon</c:v>
                </c:pt>
                <c:pt idx="7">
                  <c:v>Belfast City</c:v>
                </c:pt>
                <c:pt idx="8">
                  <c:v>Dudley</c:v>
                </c:pt>
                <c:pt idx="9">
                  <c:v>Islington</c:v>
                </c:pt>
              </c:strCache>
            </c:strRef>
          </c:cat>
          <c:val>
            <c:numRef>
              <c:f>Sheet1!$B$2:$B$11</c:f>
              <c:numCache>
                <c:formatCode>General</c:formatCode>
                <c:ptCount val="10"/>
                <c:pt idx="0">
                  <c:v>0</c:v>
                </c:pt>
                <c:pt idx="1">
                  <c:v>0</c:v>
                </c:pt>
                <c:pt idx="2">
                  <c:v>0</c:v>
                </c:pt>
                <c:pt idx="3">
                  <c:v>0.8</c:v>
                </c:pt>
                <c:pt idx="4">
                  <c:v>0.9</c:v>
                </c:pt>
                <c:pt idx="5">
                  <c:v>2.1</c:v>
                </c:pt>
                <c:pt idx="6">
                  <c:v>2.1</c:v>
                </c:pt>
                <c:pt idx="7">
                  <c:v>2.7</c:v>
                </c:pt>
                <c:pt idx="8">
                  <c:v>3.5</c:v>
                </c:pt>
                <c:pt idx="9">
                  <c:v>6.3</c:v>
                </c:pt>
              </c:numCache>
            </c:numRef>
          </c:val>
        </c:ser>
        <c:dLbls>
          <c:showLegendKey val="0"/>
          <c:showVal val="1"/>
          <c:showCatName val="0"/>
          <c:showSerName val="0"/>
          <c:showPercent val="0"/>
          <c:showBubbleSize val="0"/>
        </c:dLbls>
        <c:gapWidth val="140"/>
        <c:overlap val="-40"/>
        <c:axId val="2094734554"/>
        <c:axId val="2094734552"/>
      </c:barChart>
      <c:catAx>
        <c:axId val="2094734554"/>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b"/>
        <c:majorGridlines>
          <c:spPr>
            <a:ln w="9525" cap="flat" cmpd="sng" algn="ctr">
              <a:solidFill>
                <a:schemeClr val="lt1">
                  <a:lumMod val="90200"/>
                </a:schemeClr>
              </a:solidFill>
              <a:round/>
            </a:ln>
            <a:effectLst/>
          </c:spPr>
        </c:majorGridlines>
        <c:numFmt formatCode="General" sourceLinked="0"/>
        <c:majorTickMark val="out"/>
        <c:minorTickMark val="none"/>
        <c:tickLblPos val="low"/>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span"/>
    <c:showDLblsOverMax val="0"/>
    <c:extLst>
      <c:ext uri="{0b15fc19-7d7d-44ad-8c2d-2c3a37ce22c3}">
        <chartProps xmlns="https://web.wps.cn/et/2018/main" chartId="{53d66c7e-f995-4126-8ab3-4962a351232c}"/>
      </c:ext>
    </c:extLst>
  </c:chart>
  <c:spPr>
    <a:noFill/>
    <a:ln w="9525" cap="flat" cmpd="sng" algn="ctr">
      <a:no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barChart>
        <c:barDir val="col"/>
        <c:grouping val="clustered"/>
        <c:varyColors val="0"/>
        <c:ser>
          <c:idx val="0"/>
          <c:order val="0"/>
          <c:tx>
            <c:strRef>
              <c:f>Sheet1!$B$1</c:f>
              <c:strCache>
                <c:ptCount val="1"/>
                <c:pt idx="0">
                  <c:v>样本数</c:v>
                </c:pt>
              </c:strCache>
            </c:strRef>
          </c:tx>
          <c:spPr>
            <a:solidFill>
              <a:schemeClr val="accent1"/>
            </a:solidFill>
            <a:ln>
              <a:noFill/>
            </a:ln>
            <a:effectLst/>
          </c:spPr>
          <c:invertIfNegative val="0"/>
          <c:dLbls>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Sheet1!$A$2:$A$5</c:f>
              <c:strCache>
                <c:ptCount val="4"/>
                <c:pt idx="0">
                  <c:v>低风险</c:v>
                </c:pt>
                <c:pt idx="1">
                  <c:v>中低风险</c:v>
                </c:pt>
                <c:pt idx="2">
                  <c:v>中风险</c:v>
                </c:pt>
                <c:pt idx="3">
                  <c:v>中高风险</c:v>
                </c:pt>
              </c:strCache>
            </c:strRef>
          </c:cat>
          <c:val>
            <c:numRef>
              <c:f>Sheet1!$B$2:$B$5</c:f>
              <c:numCache>
                <c:formatCode>General</c:formatCode>
                <c:ptCount val="4"/>
                <c:pt idx="0">
                  <c:v>6922</c:v>
                </c:pt>
                <c:pt idx="1">
                  <c:v>7346</c:v>
                </c:pt>
                <c:pt idx="2">
                  <c:v>5730</c:v>
                </c:pt>
                <c:pt idx="3">
                  <c:v>3003</c:v>
                </c:pt>
              </c:numCache>
            </c:numRef>
          </c:val>
        </c:ser>
        <c:dLbls>
          <c:showLegendKey val="0"/>
          <c:showVal val="1"/>
          <c:showCatName val="0"/>
          <c:showSerName val="0"/>
          <c:showPercent val="0"/>
          <c:showBubbleSize val="0"/>
        </c:dLbls>
        <c:gapWidth val="216"/>
        <c:overlap val="-32"/>
        <c:axId val="2094734554"/>
        <c:axId val="2094734552"/>
      </c:barChart>
      <c:catAx>
        <c:axId val="2094734554"/>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l"/>
        <c:majorGridlines>
          <c:spPr>
            <a:ln w="9525" cap="flat" cmpd="sng" algn="ctr">
              <a:solidFill>
                <a:schemeClr val="lt1">
                  <a:lumMod val="90200"/>
                </a:schemeClr>
              </a:solidFill>
              <a:round/>
            </a:ln>
            <a:effectLst/>
          </c:spPr>
        </c:majorGridlines>
        <c:numFmt formatCode="General" sourceLinked="0"/>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plotVisOnly val="1"/>
    <c:dispBlanksAs val="span"/>
    <c:showDLblsOverMax val="0"/>
    <c:extLst>
      <c:ext uri="{0b15fc19-7d7d-44ad-8c2d-2c3a37ce22c3}">
        <chartProps xmlns="https://web.wps.cn/et/2018/main" chartId="{5238df1e-7cc3-4d97-983a-479ce0310ddc}"/>
      </c:ext>
    </c:extLst>
  </c:chart>
  <c:spPr>
    <a:noFill/>
    <a:ln w="9525" cap="flat" cmpd="sng" algn="ctr">
      <a:no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lineChart>
        <c:grouping val="none"/>
        <c:varyColors val="0"/>
        <c:ser>
          <c:idx val="0"/>
          <c:order val="0"/>
          <c:tx>
            <c:strRef>
              <c:f>Sheet1!$B$1</c:f>
              <c:strCache>
                <c:ptCount val="1"/>
                <c:pt idx="0">
                  <c:v>记录数</c:v>
                </c:pt>
              </c:strCache>
            </c:strRef>
          </c:tx>
          <c:spPr>
            <a:ln w="28575" cap="rnd">
              <a:solidFill>
                <a:schemeClr val="accent1"/>
              </a:solidFill>
              <a:round/>
            </a:ln>
            <a:effectLst/>
          </c:spPr>
          <c:marker>
            <c:symbol val="none"/>
          </c:marke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r"/>
            <c:showLegendKey val="0"/>
            <c:showVal val="0"/>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Sheet1!$A$2:$A$19</c:f>
              <c:strCache>
                <c:ptCount val="18"/>
                <c:pt idx="0">
                  <c:v>2024-07</c:v>
                </c:pt>
                <c:pt idx="1">
                  <c:v>2024-08</c:v>
                </c:pt>
                <c:pt idx="2">
                  <c:v>2024-09</c:v>
                </c:pt>
                <c:pt idx="3">
                  <c:v>2024-10</c:v>
                </c:pt>
                <c:pt idx="4">
                  <c:v>2024-11</c:v>
                </c:pt>
                <c:pt idx="5">
                  <c:v>2024-12</c:v>
                </c:pt>
                <c:pt idx="6">
                  <c:v>2025-01</c:v>
                </c:pt>
                <c:pt idx="7">
                  <c:v>2025-02</c:v>
                </c:pt>
                <c:pt idx="8">
                  <c:v>2025-03</c:v>
                </c:pt>
                <c:pt idx="9">
                  <c:v>2025-04</c:v>
                </c:pt>
                <c:pt idx="10">
                  <c:v>2025-05</c:v>
                </c:pt>
                <c:pt idx="11">
                  <c:v>2025-06</c:v>
                </c:pt>
                <c:pt idx="12">
                  <c:v>2025-07</c:v>
                </c:pt>
                <c:pt idx="13">
                  <c:v>2025-08</c:v>
                </c:pt>
                <c:pt idx="14">
                  <c:v>2025-09</c:v>
                </c:pt>
                <c:pt idx="15">
                  <c:v>2025-10</c:v>
                </c:pt>
                <c:pt idx="16">
                  <c:v>2025-11</c:v>
                </c:pt>
                <c:pt idx="17">
                  <c:v>2025-12</c:v>
                </c:pt>
              </c:strCache>
            </c:strRef>
          </c:cat>
          <c:val>
            <c:numRef>
              <c:f>Sheet1!$B$2:$B$19</c:f>
              <c:numCache>
                <c:formatCode>General</c:formatCode>
                <c:ptCount val="18"/>
                <c:pt idx="0">
                  <c:v>542</c:v>
                </c:pt>
                <c:pt idx="1">
                  <c:v>477</c:v>
                </c:pt>
                <c:pt idx="2">
                  <c:v>500</c:v>
                </c:pt>
                <c:pt idx="3">
                  <c:v>548</c:v>
                </c:pt>
                <c:pt idx="4">
                  <c:v>620</c:v>
                </c:pt>
                <c:pt idx="5">
                  <c:v>449</c:v>
                </c:pt>
                <c:pt idx="6">
                  <c:v>756</c:v>
                </c:pt>
                <c:pt idx="7">
                  <c:v>732</c:v>
                </c:pt>
                <c:pt idx="8">
                  <c:v>851</c:v>
                </c:pt>
                <c:pt idx="9">
                  <c:v>576</c:v>
                </c:pt>
                <c:pt idx="10">
                  <c:v>632</c:v>
                </c:pt>
                <c:pt idx="11">
                  <c:v>660</c:v>
                </c:pt>
                <c:pt idx="12">
                  <c:v>602</c:v>
                </c:pt>
                <c:pt idx="13">
                  <c:v>593</c:v>
                </c:pt>
                <c:pt idx="14">
                  <c:v>728</c:v>
                </c:pt>
                <c:pt idx="15">
                  <c:v>680</c:v>
                </c:pt>
                <c:pt idx="16">
                  <c:v>574</c:v>
                </c:pt>
                <c:pt idx="17">
                  <c:v>220</c:v>
                </c:pt>
              </c:numCache>
            </c:numRef>
          </c:val>
          <c:smooth val="0"/>
        </c:ser>
        <c:dLbls>
          <c:showLegendKey val="0"/>
          <c:showVal val="0"/>
          <c:showCatName val="0"/>
          <c:showSerName val="0"/>
          <c:showPercent val="0"/>
          <c:showBubbleSize val="0"/>
        </c:dLbls>
        <c:marker val="0"/>
        <c:smooth val="0"/>
        <c:axId val="2094734554"/>
        <c:axId val="2094734552"/>
      </c:lineChart>
      <c:catAx>
        <c:axId val="2094734554"/>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l"/>
        <c:majorGridlines>
          <c:spPr>
            <a:ln w="9525" cap="flat" cmpd="sng" algn="ctr">
              <a:solidFill>
                <a:schemeClr val="lt1">
                  <a:lumMod val="90200"/>
                </a:schemeClr>
              </a:solidFill>
              <a:round/>
            </a:ln>
            <a:effectLst/>
          </c:spPr>
        </c:majorGridlines>
        <c:numFmt formatCode="General" sourceLinked="0"/>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plotVisOnly val="1"/>
    <c:dispBlanksAs val="span"/>
    <c:showDLblsOverMax val="0"/>
    <c:extLst>
      <c:ext uri="{0b15fc19-7d7d-44ad-8c2d-2c3a37ce22c3}">
        <chartProps xmlns="https://web.wps.cn/et/2018/main" chartId="{810ac1d9-dc5e-4bf4-a272-ee1c36e28347}"/>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1"/>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1" i="0" u="none" strike="noStrike" kern="1200" baseline="0">
              <a:solidFill>
                <a:schemeClr val="tx1">
                  <a:lumMod val="75000"/>
                  <a:lumOff val="25000"/>
                </a:schemeClr>
              </a:solidFill>
              <a:latin typeface="+mn-lt"/>
              <a:ea typeface="+mn-ea"/>
              <a:cs typeface="+mn-cs"/>
            </a:defRPr>
          </a:pPr>
        </a:p>
      </c:txPr>
    </c:title>
    <c:autoTitleDeleted val="0"/>
    <c:plotArea>
      <c:layout>
        <c:manualLayout>
          <c:layoutTarget val="inner"/>
          <c:xMode val="edge"/>
          <c:yMode val="edge"/>
          <c:x val="0.0268402777777778"/>
          <c:y val="0.0691721132897603"/>
          <c:w val="0.961006944444444"/>
          <c:h val="0.767755991285403"/>
        </c:manualLayout>
      </c:layout>
      <c:lineChart>
        <c:grouping val="none"/>
        <c:varyColors val="0"/>
        <c:ser>
          <c:idx val="0"/>
          <c:order val="0"/>
          <c:tx>
            <c:strRef>
              <c:f>Sheet1!$B$1</c:f>
              <c:strCache>
                <c:ptCount val="1"/>
                <c:pt idx="0">
                  <c:v>平均风险</c:v>
                </c:pt>
              </c:strCache>
            </c:strRef>
          </c:tx>
          <c:spPr>
            <a:ln w="28575" cap="rnd">
              <a:solidFill>
                <a:schemeClr val="accent1"/>
              </a:solidFill>
              <a:round/>
            </a:ln>
            <a:effectLst/>
          </c:spPr>
          <c:marker>
            <c:symbol val="none"/>
          </c:marke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numFmt formatCode="#,##0" sourceLinked="0"/>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r"/>
            <c:showLegendKey val="0"/>
            <c:showVal val="0"/>
            <c:showCatName val="0"/>
            <c:showSerName val="0"/>
            <c:showPercent val="0"/>
            <c:showBubbleSize val="0"/>
            <c:showLeaderLines val="0"/>
            <c:extLst>
              <c:ext xmlns:c15="http://schemas.microsoft.com/office/drawing/2012/chart" uri="{CE6537A1-D6FC-4f65-9D91-7224C49458BB}">
                <c15:layout/>
                <c15:showLeaderLines val="0"/>
                <c15:leaderLines>
                  <c:spPr>
                    <a:ln w="9525" cap="flat" cmpd="sng" algn="ctr">
                      <a:solidFill>
                        <a:schemeClr val="tx1">
                          <a:lumMod val="35000"/>
                          <a:lumOff val="65000"/>
                        </a:schemeClr>
                      </a:solidFill>
                      <a:round/>
                    </a:ln>
                    <a:effectLst/>
                  </c:spPr>
                </c15:leaderLines>
              </c:ext>
            </c:extLst>
          </c:dLbls>
          <c:cat>
            <c:strRef>
              <c:f>Sheet1!$A$2:$A$19</c:f>
              <c:strCache>
                <c:ptCount val="18"/>
                <c:pt idx="0">
                  <c:v>2024-07</c:v>
                </c:pt>
                <c:pt idx="1">
                  <c:v>2024-08</c:v>
                </c:pt>
                <c:pt idx="2">
                  <c:v>2024-09</c:v>
                </c:pt>
                <c:pt idx="3">
                  <c:v>2024-10</c:v>
                </c:pt>
                <c:pt idx="4">
                  <c:v>2024-11</c:v>
                </c:pt>
                <c:pt idx="5">
                  <c:v>2024-12</c:v>
                </c:pt>
                <c:pt idx="6">
                  <c:v>2025-01</c:v>
                </c:pt>
                <c:pt idx="7">
                  <c:v>2025-02</c:v>
                </c:pt>
                <c:pt idx="8">
                  <c:v>2025-03</c:v>
                </c:pt>
                <c:pt idx="9">
                  <c:v>2025-04</c:v>
                </c:pt>
                <c:pt idx="10">
                  <c:v>2025-05</c:v>
                </c:pt>
                <c:pt idx="11">
                  <c:v>2025-06</c:v>
                </c:pt>
                <c:pt idx="12">
                  <c:v>2025-07</c:v>
                </c:pt>
                <c:pt idx="13">
                  <c:v>2025-08</c:v>
                </c:pt>
                <c:pt idx="14">
                  <c:v>2025-09</c:v>
                </c:pt>
                <c:pt idx="15">
                  <c:v>2025-10</c:v>
                </c:pt>
                <c:pt idx="16">
                  <c:v>2025-11</c:v>
                </c:pt>
                <c:pt idx="17">
                  <c:v>2025-12</c:v>
                </c:pt>
              </c:strCache>
            </c:strRef>
          </c:cat>
          <c:val>
            <c:numRef>
              <c:f>Sheet1!$B$2:$B$19</c:f>
              <c:numCache>
                <c:formatCode>General</c:formatCode>
                <c:ptCount val="18"/>
                <c:pt idx="0">
                  <c:v>3.62</c:v>
                </c:pt>
                <c:pt idx="1">
                  <c:v>3.54</c:v>
                </c:pt>
                <c:pt idx="2">
                  <c:v>3.55</c:v>
                </c:pt>
                <c:pt idx="3">
                  <c:v>3.66</c:v>
                </c:pt>
                <c:pt idx="4">
                  <c:v>3.48</c:v>
                </c:pt>
                <c:pt idx="5">
                  <c:v>3.77</c:v>
                </c:pt>
                <c:pt idx="6">
                  <c:v>3.82</c:v>
                </c:pt>
                <c:pt idx="7">
                  <c:v>3.82</c:v>
                </c:pt>
                <c:pt idx="8">
                  <c:v>3.72</c:v>
                </c:pt>
                <c:pt idx="9">
                  <c:v>3.81</c:v>
                </c:pt>
                <c:pt idx="10">
                  <c:v>3.56</c:v>
                </c:pt>
                <c:pt idx="11">
                  <c:v>3.69</c:v>
                </c:pt>
                <c:pt idx="12">
                  <c:v>3.85</c:v>
                </c:pt>
                <c:pt idx="13">
                  <c:v>4.31</c:v>
                </c:pt>
                <c:pt idx="14">
                  <c:v>4.07</c:v>
                </c:pt>
                <c:pt idx="15">
                  <c:v>4.31</c:v>
                </c:pt>
                <c:pt idx="16">
                  <c:v>3.23</c:v>
                </c:pt>
                <c:pt idx="17">
                  <c:v>2.88</c:v>
                </c:pt>
              </c:numCache>
            </c:numRef>
          </c:val>
          <c:smooth val="0"/>
        </c:ser>
        <c:dLbls>
          <c:showLegendKey val="0"/>
          <c:showVal val="0"/>
          <c:showCatName val="0"/>
          <c:showSerName val="0"/>
          <c:showPercent val="0"/>
          <c:showBubbleSize val="0"/>
        </c:dLbls>
        <c:marker val="0"/>
        <c:smooth val="0"/>
        <c:axId val="2094734554"/>
        <c:axId val="2094734552"/>
      </c:lineChart>
      <c:catAx>
        <c:axId val="2094734554"/>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2"/>
        <c:crosses val="autoZero"/>
        <c:auto val="1"/>
        <c:lblAlgn val="ctr"/>
        <c:lblOffset val="100"/>
        <c:noMultiLvlLbl val="1"/>
      </c:catAx>
      <c:valAx>
        <c:axId val="2094734552"/>
        <c:scaling>
          <c:orientation val="minMax"/>
        </c:scaling>
        <c:delete val="0"/>
        <c:axPos val="l"/>
        <c:majorGridlines>
          <c:spPr>
            <a:ln w="9525" cap="flat" cmpd="sng" algn="ctr">
              <a:solidFill>
                <a:schemeClr val="lt1">
                  <a:lumMod val="90200"/>
                </a:schemeClr>
              </a:solidFill>
              <a:round/>
            </a:ln>
            <a:effectLst/>
          </c:spPr>
        </c:majorGridlines>
        <c:numFmt formatCode="General" sourceLinked="0"/>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9473455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plotVisOnly val="1"/>
    <c:dispBlanksAs val="span"/>
    <c:showDLblsOverMax val="0"/>
    <c:extLst>
      <c:ext uri="{0b15fc19-7d7d-44ad-8c2d-2c3a37ce22c3}">
        <chartProps xmlns="https://web.wps.cn/et/2018/main" chartId="{77b0ff4e-a573-4ab3-9095-4e51511c8161}"/>
      </c:ext>
    </c:extLst>
  </c:chart>
  <c:spPr>
    <a:noFill/>
    <a:ln w="9525" cap="flat" cmpd="sng" algn="ctr">
      <a:no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2.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3.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4.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5.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colors6.xml><?xml version="1.0" encoding="utf-8"?>
<cs:colorStyle xmlns:cs="http://schemas.microsoft.com/office/drawing/2012/chartStyle" xmlns:a="http://schemas.openxmlformats.org/drawingml/2006/main" meth="acrossLinear" id="2">
  <a:schemeClr val="accent1"/>
  <a:schemeClr val="accent2"/>
  <a:schemeClr val="accent3"/>
  <a:schemeClr val="accent4"/>
  <a:schemeClr val="accent5"/>
  <a:schemeClr val="accent6"/>
</cs:colorStyle>
</file>

<file path=word/charts/style1.xml><?xml version="1.0" encoding="utf-8"?>
<cs:chartStyle xmlns:cs="http://schemas.microsoft.com/office/drawing/2012/chartStyle" xmlns:a="http://schemas.openxmlformats.org/drawingml/2006/main" id="1000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styleClr val="auto"/>
    </cs:effectRef>
    <cs:fontRef idx="minor">
      <a:schemeClr val="dk1"/>
    </cs:fontRef>
    <cs:spPr>
      <a:gradFill>
        <a:gsLst>
          <a:gs pos="0">
            <a:schemeClr val="phClr">
              <a:lumMod val="40000"/>
              <a:lumOff val="60000"/>
            </a:schemeClr>
          </a:gs>
          <a:gs pos="90000">
            <a:schemeClr val="phClr"/>
          </a:gs>
        </a:gsLst>
        <a:lin ang="5400000" scaled="0"/>
      </a:gradFill>
      <a:ln>
        <a:gradFill>
          <a:gsLst>
            <a:gs pos="0">
              <a:schemeClr val="phClr"/>
            </a:gs>
            <a:gs pos="100000">
              <a:schemeClr val="phClr">
                <a:lumMod val="75000"/>
              </a:schemeClr>
            </a:gs>
          </a:gsLst>
          <a:lin ang="5400000" scaled="1"/>
        </a:gradFill>
      </a:ln>
      <a:effectLst>
        <a:outerShdw blurRad="76200" dist="25400" dir="2700000" algn="tl" rotWithShape="0">
          <a:schemeClr val="phClr">
            <a:lumMod val="50000"/>
            <a:alpha val="30000"/>
          </a:schemeClr>
        </a:outerShdw>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12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styleClr val="auto"/>
    </cs:effectRef>
    <cs:fontRef idx="minor">
      <a:schemeClr val="dk1"/>
    </cs:fontRef>
    <cs:spPr>
      <a:gradFill>
        <a:gsLst>
          <a:gs pos="0">
            <a:schemeClr val="phClr">
              <a:lumMod val="40000"/>
              <a:lumOff val="60000"/>
            </a:schemeClr>
          </a:gs>
          <a:gs pos="90000">
            <a:schemeClr val="phClr"/>
          </a:gs>
        </a:gsLst>
        <a:lin ang="10800000" scaled="0"/>
      </a:gradFill>
      <a:ln>
        <a:gradFill>
          <a:gsLst>
            <a:gs pos="0">
              <a:schemeClr val="phClr"/>
            </a:gs>
            <a:gs pos="100000">
              <a:schemeClr val="phClr">
                <a:lumMod val="75000"/>
              </a:schemeClr>
            </a:gs>
          </a:gsLst>
          <a:lin ang="10800000" scaled="0"/>
        </a:gradFill>
      </a:ln>
      <a:effectLst>
        <a:outerShdw blurRad="76200" dist="25400" dir="2700000" algn="tl" rotWithShape="0">
          <a:schemeClr val="phClr">
            <a:lumMod val="50000"/>
            <a:alpha val="30000"/>
          </a:schemeClr>
        </a:outerShdw>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12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styleClr val="auto"/>
    </cs:effectRef>
    <cs:fontRef idx="minor">
      <a:schemeClr val="dk1"/>
    </cs:fontRef>
    <cs:spPr>
      <a:gradFill>
        <a:gsLst>
          <a:gs pos="0">
            <a:schemeClr val="phClr">
              <a:lumMod val="40000"/>
              <a:lumOff val="60000"/>
            </a:schemeClr>
          </a:gs>
          <a:gs pos="90000">
            <a:schemeClr val="phClr"/>
          </a:gs>
        </a:gsLst>
        <a:lin ang="10800000" scaled="0"/>
      </a:gradFill>
      <a:ln>
        <a:gradFill>
          <a:gsLst>
            <a:gs pos="0">
              <a:schemeClr val="phClr"/>
            </a:gs>
            <a:gs pos="100000">
              <a:schemeClr val="phClr">
                <a:lumMod val="75000"/>
              </a:schemeClr>
            </a:gs>
          </a:gsLst>
          <a:lin ang="10800000" scaled="0"/>
        </a:gradFill>
      </a:ln>
      <a:effectLst>
        <a:outerShdw blurRad="76200" dist="25400" dir="2700000" algn="tl" rotWithShape="0">
          <a:schemeClr val="phClr">
            <a:lumMod val="50000"/>
            <a:alpha val="30000"/>
          </a:schemeClr>
        </a:outerShdw>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003">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003">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702</Pages>
  <Words>16646</Words>
  <Characters>17938</Characters>
  <Lines>1038</Lines>
  <Paragraphs>292</Paragraphs>
  <TotalTime>7</TotalTime>
  <ScaleCrop>false</ScaleCrop>
  <LinksUpToDate>false</LinksUpToDate>
  <CharactersWithSpaces>18318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2024-07-07T04:07:00Z</dcterms:created>
  <dc:creator>cherry</dc:creator>
  <cp:lastModifiedBy>胡浩</cp:lastModifiedBy>
  <dcterms:modified xsi:type="dcterms:W3CDTF">2026-02-01T04:46:10Z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19DA35B4530940DC9C76DD6636AACCA4_13</vt:lpwstr>
  </property>
  <property fmtid="{D5CDD505-2E9C-101B-9397-08002B2CF9AE}" pid="4" name="KSOTemplateDocerSaveRecord">
    <vt:lpwstr>eyJoZGlkIjoiMzRkODY3YzZlYmM1OGRlOGQ3ZjMyOWRiNTgyZmM4YmEiLCJ1c2VySWQiOiIyODAwNzI3MCJ9</vt:lpwstr>
  </property>
</Properties>
</file>